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51C81" w14:textId="4978E64E" w:rsidR="00925162" w:rsidRPr="00B6180D" w:rsidRDefault="00925162" w:rsidP="002D46ED">
      <w:pPr>
        <w:spacing w:before="0"/>
        <w:ind w:right="40"/>
        <w:jc w:val="center"/>
        <w:rPr>
          <w:szCs w:val="24"/>
        </w:rPr>
      </w:pPr>
      <w:r w:rsidRPr="00B6180D">
        <w:rPr>
          <w:b/>
          <w:szCs w:val="24"/>
          <w:u w:val="single"/>
        </w:rPr>
        <w:t xml:space="preserve">EXPLANATORY </w:t>
      </w:r>
      <w:r w:rsidR="00D86F45">
        <w:rPr>
          <w:b/>
          <w:szCs w:val="24"/>
          <w:u w:val="single"/>
        </w:rPr>
        <w:t>STATEMENT</w:t>
      </w:r>
    </w:p>
    <w:p w14:paraId="6A4357A1" w14:textId="77777777" w:rsidR="008F4910" w:rsidRPr="00B6180D" w:rsidRDefault="008F4910" w:rsidP="002D46ED">
      <w:pPr>
        <w:pStyle w:val="Heading6"/>
        <w:spacing w:before="0"/>
        <w:ind w:right="42"/>
        <w:jc w:val="center"/>
        <w:rPr>
          <w:szCs w:val="24"/>
        </w:rPr>
      </w:pPr>
    </w:p>
    <w:p w14:paraId="25AAF1D2" w14:textId="7955C49F" w:rsidR="002D46ED" w:rsidRPr="00634DF4" w:rsidRDefault="002D46ED" w:rsidP="002D46ED">
      <w:pPr>
        <w:spacing w:before="0"/>
        <w:ind w:right="40"/>
        <w:jc w:val="center"/>
        <w:rPr>
          <w:szCs w:val="24"/>
          <w:u w:val="single"/>
        </w:rPr>
      </w:pPr>
      <w:r w:rsidRPr="00634DF4">
        <w:rPr>
          <w:szCs w:val="24"/>
          <w:u w:val="single"/>
        </w:rPr>
        <w:t>Select Legislative Instrument No.</w:t>
      </w:r>
      <w:r w:rsidR="00421097">
        <w:rPr>
          <w:szCs w:val="24"/>
          <w:u w:val="single"/>
        </w:rPr>
        <w:t xml:space="preserve"> 103, 2015</w:t>
      </w:r>
      <w:bookmarkStart w:id="0" w:name="_GoBack"/>
      <w:bookmarkEnd w:id="0"/>
    </w:p>
    <w:p w14:paraId="2A0BD5D7" w14:textId="77777777" w:rsidR="002D46ED" w:rsidRPr="00634DF4" w:rsidRDefault="002D46ED" w:rsidP="002D46ED">
      <w:pPr>
        <w:spacing w:before="0"/>
        <w:ind w:right="40"/>
        <w:jc w:val="center"/>
        <w:rPr>
          <w:szCs w:val="24"/>
          <w:u w:val="single"/>
        </w:rPr>
      </w:pPr>
    </w:p>
    <w:p w14:paraId="231756B3" w14:textId="77777777" w:rsidR="002D46ED" w:rsidRPr="00634DF4" w:rsidRDefault="002D46ED" w:rsidP="002D46ED">
      <w:pPr>
        <w:spacing w:before="0"/>
        <w:ind w:right="40"/>
        <w:jc w:val="center"/>
        <w:rPr>
          <w:szCs w:val="24"/>
        </w:rPr>
      </w:pPr>
      <w:r w:rsidRPr="00634DF4">
        <w:rPr>
          <w:szCs w:val="24"/>
        </w:rPr>
        <w:t>Issued by the Minister for Immigration and Border Protection</w:t>
      </w:r>
    </w:p>
    <w:p w14:paraId="05B2B2B0" w14:textId="77777777" w:rsidR="00E86678" w:rsidRPr="00B6180D" w:rsidRDefault="00E86678" w:rsidP="002D46ED">
      <w:pPr>
        <w:spacing w:before="0"/>
        <w:ind w:right="91"/>
        <w:jc w:val="center"/>
        <w:rPr>
          <w:szCs w:val="24"/>
        </w:rPr>
      </w:pPr>
    </w:p>
    <w:p w14:paraId="337DC8CE" w14:textId="0B7D594A" w:rsidR="00F1727D" w:rsidRPr="00B6180D" w:rsidRDefault="00E86678" w:rsidP="002D46ED">
      <w:pPr>
        <w:spacing w:before="0"/>
        <w:ind w:right="91"/>
        <w:jc w:val="center"/>
        <w:rPr>
          <w:i/>
          <w:szCs w:val="24"/>
        </w:rPr>
      </w:pPr>
      <w:r w:rsidRPr="00B6180D">
        <w:rPr>
          <w:i/>
          <w:szCs w:val="24"/>
        </w:rPr>
        <w:t>Migration Act 1958</w:t>
      </w:r>
    </w:p>
    <w:p w14:paraId="7B8D4985" w14:textId="77777777" w:rsidR="00E86678" w:rsidRPr="00B6180D" w:rsidRDefault="00E86678" w:rsidP="002D46ED">
      <w:pPr>
        <w:spacing w:before="0"/>
        <w:ind w:right="91"/>
        <w:jc w:val="center"/>
        <w:rPr>
          <w:szCs w:val="24"/>
        </w:rPr>
      </w:pPr>
    </w:p>
    <w:p w14:paraId="764A667A" w14:textId="77777777" w:rsidR="00070952" w:rsidRPr="00B6180D" w:rsidRDefault="00070952" w:rsidP="002D46ED">
      <w:pPr>
        <w:spacing w:before="0"/>
        <w:ind w:right="91"/>
        <w:jc w:val="center"/>
        <w:rPr>
          <w:i/>
          <w:szCs w:val="24"/>
        </w:rPr>
      </w:pPr>
      <w:r w:rsidRPr="00B6180D">
        <w:rPr>
          <w:i/>
          <w:szCs w:val="24"/>
        </w:rPr>
        <w:t>Australian Citizenship Act 2007</w:t>
      </w:r>
    </w:p>
    <w:p w14:paraId="1F4A5D91" w14:textId="77777777" w:rsidR="00280FDF" w:rsidRPr="00B6180D" w:rsidRDefault="00280FDF" w:rsidP="002D46ED">
      <w:pPr>
        <w:spacing w:before="0"/>
        <w:ind w:left="1440" w:right="91"/>
        <w:jc w:val="center"/>
        <w:rPr>
          <w:i/>
          <w:szCs w:val="24"/>
        </w:rPr>
      </w:pPr>
    </w:p>
    <w:p w14:paraId="02F45846" w14:textId="77777777" w:rsidR="00280FDF" w:rsidRPr="00B6180D" w:rsidRDefault="00280FDF" w:rsidP="002D46ED">
      <w:pPr>
        <w:spacing w:before="0"/>
        <w:ind w:right="91"/>
        <w:jc w:val="center"/>
        <w:rPr>
          <w:i/>
          <w:szCs w:val="24"/>
        </w:rPr>
      </w:pPr>
      <w:r w:rsidRPr="00B6180D">
        <w:rPr>
          <w:i/>
          <w:szCs w:val="24"/>
        </w:rPr>
        <w:t>Customs Act 1901</w:t>
      </w:r>
    </w:p>
    <w:p w14:paraId="72EB2BAD" w14:textId="77777777" w:rsidR="00070952" w:rsidRPr="00B6180D" w:rsidRDefault="00070952" w:rsidP="002D46ED">
      <w:pPr>
        <w:spacing w:before="0"/>
        <w:ind w:left="1440" w:right="91"/>
        <w:jc w:val="center"/>
        <w:rPr>
          <w:i/>
          <w:szCs w:val="24"/>
        </w:rPr>
      </w:pPr>
    </w:p>
    <w:p w14:paraId="42F7792C" w14:textId="77777777" w:rsidR="00E86678" w:rsidRPr="00B6180D" w:rsidRDefault="00D92672" w:rsidP="002D46ED">
      <w:pPr>
        <w:spacing w:before="0"/>
        <w:ind w:right="91"/>
        <w:jc w:val="center"/>
        <w:rPr>
          <w:i/>
          <w:szCs w:val="24"/>
        </w:rPr>
      </w:pPr>
      <w:r w:rsidRPr="00B6180D">
        <w:rPr>
          <w:i/>
          <w:szCs w:val="24"/>
        </w:rPr>
        <w:t>Migratio</w:t>
      </w:r>
      <w:r w:rsidR="0091559F" w:rsidRPr="00B6180D">
        <w:rPr>
          <w:i/>
          <w:szCs w:val="24"/>
        </w:rPr>
        <w:t xml:space="preserve">n </w:t>
      </w:r>
      <w:r w:rsidR="00607354" w:rsidRPr="00B6180D">
        <w:rPr>
          <w:i/>
          <w:szCs w:val="24"/>
        </w:rPr>
        <w:t xml:space="preserve">Legislation </w:t>
      </w:r>
      <w:r w:rsidR="0091559F" w:rsidRPr="00B6180D">
        <w:rPr>
          <w:i/>
          <w:szCs w:val="24"/>
        </w:rPr>
        <w:t>Amendment (2015 Measures No. 2</w:t>
      </w:r>
      <w:r w:rsidRPr="00B6180D">
        <w:rPr>
          <w:i/>
          <w:szCs w:val="24"/>
        </w:rPr>
        <w:t>) Regulation 2015</w:t>
      </w:r>
    </w:p>
    <w:p w14:paraId="616C57EE" w14:textId="2140BD5E" w:rsidR="00407B0C" w:rsidRDefault="00407B0C" w:rsidP="000E3C74">
      <w:r w:rsidRPr="00641218">
        <w:t xml:space="preserve">Subsection 504(1) of the </w:t>
      </w:r>
      <w:r w:rsidRPr="00250737">
        <w:rPr>
          <w:i/>
        </w:rPr>
        <w:t>Migration Act 1958</w:t>
      </w:r>
      <w:r>
        <w:t xml:space="preserve"> (the Migration Act)</w:t>
      </w:r>
      <w:r>
        <w:rPr>
          <w:i/>
        </w:rPr>
        <w:t xml:space="preserve">, </w:t>
      </w:r>
      <w:r>
        <w:rPr>
          <w:sz w:val="23"/>
          <w:szCs w:val="23"/>
        </w:rPr>
        <w:t xml:space="preserve">Section 54 of the </w:t>
      </w:r>
      <w:r>
        <w:rPr>
          <w:i/>
          <w:iCs/>
          <w:sz w:val="23"/>
          <w:szCs w:val="23"/>
        </w:rPr>
        <w:t xml:space="preserve">Australian Citizenship Act 2007 </w:t>
      </w:r>
      <w:r>
        <w:rPr>
          <w:iCs/>
          <w:sz w:val="23"/>
          <w:szCs w:val="23"/>
        </w:rPr>
        <w:t xml:space="preserve">(the Citizenship Act) and </w:t>
      </w:r>
      <w:r w:rsidRPr="005B2714">
        <w:rPr>
          <w:szCs w:val="24"/>
        </w:rPr>
        <w:t xml:space="preserve">Section 270 of the </w:t>
      </w:r>
      <w:r w:rsidRPr="005B2714">
        <w:rPr>
          <w:i/>
          <w:szCs w:val="24"/>
        </w:rPr>
        <w:t>Customs Act 1901</w:t>
      </w:r>
      <w:r>
        <w:rPr>
          <w:szCs w:val="24"/>
        </w:rPr>
        <w:t>(the Customs Act)</w:t>
      </w:r>
      <w:r w:rsidRPr="005B2714">
        <w:rPr>
          <w:szCs w:val="24"/>
        </w:rPr>
        <w:t xml:space="preserve"> </w:t>
      </w:r>
      <w:r>
        <w:t xml:space="preserve">(Principal Acts) </w:t>
      </w:r>
      <w:r w:rsidR="007A3ED3">
        <w:t xml:space="preserve">in effect </w:t>
      </w:r>
      <w:r>
        <w:t>provide that the Governor-General may make regulations prescribing matters required or permitted by the relevant Act to be prescribed, or necessary or convenient to be prescribed for carrying out or giving effect to the Principal Acts.</w:t>
      </w:r>
      <w:r w:rsidR="009F0F8C">
        <w:t xml:space="preserve">  </w:t>
      </w:r>
    </w:p>
    <w:p w14:paraId="14762932" w14:textId="77777777" w:rsidR="00DE6EFF" w:rsidRPr="00B6180D" w:rsidRDefault="00DE6EFF" w:rsidP="000E3C74">
      <w:pPr>
        <w:widowControl w:val="0"/>
        <w:adjustRightInd w:val="0"/>
        <w:spacing w:before="0"/>
        <w:ind w:right="85"/>
        <w:textAlignment w:val="baseline"/>
        <w:rPr>
          <w:szCs w:val="24"/>
        </w:rPr>
      </w:pPr>
    </w:p>
    <w:p w14:paraId="14170D94" w14:textId="65883EBB" w:rsidR="00E86678" w:rsidRPr="00B6180D" w:rsidRDefault="00E86678" w:rsidP="000E3C74">
      <w:pPr>
        <w:pStyle w:val="EMparagraph"/>
        <w:spacing w:after="0"/>
        <w:rPr>
          <w:szCs w:val="24"/>
        </w:rPr>
      </w:pPr>
      <w:r w:rsidRPr="00B6180D">
        <w:rPr>
          <w:szCs w:val="24"/>
        </w:rPr>
        <w:t>In addition, regulations may be made pursuant to the provisions of the Migration Act</w:t>
      </w:r>
      <w:r w:rsidR="00B0392B" w:rsidRPr="00B6180D">
        <w:rPr>
          <w:szCs w:val="24"/>
        </w:rPr>
        <w:t>, the Citizenship Act and the Customs Act</w:t>
      </w:r>
      <w:r w:rsidRPr="00B6180D">
        <w:rPr>
          <w:szCs w:val="24"/>
        </w:rPr>
        <w:t xml:space="preserve"> </w:t>
      </w:r>
      <w:r w:rsidR="000B7E9A" w:rsidRPr="00B6180D">
        <w:rPr>
          <w:szCs w:val="24"/>
        </w:rPr>
        <w:t>detailed</w:t>
      </w:r>
      <w:r w:rsidR="00404E5D" w:rsidRPr="00B6180D">
        <w:rPr>
          <w:szCs w:val="24"/>
        </w:rPr>
        <w:t xml:space="preserve"> </w:t>
      </w:r>
      <w:r w:rsidR="0028451A" w:rsidRPr="00B6180D">
        <w:rPr>
          <w:szCs w:val="24"/>
        </w:rPr>
        <w:t xml:space="preserve">in </w:t>
      </w:r>
      <w:r w:rsidRPr="00B6180D">
        <w:rPr>
          <w:szCs w:val="24"/>
          <w:u w:val="single"/>
        </w:rPr>
        <w:t>Attachment</w:t>
      </w:r>
      <w:r w:rsidR="00644946">
        <w:rPr>
          <w:szCs w:val="24"/>
          <w:u w:val="single"/>
        </w:rPr>
        <w:t xml:space="preserve"> A</w:t>
      </w:r>
      <w:r w:rsidR="00404E5D" w:rsidRPr="00B6180D">
        <w:rPr>
          <w:szCs w:val="24"/>
        </w:rPr>
        <w:t>.</w:t>
      </w:r>
    </w:p>
    <w:p w14:paraId="537092E6" w14:textId="77777777" w:rsidR="00DE6EFF" w:rsidRPr="00B6180D" w:rsidRDefault="00DE6EFF" w:rsidP="000E3C74">
      <w:pPr>
        <w:pStyle w:val="EMparagraph"/>
        <w:spacing w:after="0"/>
        <w:rPr>
          <w:szCs w:val="24"/>
        </w:rPr>
      </w:pPr>
    </w:p>
    <w:p w14:paraId="20C05ADF" w14:textId="36DB6AF2" w:rsidR="005864BF" w:rsidRPr="00B6180D" w:rsidRDefault="00E86678" w:rsidP="000E3C74">
      <w:pPr>
        <w:spacing w:before="0"/>
        <w:ind w:right="42"/>
        <w:rPr>
          <w:szCs w:val="24"/>
        </w:rPr>
      </w:pPr>
      <w:r w:rsidRPr="00B6180D">
        <w:rPr>
          <w:szCs w:val="24"/>
        </w:rPr>
        <w:t>The purpose of the</w:t>
      </w:r>
      <w:r w:rsidR="005864BF" w:rsidRPr="00B6180D">
        <w:rPr>
          <w:szCs w:val="24"/>
        </w:rPr>
        <w:t xml:space="preserve"> </w:t>
      </w:r>
      <w:r w:rsidR="00250737" w:rsidRPr="00B6180D">
        <w:rPr>
          <w:i/>
          <w:szCs w:val="24"/>
        </w:rPr>
        <w:t xml:space="preserve">Migration </w:t>
      </w:r>
      <w:r w:rsidR="005A0D02" w:rsidRPr="00B6180D">
        <w:rPr>
          <w:i/>
          <w:szCs w:val="24"/>
        </w:rPr>
        <w:t xml:space="preserve">Legislation </w:t>
      </w:r>
      <w:r w:rsidR="00250737" w:rsidRPr="00B6180D">
        <w:rPr>
          <w:i/>
          <w:szCs w:val="24"/>
        </w:rPr>
        <w:t xml:space="preserve">Amendment (2015 </w:t>
      </w:r>
      <w:r w:rsidR="0091559F" w:rsidRPr="00B6180D">
        <w:rPr>
          <w:i/>
          <w:szCs w:val="24"/>
        </w:rPr>
        <w:t>Measures No. 2</w:t>
      </w:r>
      <w:r w:rsidR="00250737" w:rsidRPr="00B6180D">
        <w:rPr>
          <w:i/>
          <w:szCs w:val="24"/>
        </w:rPr>
        <w:t>) Regulation 2015</w:t>
      </w:r>
      <w:r w:rsidR="0000241C" w:rsidRPr="00B6180D">
        <w:rPr>
          <w:i/>
          <w:szCs w:val="24"/>
        </w:rPr>
        <w:t xml:space="preserve"> </w:t>
      </w:r>
      <w:r w:rsidR="00C97690" w:rsidRPr="00B6180D">
        <w:rPr>
          <w:szCs w:val="24"/>
        </w:rPr>
        <w:t xml:space="preserve">(the </w:t>
      </w:r>
      <w:r w:rsidRPr="00B6180D">
        <w:rPr>
          <w:szCs w:val="24"/>
        </w:rPr>
        <w:t>Regulation</w:t>
      </w:r>
      <w:r w:rsidR="00C97690" w:rsidRPr="00B6180D">
        <w:rPr>
          <w:szCs w:val="24"/>
        </w:rPr>
        <w:t>)</w:t>
      </w:r>
      <w:r w:rsidR="005864BF" w:rsidRPr="00B6180D">
        <w:rPr>
          <w:szCs w:val="24"/>
        </w:rPr>
        <w:t xml:space="preserve"> is to amend the </w:t>
      </w:r>
      <w:r w:rsidR="005864BF" w:rsidRPr="00B6180D">
        <w:rPr>
          <w:i/>
          <w:szCs w:val="24"/>
        </w:rPr>
        <w:t>Migration Regulations 1994</w:t>
      </w:r>
      <w:r w:rsidR="005864BF" w:rsidRPr="00B6180D">
        <w:rPr>
          <w:szCs w:val="24"/>
        </w:rPr>
        <w:t xml:space="preserve"> (the Migration </w:t>
      </w:r>
      <w:r w:rsidR="00042E49" w:rsidRPr="00B6180D">
        <w:rPr>
          <w:szCs w:val="24"/>
        </w:rPr>
        <w:t xml:space="preserve">Regulations), </w:t>
      </w:r>
      <w:r w:rsidR="00D94DC8" w:rsidRPr="00B6180D">
        <w:rPr>
          <w:szCs w:val="24"/>
        </w:rPr>
        <w:t xml:space="preserve">the </w:t>
      </w:r>
      <w:r w:rsidR="00D94DC8" w:rsidRPr="004C2D7B">
        <w:rPr>
          <w:i/>
          <w:szCs w:val="24"/>
        </w:rPr>
        <w:t>Migration Agents Regulations 1998</w:t>
      </w:r>
      <w:r w:rsidR="00D24DB4">
        <w:rPr>
          <w:i/>
          <w:szCs w:val="24"/>
        </w:rPr>
        <w:t xml:space="preserve"> </w:t>
      </w:r>
      <w:r w:rsidR="00D24DB4">
        <w:rPr>
          <w:szCs w:val="24"/>
        </w:rPr>
        <w:t>(the Migration Agents Regulations)</w:t>
      </w:r>
      <w:r w:rsidR="00D94DC8" w:rsidRPr="00B6180D">
        <w:rPr>
          <w:i/>
          <w:szCs w:val="24"/>
        </w:rPr>
        <w:t xml:space="preserve">, </w:t>
      </w:r>
      <w:r w:rsidR="00042E49" w:rsidRPr="00B6180D">
        <w:rPr>
          <w:szCs w:val="24"/>
        </w:rPr>
        <w:t xml:space="preserve">the </w:t>
      </w:r>
      <w:r w:rsidR="00042E49" w:rsidRPr="00B6180D">
        <w:rPr>
          <w:i/>
          <w:szCs w:val="24"/>
        </w:rPr>
        <w:t>Australian Citizenship Regulations 2007</w:t>
      </w:r>
      <w:r w:rsidR="005C0A36" w:rsidRPr="00B6180D">
        <w:rPr>
          <w:szCs w:val="24"/>
        </w:rPr>
        <w:t xml:space="preserve"> (the Citizenship Regulations) and the </w:t>
      </w:r>
      <w:r w:rsidR="005C0A36" w:rsidRPr="00B6180D">
        <w:rPr>
          <w:i/>
          <w:szCs w:val="24"/>
        </w:rPr>
        <w:t>Custom</w:t>
      </w:r>
      <w:r w:rsidR="005F7631">
        <w:rPr>
          <w:i/>
          <w:szCs w:val="24"/>
        </w:rPr>
        <w:t>s</w:t>
      </w:r>
      <w:r w:rsidR="005C0A36" w:rsidRPr="00B6180D">
        <w:rPr>
          <w:i/>
          <w:szCs w:val="24"/>
        </w:rPr>
        <w:t xml:space="preserve"> Regulation 2015 </w:t>
      </w:r>
      <w:r w:rsidR="005C0A36" w:rsidRPr="00B6180D">
        <w:rPr>
          <w:szCs w:val="24"/>
        </w:rPr>
        <w:t>(</w:t>
      </w:r>
      <w:r w:rsidR="00743C8F">
        <w:rPr>
          <w:szCs w:val="24"/>
        </w:rPr>
        <w:t xml:space="preserve">the </w:t>
      </w:r>
      <w:r w:rsidR="005C0A36" w:rsidRPr="00B6180D">
        <w:rPr>
          <w:szCs w:val="24"/>
        </w:rPr>
        <w:t>Custom</w:t>
      </w:r>
      <w:r w:rsidR="005F7631">
        <w:rPr>
          <w:szCs w:val="24"/>
        </w:rPr>
        <w:t>s</w:t>
      </w:r>
      <w:r w:rsidR="005C0A36" w:rsidRPr="00B6180D">
        <w:rPr>
          <w:szCs w:val="24"/>
        </w:rPr>
        <w:t xml:space="preserve"> Regulation)</w:t>
      </w:r>
      <w:r w:rsidR="00042E49" w:rsidRPr="00B6180D">
        <w:rPr>
          <w:szCs w:val="24"/>
        </w:rPr>
        <w:t xml:space="preserve"> </w:t>
      </w:r>
      <w:r w:rsidR="005864BF" w:rsidRPr="00B6180D">
        <w:rPr>
          <w:szCs w:val="24"/>
        </w:rPr>
        <w:t xml:space="preserve">to </w:t>
      </w:r>
      <w:r w:rsidR="005C0A36" w:rsidRPr="00B6180D">
        <w:rPr>
          <w:szCs w:val="24"/>
        </w:rPr>
        <w:t xml:space="preserve">strengthen and </w:t>
      </w:r>
      <w:r w:rsidR="00644946">
        <w:rPr>
          <w:szCs w:val="24"/>
        </w:rPr>
        <w:t xml:space="preserve">update </w:t>
      </w:r>
      <w:r w:rsidR="005C0A36" w:rsidRPr="00B6180D">
        <w:rPr>
          <w:szCs w:val="24"/>
        </w:rPr>
        <w:t>immigration, citizenship and customs policy.</w:t>
      </w:r>
      <w:r w:rsidR="00327DDE">
        <w:rPr>
          <w:szCs w:val="24"/>
        </w:rPr>
        <w:t xml:space="preserve"> </w:t>
      </w:r>
    </w:p>
    <w:p w14:paraId="0E6AE446" w14:textId="77777777" w:rsidR="00E86678" w:rsidRPr="00B6180D" w:rsidRDefault="00E86678" w:rsidP="000E3C74">
      <w:pPr>
        <w:spacing w:before="0"/>
        <w:ind w:right="91"/>
        <w:rPr>
          <w:i/>
          <w:szCs w:val="24"/>
        </w:rPr>
      </w:pPr>
    </w:p>
    <w:p w14:paraId="35C3FAF1" w14:textId="77777777" w:rsidR="005864BF" w:rsidRPr="00B6180D" w:rsidRDefault="005864BF" w:rsidP="000E3C74">
      <w:pPr>
        <w:spacing w:before="0"/>
        <w:ind w:right="42"/>
        <w:rPr>
          <w:szCs w:val="24"/>
        </w:rPr>
      </w:pPr>
      <w:r w:rsidRPr="00B6180D">
        <w:rPr>
          <w:szCs w:val="24"/>
        </w:rPr>
        <w:t xml:space="preserve">In particular, the Regulation </w:t>
      </w:r>
      <w:r w:rsidR="005220B1" w:rsidRPr="00B6180D">
        <w:rPr>
          <w:szCs w:val="24"/>
        </w:rPr>
        <w:t>amend</w:t>
      </w:r>
      <w:r w:rsidR="006B0313" w:rsidRPr="00B6180D">
        <w:rPr>
          <w:szCs w:val="24"/>
        </w:rPr>
        <w:t>s</w:t>
      </w:r>
      <w:r w:rsidR="005220B1" w:rsidRPr="00B6180D">
        <w:rPr>
          <w:szCs w:val="24"/>
        </w:rPr>
        <w:t xml:space="preserve"> the Migration Regulations to</w:t>
      </w:r>
      <w:r w:rsidRPr="00B6180D">
        <w:rPr>
          <w:szCs w:val="24"/>
        </w:rPr>
        <w:t>:</w:t>
      </w:r>
    </w:p>
    <w:p w14:paraId="3A7EBB27" w14:textId="77777777" w:rsidR="005D1CD0" w:rsidRPr="00B6180D" w:rsidRDefault="005D1CD0" w:rsidP="000E3C74">
      <w:pPr>
        <w:spacing w:before="0"/>
        <w:ind w:right="751"/>
        <w:rPr>
          <w:szCs w:val="24"/>
        </w:rPr>
      </w:pPr>
    </w:p>
    <w:p w14:paraId="2ADEAB93" w14:textId="391263A0" w:rsidR="00D1602A" w:rsidRPr="00D1602A" w:rsidRDefault="00D1602A" w:rsidP="000E3C74">
      <w:pPr>
        <w:pStyle w:val="DINumberedParagraph"/>
        <w:numPr>
          <w:ilvl w:val="0"/>
          <w:numId w:val="5"/>
        </w:numPr>
        <w:shd w:val="clear" w:color="auto" w:fill="FFFFFF"/>
        <w:tabs>
          <w:tab w:val="clear" w:pos="567"/>
          <w:tab w:val="left" w:pos="720"/>
        </w:tabs>
        <w:rPr>
          <w:color w:val="000000" w:themeColor="text1"/>
        </w:rPr>
      </w:pPr>
      <w:r w:rsidRPr="00D1602A">
        <w:rPr>
          <w:color w:val="000000" w:themeColor="text1"/>
        </w:rPr>
        <w:t>reform the visa framework for victims of human trafficking, slavery and slavery-like practices who are assisting in the administration of criminal justice in Australia.  The amendments</w:t>
      </w:r>
      <w:r w:rsidR="009F0F8C">
        <w:rPr>
          <w:color w:val="000000" w:themeColor="text1"/>
        </w:rPr>
        <w:t xml:space="preserve"> </w:t>
      </w:r>
      <w:r w:rsidR="000C4517">
        <w:rPr>
          <w:color w:val="000000" w:themeColor="text1"/>
        </w:rPr>
        <w:t>m</w:t>
      </w:r>
      <w:r w:rsidRPr="00D1602A">
        <w:rPr>
          <w:color w:val="000000" w:themeColor="text1"/>
        </w:rPr>
        <w:t xml:space="preserve">ove this cohort out of the Criminal Justice Stay visa framework and onto a visa catering specifically for trafficked persons (Bridging </w:t>
      </w:r>
      <w:r w:rsidR="00F9416F">
        <w:rPr>
          <w:color w:val="000000" w:themeColor="text1"/>
        </w:rPr>
        <w:t>V</w:t>
      </w:r>
      <w:r w:rsidRPr="00D1602A">
        <w:rPr>
          <w:color w:val="000000" w:themeColor="text1"/>
        </w:rPr>
        <w:t>isa F)</w:t>
      </w:r>
      <w:r w:rsidR="00F46238">
        <w:rPr>
          <w:color w:val="000000" w:themeColor="text1"/>
        </w:rPr>
        <w:t xml:space="preserve">.  The amendments also </w:t>
      </w:r>
      <w:r w:rsidR="000C4517" w:rsidRPr="00D1602A">
        <w:rPr>
          <w:color w:val="000000" w:themeColor="text1"/>
        </w:rPr>
        <w:t>change the name of the Witness Protection (Trafficking)</w:t>
      </w:r>
      <w:r w:rsidR="000C4517">
        <w:rPr>
          <w:color w:val="000000" w:themeColor="text1"/>
        </w:rPr>
        <w:t xml:space="preserve"> visa to the Referred Stay visa to avoid stigmatization.</w:t>
      </w:r>
      <w:r w:rsidR="00687B41">
        <w:rPr>
          <w:color w:val="000000" w:themeColor="text1"/>
        </w:rPr>
        <w:t xml:space="preserve"> The reforms</w:t>
      </w:r>
      <w:r w:rsidRPr="00D1602A">
        <w:rPr>
          <w:color w:val="000000" w:themeColor="text1"/>
        </w:rPr>
        <w:t> </w:t>
      </w:r>
      <w:r w:rsidR="009F0F8C">
        <w:rPr>
          <w:color w:val="000000" w:themeColor="text1"/>
        </w:rPr>
        <w:t>f</w:t>
      </w:r>
      <w:r w:rsidRPr="00D1602A">
        <w:rPr>
          <w:color w:val="000000" w:themeColor="text1"/>
        </w:rPr>
        <w:t>acilitate better-targeted support and access to benefits;</w:t>
      </w:r>
    </w:p>
    <w:p w14:paraId="05F5F70B" w14:textId="247F1BCF" w:rsidR="000C4517" w:rsidRDefault="000C4517" w:rsidP="000C4517">
      <w:pPr>
        <w:pStyle w:val="ListParagraph"/>
        <w:numPr>
          <w:ilvl w:val="0"/>
          <w:numId w:val="5"/>
        </w:numPr>
        <w:spacing w:before="0"/>
      </w:pPr>
      <w:r>
        <w:t xml:space="preserve">support the introduction of Schedule 6 to the </w:t>
      </w:r>
      <w:r>
        <w:rPr>
          <w:i/>
          <w:iCs/>
        </w:rPr>
        <w:t xml:space="preserve">Counter-Terrorism Legislation Amendment (Foreign Fighters) Act 2014 </w:t>
      </w:r>
      <w:r>
        <w:t>by</w:t>
      </w:r>
      <w:r>
        <w:rPr>
          <w:i/>
          <w:iCs/>
        </w:rPr>
        <w:t xml:space="preserve"> </w:t>
      </w:r>
      <w:r>
        <w:t xml:space="preserve">prescribing the kinds of aircraft and ships to which Division 12B of the </w:t>
      </w:r>
      <w:r>
        <w:rPr>
          <w:i/>
          <w:iCs/>
        </w:rPr>
        <w:t xml:space="preserve">Migration Act 1958 </w:t>
      </w:r>
      <w:r>
        <w:t>applies and the timeframes in which reports und</w:t>
      </w:r>
      <w:r w:rsidR="007C5B40">
        <w:t>er Division 12B need to be made.</w:t>
      </w:r>
      <w:r>
        <w:t xml:space="preserve"> Division 12B </w:t>
      </w:r>
      <w:r w:rsidR="007C5B40">
        <w:t xml:space="preserve">is about </w:t>
      </w:r>
      <w:r>
        <w:t>report</w:t>
      </w:r>
      <w:r w:rsidR="007C5B40">
        <w:t>ing</w:t>
      </w:r>
      <w:r>
        <w:t xml:space="preserve"> on the passengers and crew of aircraft and ships which are arriving in or departing from Australia</w:t>
      </w:r>
      <w:r w:rsidR="0002276B">
        <w:t>;</w:t>
      </w:r>
    </w:p>
    <w:p w14:paraId="48130F14" w14:textId="77777777" w:rsidR="000C4517" w:rsidRDefault="000C4517" w:rsidP="000C4517">
      <w:pPr>
        <w:pStyle w:val="CommentText"/>
        <w:ind w:left="720"/>
      </w:pPr>
    </w:p>
    <w:p w14:paraId="6434C32F" w14:textId="77777777" w:rsidR="000C4517" w:rsidRPr="00B6180D" w:rsidRDefault="000C4517" w:rsidP="000C4517">
      <w:pPr>
        <w:pStyle w:val="ListParagraph"/>
        <w:spacing w:before="0"/>
        <w:ind w:right="42"/>
        <w:rPr>
          <w:szCs w:val="24"/>
        </w:rPr>
      </w:pPr>
    </w:p>
    <w:p w14:paraId="42C5C407" w14:textId="77777777" w:rsidR="005A0D02" w:rsidRPr="00B6180D" w:rsidRDefault="005A0D02" w:rsidP="000E3C74">
      <w:pPr>
        <w:pStyle w:val="ListParagraph"/>
        <w:spacing w:before="0"/>
        <w:ind w:right="42"/>
        <w:rPr>
          <w:szCs w:val="24"/>
        </w:rPr>
      </w:pPr>
    </w:p>
    <w:p w14:paraId="37FE1D3B" w14:textId="77777777" w:rsidR="005C0A36" w:rsidRPr="00B6180D" w:rsidRDefault="005C0A36" w:rsidP="000E3C74">
      <w:pPr>
        <w:pStyle w:val="ListParagraph"/>
        <w:numPr>
          <w:ilvl w:val="0"/>
          <w:numId w:val="5"/>
        </w:numPr>
        <w:spacing w:before="0"/>
        <w:ind w:right="42"/>
        <w:rPr>
          <w:szCs w:val="24"/>
        </w:rPr>
      </w:pPr>
      <w:r w:rsidRPr="00B6180D">
        <w:rPr>
          <w:szCs w:val="24"/>
        </w:rPr>
        <w:lastRenderedPageBreak/>
        <w:t xml:space="preserve">provide for a new legislative instrument making power to </w:t>
      </w:r>
      <w:r w:rsidR="002A2346" w:rsidRPr="00B6180D">
        <w:rPr>
          <w:szCs w:val="24"/>
        </w:rPr>
        <w:t>allow</w:t>
      </w:r>
      <w:r w:rsidRPr="00B6180D">
        <w:rPr>
          <w:szCs w:val="24"/>
        </w:rPr>
        <w:t xml:space="preserve"> the Minister to specify</w:t>
      </w:r>
      <w:r w:rsidR="00215B19" w:rsidRPr="00B6180D">
        <w:rPr>
          <w:szCs w:val="24"/>
        </w:rPr>
        <w:t>,</w:t>
      </w:r>
      <w:r w:rsidRPr="00B6180D">
        <w:rPr>
          <w:szCs w:val="24"/>
        </w:rPr>
        <w:t xml:space="preserve"> </w:t>
      </w:r>
      <w:r w:rsidR="00215B19" w:rsidRPr="00B6180D">
        <w:rPr>
          <w:szCs w:val="24"/>
        </w:rPr>
        <w:t xml:space="preserve">in an instrument, </w:t>
      </w:r>
      <w:r w:rsidR="002A2346" w:rsidRPr="00B6180D">
        <w:rPr>
          <w:szCs w:val="24"/>
        </w:rPr>
        <w:t>the</w:t>
      </w:r>
      <w:r w:rsidRPr="00B6180D">
        <w:rPr>
          <w:szCs w:val="24"/>
        </w:rPr>
        <w:t xml:space="preserve"> occupations eligible for the Direct Entry stream for the Subclass 187 (Regional Sponsored Migration Scheme) visa;</w:t>
      </w:r>
    </w:p>
    <w:p w14:paraId="2AB42E5C" w14:textId="77777777" w:rsidR="00280FDF" w:rsidRPr="00B6180D" w:rsidRDefault="00280FDF" w:rsidP="000E3C74">
      <w:pPr>
        <w:pStyle w:val="ListParagraph"/>
        <w:spacing w:before="0"/>
        <w:ind w:right="42"/>
        <w:rPr>
          <w:szCs w:val="24"/>
        </w:rPr>
      </w:pPr>
    </w:p>
    <w:p w14:paraId="5D6355AA" w14:textId="3B5A9DDB" w:rsidR="00042E49" w:rsidRPr="00B6180D" w:rsidRDefault="00042E49" w:rsidP="000E3C74">
      <w:pPr>
        <w:pStyle w:val="ListParagraph"/>
        <w:numPr>
          <w:ilvl w:val="0"/>
          <w:numId w:val="5"/>
        </w:numPr>
        <w:spacing w:before="0"/>
        <w:ind w:right="42"/>
        <w:rPr>
          <w:szCs w:val="24"/>
        </w:rPr>
      </w:pPr>
      <w:r w:rsidRPr="00B6180D">
        <w:rPr>
          <w:szCs w:val="24"/>
        </w:rPr>
        <w:t xml:space="preserve">increase the </w:t>
      </w:r>
      <w:r w:rsidR="00E93F79">
        <w:rPr>
          <w:szCs w:val="24"/>
        </w:rPr>
        <w:t xml:space="preserve">first instalment of the </w:t>
      </w:r>
      <w:r w:rsidRPr="00B6180D">
        <w:rPr>
          <w:szCs w:val="24"/>
        </w:rPr>
        <w:t>visa application charge (VAC) for some visa categories by Cons</w:t>
      </w:r>
      <w:r w:rsidR="007675AC" w:rsidRPr="00B6180D">
        <w:rPr>
          <w:szCs w:val="24"/>
        </w:rPr>
        <w:t>umer Price Index (2.3 per cent) while also increasing</w:t>
      </w:r>
      <w:r w:rsidRPr="00B6180D">
        <w:rPr>
          <w:szCs w:val="24"/>
        </w:rPr>
        <w:t xml:space="preserve"> </w:t>
      </w:r>
      <w:r w:rsidR="000A7AAD">
        <w:rPr>
          <w:szCs w:val="24"/>
        </w:rPr>
        <w:t xml:space="preserve">some </w:t>
      </w:r>
      <w:r w:rsidRPr="00E727FF">
        <w:rPr>
          <w:szCs w:val="24"/>
        </w:rPr>
        <w:t>economic related</w:t>
      </w:r>
      <w:r w:rsidRPr="000A7AAD">
        <w:rPr>
          <w:szCs w:val="24"/>
        </w:rPr>
        <w:t xml:space="preserve"> visas</w:t>
      </w:r>
      <w:r w:rsidR="007675AC" w:rsidRPr="00B6180D">
        <w:rPr>
          <w:szCs w:val="24"/>
        </w:rPr>
        <w:t xml:space="preserve"> by 5 per cent</w:t>
      </w:r>
      <w:r w:rsidRPr="00B6180D">
        <w:rPr>
          <w:szCs w:val="24"/>
        </w:rPr>
        <w:t>, family related visas</w:t>
      </w:r>
      <w:r w:rsidR="007675AC" w:rsidRPr="00B6180D">
        <w:rPr>
          <w:szCs w:val="24"/>
        </w:rPr>
        <w:t xml:space="preserve"> by 10 per cent</w:t>
      </w:r>
      <w:r w:rsidRPr="00B6180D">
        <w:rPr>
          <w:szCs w:val="24"/>
        </w:rPr>
        <w:t xml:space="preserve"> and significant investor visa</w:t>
      </w:r>
      <w:r w:rsidR="007675AC" w:rsidRPr="00B6180D">
        <w:rPr>
          <w:szCs w:val="24"/>
        </w:rPr>
        <w:t xml:space="preserve"> by 50 per cent</w:t>
      </w:r>
      <w:r w:rsidRPr="00B6180D">
        <w:rPr>
          <w:szCs w:val="24"/>
        </w:rPr>
        <w:t>. This measure also harmonise</w:t>
      </w:r>
      <w:r w:rsidR="00E069AC">
        <w:rPr>
          <w:szCs w:val="24"/>
        </w:rPr>
        <w:t>s</w:t>
      </w:r>
      <w:r w:rsidRPr="00B6180D">
        <w:rPr>
          <w:szCs w:val="24"/>
        </w:rPr>
        <w:t xml:space="preserve"> VACs for some visa categories by creating a uniform price point for onshore and offshore visa applic</w:t>
      </w:r>
      <w:r w:rsidR="00215B19" w:rsidRPr="00B6180D">
        <w:rPr>
          <w:szCs w:val="24"/>
        </w:rPr>
        <w:t>ations</w:t>
      </w:r>
      <w:r w:rsidR="007675AC" w:rsidRPr="00B6180D">
        <w:rPr>
          <w:szCs w:val="24"/>
        </w:rPr>
        <w:t xml:space="preserve"> and supports a 2015-16 </w:t>
      </w:r>
      <w:r w:rsidR="005A0D02" w:rsidRPr="00B6180D">
        <w:rPr>
          <w:szCs w:val="24"/>
        </w:rPr>
        <w:t>B</w:t>
      </w:r>
      <w:r w:rsidR="007675AC" w:rsidRPr="00B6180D">
        <w:rPr>
          <w:szCs w:val="24"/>
        </w:rPr>
        <w:t xml:space="preserve">udget </w:t>
      </w:r>
      <w:r w:rsidR="005A0D02" w:rsidRPr="00B6180D">
        <w:rPr>
          <w:szCs w:val="24"/>
        </w:rPr>
        <w:t>measure</w:t>
      </w:r>
      <w:r w:rsidR="00215B19" w:rsidRPr="00B6180D">
        <w:rPr>
          <w:szCs w:val="24"/>
        </w:rPr>
        <w:t>;</w:t>
      </w:r>
      <w:r w:rsidR="001074E5" w:rsidRPr="00B6180D">
        <w:rPr>
          <w:szCs w:val="24"/>
        </w:rPr>
        <w:t xml:space="preserve"> and</w:t>
      </w:r>
      <w:r w:rsidR="00215B19" w:rsidRPr="00B6180D">
        <w:rPr>
          <w:szCs w:val="24"/>
        </w:rPr>
        <w:br/>
      </w:r>
    </w:p>
    <w:p w14:paraId="46DA3738" w14:textId="77777777" w:rsidR="00042E49" w:rsidRPr="00B6180D" w:rsidRDefault="00215B19" w:rsidP="000E3C74">
      <w:pPr>
        <w:pStyle w:val="ListParagraph"/>
        <w:numPr>
          <w:ilvl w:val="0"/>
          <w:numId w:val="5"/>
        </w:numPr>
        <w:spacing w:before="0"/>
        <w:ind w:right="42"/>
        <w:rPr>
          <w:szCs w:val="24"/>
        </w:rPr>
      </w:pPr>
      <w:r w:rsidRPr="00B6180D">
        <w:rPr>
          <w:szCs w:val="24"/>
        </w:rPr>
        <w:t xml:space="preserve">make technical </w:t>
      </w:r>
      <w:r w:rsidR="007675AC" w:rsidRPr="00B6180D">
        <w:rPr>
          <w:szCs w:val="24"/>
        </w:rPr>
        <w:t xml:space="preserve">amendments to </w:t>
      </w:r>
      <w:r w:rsidR="002A06FA">
        <w:rPr>
          <w:szCs w:val="24"/>
        </w:rPr>
        <w:t>correct typographical errors and update references.</w:t>
      </w:r>
    </w:p>
    <w:p w14:paraId="3C853EBA" w14:textId="77777777" w:rsidR="007675AC" w:rsidRPr="00B6180D" w:rsidRDefault="007675AC" w:rsidP="000E3C74">
      <w:pPr>
        <w:pStyle w:val="ListParagraph"/>
        <w:spacing w:before="0"/>
        <w:ind w:right="42"/>
        <w:rPr>
          <w:szCs w:val="24"/>
        </w:rPr>
      </w:pPr>
    </w:p>
    <w:p w14:paraId="5EC4482D" w14:textId="005C33E2" w:rsidR="00D94DC8" w:rsidRPr="00B6180D" w:rsidRDefault="008055BE" w:rsidP="000E3C74">
      <w:pPr>
        <w:spacing w:before="0"/>
        <w:ind w:right="42"/>
        <w:rPr>
          <w:szCs w:val="24"/>
        </w:rPr>
      </w:pPr>
      <w:r>
        <w:rPr>
          <w:szCs w:val="24"/>
        </w:rPr>
        <w:t>The R</w:t>
      </w:r>
      <w:r w:rsidR="00D94DC8" w:rsidRPr="00B6180D">
        <w:rPr>
          <w:szCs w:val="24"/>
        </w:rPr>
        <w:t>egulation amend</w:t>
      </w:r>
      <w:r w:rsidR="006B0313" w:rsidRPr="00B6180D">
        <w:rPr>
          <w:szCs w:val="24"/>
        </w:rPr>
        <w:t>s</w:t>
      </w:r>
      <w:r w:rsidR="00D94DC8" w:rsidRPr="00B6180D">
        <w:rPr>
          <w:szCs w:val="24"/>
        </w:rPr>
        <w:t xml:space="preserve"> the Migration Regulations and the Migration Agents Regulations to:</w:t>
      </w:r>
    </w:p>
    <w:p w14:paraId="2B11C1B0" w14:textId="77777777" w:rsidR="00D94DC8" w:rsidRPr="00B6180D" w:rsidRDefault="00D94DC8" w:rsidP="000E3C74">
      <w:pPr>
        <w:spacing w:before="0"/>
        <w:ind w:right="662"/>
        <w:contextualSpacing/>
        <w:rPr>
          <w:szCs w:val="24"/>
        </w:rPr>
      </w:pPr>
    </w:p>
    <w:p w14:paraId="63404085" w14:textId="70706B3E" w:rsidR="00D94DC8" w:rsidRPr="00B6180D" w:rsidRDefault="00D94DC8" w:rsidP="000E3C74">
      <w:pPr>
        <w:pStyle w:val="ListParagraph"/>
        <w:numPr>
          <w:ilvl w:val="0"/>
          <w:numId w:val="9"/>
        </w:numPr>
        <w:spacing w:before="0"/>
        <w:ind w:right="662"/>
        <w:contextualSpacing/>
        <w:rPr>
          <w:szCs w:val="24"/>
        </w:rPr>
      </w:pPr>
      <w:r w:rsidRPr="00B6180D">
        <w:rPr>
          <w:szCs w:val="24"/>
        </w:rPr>
        <w:t xml:space="preserve">remove references to the Migration Review Tribunal (MRT) and Refugee Review Tribunal (RRT), and make other consequential changes, to reflect the fact that those tribunals cease to exist on 1 July 2015 and their jurisdiction </w:t>
      </w:r>
      <w:r w:rsidR="00327DDE">
        <w:rPr>
          <w:szCs w:val="24"/>
        </w:rPr>
        <w:t xml:space="preserve">is </w:t>
      </w:r>
      <w:r w:rsidRPr="00B6180D">
        <w:rPr>
          <w:szCs w:val="24"/>
        </w:rPr>
        <w:t>transferred to the Administrative Appeals Tribunal (AAT). In particular, the Regulation replace</w:t>
      </w:r>
      <w:r w:rsidR="00327DDE">
        <w:rPr>
          <w:szCs w:val="24"/>
        </w:rPr>
        <w:t xml:space="preserve">s </w:t>
      </w:r>
      <w:r w:rsidRPr="00B6180D">
        <w:rPr>
          <w:szCs w:val="24"/>
        </w:rPr>
        <w:t>references to the MRT and RRT with references to the AAT; make</w:t>
      </w:r>
      <w:r w:rsidR="00327DDE">
        <w:rPr>
          <w:szCs w:val="24"/>
        </w:rPr>
        <w:t>s</w:t>
      </w:r>
      <w:r w:rsidRPr="00B6180D">
        <w:rPr>
          <w:szCs w:val="24"/>
        </w:rPr>
        <w:t xml:space="preserve"> consequential changes to terminology to give effect to the changes to the Migration Act and </w:t>
      </w:r>
      <w:r w:rsidRPr="00B6180D">
        <w:rPr>
          <w:i/>
          <w:iCs/>
          <w:szCs w:val="24"/>
        </w:rPr>
        <w:t>Administrative Appeals Tribunal Act 1975</w:t>
      </w:r>
      <w:r w:rsidRPr="00B6180D">
        <w:rPr>
          <w:szCs w:val="24"/>
        </w:rPr>
        <w:t xml:space="preserve"> made by the </w:t>
      </w:r>
      <w:r w:rsidRPr="00B6180D">
        <w:rPr>
          <w:i/>
          <w:iCs/>
          <w:szCs w:val="24"/>
        </w:rPr>
        <w:t>Tribunals Amalgamation Act 2015</w:t>
      </w:r>
      <w:r w:rsidRPr="00B6180D">
        <w:rPr>
          <w:szCs w:val="24"/>
        </w:rPr>
        <w:t>; and omit</w:t>
      </w:r>
      <w:r w:rsidR="00327DDE">
        <w:rPr>
          <w:szCs w:val="24"/>
        </w:rPr>
        <w:t>s</w:t>
      </w:r>
      <w:r w:rsidRPr="00B6180D">
        <w:rPr>
          <w:szCs w:val="24"/>
        </w:rPr>
        <w:t xml:space="preserve"> redundant provisions.</w:t>
      </w:r>
    </w:p>
    <w:p w14:paraId="32F82860" w14:textId="77777777" w:rsidR="00D94DC8" w:rsidRPr="00B6180D" w:rsidRDefault="00D94DC8" w:rsidP="000E3C74">
      <w:pPr>
        <w:spacing w:before="0"/>
        <w:ind w:right="42"/>
        <w:rPr>
          <w:szCs w:val="24"/>
        </w:rPr>
      </w:pPr>
    </w:p>
    <w:p w14:paraId="10B65945" w14:textId="4A262861" w:rsidR="005C0A36" w:rsidRPr="00B6180D" w:rsidRDefault="00042E49" w:rsidP="000E3C74">
      <w:pPr>
        <w:spacing w:before="0"/>
        <w:ind w:right="42"/>
        <w:rPr>
          <w:szCs w:val="24"/>
        </w:rPr>
      </w:pPr>
      <w:r w:rsidRPr="00B6180D">
        <w:rPr>
          <w:szCs w:val="24"/>
        </w:rPr>
        <w:t xml:space="preserve">The </w:t>
      </w:r>
      <w:r w:rsidR="008055BE">
        <w:rPr>
          <w:szCs w:val="24"/>
        </w:rPr>
        <w:t>R</w:t>
      </w:r>
      <w:r w:rsidRPr="00B6180D">
        <w:rPr>
          <w:szCs w:val="24"/>
        </w:rPr>
        <w:t>egulation amend</w:t>
      </w:r>
      <w:r w:rsidR="008D1E30" w:rsidRPr="00B6180D">
        <w:rPr>
          <w:szCs w:val="24"/>
        </w:rPr>
        <w:t>s</w:t>
      </w:r>
      <w:r w:rsidRPr="00B6180D">
        <w:rPr>
          <w:szCs w:val="24"/>
        </w:rPr>
        <w:t xml:space="preserve"> the </w:t>
      </w:r>
      <w:r w:rsidR="005C0A36" w:rsidRPr="00B6180D">
        <w:rPr>
          <w:szCs w:val="24"/>
        </w:rPr>
        <w:t>Citizenship Regulations to:</w:t>
      </w:r>
    </w:p>
    <w:p w14:paraId="5F0E23E4" w14:textId="0D52C8CB" w:rsidR="00A21DF2" w:rsidRDefault="00A21DF2" w:rsidP="004C2D7B">
      <w:pPr>
        <w:pStyle w:val="Default"/>
        <w:numPr>
          <w:ilvl w:val="0"/>
          <w:numId w:val="8"/>
        </w:numPr>
        <w:spacing w:before="240" w:after="240"/>
        <w:ind w:right="751"/>
      </w:pPr>
      <w:r w:rsidRPr="000D2C60">
        <w:t>provide a nil fee for appli</w:t>
      </w:r>
      <w:r>
        <w:t xml:space="preserve">cations to replace evidence of </w:t>
      </w:r>
      <w:r w:rsidRPr="000D2C60">
        <w:t>Australian Citizenship where it was lost, destroyed or damaged in a natural disaster (</w:t>
      </w:r>
      <w:r>
        <w:t>providing</w:t>
      </w:r>
      <w:r w:rsidRPr="000D2C60">
        <w:t xml:space="preserve"> the natural disast</w:t>
      </w:r>
      <w:r>
        <w:t xml:space="preserve">er is listed on the Department of Immigration and Border Protection website </w:t>
      </w:r>
      <w:r w:rsidRPr="000D2C60">
        <w:t>and</w:t>
      </w:r>
      <w:r>
        <w:t xml:space="preserve"> the</w:t>
      </w:r>
      <w:r w:rsidRPr="000D2C60">
        <w:t xml:space="preserve"> application is made within 18 mont</w:t>
      </w:r>
      <w:r>
        <w:t>hs); and</w:t>
      </w:r>
    </w:p>
    <w:p w14:paraId="454112F3" w14:textId="77777777" w:rsidR="00A21DF2" w:rsidRDefault="00A21DF2" w:rsidP="000E3C74">
      <w:pPr>
        <w:pStyle w:val="Default"/>
        <w:numPr>
          <w:ilvl w:val="0"/>
          <w:numId w:val="8"/>
        </w:numPr>
        <w:spacing w:after="240"/>
        <w:ind w:right="751"/>
      </w:pPr>
      <w:r>
        <w:t>make routine changes to update the foreign countries, foreign currencies and exchange rates in which Citizenship application fees can be paid.</w:t>
      </w:r>
    </w:p>
    <w:p w14:paraId="7033ADB2" w14:textId="77777777" w:rsidR="00D1602A" w:rsidRDefault="00D1602A" w:rsidP="000E3C74">
      <w:pPr>
        <w:spacing w:before="0"/>
        <w:ind w:right="751"/>
        <w:rPr>
          <w:szCs w:val="24"/>
        </w:rPr>
      </w:pPr>
    </w:p>
    <w:p w14:paraId="099B66C7" w14:textId="42B0533A" w:rsidR="005C0A36" w:rsidRPr="00B6180D" w:rsidRDefault="005C0A36" w:rsidP="000E3C74">
      <w:pPr>
        <w:spacing w:before="0"/>
        <w:ind w:right="751"/>
        <w:rPr>
          <w:szCs w:val="24"/>
        </w:rPr>
      </w:pPr>
      <w:r w:rsidRPr="00B6180D">
        <w:rPr>
          <w:szCs w:val="24"/>
        </w:rPr>
        <w:t xml:space="preserve">The </w:t>
      </w:r>
      <w:r w:rsidR="008055BE">
        <w:rPr>
          <w:szCs w:val="24"/>
        </w:rPr>
        <w:t>R</w:t>
      </w:r>
      <w:r w:rsidRPr="00B6180D">
        <w:rPr>
          <w:szCs w:val="24"/>
        </w:rPr>
        <w:t>egulation amend</w:t>
      </w:r>
      <w:r w:rsidR="00327DDE">
        <w:rPr>
          <w:szCs w:val="24"/>
        </w:rPr>
        <w:t>s</w:t>
      </w:r>
      <w:r w:rsidRPr="00B6180D">
        <w:rPr>
          <w:szCs w:val="24"/>
        </w:rPr>
        <w:t xml:space="preserve"> the Custom</w:t>
      </w:r>
      <w:r w:rsidR="00E03B63">
        <w:rPr>
          <w:szCs w:val="24"/>
        </w:rPr>
        <w:t>s</w:t>
      </w:r>
      <w:r w:rsidRPr="00B6180D">
        <w:rPr>
          <w:szCs w:val="24"/>
        </w:rPr>
        <w:t xml:space="preserve"> Regulation to:</w:t>
      </w:r>
    </w:p>
    <w:p w14:paraId="29C29412" w14:textId="77777777" w:rsidR="005C0A36" w:rsidRPr="00B6180D" w:rsidRDefault="005C0A36" w:rsidP="000E3C74">
      <w:pPr>
        <w:spacing w:before="0"/>
        <w:ind w:right="751"/>
        <w:rPr>
          <w:szCs w:val="24"/>
        </w:rPr>
      </w:pPr>
    </w:p>
    <w:p w14:paraId="28B73DB9" w14:textId="77777777" w:rsidR="005C0A36" w:rsidRPr="00B6180D" w:rsidRDefault="005C0A36" w:rsidP="000E3C74">
      <w:pPr>
        <w:pStyle w:val="ListParagraph"/>
        <w:numPr>
          <w:ilvl w:val="0"/>
          <w:numId w:val="5"/>
        </w:numPr>
        <w:spacing w:before="0"/>
        <w:ind w:right="42"/>
        <w:rPr>
          <w:szCs w:val="24"/>
        </w:rPr>
      </w:pPr>
      <w:r w:rsidRPr="00B6180D">
        <w:rPr>
          <w:szCs w:val="24"/>
        </w:rPr>
        <w:t xml:space="preserve">add Sunshine Coast (Maroochydore) Airport and Townsville Airport to the definition of </w:t>
      </w:r>
      <w:r w:rsidR="00607354" w:rsidRPr="00B6180D">
        <w:rPr>
          <w:szCs w:val="24"/>
        </w:rPr>
        <w:t>‘</w:t>
      </w:r>
      <w:r w:rsidRPr="00B6180D">
        <w:rPr>
          <w:szCs w:val="24"/>
        </w:rPr>
        <w:t>international airport</w:t>
      </w:r>
      <w:r w:rsidR="00607354" w:rsidRPr="00B6180D">
        <w:rPr>
          <w:szCs w:val="24"/>
        </w:rPr>
        <w:t>’</w:t>
      </w:r>
      <w:r w:rsidRPr="00B6180D">
        <w:rPr>
          <w:szCs w:val="24"/>
        </w:rPr>
        <w:t xml:space="preserve"> in section 4 of the Customs Regulation.</w:t>
      </w:r>
    </w:p>
    <w:p w14:paraId="18C7AB1D" w14:textId="77777777" w:rsidR="008D1E30" w:rsidRPr="00B6180D" w:rsidRDefault="008D1E30" w:rsidP="000E3C74">
      <w:pPr>
        <w:spacing w:before="0"/>
        <w:ind w:right="42"/>
        <w:rPr>
          <w:szCs w:val="24"/>
        </w:rPr>
      </w:pPr>
    </w:p>
    <w:p w14:paraId="3EFC4742" w14:textId="77777777" w:rsidR="008D1E30" w:rsidRPr="00B6180D" w:rsidRDefault="008D1E30" w:rsidP="000E3C74">
      <w:pPr>
        <w:spacing w:before="0"/>
        <w:ind w:right="42"/>
        <w:rPr>
          <w:szCs w:val="24"/>
        </w:rPr>
      </w:pPr>
      <w:r w:rsidRPr="00B6180D">
        <w:rPr>
          <w:szCs w:val="24"/>
        </w:rPr>
        <w:t xml:space="preserve">A Statement of Compatibility with Human Rights (the Statement) has been completed, in accordance with </w:t>
      </w:r>
      <w:r w:rsidRPr="00B6180D">
        <w:rPr>
          <w:i/>
          <w:iCs/>
          <w:szCs w:val="24"/>
        </w:rPr>
        <w:t>Human Rights (Parliamentary Scrutiny) Act 2011</w:t>
      </w:r>
      <w:r w:rsidRPr="00B6180D">
        <w:rPr>
          <w:szCs w:val="24"/>
        </w:rPr>
        <w:t xml:space="preserve">, for each of the Schedules to the Regulation. The Statement’s overall assessment is that the Regulation is compatible with human rights. A copy of the Statement is at </w:t>
      </w:r>
      <w:r w:rsidRPr="00B6180D">
        <w:rPr>
          <w:szCs w:val="24"/>
          <w:u w:val="single"/>
        </w:rPr>
        <w:t>Attachment B</w:t>
      </w:r>
      <w:r w:rsidRPr="00B6180D">
        <w:rPr>
          <w:szCs w:val="24"/>
        </w:rPr>
        <w:t>.</w:t>
      </w:r>
    </w:p>
    <w:p w14:paraId="01827A03" w14:textId="2163C56A" w:rsidR="008D1E30" w:rsidRPr="00B6180D" w:rsidRDefault="008D1E30" w:rsidP="000E3C74">
      <w:pPr>
        <w:spacing w:before="0"/>
        <w:ind w:right="42"/>
        <w:rPr>
          <w:szCs w:val="24"/>
        </w:rPr>
      </w:pPr>
      <w:r w:rsidRPr="00B6180D">
        <w:rPr>
          <w:szCs w:val="24"/>
        </w:rPr>
        <w:t xml:space="preserve">The Office of Best Practice Regulation (the OBPR) has been consulted in relation to the amendments made by the Regulation. The OBPR considers that the changes </w:t>
      </w:r>
      <w:r w:rsidR="00B6180D">
        <w:rPr>
          <w:szCs w:val="24"/>
        </w:rPr>
        <w:t xml:space="preserve">in </w:t>
      </w:r>
      <w:r w:rsidR="00B6180D">
        <w:rPr>
          <w:szCs w:val="24"/>
        </w:rPr>
        <w:lastRenderedPageBreak/>
        <w:t>Schedules 1, 2, 3, 4, 5, 6</w:t>
      </w:r>
      <w:r w:rsidR="00327DDE">
        <w:rPr>
          <w:szCs w:val="24"/>
        </w:rPr>
        <w:t xml:space="preserve"> and </w:t>
      </w:r>
      <w:r w:rsidR="00B6180D">
        <w:rPr>
          <w:szCs w:val="24"/>
        </w:rPr>
        <w:t xml:space="preserve">8 </w:t>
      </w:r>
      <w:r w:rsidRPr="00B6180D">
        <w:rPr>
          <w:szCs w:val="24"/>
        </w:rPr>
        <w:t xml:space="preserve">have a minor impact on business or the not-for-profit sector and no further analysis (in </w:t>
      </w:r>
      <w:r w:rsidRPr="000F4B80">
        <w:rPr>
          <w:color w:val="000000" w:themeColor="text1"/>
          <w:szCs w:val="24"/>
        </w:rPr>
        <w:t>the form of a Regulation Impact Statement</w:t>
      </w:r>
      <w:r w:rsidR="00B6180D" w:rsidRPr="000F4B80">
        <w:rPr>
          <w:color w:val="000000" w:themeColor="text1"/>
          <w:szCs w:val="24"/>
        </w:rPr>
        <w:t xml:space="preserve"> (RIS)</w:t>
      </w:r>
      <w:r w:rsidRPr="000F4B80">
        <w:rPr>
          <w:color w:val="000000" w:themeColor="text1"/>
          <w:szCs w:val="24"/>
        </w:rPr>
        <w:t>) is required.</w:t>
      </w:r>
      <w:r w:rsidR="00B6180D" w:rsidRPr="000F4B80">
        <w:rPr>
          <w:color w:val="000000" w:themeColor="text1"/>
          <w:szCs w:val="24"/>
        </w:rPr>
        <w:t xml:space="preserve"> In relation to Schedule 7, </w:t>
      </w:r>
      <w:r w:rsidR="000F4B80" w:rsidRPr="000F4B80">
        <w:rPr>
          <w:color w:val="000000" w:themeColor="text1"/>
        </w:rPr>
        <w:t>the department is still consulting with OBPR about the amendments. If a RIS is required, it will be tabled as soon as practicable after it is finalised</w:t>
      </w:r>
      <w:r w:rsidR="00B6180D" w:rsidRPr="000F4B80">
        <w:rPr>
          <w:color w:val="000000" w:themeColor="text1"/>
          <w:szCs w:val="24"/>
        </w:rPr>
        <w:t>.</w:t>
      </w:r>
      <w:r w:rsidRPr="000F4B80">
        <w:rPr>
          <w:color w:val="000000" w:themeColor="text1"/>
          <w:szCs w:val="24"/>
        </w:rPr>
        <w:t xml:space="preserve"> </w:t>
      </w:r>
      <w:r w:rsidR="007513D7" w:rsidRPr="000F4B80">
        <w:rPr>
          <w:color w:val="000000" w:themeColor="text1"/>
          <w:szCs w:val="24"/>
        </w:rPr>
        <w:t xml:space="preserve">In </w:t>
      </w:r>
      <w:r w:rsidR="007513D7">
        <w:rPr>
          <w:szCs w:val="24"/>
        </w:rPr>
        <w:t xml:space="preserve">relation to Schedule 9, the amendments have no regulatory impact so consultation with OBPR was not required. </w:t>
      </w:r>
      <w:r w:rsidRPr="00B6180D">
        <w:rPr>
          <w:szCs w:val="24"/>
        </w:rPr>
        <w:t>The OBPR consultation references are as follows:</w:t>
      </w:r>
    </w:p>
    <w:p w14:paraId="058F8741" w14:textId="77777777" w:rsidR="008D1E30" w:rsidRPr="00B6180D" w:rsidRDefault="008D1E30" w:rsidP="000E3C74">
      <w:pPr>
        <w:pStyle w:val="Default"/>
        <w:rPr>
          <w:color w:val="auto"/>
        </w:rPr>
      </w:pPr>
    </w:p>
    <w:p w14:paraId="6E448B00" w14:textId="77777777" w:rsidR="008D1E30" w:rsidRPr="00B6180D" w:rsidRDefault="00C06F60" w:rsidP="000E3C74">
      <w:pPr>
        <w:pStyle w:val="Default"/>
        <w:numPr>
          <w:ilvl w:val="0"/>
          <w:numId w:val="5"/>
        </w:numPr>
      </w:pPr>
      <w:r>
        <w:t>18256</w:t>
      </w:r>
      <w:r w:rsidR="008D1E30" w:rsidRPr="00B6180D">
        <w:t xml:space="preserve"> (Schedule 1); </w:t>
      </w:r>
    </w:p>
    <w:p w14:paraId="569561CA" w14:textId="77777777" w:rsidR="008D1E30" w:rsidRPr="00B6180D" w:rsidRDefault="00601AFD" w:rsidP="000E3C74">
      <w:pPr>
        <w:pStyle w:val="Default"/>
        <w:numPr>
          <w:ilvl w:val="0"/>
          <w:numId w:val="5"/>
        </w:numPr>
      </w:pPr>
      <w:r>
        <w:t>17949</w:t>
      </w:r>
      <w:r w:rsidR="008D1E30" w:rsidRPr="00B6180D">
        <w:t xml:space="preserve"> (Schedule 2); </w:t>
      </w:r>
    </w:p>
    <w:p w14:paraId="3BD5546E" w14:textId="77777777" w:rsidR="008D1E30" w:rsidRPr="00B6180D" w:rsidRDefault="00D67101" w:rsidP="000E3C74">
      <w:pPr>
        <w:pStyle w:val="Default"/>
        <w:numPr>
          <w:ilvl w:val="0"/>
          <w:numId w:val="5"/>
        </w:numPr>
      </w:pPr>
      <w:r w:rsidRPr="00B6180D">
        <w:t xml:space="preserve">18318 </w:t>
      </w:r>
      <w:r w:rsidR="008D1E30" w:rsidRPr="00B6180D">
        <w:t xml:space="preserve">(Schedule 3); </w:t>
      </w:r>
    </w:p>
    <w:p w14:paraId="0214D5D5" w14:textId="77777777" w:rsidR="008D1E30" w:rsidRPr="00B6180D" w:rsidRDefault="007E4906" w:rsidP="000E3C74">
      <w:pPr>
        <w:pStyle w:val="Default"/>
        <w:numPr>
          <w:ilvl w:val="0"/>
          <w:numId w:val="5"/>
        </w:numPr>
      </w:pPr>
      <w:r w:rsidRPr="00B6180D">
        <w:t xml:space="preserve">18317 </w:t>
      </w:r>
      <w:r w:rsidR="008D1E30" w:rsidRPr="00B6180D">
        <w:t xml:space="preserve">(Schedule 4); </w:t>
      </w:r>
    </w:p>
    <w:p w14:paraId="745C05FF" w14:textId="77777777" w:rsidR="008D1E30" w:rsidRPr="00B6180D" w:rsidRDefault="00521D33" w:rsidP="000E3C74">
      <w:pPr>
        <w:pStyle w:val="Default"/>
        <w:numPr>
          <w:ilvl w:val="0"/>
          <w:numId w:val="5"/>
        </w:numPr>
      </w:pPr>
      <w:r w:rsidRPr="00B6180D">
        <w:t>17847</w:t>
      </w:r>
      <w:r w:rsidR="008D1E30" w:rsidRPr="00B6180D">
        <w:t xml:space="preserve"> (Schedule 5); </w:t>
      </w:r>
    </w:p>
    <w:p w14:paraId="095EFBA2" w14:textId="76AE3E6F" w:rsidR="008D1E30" w:rsidRPr="00B6180D" w:rsidRDefault="004F287A" w:rsidP="000E3C74">
      <w:pPr>
        <w:pStyle w:val="Default"/>
        <w:numPr>
          <w:ilvl w:val="0"/>
          <w:numId w:val="5"/>
        </w:numPr>
      </w:pPr>
      <w:r>
        <w:t>19920</w:t>
      </w:r>
      <w:r w:rsidRPr="00B6180D">
        <w:t xml:space="preserve"> </w:t>
      </w:r>
      <w:r w:rsidR="008D1E30" w:rsidRPr="00B6180D">
        <w:t xml:space="preserve">(Schedule 6); </w:t>
      </w:r>
      <w:r w:rsidR="000E3C74" w:rsidRPr="000E3C74">
        <w:t xml:space="preserve"> </w:t>
      </w:r>
      <w:r w:rsidR="000E3C74" w:rsidRPr="00B6180D">
        <w:t>and</w:t>
      </w:r>
    </w:p>
    <w:p w14:paraId="1BE820F0" w14:textId="77777777" w:rsidR="008D1E30" w:rsidRPr="00B6180D" w:rsidRDefault="00B6180D" w:rsidP="000E3C74">
      <w:pPr>
        <w:pStyle w:val="Default"/>
        <w:numPr>
          <w:ilvl w:val="0"/>
          <w:numId w:val="5"/>
        </w:numPr>
      </w:pPr>
      <w:r>
        <w:t>18054</w:t>
      </w:r>
      <w:r w:rsidR="008D1E30" w:rsidRPr="00B6180D">
        <w:t xml:space="preserve"> (Schedule 7</w:t>
      </w:r>
      <w:r w:rsidR="000E3C74">
        <w:t xml:space="preserve"> and 8</w:t>
      </w:r>
      <w:r w:rsidR="008D1E30" w:rsidRPr="00B6180D">
        <w:t xml:space="preserve">); </w:t>
      </w:r>
    </w:p>
    <w:p w14:paraId="33445BAC" w14:textId="11B35F49" w:rsidR="00C06F60" w:rsidRPr="00D030EF" w:rsidRDefault="008D1E30" w:rsidP="000E3C74">
      <w:pPr>
        <w:rPr>
          <w:i/>
          <w:szCs w:val="24"/>
        </w:rPr>
      </w:pPr>
      <w:r w:rsidRPr="00B6180D">
        <w:rPr>
          <w:szCs w:val="24"/>
        </w:rPr>
        <w:t xml:space="preserve">In relation to the amendments made by Schedule 1, </w:t>
      </w:r>
      <w:r w:rsidR="00C06F60">
        <w:rPr>
          <w:szCs w:val="24"/>
        </w:rPr>
        <w:t xml:space="preserve">consultation was undertaken with the Attorney-General’s Department, the Australian Federal Police, the Department of Social Services and the Department of Human Services. </w:t>
      </w:r>
      <w:r w:rsidR="00C06F60" w:rsidRPr="0014326A">
        <w:rPr>
          <w:szCs w:val="24"/>
        </w:rPr>
        <w:t xml:space="preserve">No further consultation was necessary as this instrument </w:t>
      </w:r>
      <w:r w:rsidR="00C06F60">
        <w:rPr>
          <w:szCs w:val="24"/>
        </w:rPr>
        <w:t>does not substantially alter existing arrangements.</w:t>
      </w:r>
      <w:r w:rsidR="00C06F60" w:rsidRPr="00C06F60">
        <w:t xml:space="preserve"> </w:t>
      </w:r>
      <w:r w:rsidR="00C06F60">
        <w:t>Th</w:t>
      </w:r>
      <w:r w:rsidR="00C06F60" w:rsidRPr="00D40FE0">
        <w:t>is accords with a circumstance where consultation may not be necessary under section 18</w:t>
      </w:r>
      <w:r w:rsidR="009B689A">
        <w:t> </w:t>
      </w:r>
      <w:r w:rsidR="00C06F60" w:rsidRPr="00D40FE0">
        <w:t xml:space="preserve">of the </w:t>
      </w:r>
      <w:r w:rsidR="00C06F60" w:rsidRPr="00D40FE0">
        <w:rPr>
          <w:i/>
        </w:rPr>
        <w:t>Legislative Instrument Act 2003</w:t>
      </w:r>
      <w:r w:rsidR="00C06F60" w:rsidRPr="00D40FE0">
        <w:t xml:space="preserve"> (Instruments Act).</w:t>
      </w:r>
    </w:p>
    <w:p w14:paraId="607DB012" w14:textId="77777777" w:rsidR="005C0A36" w:rsidRPr="00B6180D" w:rsidRDefault="005C0A36" w:rsidP="000E3C74">
      <w:pPr>
        <w:spacing w:before="0"/>
        <w:ind w:right="751"/>
        <w:rPr>
          <w:szCs w:val="24"/>
        </w:rPr>
      </w:pPr>
    </w:p>
    <w:p w14:paraId="50D89388" w14:textId="4186D015" w:rsidR="008D1E30" w:rsidRPr="00B6180D" w:rsidRDefault="008D1E30" w:rsidP="000E3C74">
      <w:pPr>
        <w:spacing w:before="0"/>
        <w:ind w:right="751"/>
        <w:rPr>
          <w:szCs w:val="24"/>
        </w:rPr>
      </w:pPr>
      <w:r w:rsidRPr="00B6180D">
        <w:rPr>
          <w:szCs w:val="24"/>
        </w:rPr>
        <w:t xml:space="preserve">In relation to the amendments made </w:t>
      </w:r>
      <w:r w:rsidRPr="00601AFD">
        <w:rPr>
          <w:color w:val="000000" w:themeColor="text1"/>
          <w:szCs w:val="24"/>
        </w:rPr>
        <w:t xml:space="preserve">by Schedule 2, </w:t>
      </w:r>
      <w:r w:rsidR="00D030EF" w:rsidRPr="00C45381">
        <w:rPr>
          <w:color w:val="000000" w:themeColor="text1"/>
          <w:szCs w:val="24"/>
        </w:rPr>
        <w:t>t</w:t>
      </w:r>
      <w:r w:rsidR="00D030EF" w:rsidRPr="00C45381">
        <w:rPr>
          <w:color w:val="000000" w:themeColor="text1"/>
        </w:rPr>
        <w:t>he department has consulted with the aviation industry; the Board of Airline Representatives Australia; Australian airport corporations via the National Traveller Facilitation Committee; cruise shipping industry members via the National Sea Passenger Facilitation Committee, and the Department of Infrastructure and Regional Development.</w:t>
      </w:r>
    </w:p>
    <w:p w14:paraId="4EDE9923" w14:textId="77777777" w:rsidR="009B689A" w:rsidRDefault="008D1E30" w:rsidP="002A6BE0">
      <w:r w:rsidRPr="00B6180D">
        <w:rPr>
          <w:szCs w:val="24"/>
        </w:rPr>
        <w:t>In relation to the amendments made by Schedule</w:t>
      </w:r>
      <w:r w:rsidR="008E390F" w:rsidRPr="00B6180D">
        <w:rPr>
          <w:szCs w:val="24"/>
        </w:rPr>
        <w:t>s</w:t>
      </w:r>
      <w:r w:rsidRPr="00B6180D">
        <w:rPr>
          <w:szCs w:val="24"/>
        </w:rPr>
        <w:t xml:space="preserve"> 3</w:t>
      </w:r>
      <w:r w:rsidR="00C34660">
        <w:rPr>
          <w:szCs w:val="24"/>
        </w:rPr>
        <w:t>, 4 and 5</w:t>
      </w:r>
      <w:r w:rsidRPr="00B6180D">
        <w:rPr>
          <w:szCs w:val="24"/>
        </w:rPr>
        <w:t xml:space="preserve">, </w:t>
      </w:r>
      <w:r w:rsidR="00D67101" w:rsidRPr="00B6180D">
        <w:rPr>
          <w:szCs w:val="24"/>
        </w:rPr>
        <w:t xml:space="preserve">no further consultation was necessary as </w:t>
      </w:r>
      <w:r w:rsidR="008E390F" w:rsidRPr="00B6180D">
        <w:rPr>
          <w:szCs w:val="24"/>
        </w:rPr>
        <w:t xml:space="preserve">the amendments </w:t>
      </w:r>
      <w:r w:rsidR="00DD7786">
        <w:rPr>
          <w:szCs w:val="24"/>
        </w:rPr>
        <w:t>ar</w:t>
      </w:r>
      <w:r w:rsidR="00D030EF">
        <w:rPr>
          <w:szCs w:val="24"/>
        </w:rPr>
        <w:t xml:space="preserve">e </w:t>
      </w:r>
      <w:r w:rsidR="00D67101" w:rsidRPr="00B6180D">
        <w:rPr>
          <w:szCs w:val="24"/>
        </w:rPr>
        <w:t xml:space="preserve">minor </w:t>
      </w:r>
      <w:r w:rsidR="008E390F" w:rsidRPr="00B6180D">
        <w:rPr>
          <w:szCs w:val="24"/>
        </w:rPr>
        <w:t>or</w:t>
      </w:r>
      <w:r w:rsidR="00D67101" w:rsidRPr="00B6180D">
        <w:rPr>
          <w:szCs w:val="24"/>
        </w:rPr>
        <w:t xml:space="preserve"> </w:t>
      </w:r>
      <w:r w:rsidR="00D67101" w:rsidRPr="00D40FE0">
        <w:rPr>
          <w:szCs w:val="24"/>
        </w:rPr>
        <w:t xml:space="preserve">machinery nature and </w:t>
      </w:r>
      <w:r w:rsidR="008E390F" w:rsidRPr="00D40FE0">
        <w:rPr>
          <w:szCs w:val="24"/>
        </w:rPr>
        <w:t>do</w:t>
      </w:r>
      <w:r w:rsidR="00D67101" w:rsidRPr="00D40FE0">
        <w:rPr>
          <w:szCs w:val="24"/>
        </w:rPr>
        <w:t xml:space="preserve"> not substantially alter existing arrangements.</w:t>
      </w:r>
      <w:r w:rsidR="00D40FE0" w:rsidRPr="00D40FE0">
        <w:t xml:space="preserve"> This</w:t>
      </w:r>
      <w:r w:rsidR="00C74ACB">
        <w:t xml:space="preserve"> </w:t>
      </w:r>
      <w:r w:rsidR="00D40FE0" w:rsidRPr="00D40FE0">
        <w:t>accords with a circumstance where consultation may not be ne</w:t>
      </w:r>
      <w:r w:rsidR="00C06F60">
        <w:t>cessary under section 18 of the Instruments Act</w:t>
      </w:r>
      <w:r w:rsidR="00D40FE0" w:rsidRPr="00D40FE0">
        <w:t>.</w:t>
      </w:r>
    </w:p>
    <w:p w14:paraId="70B10899" w14:textId="0AC674D9" w:rsidR="002A6BE0" w:rsidRDefault="008D1E30" w:rsidP="002A6BE0">
      <w:pPr>
        <w:rPr>
          <w:i/>
          <w:iCs/>
          <w:color w:val="1F497D"/>
        </w:rPr>
      </w:pPr>
      <w:r w:rsidRPr="00B6180D">
        <w:rPr>
          <w:szCs w:val="24"/>
        </w:rPr>
        <w:t>In relation to the amendments made by Schedule 6</w:t>
      </w:r>
      <w:r w:rsidRPr="002A6BE0">
        <w:rPr>
          <w:color w:val="000000" w:themeColor="text1"/>
          <w:szCs w:val="24"/>
        </w:rPr>
        <w:t xml:space="preserve">, </w:t>
      </w:r>
      <w:r w:rsidR="002A6BE0" w:rsidRPr="002A6BE0">
        <w:rPr>
          <w:iCs/>
          <w:color w:val="000000" w:themeColor="text1"/>
        </w:rPr>
        <w:t>the relevant merits review tribunals and the Attorney-General’s Department were consulted in relation to the amendments made by the Regulation.</w:t>
      </w:r>
    </w:p>
    <w:p w14:paraId="3F7DF8C4" w14:textId="77777777" w:rsidR="008D1E30" w:rsidRPr="00B6180D" w:rsidRDefault="008D1E30" w:rsidP="000E3C74">
      <w:pPr>
        <w:spacing w:before="0"/>
        <w:ind w:right="751"/>
        <w:rPr>
          <w:szCs w:val="24"/>
        </w:rPr>
      </w:pPr>
    </w:p>
    <w:p w14:paraId="5EBD5756" w14:textId="77777777" w:rsidR="008D1E30" w:rsidRPr="00B6180D" w:rsidRDefault="008D1E30" w:rsidP="000E3C74">
      <w:pPr>
        <w:spacing w:before="0"/>
        <w:ind w:right="751"/>
        <w:rPr>
          <w:szCs w:val="24"/>
        </w:rPr>
      </w:pPr>
      <w:r w:rsidRPr="00B6180D">
        <w:rPr>
          <w:szCs w:val="24"/>
        </w:rPr>
        <w:t xml:space="preserve">In relation to the amendments made by Schedule </w:t>
      </w:r>
      <w:r w:rsidR="007513D7">
        <w:rPr>
          <w:szCs w:val="24"/>
        </w:rPr>
        <w:t>7 to 9</w:t>
      </w:r>
      <w:r w:rsidRPr="00D40FE0">
        <w:rPr>
          <w:szCs w:val="24"/>
        </w:rPr>
        <w:t xml:space="preserve">, </w:t>
      </w:r>
      <w:r w:rsidR="00D40FE0" w:rsidRPr="00D40FE0">
        <w:rPr>
          <w:szCs w:val="24"/>
        </w:rPr>
        <w:t>n</w:t>
      </w:r>
      <w:r w:rsidR="00D40FE0" w:rsidRPr="00D40FE0">
        <w:t xml:space="preserve">o further consultation was undertaken for this Regulation because the amendments are minor in nature and do not substantially alter existing arrangements. This accords with a circumstance where consultation may not be necessary under section 18 of the </w:t>
      </w:r>
      <w:r w:rsidR="00C06F60">
        <w:t>Instruments Act</w:t>
      </w:r>
      <w:r w:rsidR="00D40FE0" w:rsidRPr="00D40FE0">
        <w:t>.</w:t>
      </w:r>
      <w:r w:rsidR="007513D7">
        <w:t xml:space="preserve"> Further, the amendments made by Schedule 7 are in accordance with the Government’s decision as part of the 2015-16 Budget. </w:t>
      </w:r>
    </w:p>
    <w:p w14:paraId="20CC59CF" w14:textId="77777777" w:rsidR="008D1E30" w:rsidRPr="00B6180D" w:rsidRDefault="008D1E30" w:rsidP="000E3C74">
      <w:pPr>
        <w:spacing w:before="0"/>
        <w:ind w:right="751"/>
        <w:rPr>
          <w:szCs w:val="24"/>
        </w:rPr>
      </w:pPr>
    </w:p>
    <w:p w14:paraId="5A9E0C53" w14:textId="77777777" w:rsidR="00553A23" w:rsidRPr="00B6180D" w:rsidRDefault="003166B4" w:rsidP="000E3C74">
      <w:pPr>
        <w:tabs>
          <w:tab w:val="left" w:pos="6521"/>
        </w:tabs>
        <w:spacing w:before="0"/>
        <w:ind w:right="42"/>
        <w:rPr>
          <w:szCs w:val="24"/>
        </w:rPr>
      </w:pPr>
      <w:r w:rsidRPr="00B6180D">
        <w:rPr>
          <w:szCs w:val="24"/>
        </w:rPr>
        <w:t xml:space="preserve">The </w:t>
      </w:r>
      <w:r w:rsidR="00E86678" w:rsidRPr="00B6180D">
        <w:rPr>
          <w:szCs w:val="24"/>
        </w:rPr>
        <w:t xml:space="preserve">Migration </w:t>
      </w:r>
      <w:r w:rsidRPr="00B6180D">
        <w:rPr>
          <w:szCs w:val="24"/>
        </w:rPr>
        <w:t>Act</w:t>
      </w:r>
      <w:r w:rsidR="00D663EB" w:rsidRPr="00B6180D">
        <w:rPr>
          <w:szCs w:val="24"/>
        </w:rPr>
        <w:t xml:space="preserve">, </w:t>
      </w:r>
      <w:r w:rsidR="00553A23" w:rsidRPr="00B6180D">
        <w:rPr>
          <w:szCs w:val="24"/>
        </w:rPr>
        <w:t xml:space="preserve">Citizenship Act </w:t>
      </w:r>
      <w:r w:rsidR="00D663EB" w:rsidRPr="00B6180D">
        <w:rPr>
          <w:szCs w:val="24"/>
        </w:rPr>
        <w:t>and</w:t>
      </w:r>
      <w:r w:rsidR="006F7909" w:rsidRPr="00B6180D">
        <w:rPr>
          <w:szCs w:val="24"/>
        </w:rPr>
        <w:t xml:space="preserve"> Customs Act specify</w:t>
      </w:r>
      <w:r w:rsidR="00553A23" w:rsidRPr="00B6180D">
        <w:rPr>
          <w:szCs w:val="24"/>
        </w:rPr>
        <w:t xml:space="preserve"> no conditions that need to be satisfied before the power to make the Regulation may be exercised. </w:t>
      </w:r>
    </w:p>
    <w:p w14:paraId="7C4BB9D8" w14:textId="77777777" w:rsidR="00225AA7" w:rsidRPr="00B6180D" w:rsidRDefault="00225AA7" w:rsidP="000E3C74">
      <w:pPr>
        <w:spacing w:before="0"/>
        <w:ind w:right="42"/>
        <w:rPr>
          <w:szCs w:val="24"/>
        </w:rPr>
      </w:pPr>
    </w:p>
    <w:p w14:paraId="002590AE" w14:textId="702AC601" w:rsidR="00225AA7" w:rsidRDefault="00225AA7" w:rsidP="000E3C74">
      <w:pPr>
        <w:spacing w:before="0"/>
        <w:ind w:right="42"/>
        <w:rPr>
          <w:szCs w:val="24"/>
        </w:rPr>
      </w:pPr>
      <w:r w:rsidRPr="00B6180D">
        <w:rPr>
          <w:szCs w:val="24"/>
        </w:rPr>
        <w:t xml:space="preserve">Details of the Regulation are set out in </w:t>
      </w:r>
      <w:r w:rsidRPr="00B6180D">
        <w:rPr>
          <w:szCs w:val="24"/>
          <w:u w:val="single"/>
        </w:rPr>
        <w:t xml:space="preserve">Attachment </w:t>
      </w:r>
      <w:r w:rsidR="00D030EF">
        <w:rPr>
          <w:szCs w:val="24"/>
          <w:u w:val="single"/>
        </w:rPr>
        <w:t>C</w:t>
      </w:r>
      <w:r w:rsidRPr="00B6180D">
        <w:rPr>
          <w:szCs w:val="24"/>
        </w:rPr>
        <w:t>.</w:t>
      </w:r>
    </w:p>
    <w:p w14:paraId="3C2C0468" w14:textId="77777777" w:rsidR="00870BAB" w:rsidRPr="00B6180D" w:rsidRDefault="00870BAB" w:rsidP="000E3C74">
      <w:pPr>
        <w:spacing w:before="0"/>
        <w:ind w:right="42"/>
        <w:rPr>
          <w:szCs w:val="24"/>
        </w:rPr>
      </w:pPr>
    </w:p>
    <w:p w14:paraId="7FB1CF2A" w14:textId="77777777" w:rsidR="003166B4" w:rsidRPr="00B6180D" w:rsidRDefault="003166B4" w:rsidP="000E3C74">
      <w:pPr>
        <w:tabs>
          <w:tab w:val="left" w:pos="6521"/>
        </w:tabs>
        <w:spacing w:before="0"/>
        <w:ind w:right="42"/>
        <w:rPr>
          <w:szCs w:val="24"/>
        </w:rPr>
      </w:pPr>
      <w:r w:rsidRPr="00B6180D">
        <w:rPr>
          <w:szCs w:val="24"/>
        </w:rPr>
        <w:t xml:space="preserve">The Regulation </w:t>
      </w:r>
      <w:r w:rsidR="008D1E30" w:rsidRPr="00B6180D">
        <w:rPr>
          <w:szCs w:val="24"/>
        </w:rPr>
        <w:t>is a</w:t>
      </w:r>
      <w:r w:rsidRPr="00B6180D">
        <w:rPr>
          <w:szCs w:val="24"/>
        </w:rPr>
        <w:t xml:space="preserve"> legislative instrument for the purposes of the </w:t>
      </w:r>
      <w:r w:rsidR="004333D0" w:rsidRPr="00B6180D">
        <w:rPr>
          <w:i/>
          <w:szCs w:val="24"/>
        </w:rPr>
        <w:t>Legislative Instruments Act </w:t>
      </w:r>
      <w:r w:rsidRPr="00B6180D">
        <w:rPr>
          <w:i/>
          <w:szCs w:val="24"/>
        </w:rPr>
        <w:t>2003</w:t>
      </w:r>
      <w:r w:rsidRPr="00B6180D">
        <w:rPr>
          <w:szCs w:val="24"/>
        </w:rPr>
        <w:t>.</w:t>
      </w:r>
    </w:p>
    <w:p w14:paraId="63656E20" w14:textId="77777777" w:rsidR="00C81468" w:rsidRPr="00B6180D" w:rsidRDefault="00C81468" w:rsidP="000E3C74">
      <w:pPr>
        <w:keepNext/>
        <w:keepLines/>
        <w:tabs>
          <w:tab w:val="left" w:pos="6521"/>
        </w:tabs>
        <w:spacing w:before="0"/>
        <w:ind w:right="91"/>
        <w:rPr>
          <w:szCs w:val="24"/>
          <w:highlight w:val="yellow"/>
        </w:rPr>
      </w:pPr>
    </w:p>
    <w:p w14:paraId="453EA2CF" w14:textId="77777777" w:rsidR="000512B4" w:rsidRPr="00B6180D" w:rsidRDefault="00250737" w:rsidP="000E3C74">
      <w:pPr>
        <w:keepNext/>
        <w:keepLines/>
        <w:spacing w:before="0"/>
        <w:ind w:right="40"/>
        <w:rPr>
          <w:szCs w:val="24"/>
        </w:rPr>
      </w:pPr>
      <w:r w:rsidRPr="00B6180D">
        <w:rPr>
          <w:szCs w:val="24"/>
        </w:rPr>
        <w:t>Th</w:t>
      </w:r>
      <w:r w:rsidR="00547D17" w:rsidRPr="00B6180D">
        <w:rPr>
          <w:szCs w:val="24"/>
        </w:rPr>
        <w:t>e Regulation</w:t>
      </w:r>
      <w:r w:rsidRPr="00B6180D">
        <w:rPr>
          <w:szCs w:val="24"/>
        </w:rPr>
        <w:t xml:space="preserve"> </w:t>
      </w:r>
      <w:r w:rsidR="0091559F" w:rsidRPr="00B6180D">
        <w:rPr>
          <w:szCs w:val="24"/>
        </w:rPr>
        <w:t>commence</w:t>
      </w:r>
      <w:r w:rsidR="008D1E30" w:rsidRPr="00B6180D">
        <w:rPr>
          <w:szCs w:val="24"/>
        </w:rPr>
        <w:t>s</w:t>
      </w:r>
      <w:r w:rsidR="0091559F" w:rsidRPr="00B6180D">
        <w:rPr>
          <w:szCs w:val="24"/>
        </w:rPr>
        <w:t xml:space="preserve"> on 1</w:t>
      </w:r>
      <w:r w:rsidRPr="00B6180D">
        <w:rPr>
          <w:szCs w:val="24"/>
        </w:rPr>
        <w:t> </w:t>
      </w:r>
      <w:r w:rsidR="0091559F" w:rsidRPr="00B6180D">
        <w:rPr>
          <w:szCs w:val="24"/>
        </w:rPr>
        <w:t xml:space="preserve">July </w:t>
      </w:r>
      <w:r w:rsidRPr="00B6180D">
        <w:rPr>
          <w:szCs w:val="24"/>
        </w:rPr>
        <w:t>2015</w:t>
      </w:r>
      <w:r w:rsidR="00BC3A0F" w:rsidRPr="00B6180D">
        <w:rPr>
          <w:szCs w:val="24"/>
        </w:rPr>
        <w:t>.</w:t>
      </w:r>
    </w:p>
    <w:p w14:paraId="0EF8A93B" w14:textId="77777777" w:rsidR="00250737" w:rsidRPr="00B6180D" w:rsidRDefault="00250737" w:rsidP="000E3C74">
      <w:pPr>
        <w:keepNext/>
        <w:keepLines/>
        <w:spacing w:before="0"/>
        <w:ind w:right="40"/>
        <w:rPr>
          <w:szCs w:val="24"/>
        </w:rPr>
      </w:pPr>
    </w:p>
    <w:p w14:paraId="74810197" w14:textId="37144B52" w:rsidR="009B689A" w:rsidRDefault="009B689A">
      <w:pPr>
        <w:spacing w:before="0"/>
        <w:rPr>
          <w:szCs w:val="24"/>
        </w:rPr>
      </w:pPr>
      <w:r>
        <w:rPr>
          <w:szCs w:val="24"/>
        </w:rPr>
        <w:br w:type="page"/>
      </w:r>
    </w:p>
    <w:p w14:paraId="67257A09" w14:textId="77777777" w:rsidR="004445B8" w:rsidRPr="00B6180D" w:rsidRDefault="007A1709" w:rsidP="000E3C74">
      <w:pPr>
        <w:spacing w:before="0"/>
        <w:ind w:right="42"/>
        <w:jc w:val="right"/>
        <w:rPr>
          <w:szCs w:val="24"/>
          <w:u w:val="single"/>
        </w:rPr>
      </w:pPr>
      <w:r w:rsidRPr="00B6180D">
        <w:rPr>
          <w:b/>
          <w:szCs w:val="24"/>
          <w:u w:val="single"/>
        </w:rPr>
        <w:lastRenderedPageBreak/>
        <w:t>ATTACHMENT</w:t>
      </w:r>
      <w:r w:rsidR="008D1E30" w:rsidRPr="00B6180D">
        <w:rPr>
          <w:b/>
          <w:szCs w:val="24"/>
          <w:u w:val="single"/>
        </w:rPr>
        <w:t xml:space="preserve"> A</w:t>
      </w:r>
    </w:p>
    <w:p w14:paraId="23C79931" w14:textId="77777777" w:rsidR="004445B8" w:rsidRPr="00B6180D" w:rsidRDefault="004445B8" w:rsidP="000E3C74">
      <w:pPr>
        <w:tabs>
          <w:tab w:val="left" w:pos="435"/>
        </w:tabs>
        <w:spacing w:before="0"/>
        <w:ind w:right="42"/>
        <w:rPr>
          <w:szCs w:val="24"/>
        </w:rPr>
      </w:pPr>
    </w:p>
    <w:p w14:paraId="3B4CB22F" w14:textId="77777777" w:rsidR="007A1709" w:rsidRPr="00B6180D" w:rsidRDefault="007A1709" w:rsidP="000E3C74">
      <w:pPr>
        <w:tabs>
          <w:tab w:val="left" w:pos="435"/>
        </w:tabs>
        <w:spacing w:before="0"/>
        <w:ind w:right="42"/>
        <w:rPr>
          <w:szCs w:val="24"/>
        </w:rPr>
      </w:pPr>
    </w:p>
    <w:p w14:paraId="085C968F" w14:textId="77777777" w:rsidR="004C38A2" w:rsidRPr="00B6180D" w:rsidRDefault="004C38A2" w:rsidP="000E3C74">
      <w:pPr>
        <w:tabs>
          <w:tab w:val="left" w:pos="435"/>
        </w:tabs>
        <w:spacing w:before="0"/>
        <w:ind w:right="42"/>
        <w:jc w:val="center"/>
        <w:rPr>
          <w:b/>
          <w:szCs w:val="24"/>
        </w:rPr>
      </w:pPr>
      <w:r w:rsidRPr="00B6180D">
        <w:rPr>
          <w:b/>
          <w:szCs w:val="24"/>
        </w:rPr>
        <w:t>AUTHORISING PROVISIONS</w:t>
      </w:r>
    </w:p>
    <w:p w14:paraId="6308AB7D" w14:textId="77777777" w:rsidR="004C38A2" w:rsidRPr="00B6180D" w:rsidRDefault="004C38A2" w:rsidP="000E3C74">
      <w:pPr>
        <w:tabs>
          <w:tab w:val="left" w:pos="435"/>
        </w:tabs>
        <w:spacing w:before="0"/>
        <w:ind w:right="42"/>
        <w:rPr>
          <w:szCs w:val="24"/>
        </w:rPr>
      </w:pPr>
    </w:p>
    <w:p w14:paraId="5EA7B572" w14:textId="77777777" w:rsidR="008832FB" w:rsidRPr="00B6180D" w:rsidRDefault="007A1709" w:rsidP="000E3C74">
      <w:pPr>
        <w:pStyle w:val="EMparagraph"/>
        <w:spacing w:after="0"/>
        <w:ind w:right="42"/>
        <w:rPr>
          <w:szCs w:val="24"/>
        </w:rPr>
      </w:pPr>
      <w:r w:rsidRPr="00B6180D">
        <w:rPr>
          <w:szCs w:val="24"/>
        </w:rPr>
        <w:t>Subsection </w:t>
      </w:r>
      <w:r w:rsidR="008832FB" w:rsidRPr="00B6180D">
        <w:rPr>
          <w:szCs w:val="24"/>
        </w:rPr>
        <w:t xml:space="preserve">504(1) of the </w:t>
      </w:r>
      <w:r w:rsidRPr="00B6180D">
        <w:rPr>
          <w:i/>
          <w:szCs w:val="24"/>
        </w:rPr>
        <w:t>Migration Act </w:t>
      </w:r>
      <w:r w:rsidR="008832FB" w:rsidRPr="00B6180D">
        <w:rPr>
          <w:i/>
          <w:szCs w:val="24"/>
        </w:rPr>
        <w:t>1958</w:t>
      </w:r>
      <w:r w:rsidR="008832FB" w:rsidRPr="00B6180D">
        <w:rPr>
          <w:szCs w:val="24"/>
        </w:rPr>
        <w:t xml:space="preserve"> (the</w:t>
      </w:r>
      <w:r w:rsidR="00340473" w:rsidRPr="00B6180D">
        <w:rPr>
          <w:szCs w:val="24"/>
        </w:rPr>
        <w:t xml:space="preserve"> Migration</w:t>
      </w:r>
      <w:r w:rsidR="008832FB" w:rsidRPr="00B6180D">
        <w:rPr>
          <w:szCs w:val="24"/>
        </w:rPr>
        <w:t xml:space="preserve"> Act) </w:t>
      </w:r>
      <w:r w:rsidR="0071466C" w:rsidRPr="00B6180D">
        <w:rPr>
          <w:szCs w:val="24"/>
        </w:rPr>
        <w:t xml:space="preserve">relevantly </w:t>
      </w:r>
      <w:r w:rsidR="008832FB" w:rsidRPr="00B6180D">
        <w:rPr>
          <w:szCs w:val="24"/>
        </w:rPr>
        <w:t>provides that the Governor</w:t>
      </w:r>
      <w:r w:rsidR="0071466C" w:rsidRPr="00B6180D">
        <w:rPr>
          <w:szCs w:val="24"/>
        </w:rPr>
        <w:noBreakHyphen/>
      </w:r>
      <w:r w:rsidR="008832FB" w:rsidRPr="00B6180D">
        <w:rPr>
          <w:szCs w:val="24"/>
        </w:rPr>
        <w:t xml:space="preserve">General may make regulations, not inconsistent with the </w:t>
      </w:r>
      <w:r w:rsidR="00340473" w:rsidRPr="00B6180D">
        <w:rPr>
          <w:szCs w:val="24"/>
        </w:rPr>
        <w:t xml:space="preserve">Migration </w:t>
      </w:r>
      <w:r w:rsidR="008832FB" w:rsidRPr="00B6180D">
        <w:rPr>
          <w:szCs w:val="24"/>
        </w:rPr>
        <w:t xml:space="preserve">Act, prescribing all matters which by the </w:t>
      </w:r>
      <w:r w:rsidR="00340473" w:rsidRPr="00B6180D">
        <w:rPr>
          <w:szCs w:val="24"/>
        </w:rPr>
        <w:t xml:space="preserve">Migration </w:t>
      </w:r>
      <w:r w:rsidR="008832FB" w:rsidRPr="00B6180D">
        <w:rPr>
          <w:szCs w:val="24"/>
        </w:rPr>
        <w:t xml:space="preserve">Act are required or permitted to be prescribed or which are necessary or convenient to be prescribed for carrying out or giving effect to the </w:t>
      </w:r>
      <w:r w:rsidR="00340473" w:rsidRPr="00B6180D">
        <w:rPr>
          <w:szCs w:val="24"/>
        </w:rPr>
        <w:t xml:space="preserve">Migration </w:t>
      </w:r>
      <w:r w:rsidR="008832FB" w:rsidRPr="00B6180D">
        <w:rPr>
          <w:szCs w:val="24"/>
        </w:rPr>
        <w:t>Act.</w:t>
      </w:r>
    </w:p>
    <w:p w14:paraId="62E8CADA" w14:textId="77777777" w:rsidR="00A5460D" w:rsidRPr="00B6180D" w:rsidRDefault="00A5460D" w:rsidP="000E3C74">
      <w:pPr>
        <w:tabs>
          <w:tab w:val="left" w:pos="345"/>
        </w:tabs>
        <w:spacing w:before="0"/>
        <w:ind w:right="42"/>
        <w:rPr>
          <w:szCs w:val="24"/>
        </w:rPr>
      </w:pPr>
    </w:p>
    <w:p w14:paraId="17BAF161" w14:textId="77777777" w:rsidR="008832FB" w:rsidRPr="00B6180D" w:rsidRDefault="008832FB" w:rsidP="000E3C74">
      <w:pPr>
        <w:tabs>
          <w:tab w:val="left" w:pos="345"/>
        </w:tabs>
        <w:spacing w:before="0"/>
        <w:ind w:right="42"/>
        <w:rPr>
          <w:szCs w:val="24"/>
        </w:rPr>
      </w:pPr>
      <w:r w:rsidRPr="00B6180D">
        <w:rPr>
          <w:szCs w:val="24"/>
        </w:rPr>
        <w:t xml:space="preserve">In addition, the following provisions </w:t>
      </w:r>
      <w:r w:rsidR="00F4782D" w:rsidRPr="00B6180D">
        <w:rPr>
          <w:szCs w:val="24"/>
        </w:rPr>
        <w:t xml:space="preserve">of the Migration Act </w:t>
      </w:r>
      <w:r w:rsidRPr="00B6180D">
        <w:rPr>
          <w:szCs w:val="24"/>
        </w:rPr>
        <w:t>may apply:</w:t>
      </w:r>
    </w:p>
    <w:p w14:paraId="79CAC417" w14:textId="77777777" w:rsidR="00D2195C" w:rsidRPr="00B6180D" w:rsidRDefault="00D2195C" w:rsidP="000E3C74">
      <w:pPr>
        <w:tabs>
          <w:tab w:val="left" w:pos="345"/>
        </w:tabs>
        <w:spacing w:before="0"/>
        <w:ind w:right="42"/>
        <w:rPr>
          <w:szCs w:val="24"/>
        </w:rPr>
      </w:pPr>
    </w:p>
    <w:p w14:paraId="72D1ACD9" w14:textId="29D574BB" w:rsidR="00D94DC8" w:rsidRPr="0019466D" w:rsidRDefault="00F9416F" w:rsidP="000E3C74">
      <w:pPr>
        <w:pStyle w:val="EMparagraph"/>
        <w:numPr>
          <w:ilvl w:val="0"/>
          <w:numId w:val="2"/>
        </w:numPr>
        <w:ind w:right="662"/>
        <w:rPr>
          <w:szCs w:val="24"/>
        </w:rPr>
      </w:pPr>
      <w:r>
        <w:rPr>
          <w:szCs w:val="24"/>
        </w:rPr>
        <w:t>s</w:t>
      </w:r>
      <w:r w:rsidR="00D94DC8" w:rsidRPr="00B6180D">
        <w:rPr>
          <w:szCs w:val="24"/>
        </w:rPr>
        <w:t xml:space="preserve">ubsection 5(1) of the </w:t>
      </w:r>
      <w:r w:rsidR="0019466D">
        <w:rPr>
          <w:szCs w:val="24"/>
        </w:rPr>
        <w:t xml:space="preserve">Migration </w:t>
      </w:r>
      <w:r w:rsidR="00D94DC8" w:rsidRPr="0019466D">
        <w:rPr>
          <w:szCs w:val="24"/>
        </w:rPr>
        <w:t>Act, which provides that th</w:t>
      </w:r>
      <w:r w:rsidR="00D663EB" w:rsidRPr="0019466D">
        <w:rPr>
          <w:szCs w:val="24"/>
        </w:rPr>
        <w:t>e term “tribunal” means the AAT;</w:t>
      </w:r>
    </w:p>
    <w:p w14:paraId="70E102D4" w14:textId="77777777" w:rsidR="00D94DC8" w:rsidRPr="00B6180D" w:rsidRDefault="00D94DC8" w:rsidP="000E3C74">
      <w:pPr>
        <w:numPr>
          <w:ilvl w:val="0"/>
          <w:numId w:val="2"/>
        </w:numPr>
        <w:tabs>
          <w:tab w:val="left" w:pos="345"/>
        </w:tabs>
        <w:spacing w:before="0"/>
        <w:ind w:right="42"/>
        <w:rPr>
          <w:szCs w:val="24"/>
        </w:rPr>
      </w:pPr>
      <w:r w:rsidRPr="00B6180D">
        <w:rPr>
          <w:szCs w:val="24"/>
        </w:rPr>
        <w:t xml:space="preserve">subsection 31(3) of the Migration Act, which provides that the </w:t>
      </w:r>
      <w:r w:rsidRPr="00B6180D">
        <w:rPr>
          <w:i/>
          <w:szCs w:val="24"/>
        </w:rPr>
        <w:t>Migration Regulations 1994</w:t>
      </w:r>
      <w:r w:rsidRPr="00B6180D">
        <w:rPr>
          <w:szCs w:val="24"/>
        </w:rPr>
        <w:t xml:space="preserve"> </w:t>
      </w:r>
      <w:r w:rsidR="00607354" w:rsidRPr="00B6180D">
        <w:rPr>
          <w:szCs w:val="24"/>
        </w:rPr>
        <w:t xml:space="preserve">(the Migration Regulations) </w:t>
      </w:r>
      <w:r w:rsidRPr="00B6180D">
        <w:rPr>
          <w:szCs w:val="24"/>
        </w:rPr>
        <w:t>may prescribe criteria for a visa or visas of a specified class;</w:t>
      </w:r>
    </w:p>
    <w:p w14:paraId="033684EB" w14:textId="77777777" w:rsidR="00D94DC8" w:rsidRPr="00B6180D" w:rsidRDefault="00D94DC8" w:rsidP="000E3C74">
      <w:pPr>
        <w:tabs>
          <w:tab w:val="left" w:pos="345"/>
        </w:tabs>
        <w:spacing w:before="0"/>
        <w:ind w:left="720" w:right="42"/>
        <w:rPr>
          <w:szCs w:val="24"/>
        </w:rPr>
      </w:pPr>
    </w:p>
    <w:p w14:paraId="5D95CF43" w14:textId="77777777" w:rsidR="00D94DC8" w:rsidRPr="00B6180D" w:rsidRDefault="00D94DC8" w:rsidP="000E3C74">
      <w:pPr>
        <w:numPr>
          <w:ilvl w:val="0"/>
          <w:numId w:val="2"/>
        </w:numPr>
        <w:tabs>
          <w:tab w:val="left" w:pos="345"/>
        </w:tabs>
        <w:spacing w:before="0"/>
        <w:ind w:right="662"/>
        <w:rPr>
          <w:szCs w:val="24"/>
        </w:rPr>
      </w:pPr>
      <w:r w:rsidRPr="00B6180D">
        <w:rPr>
          <w:szCs w:val="24"/>
        </w:rPr>
        <w:t>Subsection 40(1) of the Migration Act provides that the Migration Regulations may provide that visas or visas of a specified class may only be granted in specified circumstances;</w:t>
      </w:r>
    </w:p>
    <w:p w14:paraId="573D1768" w14:textId="77777777" w:rsidR="00D94DC8" w:rsidRPr="00B6180D" w:rsidRDefault="00D94DC8" w:rsidP="000E3C74">
      <w:pPr>
        <w:tabs>
          <w:tab w:val="left" w:pos="345"/>
        </w:tabs>
        <w:spacing w:before="0"/>
        <w:ind w:right="662"/>
        <w:rPr>
          <w:szCs w:val="24"/>
        </w:rPr>
      </w:pPr>
    </w:p>
    <w:p w14:paraId="5DB7C7FF" w14:textId="77777777" w:rsidR="00D94DC8" w:rsidRPr="00B6180D" w:rsidRDefault="00D94DC8" w:rsidP="000E3C74">
      <w:pPr>
        <w:numPr>
          <w:ilvl w:val="0"/>
          <w:numId w:val="2"/>
        </w:numPr>
        <w:tabs>
          <w:tab w:val="left" w:pos="345"/>
        </w:tabs>
        <w:spacing w:before="0"/>
        <w:ind w:right="662"/>
        <w:rPr>
          <w:szCs w:val="24"/>
        </w:rPr>
      </w:pPr>
      <w:r w:rsidRPr="00B6180D">
        <w:rPr>
          <w:szCs w:val="24"/>
        </w:rPr>
        <w:t>Subsection 41(1) of the Migration Act provides that the Migration Regulations may provide that visas, or visas of a specified class, are subject to specified conditions;</w:t>
      </w:r>
    </w:p>
    <w:p w14:paraId="6E806BF5" w14:textId="77777777" w:rsidR="001074E5" w:rsidRPr="00B6180D" w:rsidRDefault="001074E5" w:rsidP="000E3C74">
      <w:pPr>
        <w:tabs>
          <w:tab w:val="left" w:pos="345"/>
        </w:tabs>
        <w:spacing w:before="0"/>
        <w:ind w:right="662"/>
        <w:rPr>
          <w:szCs w:val="24"/>
        </w:rPr>
      </w:pPr>
    </w:p>
    <w:p w14:paraId="4FBA8C8A" w14:textId="77777777" w:rsidR="001074E5" w:rsidRPr="00B6180D" w:rsidRDefault="001074E5" w:rsidP="000E3C74">
      <w:pPr>
        <w:numPr>
          <w:ilvl w:val="0"/>
          <w:numId w:val="2"/>
        </w:numPr>
        <w:spacing w:before="0"/>
        <w:ind w:right="662"/>
        <w:jc w:val="both"/>
        <w:rPr>
          <w:szCs w:val="24"/>
        </w:rPr>
      </w:pPr>
      <w:r w:rsidRPr="00B6180D">
        <w:rPr>
          <w:szCs w:val="24"/>
        </w:rPr>
        <w:t xml:space="preserve">section 45A of the </w:t>
      </w:r>
      <w:r w:rsidR="008B595E" w:rsidRPr="00B6180D">
        <w:rPr>
          <w:szCs w:val="24"/>
        </w:rPr>
        <w:t xml:space="preserve">Migration </w:t>
      </w:r>
      <w:r w:rsidRPr="00B6180D">
        <w:rPr>
          <w:szCs w:val="24"/>
        </w:rPr>
        <w:t>Act, which provides that a non-citizen who makes an application for a visa is liable to pay a visa application charge if, assuming the charge were paid, the application would be a valid visa application;</w:t>
      </w:r>
    </w:p>
    <w:p w14:paraId="42AE71C2" w14:textId="77777777" w:rsidR="001074E5" w:rsidRPr="00B6180D" w:rsidRDefault="001074E5" w:rsidP="000E3C74">
      <w:pPr>
        <w:spacing w:before="0"/>
        <w:ind w:right="662"/>
        <w:jc w:val="both"/>
        <w:rPr>
          <w:szCs w:val="24"/>
        </w:rPr>
      </w:pPr>
    </w:p>
    <w:p w14:paraId="394F0155" w14:textId="77777777" w:rsidR="001074E5" w:rsidRPr="00B6180D" w:rsidRDefault="001074E5" w:rsidP="000E3C74">
      <w:pPr>
        <w:numPr>
          <w:ilvl w:val="0"/>
          <w:numId w:val="2"/>
        </w:numPr>
        <w:spacing w:before="0"/>
        <w:ind w:right="662"/>
        <w:jc w:val="both"/>
        <w:rPr>
          <w:szCs w:val="24"/>
        </w:rPr>
      </w:pPr>
      <w:r w:rsidRPr="00B6180D">
        <w:rPr>
          <w:szCs w:val="24"/>
        </w:rPr>
        <w:t xml:space="preserve">subsection 45B(1) of the </w:t>
      </w:r>
      <w:r w:rsidR="008B595E" w:rsidRPr="00B6180D">
        <w:rPr>
          <w:szCs w:val="24"/>
        </w:rPr>
        <w:t xml:space="preserve">Migration </w:t>
      </w:r>
      <w:r w:rsidRPr="00B6180D">
        <w:rPr>
          <w:szCs w:val="24"/>
        </w:rPr>
        <w:t xml:space="preserve">Act, which provides that the amount of the visa application charge is the amount, not exceeding the visa application charge limit, prescribed in relation to the application.  The visa application charge limit is determined under the </w:t>
      </w:r>
      <w:r w:rsidRPr="00B6180D">
        <w:rPr>
          <w:i/>
          <w:iCs/>
          <w:szCs w:val="24"/>
        </w:rPr>
        <w:t>Migration (Visa Application) Charge Act 1997</w:t>
      </w:r>
      <w:r w:rsidR="008B595E" w:rsidRPr="00B6180D">
        <w:rPr>
          <w:iCs/>
          <w:szCs w:val="24"/>
        </w:rPr>
        <w:t xml:space="preserve"> (</w:t>
      </w:r>
      <w:r w:rsidRPr="00B6180D">
        <w:rPr>
          <w:iCs/>
          <w:szCs w:val="24"/>
        </w:rPr>
        <w:t>the VAC Act)</w:t>
      </w:r>
      <w:r w:rsidRPr="00B6180D">
        <w:rPr>
          <w:szCs w:val="24"/>
        </w:rPr>
        <w:t>; and</w:t>
      </w:r>
    </w:p>
    <w:p w14:paraId="26F2FC43" w14:textId="77777777" w:rsidR="001074E5" w:rsidRPr="00B6180D" w:rsidRDefault="001074E5" w:rsidP="000E3C74">
      <w:pPr>
        <w:spacing w:before="0"/>
        <w:ind w:right="662"/>
        <w:jc w:val="both"/>
        <w:rPr>
          <w:szCs w:val="24"/>
        </w:rPr>
      </w:pPr>
    </w:p>
    <w:p w14:paraId="52C45CC6" w14:textId="77777777" w:rsidR="001074E5" w:rsidRPr="00B6180D" w:rsidRDefault="001074E5" w:rsidP="000E3C74">
      <w:pPr>
        <w:numPr>
          <w:ilvl w:val="0"/>
          <w:numId w:val="2"/>
        </w:numPr>
        <w:spacing w:before="0"/>
        <w:ind w:right="662"/>
        <w:jc w:val="both"/>
        <w:rPr>
          <w:szCs w:val="24"/>
        </w:rPr>
      </w:pPr>
      <w:r w:rsidRPr="00B6180D">
        <w:rPr>
          <w:szCs w:val="24"/>
        </w:rPr>
        <w:t xml:space="preserve">section 45C of the </w:t>
      </w:r>
      <w:r w:rsidR="008B595E" w:rsidRPr="00B6180D">
        <w:rPr>
          <w:szCs w:val="24"/>
        </w:rPr>
        <w:t xml:space="preserve">Migration </w:t>
      </w:r>
      <w:r w:rsidRPr="00B6180D">
        <w:rPr>
          <w:szCs w:val="24"/>
        </w:rPr>
        <w:t>Act, which deals with regulations about the visa application charge.  In particular:</w:t>
      </w:r>
    </w:p>
    <w:p w14:paraId="5227E7E1" w14:textId="77777777" w:rsidR="001074E5" w:rsidRPr="00B6180D" w:rsidRDefault="001074E5" w:rsidP="000E3C74">
      <w:pPr>
        <w:spacing w:before="0"/>
        <w:ind w:right="662"/>
        <w:jc w:val="both"/>
        <w:rPr>
          <w:szCs w:val="24"/>
        </w:rPr>
      </w:pPr>
    </w:p>
    <w:p w14:paraId="5FF7754F" w14:textId="77777777" w:rsidR="001074E5" w:rsidRPr="00B6180D" w:rsidRDefault="001074E5" w:rsidP="000E3C74">
      <w:pPr>
        <w:numPr>
          <w:ilvl w:val="1"/>
          <w:numId w:val="2"/>
        </w:numPr>
        <w:spacing w:before="0"/>
        <w:ind w:right="662"/>
        <w:jc w:val="both"/>
        <w:rPr>
          <w:szCs w:val="24"/>
        </w:rPr>
      </w:pPr>
      <w:r w:rsidRPr="00B6180D">
        <w:rPr>
          <w:szCs w:val="24"/>
        </w:rPr>
        <w:t xml:space="preserve">subsection 45C(1) of the </w:t>
      </w:r>
      <w:r w:rsidR="008B595E" w:rsidRPr="00B6180D">
        <w:rPr>
          <w:szCs w:val="24"/>
        </w:rPr>
        <w:t xml:space="preserve">Migration </w:t>
      </w:r>
      <w:r w:rsidRPr="00B6180D">
        <w:rPr>
          <w:szCs w:val="24"/>
        </w:rPr>
        <w:t xml:space="preserve">Act, which provides that the </w:t>
      </w:r>
      <w:r w:rsidR="008B595E" w:rsidRPr="00B6180D">
        <w:rPr>
          <w:szCs w:val="24"/>
        </w:rPr>
        <w:t xml:space="preserve">Migrations </w:t>
      </w:r>
      <w:r w:rsidRPr="00B6180D">
        <w:rPr>
          <w:szCs w:val="24"/>
        </w:rPr>
        <w:t>Regulations may provide that the visa application charge may be payable in instalments, and specify how those instalments are to be calculated and when instalments are payable; and</w:t>
      </w:r>
    </w:p>
    <w:p w14:paraId="335C37FC" w14:textId="77777777" w:rsidR="001074E5" w:rsidRPr="00B6180D" w:rsidRDefault="001074E5" w:rsidP="000E3C74">
      <w:pPr>
        <w:spacing w:before="0"/>
        <w:ind w:right="662"/>
        <w:jc w:val="both"/>
        <w:rPr>
          <w:szCs w:val="24"/>
        </w:rPr>
      </w:pPr>
    </w:p>
    <w:p w14:paraId="73DC81AE" w14:textId="3AFCE3FE" w:rsidR="001074E5" w:rsidRPr="00B6180D" w:rsidRDefault="001074E5" w:rsidP="000E3C74">
      <w:pPr>
        <w:numPr>
          <w:ilvl w:val="1"/>
          <w:numId w:val="2"/>
        </w:numPr>
        <w:spacing w:before="0"/>
        <w:ind w:right="662"/>
        <w:jc w:val="both"/>
        <w:rPr>
          <w:szCs w:val="24"/>
        </w:rPr>
      </w:pPr>
      <w:r w:rsidRPr="00B6180D">
        <w:rPr>
          <w:szCs w:val="24"/>
        </w:rPr>
        <w:t xml:space="preserve">paragraph 45C(2)(a) of the </w:t>
      </w:r>
      <w:r w:rsidR="008B595E" w:rsidRPr="00B6180D">
        <w:rPr>
          <w:szCs w:val="24"/>
        </w:rPr>
        <w:t xml:space="preserve">Migration </w:t>
      </w:r>
      <w:r w:rsidRPr="00B6180D">
        <w:rPr>
          <w:szCs w:val="24"/>
        </w:rPr>
        <w:t xml:space="preserve">Act, which relevantly provides that the </w:t>
      </w:r>
      <w:r w:rsidR="00547D17" w:rsidRPr="00B6180D">
        <w:rPr>
          <w:szCs w:val="24"/>
        </w:rPr>
        <w:t xml:space="preserve">Migration </w:t>
      </w:r>
      <w:r w:rsidRPr="00B6180D">
        <w:rPr>
          <w:szCs w:val="24"/>
        </w:rPr>
        <w:t xml:space="preserve">Regulations may make provision for </w:t>
      </w:r>
      <w:r w:rsidRPr="00B6180D">
        <w:rPr>
          <w:szCs w:val="24"/>
        </w:rPr>
        <w:lastRenderedPageBreak/>
        <w:t>and in relation to various matters, including the recovery of the visa application charge in relation to visa applications and the way, including the currency, in which visa a</w:t>
      </w:r>
      <w:r w:rsidR="002A6BE0">
        <w:rPr>
          <w:szCs w:val="24"/>
        </w:rPr>
        <w:t>pplication charge is to be paid;</w:t>
      </w:r>
    </w:p>
    <w:p w14:paraId="6D67E6D2" w14:textId="77777777" w:rsidR="00D94DC8" w:rsidRPr="00B6180D" w:rsidRDefault="00D94DC8" w:rsidP="000E3C74">
      <w:pPr>
        <w:tabs>
          <w:tab w:val="left" w:pos="345"/>
        </w:tabs>
        <w:spacing w:before="0"/>
        <w:ind w:right="42"/>
        <w:rPr>
          <w:szCs w:val="24"/>
        </w:rPr>
      </w:pPr>
    </w:p>
    <w:p w14:paraId="46D2800B" w14:textId="494ADC7C" w:rsidR="00C06F60" w:rsidRDefault="00D94DC8" w:rsidP="000E3C74">
      <w:pPr>
        <w:pStyle w:val="ListParagraph"/>
        <w:numPr>
          <w:ilvl w:val="0"/>
          <w:numId w:val="1"/>
        </w:numPr>
        <w:tabs>
          <w:tab w:val="left" w:pos="345"/>
        </w:tabs>
        <w:spacing w:before="0"/>
        <w:ind w:right="91"/>
        <w:rPr>
          <w:szCs w:val="24"/>
        </w:rPr>
      </w:pPr>
      <w:r w:rsidRPr="000F4B80">
        <w:rPr>
          <w:szCs w:val="24"/>
        </w:rPr>
        <w:t xml:space="preserve">subsection 46(1) of the Migration Act, which relevantly provides that, subject to subsections 46(1A), (2) and (2A), an application for </w:t>
      </w:r>
      <w:r w:rsidR="00607354" w:rsidRPr="000F4B80">
        <w:rPr>
          <w:szCs w:val="24"/>
        </w:rPr>
        <w:t xml:space="preserve">a visa is valid if, and only if </w:t>
      </w:r>
      <w:r w:rsidRPr="000F4B80">
        <w:rPr>
          <w:szCs w:val="24"/>
        </w:rPr>
        <w:t>it is for a visa of a class specified in the application;</w:t>
      </w:r>
      <w:r w:rsidR="000F4B80">
        <w:rPr>
          <w:szCs w:val="24"/>
        </w:rPr>
        <w:br/>
      </w:r>
    </w:p>
    <w:p w14:paraId="55686698" w14:textId="0C010035" w:rsidR="000F4B80" w:rsidRPr="00450355" w:rsidRDefault="000F4B80" w:rsidP="000F4B80">
      <w:pPr>
        <w:pStyle w:val="DINumberedParagraph"/>
        <w:numPr>
          <w:ilvl w:val="0"/>
          <w:numId w:val="24"/>
        </w:numPr>
        <w:tabs>
          <w:tab w:val="clear" w:pos="567"/>
        </w:tabs>
        <w:spacing w:after="0" w:line="276" w:lineRule="auto"/>
        <w:jc w:val="both"/>
        <w:rPr>
          <w:szCs w:val="24"/>
        </w:rPr>
      </w:pPr>
      <w:r>
        <w:rPr>
          <w:szCs w:val="24"/>
        </w:rPr>
        <w:t>s</w:t>
      </w:r>
      <w:r w:rsidRPr="000A6969">
        <w:rPr>
          <w:szCs w:val="24"/>
        </w:rPr>
        <w:t xml:space="preserve">ubsection 46(3) of the Migration Act, which </w:t>
      </w:r>
      <w:r>
        <w:rPr>
          <w:szCs w:val="24"/>
        </w:rPr>
        <w:t>provides that</w:t>
      </w:r>
      <w:r w:rsidRPr="000A6969">
        <w:rPr>
          <w:szCs w:val="24"/>
        </w:rPr>
        <w:t xml:space="preserve"> </w:t>
      </w:r>
      <w:r w:rsidRPr="000A6969">
        <w:rPr>
          <w:color w:val="000000"/>
          <w:szCs w:val="24"/>
          <w:lang w:val="en"/>
        </w:rPr>
        <w:t xml:space="preserve">the </w:t>
      </w:r>
      <w:bookmarkStart w:id="1" w:name="JD_legend_current_maPop00283"/>
      <w:bookmarkEnd w:id="1"/>
      <w:r>
        <w:rPr>
          <w:color w:val="000000"/>
          <w:szCs w:val="24"/>
          <w:lang w:val="en"/>
        </w:rPr>
        <w:t>Migration Regulations</w:t>
      </w:r>
      <w:r w:rsidRPr="000A6969">
        <w:rPr>
          <w:color w:val="000000"/>
          <w:szCs w:val="24"/>
          <w:lang w:val="en"/>
        </w:rPr>
        <w:t xml:space="preserve"> may prescribe criteria that must be satisfied for an application for a visa of a specified </w:t>
      </w:r>
      <w:r>
        <w:rPr>
          <w:color w:val="000000"/>
          <w:szCs w:val="24"/>
          <w:lang w:val="en"/>
        </w:rPr>
        <w:t>class to be a valid application;</w:t>
      </w:r>
    </w:p>
    <w:p w14:paraId="2134B222" w14:textId="77777777" w:rsidR="000F4B80" w:rsidRPr="000A6969" w:rsidRDefault="000F4B80" w:rsidP="000F4B80">
      <w:pPr>
        <w:pStyle w:val="DINumberedParagraph"/>
        <w:numPr>
          <w:ilvl w:val="0"/>
          <w:numId w:val="0"/>
        </w:numPr>
        <w:tabs>
          <w:tab w:val="clear" w:pos="567"/>
        </w:tabs>
        <w:spacing w:after="0" w:line="276" w:lineRule="auto"/>
        <w:ind w:left="720"/>
        <w:jc w:val="both"/>
        <w:rPr>
          <w:szCs w:val="24"/>
        </w:rPr>
      </w:pPr>
    </w:p>
    <w:p w14:paraId="7DA27ED1" w14:textId="7517BF82" w:rsidR="000F4B80" w:rsidRPr="00450355" w:rsidRDefault="000F4B80" w:rsidP="000F4B80">
      <w:pPr>
        <w:pStyle w:val="DINumberedParagraph"/>
        <w:numPr>
          <w:ilvl w:val="0"/>
          <w:numId w:val="24"/>
        </w:numPr>
        <w:tabs>
          <w:tab w:val="clear" w:pos="567"/>
        </w:tabs>
        <w:spacing w:after="0" w:line="276" w:lineRule="auto"/>
        <w:jc w:val="both"/>
        <w:rPr>
          <w:szCs w:val="24"/>
        </w:rPr>
      </w:pPr>
      <w:r>
        <w:rPr>
          <w:szCs w:val="24"/>
        </w:rPr>
        <w:t>subsection</w:t>
      </w:r>
      <w:r w:rsidRPr="000A6969">
        <w:rPr>
          <w:szCs w:val="24"/>
        </w:rPr>
        <w:t xml:space="preserve"> 46(</w:t>
      </w:r>
      <w:r>
        <w:rPr>
          <w:szCs w:val="24"/>
        </w:rPr>
        <w:t>4</w:t>
      </w:r>
      <w:r w:rsidRPr="000A6969">
        <w:rPr>
          <w:szCs w:val="24"/>
        </w:rPr>
        <w:t xml:space="preserve">) of the Migration Act, which </w:t>
      </w:r>
      <w:r>
        <w:rPr>
          <w:szCs w:val="24"/>
        </w:rPr>
        <w:t>provides that</w:t>
      </w:r>
      <w:r w:rsidRPr="000A6969">
        <w:rPr>
          <w:szCs w:val="24"/>
        </w:rPr>
        <w:t xml:space="preserve"> </w:t>
      </w:r>
      <w:r w:rsidRPr="000A6969">
        <w:rPr>
          <w:color w:val="000000"/>
          <w:szCs w:val="24"/>
          <w:lang w:val="en"/>
        </w:rPr>
        <w:t xml:space="preserve">the </w:t>
      </w:r>
      <w:r>
        <w:rPr>
          <w:color w:val="000000"/>
          <w:szCs w:val="24"/>
          <w:lang w:val="en"/>
        </w:rPr>
        <w:t>Migration Regulations</w:t>
      </w:r>
      <w:r w:rsidRPr="000A6969">
        <w:rPr>
          <w:color w:val="000000"/>
          <w:szCs w:val="24"/>
          <w:lang w:val="en"/>
        </w:rPr>
        <w:t xml:space="preserve"> </w:t>
      </w:r>
      <w:r>
        <w:rPr>
          <w:color w:val="000000"/>
          <w:szCs w:val="24"/>
          <w:lang w:val="en"/>
        </w:rPr>
        <w:t>may also prescribe:</w:t>
      </w:r>
    </w:p>
    <w:p w14:paraId="5DE8082B" w14:textId="77777777" w:rsidR="000F4B80" w:rsidRPr="000A6969" w:rsidRDefault="000F4B80" w:rsidP="000F4B80">
      <w:pPr>
        <w:pStyle w:val="DINumberedParagraph"/>
        <w:numPr>
          <w:ilvl w:val="0"/>
          <w:numId w:val="0"/>
        </w:numPr>
        <w:tabs>
          <w:tab w:val="clear" w:pos="567"/>
        </w:tabs>
        <w:spacing w:after="0" w:line="276" w:lineRule="auto"/>
        <w:ind w:left="720"/>
        <w:jc w:val="both"/>
        <w:rPr>
          <w:szCs w:val="24"/>
        </w:rPr>
      </w:pPr>
    </w:p>
    <w:p w14:paraId="298E3735" w14:textId="77777777" w:rsidR="000F4B80" w:rsidRPr="000A6969" w:rsidRDefault="000F4B80" w:rsidP="000F4B80">
      <w:pPr>
        <w:pStyle w:val="ListParagraph"/>
        <w:numPr>
          <w:ilvl w:val="0"/>
          <w:numId w:val="33"/>
        </w:numPr>
        <w:spacing w:before="0" w:after="120" w:line="276" w:lineRule="auto"/>
        <w:ind w:left="1985" w:hanging="425"/>
        <w:contextualSpacing/>
        <w:rPr>
          <w:color w:val="000000"/>
          <w:szCs w:val="24"/>
          <w:lang w:val="en"/>
        </w:rPr>
      </w:pPr>
      <w:bookmarkStart w:id="2" w:name="JD_4640441"/>
      <w:bookmarkEnd w:id="2"/>
      <w:r w:rsidRPr="000A6969">
        <w:rPr>
          <w:color w:val="000000"/>
          <w:szCs w:val="24"/>
          <w:lang w:val="en"/>
        </w:rPr>
        <w:t>the circumstances that must exist for an application for a visa of a specified class to be a valid application; and</w:t>
      </w:r>
    </w:p>
    <w:p w14:paraId="4FE8C112" w14:textId="77777777" w:rsidR="000F4B80" w:rsidRPr="000A6969" w:rsidRDefault="000F4B80" w:rsidP="000F4B80">
      <w:pPr>
        <w:pStyle w:val="ListParagraph"/>
        <w:numPr>
          <w:ilvl w:val="0"/>
          <w:numId w:val="33"/>
        </w:numPr>
        <w:spacing w:before="0" w:after="120" w:line="276" w:lineRule="auto"/>
        <w:ind w:left="1985" w:hanging="425"/>
        <w:contextualSpacing/>
        <w:rPr>
          <w:color w:val="000000"/>
          <w:szCs w:val="24"/>
          <w:lang w:val="en"/>
        </w:rPr>
      </w:pPr>
      <w:bookmarkStart w:id="3" w:name="JD_464044140b41"/>
      <w:bookmarkEnd w:id="3"/>
      <w:r w:rsidRPr="000A6969">
        <w:rPr>
          <w:color w:val="000000"/>
          <w:szCs w:val="24"/>
          <w:lang w:val="en"/>
        </w:rPr>
        <w:t>how an application for a visa of a specified class must be made; and</w:t>
      </w:r>
    </w:p>
    <w:p w14:paraId="2F43C10F" w14:textId="77777777" w:rsidR="000F4B80" w:rsidRPr="000A6969" w:rsidRDefault="000F4B80" w:rsidP="000F4B80">
      <w:pPr>
        <w:pStyle w:val="ListParagraph"/>
        <w:numPr>
          <w:ilvl w:val="0"/>
          <w:numId w:val="33"/>
        </w:numPr>
        <w:spacing w:before="0" w:after="120" w:line="276" w:lineRule="auto"/>
        <w:ind w:left="1985" w:hanging="425"/>
        <w:contextualSpacing/>
        <w:rPr>
          <w:color w:val="000000"/>
          <w:szCs w:val="24"/>
          <w:lang w:val="en"/>
        </w:rPr>
      </w:pPr>
      <w:bookmarkStart w:id="4" w:name="JD_464044140c41"/>
      <w:bookmarkEnd w:id="4"/>
      <w:r w:rsidRPr="000A6969">
        <w:rPr>
          <w:color w:val="000000"/>
          <w:szCs w:val="24"/>
          <w:lang w:val="en"/>
        </w:rPr>
        <w:t>where an application for a visa of a specified class must be made; and</w:t>
      </w:r>
    </w:p>
    <w:p w14:paraId="0E29ADCA" w14:textId="35F27FA1" w:rsidR="000F4B80" w:rsidRPr="000F4B80" w:rsidRDefault="000F4B80" w:rsidP="000F4B80">
      <w:pPr>
        <w:pStyle w:val="ListParagraph"/>
        <w:numPr>
          <w:ilvl w:val="0"/>
          <w:numId w:val="33"/>
        </w:numPr>
        <w:tabs>
          <w:tab w:val="left" w:pos="345"/>
        </w:tabs>
        <w:spacing w:before="0" w:after="120" w:line="276" w:lineRule="auto"/>
        <w:ind w:left="1985" w:right="91" w:hanging="425"/>
        <w:contextualSpacing/>
        <w:rPr>
          <w:szCs w:val="24"/>
        </w:rPr>
      </w:pPr>
      <w:r w:rsidRPr="000F4B80">
        <w:rPr>
          <w:color w:val="000000"/>
          <w:szCs w:val="24"/>
          <w:lang w:val="en"/>
        </w:rPr>
        <w:t>where an applicant must be when an application for a visa of a specified class is made;</w:t>
      </w:r>
    </w:p>
    <w:p w14:paraId="1486ED7B" w14:textId="0EFA64E5" w:rsidR="00C06F60" w:rsidRDefault="00C06F60" w:rsidP="000E3C74">
      <w:pPr>
        <w:pStyle w:val="NormalWeb"/>
        <w:numPr>
          <w:ilvl w:val="0"/>
          <w:numId w:val="1"/>
        </w:numPr>
        <w:spacing w:after="0" w:line="240" w:lineRule="auto"/>
        <w:rPr>
          <w:color w:val="000000"/>
          <w:lang w:val="en"/>
        </w:rPr>
      </w:pPr>
      <w:r>
        <w:rPr>
          <w:color w:val="000000"/>
          <w:lang w:val="en"/>
        </w:rPr>
        <w:t>paragraph</w:t>
      </w:r>
      <w:r w:rsidRPr="00707181">
        <w:rPr>
          <w:color w:val="000000"/>
          <w:lang w:val="en"/>
        </w:rPr>
        <w:t xml:space="preserve"> 72(1)</w:t>
      </w:r>
      <w:r>
        <w:rPr>
          <w:color w:val="000000"/>
          <w:lang w:val="en"/>
        </w:rPr>
        <w:t>(b)</w:t>
      </w:r>
      <w:r w:rsidRPr="00707181">
        <w:rPr>
          <w:color w:val="000000"/>
          <w:lang w:val="en"/>
        </w:rPr>
        <w:t xml:space="preserve"> of </w:t>
      </w:r>
      <w:r>
        <w:rPr>
          <w:color w:val="000000"/>
          <w:lang w:val="en"/>
        </w:rPr>
        <w:t xml:space="preserve">Subdivision AF of </w:t>
      </w:r>
      <w:r w:rsidR="00057018">
        <w:rPr>
          <w:color w:val="000000"/>
          <w:lang w:val="en"/>
        </w:rPr>
        <w:t>the Migration Act</w:t>
      </w:r>
      <w:r w:rsidRPr="00707181">
        <w:rPr>
          <w:color w:val="000000"/>
          <w:lang w:val="en"/>
        </w:rPr>
        <w:t xml:space="preserve"> provides that an </w:t>
      </w:r>
      <w:r w:rsidRPr="003C3012">
        <w:rPr>
          <w:i/>
          <w:color w:val="000000"/>
          <w:lang w:val="en"/>
        </w:rPr>
        <w:t>eligible non-citizen</w:t>
      </w:r>
      <w:r w:rsidRPr="00707181">
        <w:rPr>
          <w:color w:val="000000"/>
          <w:lang w:val="en"/>
        </w:rPr>
        <w:t xml:space="preserve"> means a non-citizen who</w:t>
      </w:r>
      <w:bookmarkStart w:id="5" w:name="JD_724014140a41"/>
      <w:bookmarkStart w:id="6" w:name="JD_724014140b41"/>
      <w:bookmarkEnd w:id="5"/>
      <w:bookmarkEnd w:id="6"/>
      <w:r>
        <w:rPr>
          <w:color w:val="000000"/>
          <w:lang w:val="en"/>
        </w:rPr>
        <w:t xml:space="preserve"> </w:t>
      </w:r>
      <w:r w:rsidRPr="00CB42D3">
        <w:rPr>
          <w:color w:val="000000"/>
          <w:lang w:val="en"/>
        </w:rPr>
        <w:t>is in a prescribed class of persons</w:t>
      </w:r>
      <w:bookmarkStart w:id="7" w:name="JD_724014140c41"/>
      <w:bookmarkEnd w:id="7"/>
      <w:r>
        <w:rPr>
          <w:color w:val="000000"/>
          <w:lang w:val="en"/>
        </w:rPr>
        <w:t>.</w:t>
      </w:r>
    </w:p>
    <w:p w14:paraId="1751461A" w14:textId="77777777" w:rsidR="00D94DC8" w:rsidRPr="00C06F60" w:rsidRDefault="00D94DC8" w:rsidP="000E3C74">
      <w:pPr>
        <w:pStyle w:val="ListParagraph"/>
        <w:tabs>
          <w:tab w:val="left" w:pos="345"/>
        </w:tabs>
        <w:spacing w:before="0"/>
        <w:ind w:right="91"/>
        <w:rPr>
          <w:szCs w:val="24"/>
        </w:rPr>
      </w:pPr>
    </w:p>
    <w:p w14:paraId="23FB12B0" w14:textId="77777777" w:rsidR="00D94DC8" w:rsidRPr="00B6180D" w:rsidRDefault="00D94DC8" w:rsidP="000E3C74">
      <w:pPr>
        <w:numPr>
          <w:ilvl w:val="0"/>
          <w:numId w:val="1"/>
        </w:numPr>
        <w:tabs>
          <w:tab w:val="left" w:pos="345"/>
        </w:tabs>
        <w:spacing w:before="0"/>
        <w:ind w:right="662"/>
        <w:rPr>
          <w:szCs w:val="24"/>
        </w:rPr>
      </w:pPr>
      <w:r w:rsidRPr="00B6180D">
        <w:rPr>
          <w:szCs w:val="24"/>
        </w:rPr>
        <w:t xml:space="preserve">Subsection 140E(2) of the Migration Act, which provides that different criteria may be prescribed for different kinds of visa (however described); </w:t>
      </w:r>
    </w:p>
    <w:p w14:paraId="7208A919" w14:textId="77777777" w:rsidR="00D94DC8" w:rsidRPr="00B6180D" w:rsidRDefault="00D94DC8" w:rsidP="000E3C74">
      <w:pPr>
        <w:tabs>
          <w:tab w:val="left" w:pos="345"/>
        </w:tabs>
        <w:spacing w:before="0"/>
        <w:ind w:left="720" w:right="662"/>
        <w:rPr>
          <w:szCs w:val="24"/>
        </w:rPr>
      </w:pPr>
    </w:p>
    <w:p w14:paraId="514C2901" w14:textId="77777777" w:rsidR="00D94DC8" w:rsidRPr="00B6180D" w:rsidRDefault="00D94DC8" w:rsidP="000E3C74">
      <w:pPr>
        <w:numPr>
          <w:ilvl w:val="0"/>
          <w:numId w:val="1"/>
        </w:numPr>
        <w:tabs>
          <w:tab w:val="left" w:pos="345"/>
        </w:tabs>
        <w:spacing w:before="0"/>
        <w:ind w:right="662"/>
        <w:rPr>
          <w:szCs w:val="24"/>
        </w:rPr>
      </w:pPr>
      <w:r w:rsidRPr="00B6180D">
        <w:rPr>
          <w:szCs w:val="24"/>
        </w:rPr>
        <w:t xml:space="preserve">Subsection 140GB(3) of the Migration Act, which provides that the </w:t>
      </w:r>
      <w:r w:rsidR="00547D17" w:rsidRPr="00B6180D">
        <w:rPr>
          <w:szCs w:val="24"/>
        </w:rPr>
        <w:t>Migration R</w:t>
      </w:r>
      <w:r w:rsidRPr="00B6180D">
        <w:rPr>
          <w:szCs w:val="24"/>
        </w:rPr>
        <w:t>egulations may establish a process for the Minister to approve a sponsor’s nomination</w:t>
      </w:r>
      <w:r w:rsidR="009D33A0" w:rsidRPr="00B6180D">
        <w:rPr>
          <w:szCs w:val="24"/>
        </w:rPr>
        <w:t>;</w:t>
      </w:r>
    </w:p>
    <w:p w14:paraId="71CDEE31"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 xml:space="preserve">the definition of </w:t>
      </w:r>
      <w:r w:rsidR="00D663EB" w:rsidRPr="00B6180D">
        <w:rPr>
          <w:szCs w:val="24"/>
        </w:rPr>
        <w:t>‘</w:t>
      </w:r>
      <w:r w:rsidRPr="00B6180D">
        <w:rPr>
          <w:szCs w:val="24"/>
        </w:rPr>
        <w:t>kind of aircraft or ship to which this division applies</w:t>
      </w:r>
      <w:r w:rsidR="00D663EB" w:rsidRPr="00B6180D">
        <w:rPr>
          <w:szCs w:val="24"/>
        </w:rPr>
        <w:t>’</w:t>
      </w:r>
      <w:r w:rsidRPr="00B6180D">
        <w:rPr>
          <w:szCs w:val="24"/>
        </w:rPr>
        <w:t xml:space="preserve"> in subsection 245I(1) of the Migration Act, which provides that this definition means a kind of aircraft or s</w:t>
      </w:r>
      <w:r w:rsidR="00547D17" w:rsidRPr="00B6180D">
        <w:rPr>
          <w:szCs w:val="24"/>
        </w:rPr>
        <w:t>hip specified in the Migration R</w:t>
      </w:r>
      <w:r w:rsidRPr="00B6180D">
        <w:rPr>
          <w:szCs w:val="24"/>
        </w:rPr>
        <w:t>egulations as a kind of aircraft or ship to which Division 12</w:t>
      </w:r>
      <w:r w:rsidR="009D33A0" w:rsidRPr="00B6180D">
        <w:rPr>
          <w:szCs w:val="24"/>
        </w:rPr>
        <w:t>B of the Migration Act applies;</w:t>
      </w:r>
    </w:p>
    <w:p w14:paraId="0437BE0C"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paragraph 245L(5)(a) of the Migration Act, which provides that a report on passengers or crew on a ship must be given not later than the start of the prescribed period before the ship’s estimated time of ar</w:t>
      </w:r>
      <w:r w:rsidR="009D33A0" w:rsidRPr="00B6180D">
        <w:rPr>
          <w:szCs w:val="24"/>
        </w:rPr>
        <w:t>rival at the place in Australia;</w:t>
      </w:r>
    </w:p>
    <w:p w14:paraId="698289BB"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 xml:space="preserve">paragraph 245L(5)(b) of the Migration Act, which provides that if the journey </w:t>
      </w:r>
      <w:r w:rsidR="00547D17" w:rsidRPr="00B6180D">
        <w:rPr>
          <w:szCs w:val="24"/>
        </w:rPr>
        <w:t>is of a kind prescribed in the Migration R</w:t>
      </w:r>
      <w:r w:rsidRPr="00B6180D">
        <w:rPr>
          <w:szCs w:val="24"/>
        </w:rPr>
        <w:t xml:space="preserve">egulations made for the purposes of paragraph 245L5(b), a report on passengers or crew on a ship must be given not later than the start of the shorter period specified in those regulations before the </w:t>
      </w:r>
      <w:r w:rsidRPr="00B6180D">
        <w:rPr>
          <w:szCs w:val="24"/>
        </w:rPr>
        <w:lastRenderedPageBreak/>
        <w:t>ship’s estimated time of ar</w:t>
      </w:r>
      <w:r w:rsidR="009D33A0" w:rsidRPr="00B6180D">
        <w:rPr>
          <w:szCs w:val="24"/>
        </w:rPr>
        <w:t>rival at the place in Australia;</w:t>
      </w:r>
    </w:p>
    <w:p w14:paraId="4FEAADB0"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subsection 245LA(2) of the Migration Act, which provides that the operator of the aircraft or ship must:</w:t>
      </w:r>
    </w:p>
    <w:p w14:paraId="79162235" w14:textId="77777777" w:rsidR="0091559F" w:rsidRPr="00B6180D" w:rsidRDefault="0091559F" w:rsidP="000E3C74">
      <w:pPr>
        <w:widowControl w:val="0"/>
        <w:numPr>
          <w:ilvl w:val="1"/>
          <w:numId w:val="1"/>
        </w:numPr>
        <w:tabs>
          <w:tab w:val="left" w:pos="345"/>
        </w:tabs>
        <w:adjustRightInd w:val="0"/>
        <w:ind w:right="42"/>
        <w:textAlignment w:val="baseline"/>
        <w:rPr>
          <w:szCs w:val="24"/>
        </w:rPr>
      </w:pPr>
      <w:r w:rsidRPr="00B6180D">
        <w:rPr>
          <w:szCs w:val="24"/>
        </w:rPr>
        <w:t>report to the Department, using the approved primary reporting systems for passengers, on each passenger who is on, or is expected to be on, the flight or voyage (including any part of the flight or voyage); and</w:t>
      </w:r>
    </w:p>
    <w:p w14:paraId="612B5352" w14:textId="77777777" w:rsidR="0091559F" w:rsidRPr="00B6180D" w:rsidRDefault="0091559F" w:rsidP="000E3C74">
      <w:pPr>
        <w:widowControl w:val="0"/>
        <w:numPr>
          <w:ilvl w:val="1"/>
          <w:numId w:val="1"/>
        </w:numPr>
        <w:tabs>
          <w:tab w:val="left" w:pos="345"/>
        </w:tabs>
        <w:adjustRightInd w:val="0"/>
        <w:ind w:right="42"/>
        <w:textAlignment w:val="baseline"/>
        <w:rPr>
          <w:szCs w:val="24"/>
        </w:rPr>
      </w:pPr>
      <w:r w:rsidRPr="00B6180D">
        <w:rPr>
          <w:szCs w:val="24"/>
        </w:rPr>
        <w:t>report to the Department, using the approved primary reporting system for crew, on each member of the crew who is on, or is expected to be on, the flight or voyage (including an</w:t>
      </w:r>
      <w:r w:rsidR="009D33A0" w:rsidRPr="00B6180D">
        <w:rPr>
          <w:szCs w:val="24"/>
        </w:rPr>
        <w:t>y part of the flight or voyage);</w:t>
      </w:r>
    </w:p>
    <w:p w14:paraId="56286B98"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 xml:space="preserve">paragraph 245LA(3)(b) of the Migration Act, which provides that if the </w:t>
      </w:r>
      <w:r w:rsidR="00547D17" w:rsidRPr="00B6180D">
        <w:rPr>
          <w:szCs w:val="24"/>
        </w:rPr>
        <w:t xml:space="preserve">Migration </w:t>
      </w:r>
      <w:r w:rsidRPr="00B6180D">
        <w:rPr>
          <w:szCs w:val="24"/>
        </w:rPr>
        <w:t>Regulations prescribe a report under subsection 245LA(2) must only relate to the part of the flight or voyage that is from the last place in Australia to the place outside Australia, then the report must be on each passenger or crew member who is on, or is expected to be on, th</w:t>
      </w:r>
      <w:r w:rsidR="009D33A0" w:rsidRPr="00B6180D">
        <w:rPr>
          <w:szCs w:val="24"/>
        </w:rPr>
        <w:t>at part of the flight or voyage;</w:t>
      </w:r>
    </w:p>
    <w:p w14:paraId="67B49B41" w14:textId="77777777" w:rsidR="0091559F" w:rsidRPr="00B6180D" w:rsidRDefault="0091559F" w:rsidP="000E3C74">
      <w:pPr>
        <w:widowControl w:val="0"/>
        <w:numPr>
          <w:ilvl w:val="0"/>
          <w:numId w:val="1"/>
        </w:numPr>
        <w:tabs>
          <w:tab w:val="left" w:pos="345"/>
        </w:tabs>
        <w:adjustRightInd w:val="0"/>
        <w:ind w:right="42"/>
        <w:textAlignment w:val="baseline"/>
        <w:rPr>
          <w:szCs w:val="24"/>
        </w:rPr>
      </w:pPr>
      <w:r w:rsidRPr="00B6180D">
        <w:rPr>
          <w:szCs w:val="24"/>
        </w:rPr>
        <w:t xml:space="preserve">subsection 245LA(5) of the Migration Act, which provides that a report on a passenger or crew member </w:t>
      </w:r>
      <w:r w:rsidR="00214419" w:rsidRPr="00B6180D">
        <w:rPr>
          <w:szCs w:val="24"/>
        </w:rPr>
        <w:t>under subsection 245LA(2) must b</w:t>
      </w:r>
      <w:r w:rsidRPr="00B6180D">
        <w:rPr>
          <w:szCs w:val="24"/>
        </w:rPr>
        <w:t>e provided:</w:t>
      </w:r>
    </w:p>
    <w:p w14:paraId="16B5022E" w14:textId="77777777" w:rsidR="0091559F" w:rsidRPr="00B6180D" w:rsidRDefault="0091559F" w:rsidP="000E3C74">
      <w:pPr>
        <w:widowControl w:val="0"/>
        <w:numPr>
          <w:ilvl w:val="1"/>
          <w:numId w:val="1"/>
        </w:numPr>
        <w:tabs>
          <w:tab w:val="left" w:pos="345"/>
        </w:tabs>
        <w:adjustRightInd w:val="0"/>
        <w:ind w:right="42"/>
        <w:textAlignment w:val="baseline"/>
        <w:rPr>
          <w:szCs w:val="24"/>
        </w:rPr>
      </w:pPr>
      <w:r w:rsidRPr="00B6180D">
        <w:rPr>
          <w:szCs w:val="24"/>
        </w:rPr>
        <w:t xml:space="preserve">if the </w:t>
      </w:r>
      <w:r w:rsidR="00547D17" w:rsidRPr="00B6180D">
        <w:rPr>
          <w:szCs w:val="24"/>
        </w:rPr>
        <w:t>Migration R</w:t>
      </w:r>
      <w:r w:rsidRPr="00B6180D">
        <w:rPr>
          <w:szCs w:val="24"/>
        </w:rPr>
        <w:t>egulations prescribe a period or periods before the aircraft’s or ship’s departure from a place for the giving of a report under subsection (2) in relation to the passenger or crew member – not later than the start of that period or each of those periods; and</w:t>
      </w:r>
    </w:p>
    <w:p w14:paraId="392151F6" w14:textId="77777777" w:rsidR="0091559F" w:rsidRPr="00B6180D" w:rsidRDefault="0091559F" w:rsidP="000E3C74">
      <w:pPr>
        <w:widowControl w:val="0"/>
        <w:numPr>
          <w:ilvl w:val="1"/>
          <w:numId w:val="1"/>
        </w:numPr>
        <w:tabs>
          <w:tab w:val="left" w:pos="345"/>
        </w:tabs>
        <w:adjustRightInd w:val="0"/>
        <w:ind w:right="42"/>
        <w:textAlignment w:val="baseline"/>
        <w:rPr>
          <w:szCs w:val="24"/>
        </w:rPr>
      </w:pPr>
      <w:r w:rsidRPr="00B6180D">
        <w:rPr>
          <w:szCs w:val="24"/>
        </w:rPr>
        <w:t xml:space="preserve">if the </w:t>
      </w:r>
      <w:r w:rsidR="00547D17" w:rsidRPr="00B6180D">
        <w:rPr>
          <w:szCs w:val="24"/>
        </w:rPr>
        <w:t>Migration R</w:t>
      </w:r>
      <w:r w:rsidRPr="00B6180D">
        <w:rPr>
          <w:szCs w:val="24"/>
        </w:rPr>
        <w:t>egulations prescribe an event or events for the giving of a report under subsection 245LA(2) in relation to the passenger or crew member- at the time of that event or each of those events; and</w:t>
      </w:r>
    </w:p>
    <w:p w14:paraId="4E522D7F" w14:textId="77777777" w:rsidR="00D94DC8" w:rsidRPr="00B6180D" w:rsidRDefault="0091559F" w:rsidP="000E3C74">
      <w:pPr>
        <w:widowControl w:val="0"/>
        <w:numPr>
          <w:ilvl w:val="1"/>
          <w:numId w:val="1"/>
        </w:numPr>
        <w:tabs>
          <w:tab w:val="left" w:pos="345"/>
        </w:tabs>
        <w:adjustRightInd w:val="0"/>
        <w:ind w:right="42"/>
        <w:textAlignment w:val="baseline"/>
        <w:rPr>
          <w:szCs w:val="24"/>
        </w:rPr>
      </w:pPr>
      <w:r w:rsidRPr="00B6180D">
        <w:rPr>
          <w:szCs w:val="24"/>
        </w:rPr>
        <w:t xml:space="preserve">if the </w:t>
      </w:r>
      <w:r w:rsidR="00547D17" w:rsidRPr="00B6180D">
        <w:rPr>
          <w:szCs w:val="24"/>
        </w:rPr>
        <w:t>Migration Regulations</w:t>
      </w:r>
      <w:r w:rsidRPr="00B6180D">
        <w:rPr>
          <w:szCs w:val="24"/>
        </w:rPr>
        <w:t xml:space="preserve"> prescribe a time or times for the giving of a report under subsection 245LA(2) in relation to the passenger or crew member – at th</w:t>
      </w:r>
      <w:r w:rsidR="009D33A0" w:rsidRPr="00B6180D">
        <w:rPr>
          <w:szCs w:val="24"/>
        </w:rPr>
        <w:t>at time or each of those times;</w:t>
      </w:r>
      <w:r w:rsidR="00D94DC8" w:rsidRPr="00B6180D">
        <w:rPr>
          <w:szCs w:val="24"/>
        </w:rPr>
        <w:br/>
      </w:r>
    </w:p>
    <w:p w14:paraId="41A846E4" w14:textId="77777777" w:rsidR="00D94DC8" w:rsidRPr="00B6180D" w:rsidRDefault="00D94DC8" w:rsidP="000E3C74">
      <w:pPr>
        <w:numPr>
          <w:ilvl w:val="0"/>
          <w:numId w:val="1"/>
        </w:numPr>
        <w:tabs>
          <w:tab w:val="left" w:pos="345"/>
        </w:tabs>
        <w:spacing w:before="0"/>
        <w:ind w:right="42"/>
        <w:rPr>
          <w:szCs w:val="24"/>
        </w:rPr>
      </w:pPr>
      <w:r w:rsidRPr="00B6180D">
        <w:rPr>
          <w:szCs w:val="24"/>
        </w:rPr>
        <w:t>section 275 of the Migration Act which, for the purpose of regulating migration agents, defines ‘review authority’ as meaning the AAT in reviewing a Part 5-reviewable decision, or the AAT in reviewing a Part 7-reviewable decision;</w:t>
      </w:r>
    </w:p>
    <w:p w14:paraId="6FB465ED" w14:textId="77777777" w:rsidR="00D94DC8" w:rsidRPr="00B6180D" w:rsidRDefault="00D94DC8" w:rsidP="000E3C74">
      <w:pPr>
        <w:tabs>
          <w:tab w:val="left" w:pos="345"/>
        </w:tabs>
        <w:spacing w:before="0"/>
        <w:ind w:left="720" w:right="42"/>
        <w:rPr>
          <w:szCs w:val="24"/>
        </w:rPr>
      </w:pPr>
    </w:p>
    <w:p w14:paraId="76B731C6" w14:textId="77777777" w:rsidR="00D94DC8" w:rsidRPr="00B6180D" w:rsidRDefault="00D94DC8" w:rsidP="000E3C74">
      <w:pPr>
        <w:numPr>
          <w:ilvl w:val="0"/>
          <w:numId w:val="1"/>
        </w:numPr>
        <w:tabs>
          <w:tab w:val="left" w:pos="345"/>
        </w:tabs>
        <w:spacing w:before="0"/>
        <w:ind w:right="42"/>
        <w:rPr>
          <w:szCs w:val="24"/>
        </w:rPr>
      </w:pPr>
      <w:r w:rsidRPr="00B6180D">
        <w:rPr>
          <w:szCs w:val="24"/>
        </w:rPr>
        <w:t>section 338 of the Migration Act which defines ‘</w:t>
      </w:r>
      <w:r w:rsidRPr="00B6180D">
        <w:rPr>
          <w:i/>
          <w:szCs w:val="24"/>
        </w:rPr>
        <w:t>Part 5-reviewable decision</w:t>
      </w:r>
      <w:r w:rsidRPr="00B6180D">
        <w:rPr>
          <w:szCs w:val="24"/>
        </w:rPr>
        <w:t>’;</w:t>
      </w:r>
    </w:p>
    <w:p w14:paraId="6CFD82B8" w14:textId="77777777" w:rsidR="00D94DC8" w:rsidRPr="00B6180D" w:rsidRDefault="00D94DC8" w:rsidP="000E3C74">
      <w:pPr>
        <w:tabs>
          <w:tab w:val="left" w:pos="345"/>
        </w:tabs>
        <w:spacing w:before="0"/>
        <w:ind w:left="720" w:right="42"/>
        <w:rPr>
          <w:szCs w:val="24"/>
        </w:rPr>
      </w:pPr>
    </w:p>
    <w:p w14:paraId="548CCE8B" w14:textId="77777777" w:rsidR="00D94DC8" w:rsidRPr="00B6180D" w:rsidRDefault="00D94DC8" w:rsidP="000E3C74">
      <w:pPr>
        <w:numPr>
          <w:ilvl w:val="0"/>
          <w:numId w:val="1"/>
        </w:numPr>
        <w:tabs>
          <w:tab w:val="left" w:pos="345"/>
        </w:tabs>
        <w:spacing w:before="0"/>
        <w:ind w:right="42"/>
        <w:rPr>
          <w:szCs w:val="24"/>
        </w:rPr>
      </w:pPr>
      <w:r w:rsidRPr="00B6180D">
        <w:rPr>
          <w:szCs w:val="24"/>
        </w:rPr>
        <w:t>section 347 of the Migration Act which provides for applications for review of Part 5-reviewable decisions;</w:t>
      </w:r>
    </w:p>
    <w:p w14:paraId="38DC9485" w14:textId="77777777" w:rsidR="00D94DC8" w:rsidRPr="00B6180D" w:rsidRDefault="00D94DC8" w:rsidP="000E3C74">
      <w:pPr>
        <w:tabs>
          <w:tab w:val="left" w:pos="345"/>
        </w:tabs>
        <w:spacing w:before="0"/>
        <w:ind w:left="720" w:right="42"/>
        <w:rPr>
          <w:szCs w:val="24"/>
        </w:rPr>
      </w:pPr>
    </w:p>
    <w:p w14:paraId="013A8CFC" w14:textId="77777777" w:rsidR="00D94DC8" w:rsidRPr="00B6180D" w:rsidRDefault="00D94DC8" w:rsidP="000E3C74">
      <w:pPr>
        <w:numPr>
          <w:ilvl w:val="0"/>
          <w:numId w:val="1"/>
        </w:numPr>
        <w:tabs>
          <w:tab w:val="left" w:pos="345"/>
        </w:tabs>
        <w:spacing w:before="0"/>
        <w:ind w:right="42"/>
        <w:rPr>
          <w:szCs w:val="24"/>
        </w:rPr>
      </w:pPr>
      <w:r w:rsidRPr="00B6180D">
        <w:rPr>
          <w:szCs w:val="24"/>
        </w:rPr>
        <w:t>section 411 of the Migration Act which defines ‘</w:t>
      </w:r>
      <w:r w:rsidRPr="00B6180D">
        <w:rPr>
          <w:i/>
          <w:szCs w:val="24"/>
        </w:rPr>
        <w:t>Part 7-reviewable decision</w:t>
      </w:r>
      <w:r w:rsidRPr="00B6180D">
        <w:rPr>
          <w:szCs w:val="24"/>
        </w:rPr>
        <w:t>’;</w:t>
      </w:r>
    </w:p>
    <w:p w14:paraId="3E3F4AC8" w14:textId="77777777" w:rsidR="00D94DC8" w:rsidRPr="00B6180D" w:rsidRDefault="00D94DC8" w:rsidP="000E3C74">
      <w:pPr>
        <w:tabs>
          <w:tab w:val="left" w:pos="345"/>
        </w:tabs>
        <w:spacing w:before="0"/>
        <w:ind w:left="720" w:right="42"/>
        <w:rPr>
          <w:szCs w:val="24"/>
        </w:rPr>
      </w:pPr>
    </w:p>
    <w:p w14:paraId="1D24AD15" w14:textId="77777777" w:rsidR="00D94DC8" w:rsidRPr="00B6180D" w:rsidRDefault="00D94DC8" w:rsidP="000E3C74">
      <w:pPr>
        <w:numPr>
          <w:ilvl w:val="0"/>
          <w:numId w:val="1"/>
        </w:numPr>
        <w:tabs>
          <w:tab w:val="left" w:pos="345"/>
        </w:tabs>
        <w:spacing w:before="0"/>
        <w:ind w:right="42"/>
        <w:rPr>
          <w:szCs w:val="24"/>
        </w:rPr>
      </w:pPr>
      <w:r w:rsidRPr="00B6180D">
        <w:rPr>
          <w:szCs w:val="24"/>
        </w:rPr>
        <w:t>section 412 of the Migration Act which provides for applications for review of Part 7-reviewable decisions; and</w:t>
      </w:r>
    </w:p>
    <w:p w14:paraId="2310B614" w14:textId="77777777" w:rsidR="00D94DC8" w:rsidRPr="00B6180D" w:rsidRDefault="00D94DC8" w:rsidP="000E3C74">
      <w:pPr>
        <w:tabs>
          <w:tab w:val="left" w:pos="345"/>
        </w:tabs>
        <w:spacing w:before="0"/>
        <w:ind w:left="720" w:right="42"/>
        <w:rPr>
          <w:szCs w:val="24"/>
        </w:rPr>
      </w:pPr>
    </w:p>
    <w:p w14:paraId="5325E0A0" w14:textId="77777777" w:rsidR="00D94DC8" w:rsidRPr="00B6180D" w:rsidRDefault="00D94DC8" w:rsidP="000E3C74">
      <w:pPr>
        <w:numPr>
          <w:ilvl w:val="0"/>
          <w:numId w:val="1"/>
        </w:numPr>
        <w:tabs>
          <w:tab w:val="left" w:pos="345"/>
        </w:tabs>
        <w:spacing w:before="0"/>
        <w:ind w:right="42"/>
        <w:rPr>
          <w:szCs w:val="24"/>
        </w:rPr>
      </w:pPr>
      <w:r w:rsidRPr="00B6180D">
        <w:rPr>
          <w:szCs w:val="24"/>
        </w:rPr>
        <w:t>Section 500 of the Migration Act which provides for review of certain decisions by the Administrative Appeals Tribunal.</w:t>
      </w:r>
    </w:p>
    <w:p w14:paraId="6F273F47" w14:textId="77777777" w:rsidR="001074E5" w:rsidRPr="00B6180D" w:rsidRDefault="001074E5" w:rsidP="000E3C74">
      <w:pPr>
        <w:pStyle w:val="EMparagraph"/>
        <w:spacing w:after="0"/>
        <w:jc w:val="both"/>
        <w:rPr>
          <w:szCs w:val="24"/>
        </w:rPr>
      </w:pPr>
    </w:p>
    <w:p w14:paraId="4FB368E0" w14:textId="77777777" w:rsidR="001074E5" w:rsidRPr="00B6180D" w:rsidRDefault="001074E5" w:rsidP="000E3C74">
      <w:pPr>
        <w:spacing w:before="0"/>
        <w:ind w:right="662"/>
        <w:jc w:val="both"/>
        <w:rPr>
          <w:szCs w:val="24"/>
        </w:rPr>
      </w:pPr>
      <w:r w:rsidRPr="00B6180D">
        <w:rPr>
          <w:szCs w:val="24"/>
        </w:rPr>
        <w:t>In addition, the following provisions of the VAC Act</w:t>
      </w:r>
      <w:r w:rsidRPr="00B6180D">
        <w:rPr>
          <w:i/>
          <w:iCs/>
          <w:szCs w:val="24"/>
        </w:rPr>
        <w:t xml:space="preserve"> </w:t>
      </w:r>
      <w:r w:rsidRPr="00B6180D">
        <w:rPr>
          <w:szCs w:val="24"/>
        </w:rPr>
        <w:t>may also apply:</w:t>
      </w:r>
    </w:p>
    <w:p w14:paraId="30CB2A60" w14:textId="77777777" w:rsidR="001074E5" w:rsidRPr="00B6180D" w:rsidRDefault="001074E5" w:rsidP="000E3C74">
      <w:pPr>
        <w:spacing w:before="0"/>
        <w:ind w:right="662"/>
        <w:jc w:val="both"/>
        <w:rPr>
          <w:szCs w:val="24"/>
        </w:rPr>
      </w:pPr>
    </w:p>
    <w:p w14:paraId="7D2565E9" w14:textId="77777777" w:rsidR="001074E5" w:rsidRPr="00B6180D" w:rsidRDefault="001074E5" w:rsidP="000E3C74">
      <w:pPr>
        <w:numPr>
          <w:ilvl w:val="0"/>
          <w:numId w:val="6"/>
        </w:numPr>
        <w:spacing w:before="0"/>
        <w:ind w:right="662" w:hanging="720"/>
        <w:jc w:val="both"/>
        <w:rPr>
          <w:szCs w:val="24"/>
        </w:rPr>
      </w:pPr>
      <w:r w:rsidRPr="00B6180D">
        <w:rPr>
          <w:szCs w:val="24"/>
        </w:rPr>
        <w:t>section 4, which imposes a visa application charge payable under section 45A of the</w:t>
      </w:r>
      <w:r w:rsidR="0019466D">
        <w:rPr>
          <w:szCs w:val="24"/>
        </w:rPr>
        <w:t xml:space="preserve"> Migration</w:t>
      </w:r>
      <w:r w:rsidRPr="00B6180D">
        <w:rPr>
          <w:szCs w:val="24"/>
        </w:rPr>
        <w:t xml:space="preserve"> Act; and</w:t>
      </w:r>
    </w:p>
    <w:p w14:paraId="1EC38EF6" w14:textId="77777777" w:rsidR="001074E5" w:rsidRPr="00B6180D" w:rsidRDefault="001074E5" w:rsidP="000E3C74">
      <w:pPr>
        <w:spacing w:before="0"/>
        <w:ind w:right="662"/>
        <w:jc w:val="both"/>
        <w:rPr>
          <w:szCs w:val="24"/>
        </w:rPr>
      </w:pPr>
    </w:p>
    <w:p w14:paraId="4F503BD2" w14:textId="77777777" w:rsidR="001074E5" w:rsidRPr="00B6180D" w:rsidRDefault="001074E5" w:rsidP="000E3C74">
      <w:pPr>
        <w:numPr>
          <w:ilvl w:val="0"/>
          <w:numId w:val="6"/>
        </w:numPr>
        <w:spacing w:before="0"/>
        <w:ind w:right="662" w:hanging="720"/>
        <w:jc w:val="both"/>
        <w:rPr>
          <w:szCs w:val="24"/>
        </w:rPr>
      </w:pPr>
      <w:r w:rsidRPr="00B6180D">
        <w:rPr>
          <w:szCs w:val="24"/>
        </w:rPr>
        <w:t>section 5, which limits the visa application charge and provides the formula to calculate the charge limit for later financial years.</w:t>
      </w:r>
    </w:p>
    <w:p w14:paraId="5413D9EE" w14:textId="77777777" w:rsidR="00D94DC8" w:rsidRPr="00B6180D" w:rsidRDefault="00D94DC8" w:rsidP="000E3C74">
      <w:pPr>
        <w:pStyle w:val="EMparagraph"/>
        <w:spacing w:after="0"/>
        <w:jc w:val="both"/>
        <w:rPr>
          <w:szCs w:val="24"/>
        </w:rPr>
      </w:pPr>
      <w:r w:rsidRPr="00B6180D">
        <w:rPr>
          <w:szCs w:val="24"/>
        </w:rPr>
        <w:br/>
        <w:t xml:space="preserve">Section 54 of the </w:t>
      </w:r>
      <w:r w:rsidRPr="00B6180D">
        <w:rPr>
          <w:i/>
          <w:szCs w:val="24"/>
        </w:rPr>
        <w:t>Australian Citizenship Act 2007</w:t>
      </w:r>
      <w:r w:rsidRPr="00B6180D">
        <w:rPr>
          <w:szCs w:val="24"/>
        </w:rPr>
        <w:t xml:space="preserve"> (the Citizenship Act) provides that the Governor-General may make regulations prescribing matters required or permitted by the Citizenship Act to be prescribed, or are necessary or convenient to be prescribed for carrying out or giving effect to the Citizenship Act.</w:t>
      </w:r>
    </w:p>
    <w:p w14:paraId="189C55DB" w14:textId="77777777" w:rsidR="00D94DC8" w:rsidRPr="00B6180D" w:rsidRDefault="00D94DC8" w:rsidP="000E3C74">
      <w:pPr>
        <w:pStyle w:val="EMparagraph"/>
        <w:spacing w:after="0"/>
        <w:jc w:val="both"/>
        <w:rPr>
          <w:szCs w:val="24"/>
        </w:rPr>
      </w:pPr>
    </w:p>
    <w:p w14:paraId="40967698" w14:textId="77777777" w:rsidR="00D94DC8" w:rsidRPr="00B6180D" w:rsidRDefault="00D94DC8" w:rsidP="000E3C74">
      <w:pPr>
        <w:pStyle w:val="EMparagraph"/>
        <w:spacing w:after="0"/>
        <w:jc w:val="both"/>
        <w:rPr>
          <w:szCs w:val="24"/>
        </w:rPr>
      </w:pPr>
      <w:r w:rsidRPr="00B6180D">
        <w:rPr>
          <w:szCs w:val="24"/>
        </w:rPr>
        <w:t xml:space="preserve">In addition, the following provisions </w:t>
      </w:r>
      <w:r w:rsidR="001074E5" w:rsidRPr="00B6180D">
        <w:rPr>
          <w:szCs w:val="24"/>
        </w:rPr>
        <w:t xml:space="preserve">of the Citizenship Act </w:t>
      </w:r>
      <w:r w:rsidRPr="00B6180D">
        <w:rPr>
          <w:szCs w:val="24"/>
        </w:rPr>
        <w:t>may apply:</w:t>
      </w:r>
    </w:p>
    <w:p w14:paraId="67507C5C" w14:textId="77777777" w:rsidR="00D94DC8" w:rsidRPr="00B6180D" w:rsidRDefault="00D94DC8" w:rsidP="000E3C74">
      <w:pPr>
        <w:pStyle w:val="EMparagraph"/>
        <w:spacing w:after="0"/>
        <w:jc w:val="both"/>
        <w:rPr>
          <w:szCs w:val="24"/>
        </w:rPr>
      </w:pPr>
    </w:p>
    <w:p w14:paraId="15BFB8C8" w14:textId="77777777" w:rsidR="00D94DC8" w:rsidRPr="00B6180D" w:rsidRDefault="00D94DC8" w:rsidP="000E3C74">
      <w:pPr>
        <w:pStyle w:val="EMparagraph"/>
        <w:numPr>
          <w:ilvl w:val="0"/>
          <w:numId w:val="3"/>
        </w:numPr>
        <w:spacing w:after="0"/>
        <w:jc w:val="both"/>
        <w:rPr>
          <w:szCs w:val="24"/>
        </w:rPr>
      </w:pPr>
      <w:r w:rsidRPr="00B6180D">
        <w:rPr>
          <w:szCs w:val="24"/>
        </w:rPr>
        <w:t xml:space="preserve">paragraph 46(1)(d) of the Citizenship Act, which provides that an application made under a provision of that Act must be accompanied by the fee (if any) prescribed by </w:t>
      </w:r>
      <w:r w:rsidR="00547D17" w:rsidRPr="00B6180D">
        <w:rPr>
          <w:szCs w:val="24"/>
        </w:rPr>
        <w:t xml:space="preserve">the </w:t>
      </w:r>
      <w:r w:rsidR="00547D17" w:rsidRPr="00B6180D">
        <w:rPr>
          <w:i/>
          <w:szCs w:val="24"/>
        </w:rPr>
        <w:t xml:space="preserve">Australian Citizenship Regulations 2007 </w:t>
      </w:r>
      <w:r w:rsidR="00547D17" w:rsidRPr="00B6180D">
        <w:rPr>
          <w:szCs w:val="24"/>
        </w:rPr>
        <w:t>(</w:t>
      </w:r>
      <w:r w:rsidRPr="00B6180D">
        <w:rPr>
          <w:szCs w:val="24"/>
        </w:rPr>
        <w:t>the Citizenship Regulations</w:t>
      </w:r>
      <w:r w:rsidR="00547D17" w:rsidRPr="00B6180D">
        <w:rPr>
          <w:szCs w:val="24"/>
        </w:rPr>
        <w:t>)</w:t>
      </w:r>
      <w:r w:rsidRPr="00B6180D">
        <w:rPr>
          <w:szCs w:val="24"/>
        </w:rPr>
        <w:t>; and</w:t>
      </w:r>
    </w:p>
    <w:p w14:paraId="77207E96" w14:textId="77777777" w:rsidR="00D94DC8" w:rsidRPr="00B6180D" w:rsidRDefault="00D94DC8" w:rsidP="000E3C74">
      <w:pPr>
        <w:pStyle w:val="EMparagraph"/>
        <w:spacing w:after="0"/>
        <w:ind w:left="360"/>
        <w:jc w:val="both"/>
        <w:rPr>
          <w:szCs w:val="24"/>
        </w:rPr>
      </w:pPr>
    </w:p>
    <w:p w14:paraId="34A52798" w14:textId="77777777" w:rsidR="00D94DC8" w:rsidRPr="00B6180D" w:rsidRDefault="00D94DC8" w:rsidP="000E3C74">
      <w:pPr>
        <w:pStyle w:val="EMparagraph"/>
        <w:numPr>
          <w:ilvl w:val="0"/>
          <w:numId w:val="3"/>
        </w:numPr>
        <w:spacing w:after="0"/>
        <w:jc w:val="both"/>
        <w:rPr>
          <w:szCs w:val="24"/>
        </w:rPr>
      </w:pPr>
      <w:r w:rsidRPr="00B6180D">
        <w:rPr>
          <w:szCs w:val="24"/>
        </w:rPr>
        <w:t>subsection 46(3) of the Citizenship Act, which provides that the Citizenship Regulations may make provision for and in relation to the remission, refund or waiver of any fees of a kind referred to in paragraph 46(1)(d) of the Citizenship Act; and</w:t>
      </w:r>
    </w:p>
    <w:p w14:paraId="3EECC9A9" w14:textId="77777777" w:rsidR="00D94DC8" w:rsidRPr="00B6180D" w:rsidRDefault="00D94DC8" w:rsidP="000E3C74">
      <w:pPr>
        <w:tabs>
          <w:tab w:val="left" w:pos="345"/>
        </w:tabs>
        <w:spacing w:before="0"/>
        <w:ind w:right="42"/>
        <w:rPr>
          <w:szCs w:val="24"/>
        </w:rPr>
      </w:pPr>
    </w:p>
    <w:p w14:paraId="1D013143" w14:textId="0268767D" w:rsidR="00215B19" w:rsidRPr="00B6180D" w:rsidRDefault="00F9416F" w:rsidP="000E3C74">
      <w:pPr>
        <w:pStyle w:val="EMparagraph"/>
        <w:spacing w:after="0"/>
        <w:ind w:right="43"/>
        <w:rPr>
          <w:szCs w:val="24"/>
        </w:rPr>
      </w:pPr>
      <w:r>
        <w:rPr>
          <w:szCs w:val="24"/>
        </w:rPr>
        <w:t>S</w:t>
      </w:r>
      <w:r w:rsidR="00215B19" w:rsidRPr="00B6180D">
        <w:rPr>
          <w:szCs w:val="24"/>
        </w:rPr>
        <w:t xml:space="preserve">ection 270 of the </w:t>
      </w:r>
      <w:r w:rsidR="00215B19" w:rsidRPr="00B6180D">
        <w:rPr>
          <w:i/>
          <w:szCs w:val="24"/>
        </w:rPr>
        <w:t>Customs Act 1901</w:t>
      </w:r>
      <w:r w:rsidR="00215B19" w:rsidRPr="00B6180D">
        <w:rPr>
          <w:szCs w:val="24"/>
        </w:rPr>
        <w:t xml:space="preserve"> (the Customs Act) provides, in part, that the Governor</w:t>
      </w:r>
      <w:r w:rsidR="00215B19" w:rsidRPr="00B6180D">
        <w:rPr>
          <w:szCs w:val="24"/>
        </w:rPr>
        <w:noBreakHyphen/>
        <w:t xml:space="preserve">General may make regulations not inconsistent with the </w:t>
      </w:r>
      <w:r w:rsidR="0019466D">
        <w:rPr>
          <w:szCs w:val="24"/>
        </w:rPr>
        <w:t xml:space="preserve">Customs </w:t>
      </w:r>
      <w:r w:rsidR="00215B19" w:rsidRPr="00B6180D">
        <w:rPr>
          <w:szCs w:val="24"/>
        </w:rPr>
        <w:t xml:space="preserve">Act prescribing all matters which by the </w:t>
      </w:r>
      <w:r w:rsidR="0019466D">
        <w:rPr>
          <w:szCs w:val="24"/>
        </w:rPr>
        <w:t xml:space="preserve">Customs </w:t>
      </w:r>
      <w:r w:rsidR="00215B19" w:rsidRPr="00B6180D">
        <w:rPr>
          <w:szCs w:val="24"/>
        </w:rPr>
        <w:t xml:space="preserve">Act are required or permitted to be prescribed or as may be necessary or convenient to be prescribed for giving effect to the </w:t>
      </w:r>
      <w:r w:rsidR="0019466D">
        <w:rPr>
          <w:szCs w:val="24"/>
        </w:rPr>
        <w:t xml:space="preserve">Customs </w:t>
      </w:r>
      <w:r w:rsidR="00215B19" w:rsidRPr="00B6180D">
        <w:rPr>
          <w:szCs w:val="24"/>
        </w:rPr>
        <w:t>Act.</w:t>
      </w:r>
    </w:p>
    <w:p w14:paraId="51CB9B26" w14:textId="77777777" w:rsidR="00215B19" w:rsidRPr="00B6180D" w:rsidRDefault="00215B19" w:rsidP="000E3C74">
      <w:pPr>
        <w:tabs>
          <w:tab w:val="left" w:pos="345"/>
        </w:tabs>
        <w:spacing w:before="0"/>
        <w:ind w:right="43"/>
        <w:rPr>
          <w:szCs w:val="24"/>
        </w:rPr>
      </w:pPr>
    </w:p>
    <w:p w14:paraId="0B0BE968" w14:textId="77777777" w:rsidR="00215B19" w:rsidRPr="00B6180D" w:rsidRDefault="00215B19" w:rsidP="000E3C74">
      <w:pPr>
        <w:spacing w:before="0"/>
        <w:ind w:right="43"/>
        <w:rPr>
          <w:szCs w:val="24"/>
        </w:rPr>
      </w:pPr>
      <w:r w:rsidRPr="00B6180D">
        <w:rPr>
          <w:szCs w:val="24"/>
        </w:rPr>
        <w:t>In addition, the following provisions of the Customs Act may apply:</w:t>
      </w:r>
    </w:p>
    <w:p w14:paraId="63060422" w14:textId="77777777" w:rsidR="00215B19" w:rsidRPr="00B6180D" w:rsidRDefault="00215B19" w:rsidP="000E3C74">
      <w:pPr>
        <w:spacing w:before="0"/>
        <w:ind w:right="43"/>
        <w:rPr>
          <w:szCs w:val="24"/>
        </w:rPr>
      </w:pPr>
    </w:p>
    <w:p w14:paraId="78D985E2" w14:textId="77777777" w:rsidR="00215B19" w:rsidRPr="00B6180D" w:rsidRDefault="00215B19" w:rsidP="000E3C74">
      <w:pPr>
        <w:numPr>
          <w:ilvl w:val="0"/>
          <w:numId w:val="2"/>
        </w:numPr>
        <w:tabs>
          <w:tab w:val="left" w:pos="345"/>
        </w:tabs>
        <w:spacing w:before="0"/>
        <w:ind w:right="42"/>
        <w:rPr>
          <w:szCs w:val="24"/>
        </w:rPr>
      </w:pPr>
      <w:r w:rsidRPr="00B6180D">
        <w:rPr>
          <w:szCs w:val="24"/>
        </w:rPr>
        <w:t xml:space="preserve">subsection 28(1) of the Customs Act, which provides that the </w:t>
      </w:r>
      <w:r w:rsidR="00547D17" w:rsidRPr="00B6180D">
        <w:rPr>
          <w:szCs w:val="24"/>
        </w:rPr>
        <w:t xml:space="preserve">Citizenship </w:t>
      </w:r>
      <w:r w:rsidRPr="00B6180D">
        <w:rPr>
          <w:szCs w:val="24"/>
        </w:rPr>
        <w:t>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14:paraId="4BF220C4" w14:textId="77777777" w:rsidR="007B6614" w:rsidRPr="00B6180D" w:rsidRDefault="007B6614" w:rsidP="000E3C74">
      <w:pPr>
        <w:tabs>
          <w:tab w:val="left" w:pos="345"/>
        </w:tabs>
        <w:spacing w:before="0"/>
        <w:ind w:left="720" w:right="42"/>
        <w:rPr>
          <w:szCs w:val="24"/>
        </w:rPr>
      </w:pPr>
    </w:p>
    <w:p w14:paraId="22DFEE2D" w14:textId="77777777" w:rsidR="00215B19" w:rsidRPr="00B6180D" w:rsidRDefault="00215B19" w:rsidP="000E3C74">
      <w:pPr>
        <w:numPr>
          <w:ilvl w:val="0"/>
          <w:numId w:val="2"/>
        </w:numPr>
        <w:tabs>
          <w:tab w:val="left" w:pos="345"/>
        </w:tabs>
        <w:spacing w:before="0"/>
        <w:ind w:right="42"/>
        <w:rPr>
          <w:szCs w:val="24"/>
        </w:rPr>
      </w:pPr>
      <w:r w:rsidRPr="00B6180D">
        <w:rPr>
          <w:szCs w:val="24"/>
        </w:rPr>
        <w:t xml:space="preserve">subsection 28(2) of the Customs Act, which provides that if, at the request of a person, a Collector arranges for an officer to be available to perform a function at a place outside the hours prescribed for that function, the person must pay to Customs an overtime fee; </w:t>
      </w:r>
    </w:p>
    <w:p w14:paraId="03C0E834" w14:textId="77777777" w:rsidR="007B6614" w:rsidRPr="00B6180D" w:rsidRDefault="007B6614" w:rsidP="000E3C74">
      <w:pPr>
        <w:tabs>
          <w:tab w:val="left" w:pos="345"/>
        </w:tabs>
        <w:spacing w:before="0"/>
        <w:ind w:right="42"/>
        <w:rPr>
          <w:szCs w:val="24"/>
        </w:rPr>
      </w:pPr>
    </w:p>
    <w:p w14:paraId="1A98BAAE" w14:textId="77777777" w:rsidR="00215B19" w:rsidRPr="00B6180D" w:rsidRDefault="00215B19" w:rsidP="000E3C74">
      <w:pPr>
        <w:numPr>
          <w:ilvl w:val="0"/>
          <w:numId w:val="2"/>
        </w:numPr>
        <w:tabs>
          <w:tab w:val="left" w:pos="345"/>
        </w:tabs>
        <w:spacing w:before="0"/>
        <w:ind w:right="42"/>
        <w:rPr>
          <w:szCs w:val="24"/>
        </w:rPr>
      </w:pPr>
      <w:r w:rsidRPr="00B6180D">
        <w:rPr>
          <w:szCs w:val="24"/>
        </w:rPr>
        <w:t xml:space="preserve">subsection 28(3) of the Customs Act, which provides that the overtime fee in relation to the officer is: </w:t>
      </w:r>
    </w:p>
    <w:p w14:paraId="703E69FE" w14:textId="77777777" w:rsidR="00215B19" w:rsidRPr="00B6180D" w:rsidRDefault="00215B19" w:rsidP="000E3C74">
      <w:pPr>
        <w:pStyle w:val="Default"/>
        <w:ind w:left="720"/>
      </w:pPr>
      <w:r w:rsidRPr="00B6180D">
        <w:t xml:space="preserve">(a) $40 per hour or part hour during which the officer performs that function and engages in any related travel, or such other rate as is prescribed; and </w:t>
      </w:r>
    </w:p>
    <w:p w14:paraId="25752BBD" w14:textId="77777777" w:rsidR="00215B19" w:rsidRPr="00B6180D" w:rsidRDefault="00215B19" w:rsidP="000E3C74">
      <w:pPr>
        <w:tabs>
          <w:tab w:val="left" w:pos="345"/>
        </w:tabs>
        <w:spacing w:before="0"/>
        <w:ind w:left="720" w:right="42"/>
        <w:rPr>
          <w:szCs w:val="24"/>
        </w:rPr>
      </w:pPr>
      <w:r w:rsidRPr="00B6180D">
        <w:rPr>
          <w:szCs w:val="24"/>
        </w:rPr>
        <w:lastRenderedPageBreak/>
        <w:t>(b) any prescribed travel expense (at the rate prescribed) associated with the officer performing that function at that place; and</w:t>
      </w:r>
    </w:p>
    <w:p w14:paraId="1B1BABE2" w14:textId="77777777" w:rsidR="00215B19" w:rsidRPr="00B6180D" w:rsidRDefault="00215B19" w:rsidP="000E3C74">
      <w:pPr>
        <w:numPr>
          <w:ilvl w:val="0"/>
          <w:numId w:val="2"/>
        </w:numPr>
        <w:tabs>
          <w:tab w:val="left" w:pos="345"/>
        </w:tabs>
        <w:spacing w:before="0"/>
        <w:ind w:right="42"/>
        <w:rPr>
          <w:szCs w:val="24"/>
        </w:rPr>
      </w:pPr>
      <w:r w:rsidRPr="00B6180D">
        <w:rPr>
          <w:szCs w:val="24"/>
        </w:rPr>
        <w:t xml:space="preserve">subsection 28(4) of the Customs Act, which provides that if, at the request of a person, a Collector arranges for an officer to be available to perform a function: </w:t>
      </w:r>
    </w:p>
    <w:p w14:paraId="0F9DB5C0" w14:textId="77777777" w:rsidR="00215B19" w:rsidRPr="00B6180D" w:rsidRDefault="00215B19" w:rsidP="000E3C74">
      <w:pPr>
        <w:pStyle w:val="Default"/>
        <w:ind w:left="720"/>
      </w:pPr>
      <w:r w:rsidRPr="00B6180D">
        <w:t xml:space="preserve">(a) at a place that is not a place at which such a function is normally performed; and </w:t>
      </w:r>
    </w:p>
    <w:p w14:paraId="30524684" w14:textId="77777777" w:rsidR="00215B19" w:rsidRPr="00B6180D" w:rsidRDefault="00215B19" w:rsidP="000E3C74">
      <w:pPr>
        <w:pStyle w:val="Default"/>
        <w:ind w:left="720"/>
      </w:pPr>
      <w:r w:rsidRPr="00B6180D">
        <w:t xml:space="preserve">(b) during the hours prescribed for that function, the person must pay to Customs a location fee; and </w:t>
      </w:r>
    </w:p>
    <w:p w14:paraId="5F67FF88" w14:textId="77777777" w:rsidR="007B6614" w:rsidRPr="00B6180D" w:rsidRDefault="007B6614" w:rsidP="000E3C74">
      <w:pPr>
        <w:pStyle w:val="Default"/>
        <w:ind w:left="720"/>
      </w:pPr>
    </w:p>
    <w:p w14:paraId="33C2EC7C" w14:textId="77777777" w:rsidR="00215B19" w:rsidRPr="00B6180D" w:rsidRDefault="00215B19" w:rsidP="000E3C74">
      <w:pPr>
        <w:pStyle w:val="Default"/>
        <w:numPr>
          <w:ilvl w:val="0"/>
          <w:numId w:val="2"/>
        </w:numPr>
      </w:pPr>
      <w:r w:rsidRPr="00B6180D">
        <w:t xml:space="preserve">subsection 28(5) of the Customs Act, which provides that the location fee in relation to the officer is: </w:t>
      </w:r>
    </w:p>
    <w:p w14:paraId="57F70FFC" w14:textId="77777777" w:rsidR="00215B19" w:rsidRPr="00B6180D" w:rsidRDefault="00215B19" w:rsidP="000E3C74">
      <w:pPr>
        <w:pStyle w:val="Default"/>
        <w:ind w:left="720"/>
      </w:pPr>
      <w:r w:rsidRPr="00B6180D">
        <w:t xml:space="preserve">(a) $37 per hour or part hour during which the officer performs that function and engages in any related travel, or such other rate as is prescribed; and </w:t>
      </w:r>
    </w:p>
    <w:p w14:paraId="3C2D2691" w14:textId="77777777" w:rsidR="00215B19" w:rsidRPr="00B6180D" w:rsidRDefault="00215B19" w:rsidP="000E3C74">
      <w:pPr>
        <w:pStyle w:val="Default"/>
        <w:ind w:left="720"/>
      </w:pPr>
      <w:r w:rsidRPr="00B6180D">
        <w:t>(b) any prescribed travel expense (at the rate prescribed) associated with the officer performing that function at that place.</w:t>
      </w:r>
    </w:p>
    <w:p w14:paraId="2B2D515C" w14:textId="77777777" w:rsidR="008D1E30" w:rsidRPr="00B6180D" w:rsidRDefault="008D1E30" w:rsidP="000E3C74">
      <w:pPr>
        <w:pStyle w:val="Default"/>
        <w:ind w:left="720"/>
      </w:pPr>
    </w:p>
    <w:p w14:paraId="0496F13F" w14:textId="77777777" w:rsidR="008D1E30" w:rsidRPr="00B6180D" w:rsidRDefault="008D1E30" w:rsidP="000E3C74">
      <w:pPr>
        <w:spacing w:before="0"/>
        <w:rPr>
          <w:color w:val="000000"/>
          <w:szCs w:val="24"/>
        </w:rPr>
      </w:pPr>
      <w:r w:rsidRPr="00B6180D">
        <w:rPr>
          <w:szCs w:val="24"/>
        </w:rPr>
        <w:br w:type="page"/>
      </w:r>
    </w:p>
    <w:p w14:paraId="2DB1A18E" w14:textId="77777777" w:rsidR="008D1E30" w:rsidRPr="00B6180D" w:rsidRDefault="008D1E30" w:rsidP="000E3C74">
      <w:pPr>
        <w:pStyle w:val="Default"/>
        <w:ind w:left="720"/>
      </w:pPr>
    </w:p>
    <w:p w14:paraId="128F89BF" w14:textId="77777777" w:rsidR="00225AA7" w:rsidRPr="00B6180D" w:rsidRDefault="00225AA7" w:rsidP="000E3C74">
      <w:pPr>
        <w:pStyle w:val="Default"/>
        <w:ind w:right="-58"/>
        <w:jc w:val="right"/>
      </w:pPr>
      <w:r w:rsidRPr="00B6180D">
        <w:rPr>
          <w:b/>
          <w:bCs/>
          <w:u w:val="single"/>
        </w:rPr>
        <w:t xml:space="preserve">ATTACHMENT B </w:t>
      </w:r>
    </w:p>
    <w:p w14:paraId="27A430F7" w14:textId="77777777" w:rsidR="00225AA7" w:rsidRPr="00B6180D" w:rsidRDefault="00225AA7" w:rsidP="000E3C74">
      <w:pPr>
        <w:pStyle w:val="Default"/>
        <w:ind w:right="-58"/>
        <w:rPr>
          <w:b/>
          <w:bCs/>
        </w:rPr>
      </w:pPr>
    </w:p>
    <w:p w14:paraId="60F73FA2" w14:textId="77777777" w:rsidR="00225AA7" w:rsidRPr="00B6180D" w:rsidRDefault="00225AA7" w:rsidP="000E3C74">
      <w:pPr>
        <w:pStyle w:val="Default"/>
        <w:ind w:right="-58"/>
        <w:jc w:val="center"/>
      </w:pPr>
      <w:r w:rsidRPr="00B6180D">
        <w:rPr>
          <w:b/>
          <w:bCs/>
        </w:rPr>
        <w:t>Statement of Compatibility with Human Rights</w:t>
      </w:r>
    </w:p>
    <w:p w14:paraId="085103C5" w14:textId="77777777" w:rsidR="00225AA7" w:rsidRPr="00B6180D" w:rsidRDefault="00225AA7" w:rsidP="000E3C74">
      <w:pPr>
        <w:pStyle w:val="Default"/>
      </w:pPr>
    </w:p>
    <w:p w14:paraId="270A4ED8" w14:textId="77777777" w:rsidR="00225AA7" w:rsidRPr="00B6180D" w:rsidRDefault="00225AA7" w:rsidP="000E3C74">
      <w:pPr>
        <w:pStyle w:val="Default"/>
      </w:pPr>
      <w:r w:rsidRPr="00B6180D">
        <w:t xml:space="preserve">Prepared in accordance with Part 3 of the </w:t>
      </w:r>
      <w:r w:rsidRPr="00B6180D">
        <w:rPr>
          <w:i/>
          <w:iCs/>
        </w:rPr>
        <w:t>Human Rights (Parliamentary Scrutiny) Act 2011</w:t>
      </w:r>
    </w:p>
    <w:p w14:paraId="517F89BD" w14:textId="77777777" w:rsidR="00225AA7" w:rsidRPr="00B6180D" w:rsidRDefault="00225AA7" w:rsidP="000E3C74">
      <w:pPr>
        <w:pStyle w:val="Default"/>
      </w:pPr>
    </w:p>
    <w:p w14:paraId="24D3E643" w14:textId="77777777" w:rsidR="00225AA7" w:rsidRPr="00B6180D" w:rsidRDefault="00225AA7" w:rsidP="000E3C74">
      <w:pPr>
        <w:pStyle w:val="Default"/>
      </w:pPr>
      <w:r w:rsidRPr="00B6180D">
        <w:t xml:space="preserve">This Legislative Instrument is compatible with the human rights and freedoms recognised or declared in the international instruments listed in section 3 of the </w:t>
      </w:r>
      <w:r w:rsidRPr="00B6180D">
        <w:rPr>
          <w:i/>
          <w:iCs/>
        </w:rPr>
        <w:t>Human Rights (Parliamentary Scrutiny) Act 2011</w:t>
      </w:r>
      <w:r w:rsidRPr="00B6180D">
        <w:t>.</w:t>
      </w:r>
    </w:p>
    <w:p w14:paraId="70356091" w14:textId="77777777" w:rsidR="00225AA7" w:rsidRPr="00B6180D" w:rsidRDefault="00225AA7" w:rsidP="000E3C74">
      <w:pPr>
        <w:pStyle w:val="Default"/>
      </w:pPr>
    </w:p>
    <w:p w14:paraId="4AC69EC6" w14:textId="0F25B57B" w:rsidR="00225AA7" w:rsidRPr="00B425D7" w:rsidRDefault="00225AA7" w:rsidP="000E3C74">
      <w:pPr>
        <w:pStyle w:val="Default"/>
        <w:numPr>
          <w:ilvl w:val="0"/>
          <w:numId w:val="2"/>
        </w:numPr>
      </w:pPr>
      <w:r w:rsidRPr="00B6180D">
        <w:rPr>
          <w:b/>
          <w:bCs/>
        </w:rPr>
        <w:t xml:space="preserve">Schedule 1 – </w:t>
      </w:r>
      <w:r w:rsidR="00C06F60">
        <w:rPr>
          <w:b/>
          <w:bCs/>
        </w:rPr>
        <w:t xml:space="preserve">Amendments relating to </w:t>
      </w:r>
      <w:r w:rsidR="0061281F">
        <w:rPr>
          <w:b/>
          <w:bCs/>
        </w:rPr>
        <w:t>B</w:t>
      </w:r>
      <w:r w:rsidR="00897078">
        <w:rPr>
          <w:b/>
          <w:bCs/>
        </w:rPr>
        <w:t xml:space="preserve">ridging </w:t>
      </w:r>
      <w:r w:rsidR="00B425D7">
        <w:rPr>
          <w:b/>
          <w:bCs/>
        </w:rPr>
        <w:t xml:space="preserve">F and </w:t>
      </w:r>
      <w:r w:rsidR="0061281F">
        <w:rPr>
          <w:b/>
          <w:bCs/>
        </w:rPr>
        <w:t>R</w:t>
      </w:r>
      <w:r w:rsidR="00B425D7">
        <w:rPr>
          <w:b/>
          <w:bCs/>
        </w:rPr>
        <w:t xml:space="preserve">eferred </w:t>
      </w:r>
      <w:r w:rsidR="0061281F">
        <w:rPr>
          <w:b/>
          <w:bCs/>
        </w:rPr>
        <w:t>S</w:t>
      </w:r>
      <w:r w:rsidR="00B425D7">
        <w:rPr>
          <w:b/>
          <w:bCs/>
        </w:rPr>
        <w:t>tay visas</w:t>
      </w:r>
    </w:p>
    <w:p w14:paraId="40C5F4C3" w14:textId="77777777" w:rsidR="00B425D7" w:rsidRDefault="00B425D7" w:rsidP="000E3C74">
      <w:pPr>
        <w:pStyle w:val="Default"/>
        <w:rPr>
          <w:b/>
          <w:bCs/>
        </w:rPr>
      </w:pPr>
    </w:p>
    <w:p w14:paraId="054BA6B9" w14:textId="2FBAFE82" w:rsidR="00B425D7" w:rsidRPr="00B425D7" w:rsidRDefault="00B425D7" w:rsidP="000E3C74">
      <w:pPr>
        <w:pStyle w:val="Heading1"/>
        <w:spacing w:before="174"/>
        <w:rPr>
          <w:rFonts w:ascii="Times New Roman" w:hAnsi="Times New Roman" w:cs="Times New Roman"/>
          <w:b w:val="0"/>
          <w:bCs w:val="0"/>
          <w:color w:val="000000" w:themeColor="text1"/>
          <w:sz w:val="24"/>
          <w:szCs w:val="24"/>
        </w:rPr>
      </w:pPr>
      <w:r w:rsidRPr="00B425D7">
        <w:rPr>
          <w:rFonts w:ascii="Times New Roman" w:hAnsi="Times New Roman" w:cs="Times New Roman"/>
          <w:color w:val="000000" w:themeColor="text1"/>
          <w:spacing w:val="-1"/>
          <w:sz w:val="24"/>
          <w:szCs w:val="24"/>
        </w:rPr>
        <w:t>Overview</w:t>
      </w:r>
      <w:r w:rsidRPr="00B425D7">
        <w:rPr>
          <w:rFonts w:ascii="Times New Roman" w:hAnsi="Times New Roman" w:cs="Times New Roman"/>
          <w:color w:val="000000" w:themeColor="text1"/>
          <w:spacing w:val="1"/>
          <w:sz w:val="24"/>
          <w:szCs w:val="24"/>
        </w:rPr>
        <w:t xml:space="preserve"> </w:t>
      </w:r>
      <w:r w:rsidRPr="00B425D7">
        <w:rPr>
          <w:rFonts w:ascii="Times New Roman" w:hAnsi="Times New Roman" w:cs="Times New Roman"/>
          <w:color w:val="000000" w:themeColor="text1"/>
          <w:sz w:val="24"/>
          <w:szCs w:val="24"/>
        </w:rPr>
        <w:t>of</w:t>
      </w:r>
      <w:r w:rsidRPr="00B425D7">
        <w:rPr>
          <w:rFonts w:ascii="Times New Roman" w:hAnsi="Times New Roman" w:cs="Times New Roman"/>
          <w:color w:val="000000" w:themeColor="text1"/>
          <w:spacing w:val="1"/>
          <w:sz w:val="24"/>
          <w:szCs w:val="24"/>
        </w:rPr>
        <w:t xml:space="preserve"> </w:t>
      </w:r>
      <w:r w:rsidRPr="00B425D7">
        <w:rPr>
          <w:rFonts w:ascii="Times New Roman" w:hAnsi="Times New Roman" w:cs="Times New Roman"/>
          <w:color w:val="000000" w:themeColor="text1"/>
          <w:spacing w:val="-1"/>
          <w:sz w:val="24"/>
          <w:szCs w:val="24"/>
        </w:rPr>
        <w:t xml:space="preserve">the </w:t>
      </w:r>
      <w:r w:rsidR="008435B9">
        <w:rPr>
          <w:rFonts w:ascii="Times New Roman" w:hAnsi="Times New Roman" w:cs="Times New Roman"/>
          <w:color w:val="000000" w:themeColor="text1"/>
          <w:spacing w:val="-1"/>
          <w:sz w:val="24"/>
          <w:szCs w:val="24"/>
        </w:rPr>
        <w:t>Schedule</w:t>
      </w:r>
    </w:p>
    <w:p w14:paraId="4247BE6E" w14:textId="4F338709" w:rsidR="00B425D7" w:rsidRPr="00B425D7" w:rsidRDefault="00305732" w:rsidP="000E3C74">
      <w:pPr>
        <w:pStyle w:val="BodyText"/>
        <w:spacing w:before="156"/>
        <w:ind w:left="0"/>
        <w:rPr>
          <w:color w:val="000000" w:themeColor="text1"/>
          <w:sz w:val="24"/>
          <w:szCs w:val="24"/>
        </w:rPr>
      </w:pPr>
      <w:r>
        <w:rPr>
          <w:color w:val="000000" w:themeColor="text1"/>
          <w:sz w:val="24"/>
          <w:szCs w:val="24"/>
        </w:rPr>
        <w:t>Schedule 1</w:t>
      </w:r>
      <w:r w:rsidR="00B425D7" w:rsidRPr="00B425D7">
        <w:rPr>
          <w:color w:val="000000" w:themeColor="text1"/>
          <w:sz w:val="24"/>
          <w:szCs w:val="24"/>
        </w:rPr>
        <w:t xml:space="preserve"> </w:t>
      </w:r>
      <w:r w:rsidR="002A6BE0">
        <w:rPr>
          <w:color w:val="000000" w:themeColor="text1"/>
          <w:sz w:val="24"/>
          <w:szCs w:val="24"/>
        </w:rPr>
        <w:t>to the Regulation is</w:t>
      </w:r>
      <w:r w:rsidR="00B425D7" w:rsidRPr="00B425D7">
        <w:rPr>
          <w:color w:val="000000" w:themeColor="text1"/>
          <w:sz w:val="24"/>
          <w:szCs w:val="24"/>
        </w:rPr>
        <w:t xml:space="preserve"> designed to strengthen and streamline visa processes for victims of human trafficking. </w:t>
      </w:r>
    </w:p>
    <w:p w14:paraId="556156C7" w14:textId="7ED48C64" w:rsidR="00B425D7" w:rsidRPr="00B425D7" w:rsidRDefault="00B425D7" w:rsidP="000E3C74">
      <w:pPr>
        <w:pStyle w:val="BodyText"/>
        <w:spacing w:before="156"/>
        <w:ind w:left="0"/>
        <w:rPr>
          <w:color w:val="000000" w:themeColor="text1"/>
          <w:sz w:val="24"/>
          <w:szCs w:val="24"/>
        </w:rPr>
      </w:pPr>
      <w:r w:rsidRPr="00B425D7">
        <w:rPr>
          <w:color w:val="000000" w:themeColor="text1"/>
          <w:sz w:val="24"/>
          <w:szCs w:val="24"/>
        </w:rPr>
        <w:t xml:space="preserve">In particular, the amendments to the </w:t>
      </w:r>
      <w:r w:rsidRPr="00B425D7">
        <w:rPr>
          <w:i/>
          <w:color w:val="000000" w:themeColor="text1"/>
          <w:sz w:val="24"/>
          <w:szCs w:val="24"/>
        </w:rPr>
        <w:t>Migration Regulations 1994</w:t>
      </w:r>
      <w:r w:rsidRPr="00B425D7">
        <w:rPr>
          <w:color w:val="000000" w:themeColor="text1"/>
          <w:sz w:val="24"/>
          <w:szCs w:val="24"/>
        </w:rPr>
        <w:t xml:space="preserve">: </w:t>
      </w:r>
    </w:p>
    <w:p w14:paraId="124B01D0" w14:textId="77777777" w:rsidR="00B425D7" w:rsidRPr="00B425D7" w:rsidRDefault="00B425D7" w:rsidP="000E3C74">
      <w:pPr>
        <w:pStyle w:val="BodyText"/>
        <w:widowControl w:val="0"/>
        <w:numPr>
          <w:ilvl w:val="0"/>
          <w:numId w:val="25"/>
        </w:numPr>
        <w:autoSpaceDE/>
        <w:autoSpaceDN/>
        <w:spacing w:before="156"/>
        <w:ind w:left="709" w:hanging="709"/>
        <w:rPr>
          <w:color w:val="000000" w:themeColor="text1"/>
          <w:sz w:val="24"/>
          <w:szCs w:val="24"/>
        </w:rPr>
      </w:pPr>
      <w:r w:rsidRPr="00B425D7">
        <w:rPr>
          <w:color w:val="000000" w:themeColor="text1"/>
          <w:sz w:val="24"/>
          <w:szCs w:val="24"/>
        </w:rPr>
        <w:t>introduce a streamlined and simplified pathway to allow victims of trafficking to participate in the administration of criminal justice;</w:t>
      </w:r>
    </w:p>
    <w:p w14:paraId="62914328" w14:textId="77777777" w:rsidR="00B425D7" w:rsidRPr="00B425D7" w:rsidRDefault="00B425D7" w:rsidP="000E3C74">
      <w:pPr>
        <w:pStyle w:val="BodyText"/>
        <w:widowControl w:val="0"/>
        <w:numPr>
          <w:ilvl w:val="0"/>
          <w:numId w:val="25"/>
        </w:numPr>
        <w:autoSpaceDE/>
        <w:autoSpaceDN/>
        <w:spacing w:before="156"/>
        <w:ind w:left="709" w:hanging="709"/>
        <w:rPr>
          <w:color w:val="000000" w:themeColor="text1"/>
          <w:sz w:val="24"/>
          <w:szCs w:val="24"/>
        </w:rPr>
      </w:pPr>
      <w:r w:rsidRPr="00B425D7">
        <w:rPr>
          <w:color w:val="000000" w:themeColor="text1"/>
          <w:sz w:val="24"/>
          <w:szCs w:val="24"/>
        </w:rPr>
        <w:t xml:space="preserve">restructure the Bridging F (subclass 060) visa (BVF) to provide a simpler, more appropriate visa for this cohort with greater access to services and benefits; </w:t>
      </w:r>
    </w:p>
    <w:p w14:paraId="79CA3104" w14:textId="77777777" w:rsidR="00B425D7" w:rsidRPr="00B425D7" w:rsidRDefault="00B425D7" w:rsidP="000E3C74">
      <w:pPr>
        <w:pStyle w:val="BodyText"/>
        <w:widowControl w:val="0"/>
        <w:numPr>
          <w:ilvl w:val="0"/>
          <w:numId w:val="25"/>
        </w:numPr>
        <w:autoSpaceDE/>
        <w:autoSpaceDN/>
        <w:spacing w:before="156"/>
        <w:ind w:left="709" w:hanging="709"/>
        <w:rPr>
          <w:color w:val="000000" w:themeColor="text1"/>
          <w:sz w:val="24"/>
          <w:szCs w:val="24"/>
        </w:rPr>
      </w:pPr>
      <w:r w:rsidRPr="00B425D7">
        <w:rPr>
          <w:color w:val="000000" w:themeColor="text1"/>
          <w:sz w:val="24"/>
          <w:szCs w:val="24"/>
        </w:rPr>
        <w:t xml:space="preserve">provide the foundation to offer specifically targeted support services to this cohort, such as the Adult Migrant English Programme, that cannot be extended to victims on a </w:t>
      </w:r>
      <w:r w:rsidRPr="00B425D7">
        <w:rPr>
          <w:color w:val="000000" w:themeColor="text1"/>
          <w:spacing w:val="-1"/>
          <w:sz w:val="24"/>
          <w:szCs w:val="24"/>
        </w:rPr>
        <w:t>Criminal Justice Stay (Subclass 951) visa</w:t>
      </w:r>
      <w:r w:rsidRPr="00B425D7">
        <w:rPr>
          <w:color w:val="000000" w:themeColor="text1"/>
          <w:sz w:val="24"/>
          <w:szCs w:val="24"/>
        </w:rPr>
        <w:t xml:space="preserve"> (CJSV); and</w:t>
      </w:r>
    </w:p>
    <w:p w14:paraId="5CC75E56" w14:textId="77777777" w:rsidR="00B425D7" w:rsidRPr="00B425D7" w:rsidRDefault="00B425D7" w:rsidP="000E3C74">
      <w:pPr>
        <w:pStyle w:val="BodyText"/>
        <w:widowControl w:val="0"/>
        <w:numPr>
          <w:ilvl w:val="0"/>
          <w:numId w:val="25"/>
        </w:numPr>
        <w:autoSpaceDE/>
        <w:autoSpaceDN/>
        <w:spacing w:before="156"/>
        <w:ind w:left="709" w:hanging="709"/>
        <w:rPr>
          <w:color w:val="000000" w:themeColor="text1"/>
          <w:sz w:val="24"/>
          <w:szCs w:val="24"/>
        </w:rPr>
      </w:pPr>
      <w:r w:rsidRPr="00B425D7">
        <w:rPr>
          <w:color w:val="000000" w:themeColor="text1"/>
          <w:sz w:val="24"/>
          <w:szCs w:val="24"/>
        </w:rPr>
        <w:t>rename the ‘Witness Protection (Trafficking) (Permanent) (DH) visa’ (WPTV) to the ‘Referred Stay (Permanent) (DH) visa’ to address concerns of stigmatisation.</w:t>
      </w:r>
    </w:p>
    <w:p w14:paraId="677AFB0E" w14:textId="77777777" w:rsidR="00B425D7" w:rsidRPr="00B425D7" w:rsidRDefault="00B425D7" w:rsidP="000E3C74">
      <w:pPr>
        <w:pStyle w:val="BodyText"/>
        <w:spacing w:before="156"/>
        <w:ind w:left="0"/>
        <w:rPr>
          <w:color w:val="000000" w:themeColor="text1"/>
          <w:sz w:val="24"/>
          <w:szCs w:val="24"/>
        </w:rPr>
      </w:pPr>
      <w:r w:rsidRPr="00B425D7">
        <w:rPr>
          <w:color w:val="000000" w:themeColor="text1"/>
          <w:sz w:val="24"/>
          <w:szCs w:val="24"/>
        </w:rPr>
        <w:t>Redesigning the BVF will obviate the need to use the CJSV for trafficked people, as concerns have been raised that the name of this visa is also stigmatising. The amendments also complement the Government’s agenda by eliminating the use of CJSVs for victims of trafficking.</w:t>
      </w:r>
    </w:p>
    <w:p w14:paraId="73FE44EA" w14:textId="77777777" w:rsidR="00B425D7" w:rsidRPr="00B425D7" w:rsidRDefault="00B425D7" w:rsidP="000E3C74">
      <w:pPr>
        <w:pStyle w:val="Heading1"/>
        <w:spacing w:before="174"/>
        <w:rPr>
          <w:rFonts w:ascii="Times New Roman" w:hAnsi="Times New Roman" w:cs="Times New Roman"/>
          <w:color w:val="000000" w:themeColor="text1"/>
          <w:spacing w:val="-1"/>
          <w:sz w:val="24"/>
          <w:szCs w:val="24"/>
        </w:rPr>
      </w:pPr>
    </w:p>
    <w:p w14:paraId="7CA6B65F" w14:textId="77777777" w:rsidR="00B425D7" w:rsidRPr="00B425D7" w:rsidRDefault="00B425D7" w:rsidP="000E3C74">
      <w:pPr>
        <w:pStyle w:val="Heading1"/>
        <w:spacing w:before="174"/>
        <w:rPr>
          <w:rFonts w:ascii="Times New Roman" w:hAnsi="Times New Roman" w:cs="Times New Roman"/>
          <w:color w:val="000000" w:themeColor="text1"/>
          <w:spacing w:val="-1"/>
          <w:sz w:val="24"/>
          <w:szCs w:val="24"/>
        </w:rPr>
      </w:pPr>
      <w:r w:rsidRPr="00B425D7">
        <w:rPr>
          <w:rFonts w:ascii="Times New Roman" w:hAnsi="Times New Roman" w:cs="Times New Roman"/>
          <w:color w:val="000000" w:themeColor="text1"/>
          <w:spacing w:val="-1"/>
          <w:sz w:val="24"/>
          <w:szCs w:val="24"/>
        </w:rPr>
        <w:t>Human rights implications</w:t>
      </w:r>
    </w:p>
    <w:p w14:paraId="22AF53F9" w14:textId="77777777" w:rsidR="00B425D7" w:rsidRPr="00B425D7" w:rsidRDefault="00B425D7" w:rsidP="000E3C74">
      <w:pPr>
        <w:pStyle w:val="Heading1"/>
        <w:spacing w:before="174"/>
        <w:rPr>
          <w:rFonts w:ascii="Times New Roman" w:hAnsi="Times New Roman" w:cs="Times New Roman"/>
          <w:color w:val="000000" w:themeColor="text1"/>
          <w:spacing w:val="-1"/>
          <w:sz w:val="24"/>
          <w:szCs w:val="24"/>
          <w:u w:val="single"/>
        </w:rPr>
      </w:pPr>
      <w:r w:rsidRPr="00B425D7">
        <w:rPr>
          <w:rFonts w:ascii="Times New Roman" w:hAnsi="Times New Roman" w:cs="Times New Roman"/>
          <w:b w:val="0"/>
          <w:i/>
          <w:color w:val="000000" w:themeColor="text1"/>
          <w:spacing w:val="-1"/>
          <w:sz w:val="24"/>
          <w:szCs w:val="24"/>
          <w:u w:val="single"/>
        </w:rPr>
        <w:t>Right to freedom from slavery and forced labour</w:t>
      </w:r>
    </w:p>
    <w:p w14:paraId="3B353BDE" w14:textId="77777777" w:rsidR="00B425D7" w:rsidRPr="00B425D7" w:rsidRDefault="00B425D7" w:rsidP="000E3C74">
      <w:pPr>
        <w:pStyle w:val="BodyText"/>
        <w:spacing w:before="156"/>
        <w:ind w:left="0"/>
        <w:rPr>
          <w:color w:val="000000" w:themeColor="text1"/>
          <w:sz w:val="24"/>
          <w:szCs w:val="24"/>
        </w:rPr>
      </w:pPr>
      <w:r w:rsidRPr="00B425D7">
        <w:rPr>
          <w:color w:val="000000" w:themeColor="text1"/>
          <w:sz w:val="24"/>
          <w:szCs w:val="24"/>
        </w:rPr>
        <w:t>Article 8 of the International Covenant on Civil and Political Rights (ICCPR) provides in part:</w:t>
      </w:r>
    </w:p>
    <w:p w14:paraId="04468746" w14:textId="77777777" w:rsidR="00B425D7" w:rsidRPr="00B425D7" w:rsidRDefault="00B425D7" w:rsidP="000E3C74">
      <w:pPr>
        <w:pStyle w:val="BodyText"/>
        <w:widowControl w:val="0"/>
        <w:numPr>
          <w:ilvl w:val="0"/>
          <w:numId w:val="26"/>
        </w:numPr>
        <w:autoSpaceDE/>
        <w:autoSpaceDN/>
        <w:rPr>
          <w:i/>
          <w:color w:val="000000" w:themeColor="text1"/>
          <w:sz w:val="24"/>
          <w:szCs w:val="24"/>
        </w:rPr>
      </w:pPr>
      <w:r w:rsidRPr="00B425D7">
        <w:rPr>
          <w:i/>
          <w:color w:val="000000" w:themeColor="text1"/>
          <w:sz w:val="24"/>
          <w:szCs w:val="24"/>
        </w:rPr>
        <w:t>No one shall be held in slavery; slavery and the slave-trade in all their forms shall be prohibited.</w:t>
      </w:r>
    </w:p>
    <w:p w14:paraId="20C030D1" w14:textId="77777777" w:rsidR="00B425D7" w:rsidRPr="00B425D7" w:rsidRDefault="00B425D7" w:rsidP="000E3C74">
      <w:pPr>
        <w:pStyle w:val="BodyText"/>
        <w:widowControl w:val="0"/>
        <w:numPr>
          <w:ilvl w:val="0"/>
          <w:numId w:val="26"/>
        </w:numPr>
        <w:autoSpaceDE/>
        <w:autoSpaceDN/>
        <w:rPr>
          <w:i/>
          <w:color w:val="000000" w:themeColor="text1"/>
          <w:sz w:val="24"/>
          <w:szCs w:val="24"/>
        </w:rPr>
      </w:pPr>
      <w:r w:rsidRPr="00B425D7">
        <w:rPr>
          <w:i/>
          <w:color w:val="000000" w:themeColor="text1"/>
          <w:sz w:val="24"/>
          <w:szCs w:val="24"/>
        </w:rPr>
        <w:t>No one shall be held in servitude.</w:t>
      </w:r>
    </w:p>
    <w:p w14:paraId="081D9819" w14:textId="77777777" w:rsidR="00B425D7" w:rsidRPr="00B425D7" w:rsidRDefault="00B425D7" w:rsidP="000E3C74">
      <w:pPr>
        <w:pStyle w:val="BodyText"/>
        <w:widowControl w:val="0"/>
        <w:numPr>
          <w:ilvl w:val="0"/>
          <w:numId w:val="26"/>
        </w:numPr>
        <w:autoSpaceDE/>
        <w:autoSpaceDN/>
        <w:rPr>
          <w:color w:val="000000" w:themeColor="text1"/>
          <w:sz w:val="24"/>
          <w:szCs w:val="24"/>
        </w:rPr>
      </w:pPr>
      <w:r w:rsidRPr="00B425D7">
        <w:rPr>
          <w:i/>
          <w:color w:val="000000" w:themeColor="text1"/>
          <w:sz w:val="24"/>
          <w:szCs w:val="24"/>
        </w:rPr>
        <w:t>a) No one shall be required to perform forced or compulsory labour…</w:t>
      </w:r>
    </w:p>
    <w:p w14:paraId="7260A636" w14:textId="47A4BC4F" w:rsidR="00B425D7" w:rsidRPr="00B425D7" w:rsidRDefault="00B425D7" w:rsidP="00D030EF">
      <w:pPr>
        <w:pStyle w:val="BodyText"/>
        <w:spacing w:before="156"/>
        <w:ind w:left="0"/>
        <w:rPr>
          <w:color w:val="000000" w:themeColor="text1"/>
          <w:spacing w:val="-1"/>
          <w:sz w:val="24"/>
          <w:szCs w:val="24"/>
        </w:rPr>
      </w:pPr>
      <w:r w:rsidRPr="00B425D7">
        <w:rPr>
          <w:color w:val="000000" w:themeColor="text1"/>
          <w:spacing w:val="-1"/>
          <w:sz w:val="24"/>
          <w:szCs w:val="24"/>
        </w:rPr>
        <w:t>The amendments to the BVF will provide an exclusive visa class and subclass for the cohort of people who are victims or suspected victims of human trafficking</w:t>
      </w:r>
      <w:r w:rsidR="0061281F">
        <w:rPr>
          <w:color w:val="000000" w:themeColor="text1"/>
          <w:spacing w:val="-1"/>
          <w:sz w:val="24"/>
          <w:szCs w:val="24"/>
        </w:rPr>
        <w:t xml:space="preserve">, slavery or </w:t>
      </w:r>
      <w:r w:rsidR="0061281F">
        <w:rPr>
          <w:color w:val="000000" w:themeColor="text1"/>
          <w:spacing w:val="-1"/>
          <w:sz w:val="24"/>
          <w:szCs w:val="24"/>
        </w:rPr>
        <w:lastRenderedPageBreak/>
        <w:t>slavery-like practices</w:t>
      </w:r>
      <w:r w:rsidR="005722A4">
        <w:rPr>
          <w:color w:val="000000" w:themeColor="text1"/>
          <w:spacing w:val="-1"/>
          <w:sz w:val="24"/>
          <w:szCs w:val="24"/>
        </w:rPr>
        <w:t xml:space="preserve"> (human trafficking)</w:t>
      </w:r>
      <w:r w:rsidRPr="00B425D7">
        <w:rPr>
          <w:color w:val="000000" w:themeColor="text1"/>
          <w:spacing w:val="-1"/>
          <w:sz w:val="24"/>
          <w:szCs w:val="24"/>
        </w:rPr>
        <w:t xml:space="preserve">. The restructuring of the BVF will remove the need for victims of human trafficking to be granted a CJSV in the future, which is currently the visa granted to all persons  assisting the Australian Government with the administration of criminal justice in relation to an offence against a law of the Commonwealth (including those suspected of committing crimes). The redesigned BVF will incorporate similar criteria and the same benefits as the CJSV, but will also provide access to additional support services such as access to the Adult Migrant English Programme. </w:t>
      </w:r>
    </w:p>
    <w:p w14:paraId="00D54920" w14:textId="30A3FE28" w:rsidR="00B425D7" w:rsidRPr="00B425D7" w:rsidRDefault="00B425D7" w:rsidP="00D030EF">
      <w:pPr>
        <w:pStyle w:val="BodyText"/>
        <w:spacing w:before="156"/>
        <w:ind w:left="0"/>
        <w:rPr>
          <w:color w:val="000000" w:themeColor="text1"/>
          <w:spacing w:val="-1"/>
          <w:sz w:val="24"/>
          <w:szCs w:val="24"/>
        </w:rPr>
      </w:pPr>
      <w:r w:rsidRPr="00B425D7">
        <w:rPr>
          <w:color w:val="000000" w:themeColor="text1"/>
          <w:spacing w:val="-1"/>
          <w:sz w:val="24"/>
          <w:szCs w:val="24"/>
        </w:rPr>
        <w:t>The amendments ensure that victims of human trafficking are extended access to health and income support services so that they may rest and recover from trauma</w:t>
      </w:r>
      <w:r w:rsidR="005722A4">
        <w:rPr>
          <w:color w:val="000000" w:themeColor="text1"/>
          <w:spacing w:val="-1"/>
          <w:sz w:val="24"/>
          <w:szCs w:val="24"/>
        </w:rPr>
        <w:t xml:space="preserve"> and be supported during their assistance </w:t>
      </w:r>
      <w:r w:rsidR="00080D00">
        <w:rPr>
          <w:color w:val="000000" w:themeColor="text1"/>
          <w:spacing w:val="-1"/>
          <w:sz w:val="24"/>
          <w:szCs w:val="24"/>
        </w:rPr>
        <w:t xml:space="preserve">in </w:t>
      </w:r>
      <w:r w:rsidR="005722A4">
        <w:rPr>
          <w:color w:val="000000" w:themeColor="text1"/>
          <w:spacing w:val="-1"/>
          <w:sz w:val="24"/>
          <w:szCs w:val="24"/>
        </w:rPr>
        <w:t>the administration of criminal justice</w:t>
      </w:r>
      <w:r w:rsidRPr="00B425D7">
        <w:rPr>
          <w:color w:val="000000" w:themeColor="text1"/>
          <w:spacing w:val="-1"/>
          <w:sz w:val="24"/>
          <w:szCs w:val="24"/>
        </w:rPr>
        <w:t xml:space="preserve">. </w:t>
      </w:r>
    </w:p>
    <w:p w14:paraId="11630C7F" w14:textId="00E78439" w:rsidR="00B425D7" w:rsidRDefault="00B425D7" w:rsidP="00D030EF">
      <w:pPr>
        <w:pStyle w:val="BodyText"/>
        <w:spacing w:before="156"/>
        <w:ind w:left="0"/>
        <w:rPr>
          <w:color w:val="000000" w:themeColor="text1"/>
          <w:spacing w:val="-1"/>
          <w:sz w:val="24"/>
          <w:szCs w:val="24"/>
        </w:rPr>
      </w:pPr>
      <w:r w:rsidRPr="00B425D7">
        <w:rPr>
          <w:color w:val="000000" w:themeColor="text1"/>
          <w:spacing w:val="-1"/>
          <w:sz w:val="24"/>
          <w:szCs w:val="24"/>
        </w:rPr>
        <w:t xml:space="preserve">Renaming the WPTV, the permanent visa for human trafficking victims, and redesigning the BVF addresses concerns which have been raised by non-government organisations that the visa names may stigmatise visa holders. Hence, the </w:t>
      </w:r>
      <w:r w:rsidR="00D4675D">
        <w:rPr>
          <w:color w:val="000000" w:themeColor="text1"/>
          <w:spacing w:val="-1"/>
          <w:sz w:val="24"/>
          <w:szCs w:val="24"/>
        </w:rPr>
        <w:t>amendments</w:t>
      </w:r>
      <w:r w:rsidRPr="00B425D7">
        <w:rPr>
          <w:color w:val="000000" w:themeColor="text1"/>
          <w:spacing w:val="-1"/>
          <w:sz w:val="24"/>
          <w:szCs w:val="24"/>
        </w:rPr>
        <w:t xml:space="preserve"> are compatible with Article 8 of the ICCPR and advance human rights by providing human trafficking victims with greater access to benefits. </w:t>
      </w:r>
    </w:p>
    <w:p w14:paraId="1FE31CA3" w14:textId="77777777" w:rsidR="00B425D7" w:rsidRPr="00B425D7" w:rsidRDefault="00B425D7" w:rsidP="00D030EF">
      <w:pPr>
        <w:pStyle w:val="BodyText"/>
        <w:spacing w:before="156"/>
        <w:ind w:left="0"/>
        <w:rPr>
          <w:b/>
          <w:color w:val="000000" w:themeColor="text1"/>
          <w:spacing w:val="-1"/>
          <w:sz w:val="24"/>
          <w:szCs w:val="24"/>
        </w:rPr>
      </w:pPr>
      <w:r w:rsidRPr="00B425D7">
        <w:rPr>
          <w:b/>
          <w:color w:val="000000" w:themeColor="text1"/>
          <w:sz w:val="24"/>
          <w:szCs w:val="24"/>
        </w:rPr>
        <w:t>Conclusion</w:t>
      </w:r>
    </w:p>
    <w:p w14:paraId="66CE568B" w14:textId="4CC83E05" w:rsidR="00B425D7" w:rsidRDefault="00B425D7" w:rsidP="00D030EF">
      <w:pPr>
        <w:pStyle w:val="BodyText"/>
        <w:spacing w:before="156"/>
        <w:ind w:left="0"/>
        <w:rPr>
          <w:color w:val="000000" w:themeColor="text1"/>
          <w:sz w:val="24"/>
          <w:szCs w:val="24"/>
        </w:rPr>
      </w:pPr>
      <w:r w:rsidRPr="00B425D7">
        <w:rPr>
          <w:color w:val="000000" w:themeColor="text1"/>
          <w:sz w:val="24"/>
          <w:szCs w:val="24"/>
        </w:rPr>
        <w:t>The</w:t>
      </w:r>
      <w:r w:rsidRPr="00B425D7">
        <w:rPr>
          <w:color w:val="000000" w:themeColor="text1"/>
          <w:spacing w:val="-2"/>
          <w:sz w:val="24"/>
          <w:szCs w:val="24"/>
        </w:rPr>
        <w:t xml:space="preserve"> </w:t>
      </w:r>
      <w:r w:rsidRPr="00B425D7">
        <w:rPr>
          <w:color w:val="000000" w:themeColor="text1"/>
          <w:spacing w:val="-1"/>
          <w:sz w:val="24"/>
          <w:szCs w:val="24"/>
        </w:rPr>
        <w:t>amendments advance</w:t>
      </w:r>
      <w:r w:rsidRPr="00B425D7">
        <w:rPr>
          <w:color w:val="000000" w:themeColor="text1"/>
          <w:sz w:val="24"/>
          <w:szCs w:val="24"/>
        </w:rPr>
        <w:t xml:space="preserve"> the</w:t>
      </w:r>
      <w:r w:rsidRPr="00B425D7">
        <w:rPr>
          <w:color w:val="000000" w:themeColor="text1"/>
          <w:spacing w:val="97"/>
          <w:sz w:val="24"/>
          <w:szCs w:val="24"/>
        </w:rPr>
        <w:t xml:space="preserve"> </w:t>
      </w:r>
      <w:r w:rsidRPr="00B425D7">
        <w:rPr>
          <w:color w:val="000000" w:themeColor="text1"/>
          <w:spacing w:val="-1"/>
          <w:sz w:val="24"/>
          <w:szCs w:val="24"/>
        </w:rPr>
        <w:t>protection</w:t>
      </w:r>
      <w:r w:rsidRPr="00B425D7">
        <w:rPr>
          <w:color w:val="000000" w:themeColor="text1"/>
          <w:sz w:val="24"/>
          <w:szCs w:val="24"/>
        </w:rPr>
        <w:t xml:space="preserve"> of</w:t>
      </w:r>
      <w:r w:rsidRPr="00B425D7">
        <w:rPr>
          <w:color w:val="000000" w:themeColor="text1"/>
          <w:spacing w:val="-1"/>
          <w:sz w:val="24"/>
          <w:szCs w:val="24"/>
        </w:rPr>
        <w:t xml:space="preserve"> </w:t>
      </w:r>
      <w:r w:rsidRPr="00B425D7">
        <w:rPr>
          <w:color w:val="000000" w:themeColor="text1"/>
          <w:sz w:val="24"/>
          <w:szCs w:val="24"/>
        </w:rPr>
        <w:t>human rights</w:t>
      </w:r>
      <w:r w:rsidRPr="00B425D7">
        <w:rPr>
          <w:color w:val="000000" w:themeColor="text1"/>
          <w:spacing w:val="-1"/>
          <w:sz w:val="24"/>
          <w:szCs w:val="24"/>
        </w:rPr>
        <w:t xml:space="preserve"> and are</w:t>
      </w:r>
      <w:r w:rsidRPr="00B425D7">
        <w:rPr>
          <w:color w:val="000000" w:themeColor="text1"/>
          <w:sz w:val="24"/>
          <w:szCs w:val="24"/>
        </w:rPr>
        <w:t xml:space="preserve"> </w:t>
      </w:r>
      <w:r w:rsidRPr="00B425D7">
        <w:rPr>
          <w:color w:val="000000" w:themeColor="text1"/>
          <w:spacing w:val="-1"/>
          <w:sz w:val="24"/>
          <w:szCs w:val="24"/>
        </w:rPr>
        <w:t xml:space="preserve">compatible </w:t>
      </w:r>
      <w:r w:rsidRPr="00B425D7">
        <w:rPr>
          <w:color w:val="000000" w:themeColor="text1"/>
          <w:sz w:val="24"/>
          <w:szCs w:val="24"/>
        </w:rPr>
        <w:t xml:space="preserve">with </w:t>
      </w:r>
      <w:r w:rsidRPr="00B425D7">
        <w:rPr>
          <w:color w:val="000000" w:themeColor="text1"/>
          <w:spacing w:val="-1"/>
          <w:sz w:val="24"/>
          <w:szCs w:val="24"/>
        </w:rPr>
        <w:t>human</w:t>
      </w:r>
      <w:r w:rsidRPr="00B425D7">
        <w:rPr>
          <w:color w:val="000000" w:themeColor="text1"/>
          <w:sz w:val="24"/>
          <w:szCs w:val="24"/>
        </w:rPr>
        <w:t xml:space="preserve"> </w:t>
      </w:r>
      <w:r w:rsidRPr="00B425D7">
        <w:rPr>
          <w:color w:val="000000" w:themeColor="text1"/>
          <w:spacing w:val="-1"/>
          <w:sz w:val="24"/>
          <w:szCs w:val="24"/>
        </w:rPr>
        <w:t>rights</w:t>
      </w:r>
      <w:r w:rsidRPr="00B425D7">
        <w:rPr>
          <w:color w:val="000000" w:themeColor="text1"/>
          <w:sz w:val="24"/>
          <w:szCs w:val="24"/>
        </w:rPr>
        <w:t xml:space="preserve"> for the reasons outlined above.</w:t>
      </w:r>
    </w:p>
    <w:p w14:paraId="14DAF2F8" w14:textId="77777777" w:rsidR="00B425D7" w:rsidRPr="00B425D7" w:rsidRDefault="00B425D7" w:rsidP="00D030EF">
      <w:pPr>
        <w:pStyle w:val="BodyText"/>
        <w:spacing w:before="156"/>
        <w:ind w:left="0"/>
        <w:rPr>
          <w:color w:val="000000" w:themeColor="text1"/>
          <w:sz w:val="24"/>
          <w:szCs w:val="24"/>
        </w:rPr>
      </w:pPr>
    </w:p>
    <w:p w14:paraId="2EA7D56F" w14:textId="77777777" w:rsidR="00225AA7" w:rsidRDefault="00225AA7" w:rsidP="000E3C74">
      <w:pPr>
        <w:pStyle w:val="Default"/>
        <w:numPr>
          <w:ilvl w:val="0"/>
          <w:numId w:val="2"/>
        </w:numPr>
        <w:rPr>
          <w:b/>
          <w:bCs/>
        </w:rPr>
      </w:pPr>
      <w:r w:rsidRPr="00B6180D">
        <w:rPr>
          <w:b/>
          <w:bCs/>
        </w:rPr>
        <w:t xml:space="preserve">Schedule 2 – </w:t>
      </w:r>
      <w:r w:rsidR="00601AFD">
        <w:rPr>
          <w:b/>
          <w:bCs/>
        </w:rPr>
        <w:t>Amendments relating to reporting on departing passengers and crew</w:t>
      </w:r>
    </w:p>
    <w:p w14:paraId="77B3C5C8" w14:textId="77777777" w:rsidR="00601AFD" w:rsidRPr="00416F40" w:rsidRDefault="00601AFD" w:rsidP="000E3C74">
      <w:pPr>
        <w:spacing w:before="120" w:after="120"/>
        <w:jc w:val="both"/>
        <w:rPr>
          <w:b/>
          <w:szCs w:val="24"/>
        </w:rPr>
      </w:pPr>
      <w:r w:rsidRPr="00416F40">
        <w:rPr>
          <w:b/>
          <w:szCs w:val="24"/>
        </w:rPr>
        <w:t xml:space="preserve">Overview of the </w:t>
      </w:r>
      <w:r>
        <w:rPr>
          <w:b/>
          <w:szCs w:val="24"/>
        </w:rPr>
        <w:t>Schedule</w:t>
      </w:r>
    </w:p>
    <w:p w14:paraId="46B78E47" w14:textId="77777777" w:rsidR="00601AFD" w:rsidRPr="00416F40" w:rsidRDefault="00601AFD" w:rsidP="000E3C74">
      <w:pPr>
        <w:rPr>
          <w:szCs w:val="24"/>
        </w:rPr>
      </w:pPr>
      <w:r w:rsidRPr="00416F40">
        <w:rPr>
          <w:szCs w:val="24"/>
        </w:rPr>
        <w:t xml:space="preserve">In January 2003, Australia introduced mandatory Advance Passenger Processing (APP).  Under these arrangements, international passenger aircraft and international passenger cruise ships must provide the Department of Immigration and Border Protection with information on all travellers (passengers and crew), including all transit passengers travelling to Australia.  This information is collected at check-in through an approved reporting system (the APP system).  The data transmitted to Australia is cross-checked against Australia’s immigration databases.  APP enhances Australia’s border security as it confirms that a traveller has the authority to travel to Australia APP prior to the passenger boarding a flight.  APP data is also transmitted to Australia for the use by border agencies prior to the arrival of the aircraft.       </w:t>
      </w:r>
    </w:p>
    <w:p w14:paraId="0ADA271E" w14:textId="35ABB999" w:rsidR="00601AFD" w:rsidRPr="00416F40" w:rsidRDefault="00601AFD" w:rsidP="000E3C74">
      <w:pPr>
        <w:rPr>
          <w:szCs w:val="24"/>
        </w:rPr>
      </w:pPr>
      <w:r w:rsidRPr="00416F40">
        <w:rPr>
          <w:szCs w:val="24"/>
        </w:rPr>
        <w:t xml:space="preserve">For travellers arriving in Australia, Division 12B of Part 2 of the </w:t>
      </w:r>
      <w:r w:rsidRPr="00416F40">
        <w:rPr>
          <w:i/>
          <w:szCs w:val="24"/>
        </w:rPr>
        <w:t>Migration Act 1958</w:t>
      </w:r>
      <w:r w:rsidRPr="00416F40">
        <w:rPr>
          <w:szCs w:val="24"/>
        </w:rPr>
        <w:t xml:space="preserve"> </w:t>
      </w:r>
      <w:r w:rsidR="00F9416F">
        <w:rPr>
          <w:szCs w:val="24"/>
        </w:rPr>
        <w:t xml:space="preserve">(the Migration Act) </w:t>
      </w:r>
      <w:r w:rsidRPr="00416F40">
        <w:rPr>
          <w:szCs w:val="24"/>
        </w:rPr>
        <w:t xml:space="preserve">currently provides the legislative authority to require international airlines and international cruise ships to provide APP data through the APP system   Failure to comply with these reporting obligations is an offence.  Infringement notices may be issued to an operator for an offence and an operator receiving and infringement notice may choose to pay a prescribed penalty to avoid prosecution.   </w:t>
      </w:r>
    </w:p>
    <w:p w14:paraId="6E1B5DE5" w14:textId="0348AA51" w:rsidR="00601AFD" w:rsidRPr="00416F40" w:rsidRDefault="00601AFD" w:rsidP="000E3C74">
      <w:pPr>
        <w:rPr>
          <w:szCs w:val="24"/>
        </w:rPr>
      </w:pPr>
      <w:r w:rsidRPr="00416F40">
        <w:rPr>
          <w:szCs w:val="24"/>
        </w:rPr>
        <w:t xml:space="preserve">Schedule 6 to the </w:t>
      </w:r>
      <w:r w:rsidRPr="00416F40">
        <w:rPr>
          <w:i/>
          <w:szCs w:val="24"/>
        </w:rPr>
        <w:t xml:space="preserve">Counter Terrorism Legislation </w:t>
      </w:r>
      <w:r w:rsidR="00F9416F">
        <w:rPr>
          <w:i/>
          <w:szCs w:val="24"/>
        </w:rPr>
        <w:t>A</w:t>
      </w:r>
      <w:r w:rsidRPr="00416F40">
        <w:rPr>
          <w:i/>
          <w:szCs w:val="24"/>
        </w:rPr>
        <w:t xml:space="preserve">mendment (Foreign Fighters) Act 2014 </w:t>
      </w:r>
      <w:r w:rsidRPr="00416F40">
        <w:rPr>
          <w:szCs w:val="24"/>
        </w:rPr>
        <w:t>(the Foreign Fighter</w:t>
      </w:r>
      <w:r w:rsidR="00DB04BF">
        <w:rPr>
          <w:szCs w:val="24"/>
        </w:rPr>
        <w:t>s</w:t>
      </w:r>
      <w:r w:rsidRPr="00416F40">
        <w:rPr>
          <w:szCs w:val="24"/>
        </w:rPr>
        <w:t xml:space="preserve"> Act), amended the</w:t>
      </w:r>
      <w:r w:rsidR="00057018">
        <w:rPr>
          <w:szCs w:val="24"/>
        </w:rPr>
        <w:t xml:space="preserve"> Migration Act</w:t>
      </w:r>
      <w:r w:rsidRPr="00416F40">
        <w:rPr>
          <w:i/>
          <w:szCs w:val="24"/>
        </w:rPr>
        <w:t xml:space="preserve"> </w:t>
      </w:r>
      <w:r w:rsidRPr="00416F40">
        <w:rPr>
          <w:szCs w:val="24"/>
        </w:rPr>
        <w:t>to create a requirement on operators to provide APP data for all travellers</w:t>
      </w:r>
      <w:r w:rsidRPr="00416F40">
        <w:rPr>
          <w:i/>
          <w:szCs w:val="24"/>
        </w:rPr>
        <w:t xml:space="preserve"> departing</w:t>
      </w:r>
      <w:r w:rsidRPr="00416F40">
        <w:rPr>
          <w:szCs w:val="24"/>
        </w:rPr>
        <w:t xml:space="preserve"> Australia.</w:t>
      </w:r>
    </w:p>
    <w:p w14:paraId="2AEE1CA5" w14:textId="365FDC75" w:rsidR="00601AFD" w:rsidRPr="00416F40" w:rsidRDefault="00601AFD" w:rsidP="000E3C74">
      <w:pPr>
        <w:rPr>
          <w:rFonts w:eastAsiaTheme="minorHAnsi"/>
          <w:szCs w:val="24"/>
        </w:rPr>
      </w:pPr>
      <w:r w:rsidRPr="00416F40">
        <w:rPr>
          <w:rFonts w:eastAsiaTheme="minorHAnsi"/>
          <w:szCs w:val="24"/>
        </w:rPr>
        <w:lastRenderedPageBreak/>
        <w:t>The purpose of the</w:t>
      </w:r>
      <w:r w:rsidR="006A350E">
        <w:rPr>
          <w:rFonts w:eastAsiaTheme="minorHAnsi"/>
          <w:szCs w:val="24"/>
        </w:rPr>
        <w:t xml:space="preserve"> amendments in Schedule 2</w:t>
      </w:r>
      <w:r w:rsidR="005F7631">
        <w:rPr>
          <w:rFonts w:eastAsiaTheme="minorHAnsi"/>
          <w:szCs w:val="24"/>
        </w:rPr>
        <w:t xml:space="preserve"> </w:t>
      </w:r>
      <w:r w:rsidRPr="00416F40">
        <w:rPr>
          <w:rFonts w:eastAsiaTheme="minorHAnsi"/>
          <w:szCs w:val="24"/>
        </w:rPr>
        <w:t>is to give effect to the framework for Outwards APP to improve the integrity of the border by increasing the amount of information available to the Department when assessing the risk presented by travellers departing Australia and providing a longer time frame for the Department to assess that ri</w:t>
      </w:r>
      <w:r w:rsidR="009B689A">
        <w:rPr>
          <w:rFonts w:eastAsiaTheme="minorHAnsi"/>
          <w:szCs w:val="24"/>
        </w:rPr>
        <w:t>sk than is currently available.</w:t>
      </w:r>
    </w:p>
    <w:p w14:paraId="0BCDA290" w14:textId="77777777" w:rsidR="00601AFD" w:rsidRPr="00416F40" w:rsidRDefault="00601AFD" w:rsidP="000E3C74">
      <w:pPr>
        <w:rPr>
          <w:rFonts w:eastAsiaTheme="minorHAnsi"/>
          <w:szCs w:val="24"/>
        </w:rPr>
      </w:pPr>
      <w:r w:rsidRPr="00416F40">
        <w:rPr>
          <w:rFonts w:eastAsiaTheme="minorHAnsi"/>
          <w:szCs w:val="24"/>
        </w:rPr>
        <w:t>APP for departing travellers will also provide greater administrative efficiency in automating departure processing, streamlining the experience for international travellers leaving Australia, and improving identity management.</w:t>
      </w:r>
    </w:p>
    <w:p w14:paraId="6AE21FC3" w14:textId="77777777" w:rsidR="00601AFD" w:rsidRPr="00416F40" w:rsidRDefault="00601AFD" w:rsidP="000E3C74">
      <w:pPr>
        <w:rPr>
          <w:szCs w:val="24"/>
        </w:rPr>
      </w:pPr>
      <w:r w:rsidRPr="00416F40">
        <w:rPr>
          <w:szCs w:val="24"/>
        </w:rPr>
        <w:t>The amendments are intended to create a requirement on operators of international passenger aircraft and international passenger cruise ships to provide information to the department, at specified points prior to departure, on who will be travelling outside Australia on their vessels</w:t>
      </w:r>
    </w:p>
    <w:p w14:paraId="274A0EDB" w14:textId="77777777" w:rsidR="009B689A" w:rsidRDefault="009B689A" w:rsidP="000E3C74">
      <w:pPr>
        <w:spacing w:before="120" w:after="120"/>
        <w:rPr>
          <w:b/>
          <w:szCs w:val="24"/>
        </w:rPr>
      </w:pPr>
    </w:p>
    <w:p w14:paraId="7FE9778B" w14:textId="77777777" w:rsidR="00601AFD" w:rsidRPr="00416F40" w:rsidRDefault="00601AFD" w:rsidP="000E3C74">
      <w:pPr>
        <w:spacing w:before="120" w:after="120"/>
        <w:rPr>
          <w:b/>
          <w:szCs w:val="24"/>
        </w:rPr>
      </w:pPr>
      <w:r w:rsidRPr="00416F40">
        <w:rPr>
          <w:b/>
          <w:szCs w:val="24"/>
        </w:rPr>
        <w:t>Human rights implications</w:t>
      </w:r>
    </w:p>
    <w:p w14:paraId="3A9C0B81" w14:textId="15857B4E" w:rsidR="00601AFD" w:rsidRPr="00416F40" w:rsidRDefault="006A350E" w:rsidP="000E3C74">
      <w:pPr>
        <w:pStyle w:val="Default"/>
        <w:rPr>
          <w:iCs/>
        </w:rPr>
      </w:pPr>
      <w:r>
        <w:rPr>
          <w:iCs/>
        </w:rPr>
        <w:t>The amendments in Schedule 2</w:t>
      </w:r>
      <w:r w:rsidR="00601AFD">
        <w:rPr>
          <w:iCs/>
        </w:rPr>
        <w:t xml:space="preserve"> </w:t>
      </w:r>
      <w:r w:rsidR="00601AFD" w:rsidRPr="00416F40">
        <w:rPr>
          <w:iCs/>
        </w:rPr>
        <w:t xml:space="preserve">provide the definition of </w:t>
      </w:r>
      <w:r w:rsidR="00601AFD" w:rsidRPr="00416F40">
        <w:rPr>
          <w:i/>
          <w:iCs/>
        </w:rPr>
        <w:t>‘kind of aircraft or ship to which this Division applies’</w:t>
      </w:r>
      <w:r w:rsidR="00601AFD" w:rsidRPr="00416F40">
        <w:rPr>
          <w:iCs/>
        </w:rPr>
        <w:t xml:space="preserve"> and ensures that Division 12B </w:t>
      </w:r>
      <w:r w:rsidR="00601AFD">
        <w:rPr>
          <w:iCs/>
        </w:rPr>
        <w:t xml:space="preserve">of </w:t>
      </w:r>
      <w:r w:rsidR="00601AFD" w:rsidRPr="00416F40">
        <w:rPr>
          <w:iCs/>
        </w:rPr>
        <w:t xml:space="preserve">part 2 of </w:t>
      </w:r>
      <w:r w:rsidR="00057018">
        <w:rPr>
          <w:iCs/>
        </w:rPr>
        <w:t>the Migration Act</w:t>
      </w:r>
      <w:r w:rsidR="00601AFD" w:rsidRPr="00416F40">
        <w:rPr>
          <w:iCs/>
        </w:rPr>
        <w:t xml:space="preserve"> applies to both departing and arriving vessels.  The amendments also indicate the point at which the carrier must have completed the reporting obligations via the APP System. Failure to do so will result in the carrier breaching s245L or s245LA of the </w:t>
      </w:r>
      <w:r w:rsidR="00601AFD" w:rsidRPr="00416F40">
        <w:rPr>
          <w:i/>
          <w:iCs/>
        </w:rPr>
        <w:t>Migration Act 1958</w:t>
      </w:r>
      <w:r w:rsidR="00601AFD" w:rsidRPr="00416F40">
        <w:rPr>
          <w:iCs/>
        </w:rPr>
        <w:t xml:space="preserve">, rendering them liable for penalty under the s245N of </w:t>
      </w:r>
      <w:r w:rsidR="00057018">
        <w:rPr>
          <w:iCs/>
        </w:rPr>
        <w:t>the Migration Act</w:t>
      </w:r>
      <w:r w:rsidR="00601AFD" w:rsidRPr="00416F40">
        <w:rPr>
          <w:iCs/>
        </w:rPr>
        <w:t>.</w:t>
      </w:r>
    </w:p>
    <w:p w14:paraId="0F721F05" w14:textId="77777777" w:rsidR="00601AFD" w:rsidRPr="00416F40" w:rsidRDefault="00601AFD" w:rsidP="000E3C74">
      <w:pPr>
        <w:pStyle w:val="Default"/>
        <w:rPr>
          <w:iCs/>
        </w:rPr>
      </w:pPr>
    </w:p>
    <w:p w14:paraId="281CBD6A" w14:textId="77777777" w:rsidR="00601AFD" w:rsidRPr="00416F40" w:rsidRDefault="00601AFD" w:rsidP="000E3C74">
      <w:pPr>
        <w:pStyle w:val="Default"/>
        <w:rPr>
          <w:i/>
          <w:iCs/>
        </w:rPr>
      </w:pPr>
      <w:r w:rsidRPr="00416F40">
        <w:rPr>
          <w:i/>
          <w:iCs/>
        </w:rPr>
        <w:t xml:space="preserve">Freedom from arbitrary and unlawful interferences with privacy in Article 17 of the International Covenant on Civil and Political Rights (ICCPR) and Article 16 of the Convention on the Rights of the Child (CRC) </w:t>
      </w:r>
    </w:p>
    <w:p w14:paraId="719B40A1" w14:textId="77777777" w:rsidR="00601AFD" w:rsidRPr="00416F40" w:rsidRDefault="00601AFD" w:rsidP="000E3C74">
      <w:pPr>
        <w:pStyle w:val="Default"/>
      </w:pPr>
    </w:p>
    <w:p w14:paraId="6C0B585F" w14:textId="77777777" w:rsidR="00601AFD" w:rsidRPr="00416F40" w:rsidRDefault="00601AFD" w:rsidP="000E3C74">
      <w:pPr>
        <w:pStyle w:val="Default"/>
        <w:spacing w:after="268"/>
      </w:pPr>
      <w:r w:rsidRPr="00416F40">
        <w:t xml:space="preserve">As this measure relates to the collection of personal information of citizens and non-citizens for the purposes of reporting on persons departing from Australia, these measures engage Article 17 of the ICCPR and Article 16 of the CRC. </w:t>
      </w:r>
    </w:p>
    <w:p w14:paraId="0A4A2655" w14:textId="77777777" w:rsidR="00601AFD" w:rsidRPr="00416F40" w:rsidRDefault="00601AFD" w:rsidP="000E3C74">
      <w:pPr>
        <w:pStyle w:val="Default"/>
        <w:spacing w:after="268"/>
      </w:pPr>
      <w:r w:rsidRPr="00416F40">
        <w:t xml:space="preserve">Article 17 of the ICCPR provides that no one shall be subjected to arbitrary or unlawful interference with their privacy. Article 16 of the CRC is written in similar terms to Article 17 of the ICCPR and prohibits the unlawful or arbitrary interference with the privacy of a child. </w:t>
      </w:r>
    </w:p>
    <w:p w14:paraId="59AD3B0E" w14:textId="77777777" w:rsidR="00601AFD" w:rsidRPr="00416F40" w:rsidRDefault="00601AFD" w:rsidP="000E3C74">
      <w:pPr>
        <w:pStyle w:val="Default"/>
        <w:spacing w:after="268"/>
      </w:pPr>
      <w:r w:rsidRPr="00416F40">
        <w:t xml:space="preserve">To the extent that these measures may interfere with the privacy of citizens and non-citizens (adults and children), such interference will be lawful by virtue of these legislative amendments. </w:t>
      </w:r>
    </w:p>
    <w:p w14:paraId="65BF806B" w14:textId="33859C36" w:rsidR="00601AFD" w:rsidRPr="00416F40" w:rsidRDefault="00601AFD" w:rsidP="000E3C74">
      <w:pPr>
        <w:pStyle w:val="Default"/>
        <w:spacing w:after="268"/>
      </w:pPr>
      <w:r w:rsidRPr="00416F40">
        <w:t xml:space="preserve">Further, any collection, storage and disclosure of information pursuant to the amendments will be undertaken in accordance with the Australian Privacy Principles contained in the Commonwealth </w:t>
      </w:r>
      <w:r w:rsidRPr="00416F40">
        <w:rPr>
          <w:i/>
          <w:iCs/>
        </w:rPr>
        <w:t>Privacy Act 1988</w:t>
      </w:r>
      <w:r w:rsidRPr="00416F40">
        <w:t xml:space="preserve">. In particular, the measure explicitly lists purposes for which the use or disclosure of personal information under Division 12B is authorised by law. This is also consistent with the United Nations Human Rights Committee General Comment 16 in which the Committee states that the gathering and holding of personal information using information technology must be regulated by law and that effective measures must be taken to ensure that the information collected is not </w:t>
      </w:r>
      <w:r w:rsidRPr="00416F40">
        <w:lastRenderedPageBreak/>
        <w:t xml:space="preserve">accessed by persons who are not authorised by law to receive, process or use it. Part 4A of the Migration Act outlines officers’ obligations relating to identifying information including the manner in which officers are authorised to access and disclose information. </w:t>
      </w:r>
    </w:p>
    <w:p w14:paraId="7EAE7E21" w14:textId="77777777" w:rsidR="00601AFD" w:rsidRPr="00416F40" w:rsidRDefault="00601AFD" w:rsidP="000E3C74">
      <w:pPr>
        <w:pStyle w:val="Default"/>
        <w:spacing w:after="268"/>
      </w:pPr>
      <w:r w:rsidRPr="00416F40">
        <w:t xml:space="preserve">In addition to requiring a lawful basis for interference, Article 17 prohibits </w:t>
      </w:r>
      <w:r w:rsidRPr="00416F40">
        <w:rPr>
          <w:i/>
          <w:iCs/>
        </w:rPr>
        <w:t xml:space="preserve">arbitrary </w:t>
      </w:r>
      <w:r w:rsidRPr="00416F40">
        <w:t xml:space="preserve">interference with privacy. Lawful interferences with privacy may nonetheless be arbitrary where those interferences are not in accordance with the objectives if the ICCPR and are not reasonable in the circumstances. The United Nations Human Rights Committee has interpreted the requirement of ‘reasonableness’ to imply that any interference with privacy must be proportional to the end sought and be necessary in the circumstances. </w:t>
      </w:r>
    </w:p>
    <w:p w14:paraId="0729C276" w14:textId="77777777" w:rsidR="00601AFD" w:rsidRPr="00416F40" w:rsidRDefault="00601AFD" w:rsidP="000E3C74">
      <w:pPr>
        <w:pStyle w:val="Default"/>
        <w:spacing w:after="268"/>
      </w:pPr>
      <w:r w:rsidRPr="00416F40">
        <w:t xml:space="preserve">Any interference with a citizen or non-citizen’s privacy is necessary as Outward APP forms a component of the whole of government approach to assist in preventing persons departing from Australia from engaging in foreign conflicts and other activities that compromise Australia‘s national security. The departure check-in data received via the APP reporting system will increase the time interval for law enforcement agencies to implement a response to a given law enforcement concern about to occur at the border. As such, these measures are necessary to mitigate the risk to the safety of the Australian community. </w:t>
      </w:r>
    </w:p>
    <w:p w14:paraId="6815CFC1" w14:textId="2F4B1932" w:rsidR="00601AFD" w:rsidRPr="00416F40" w:rsidRDefault="00601AFD" w:rsidP="000E3C74">
      <w:pPr>
        <w:pStyle w:val="Default"/>
        <w:rPr>
          <w:color w:val="auto"/>
        </w:rPr>
      </w:pPr>
      <w:r w:rsidRPr="00416F40">
        <w:t xml:space="preserve">These measures are proportionate to that necessity and </w:t>
      </w:r>
      <w:r w:rsidR="00F9416F">
        <w:t>do</w:t>
      </w:r>
      <w:r w:rsidRPr="00416F40">
        <w:t xml:space="preserve"> not increase the scope of information collected about dep</w:t>
      </w:r>
      <w:r w:rsidR="007634EA">
        <w:t>arting persons. The information</w:t>
      </w:r>
      <w:r w:rsidRPr="00416F40">
        <w:t xml:space="preserve"> to be collected is information that is already collected at the immigration processing point when a person </w:t>
      </w:r>
      <w:r w:rsidRPr="00416F40">
        <w:rPr>
          <w:color w:val="auto"/>
        </w:rPr>
        <w:t>departs Australia and is typically presented to carriers by travellers and entered into their systems to facilitate check-in. These amendments just ensure that the information can be requested at an earlier point in time, and that reporting can occur at multiple points. This is intended to ensure the reports can be required when circumstance</w:t>
      </w:r>
      <w:r>
        <w:rPr>
          <w:color w:val="auto"/>
        </w:rPr>
        <w:t>s</w:t>
      </w:r>
      <w:r w:rsidRPr="00416F40">
        <w:rPr>
          <w:color w:val="auto"/>
        </w:rPr>
        <w:t xml:space="preserve"> change (for example if a person does not board the aircraft after check-in), and provide border agencies sufficient time to make assessment as to the threat posed by certain travellers. </w:t>
      </w:r>
    </w:p>
    <w:p w14:paraId="27D0035E" w14:textId="77777777" w:rsidR="00601AFD" w:rsidRPr="00416F40" w:rsidRDefault="00601AFD" w:rsidP="000E3C74">
      <w:pPr>
        <w:pStyle w:val="Default"/>
        <w:rPr>
          <w:color w:val="auto"/>
        </w:rPr>
      </w:pPr>
    </w:p>
    <w:p w14:paraId="721E0855" w14:textId="77777777" w:rsidR="00601AFD" w:rsidRPr="00416F40" w:rsidRDefault="00601AFD" w:rsidP="000E3C74">
      <w:pPr>
        <w:pStyle w:val="Default"/>
        <w:spacing w:after="267"/>
        <w:rPr>
          <w:color w:val="auto"/>
        </w:rPr>
      </w:pPr>
      <w:r w:rsidRPr="00416F40">
        <w:rPr>
          <w:color w:val="auto"/>
        </w:rPr>
        <w:t xml:space="preserve">The introduction of automated departure processing will mean that Australian Border Force (ABF) officers will need to make fewer manual checks of personal information as the system will be making those checks instead. This is an operational enhancement that allows DIBP and ABF to perform its functions more thoroughly and with greater effectiveness, reducing potential workplace injuries through repetitive manual data input. </w:t>
      </w:r>
    </w:p>
    <w:p w14:paraId="0532A742" w14:textId="77777777" w:rsidR="00601AFD" w:rsidRPr="00407B0C" w:rsidRDefault="00601AFD" w:rsidP="000E3C74">
      <w:pPr>
        <w:pStyle w:val="Default"/>
        <w:rPr>
          <w:color w:val="auto"/>
        </w:rPr>
      </w:pPr>
      <w:r w:rsidRPr="00416F40">
        <w:rPr>
          <w:color w:val="auto"/>
        </w:rPr>
        <w:t>To the extent that this measure engages Article 17 of the ICCPR, these measures are lawful and reasonable in the sense of necessary and proportionate to achieving the legitimate purpose of identifying high risk travellers who may pose a safety ris</w:t>
      </w:r>
      <w:r w:rsidR="00407B0C">
        <w:rPr>
          <w:color w:val="auto"/>
        </w:rPr>
        <w:t xml:space="preserve">k to the Australian community. </w:t>
      </w:r>
    </w:p>
    <w:p w14:paraId="0347448E" w14:textId="77777777" w:rsidR="00601AFD" w:rsidRPr="00416F40" w:rsidRDefault="00601AFD" w:rsidP="000E3C74">
      <w:pPr>
        <w:spacing w:before="120" w:after="120"/>
        <w:rPr>
          <w:b/>
          <w:szCs w:val="24"/>
        </w:rPr>
      </w:pPr>
      <w:r w:rsidRPr="00416F40">
        <w:rPr>
          <w:b/>
          <w:szCs w:val="24"/>
        </w:rPr>
        <w:t xml:space="preserve">Conclusion </w:t>
      </w:r>
    </w:p>
    <w:p w14:paraId="601DAA31" w14:textId="39003251" w:rsidR="00601AFD" w:rsidRDefault="00601AFD" w:rsidP="000E3C74">
      <w:pPr>
        <w:spacing w:before="120" w:after="120"/>
        <w:rPr>
          <w:szCs w:val="24"/>
        </w:rPr>
      </w:pPr>
      <w:r w:rsidRPr="00416F40">
        <w:rPr>
          <w:szCs w:val="24"/>
        </w:rPr>
        <w:t xml:space="preserve">The </w:t>
      </w:r>
      <w:r w:rsidR="00336D82">
        <w:rPr>
          <w:szCs w:val="24"/>
        </w:rPr>
        <w:t>amendments</w:t>
      </w:r>
      <w:r w:rsidRPr="00416F40">
        <w:rPr>
          <w:szCs w:val="24"/>
        </w:rPr>
        <w:t xml:space="preserve"> are compatible with human rights because </w:t>
      </w:r>
      <w:r w:rsidRPr="00416F40">
        <w:rPr>
          <w:szCs w:val="24"/>
          <w:lang w:val="en-GB"/>
        </w:rPr>
        <w:t xml:space="preserve">to the extent that it may limit human rights, those limitations are reasonable, necessary and </w:t>
      </w:r>
      <w:r w:rsidR="00407B0C">
        <w:rPr>
          <w:szCs w:val="24"/>
        </w:rPr>
        <w:t>proportionate.</w:t>
      </w:r>
    </w:p>
    <w:p w14:paraId="6F1254E0" w14:textId="77777777" w:rsidR="00F9416F" w:rsidRDefault="00F9416F" w:rsidP="000E3C74">
      <w:pPr>
        <w:spacing w:before="120" w:after="120"/>
        <w:rPr>
          <w:szCs w:val="24"/>
        </w:rPr>
      </w:pPr>
    </w:p>
    <w:p w14:paraId="2D4EFAAE" w14:textId="77777777" w:rsidR="00F9416F" w:rsidRDefault="00F9416F" w:rsidP="000E3C74">
      <w:pPr>
        <w:spacing w:before="120" w:after="120"/>
        <w:rPr>
          <w:szCs w:val="24"/>
        </w:rPr>
      </w:pPr>
    </w:p>
    <w:p w14:paraId="2471048C" w14:textId="77777777" w:rsidR="00857612" w:rsidRPr="00B6180D" w:rsidRDefault="00225AA7" w:rsidP="009B689A">
      <w:pPr>
        <w:pStyle w:val="ListParagraph"/>
        <w:numPr>
          <w:ilvl w:val="0"/>
          <w:numId w:val="2"/>
        </w:numPr>
        <w:spacing w:before="120" w:after="120"/>
        <w:rPr>
          <w:b/>
          <w:i/>
          <w:szCs w:val="24"/>
        </w:rPr>
      </w:pPr>
      <w:r w:rsidRPr="00B6180D">
        <w:rPr>
          <w:b/>
          <w:bCs/>
          <w:szCs w:val="24"/>
        </w:rPr>
        <w:lastRenderedPageBreak/>
        <w:t xml:space="preserve">Schedule 3 – </w:t>
      </w:r>
      <w:r w:rsidR="00D1602A">
        <w:rPr>
          <w:b/>
          <w:szCs w:val="24"/>
          <w:lang w:val="en-US"/>
        </w:rPr>
        <w:t>Amendments relating to foreign currency exchange</w:t>
      </w:r>
    </w:p>
    <w:p w14:paraId="1EC8421B" w14:textId="57970CF7" w:rsidR="003437C4" w:rsidRPr="00B6180D" w:rsidRDefault="003437C4" w:rsidP="000E3C74">
      <w:pPr>
        <w:spacing w:before="120" w:after="120"/>
        <w:jc w:val="both"/>
        <w:rPr>
          <w:szCs w:val="24"/>
        </w:rPr>
      </w:pPr>
      <w:r w:rsidRPr="00B6180D">
        <w:rPr>
          <w:b/>
          <w:bCs/>
          <w:szCs w:val="24"/>
        </w:rPr>
        <w:t xml:space="preserve">Overview of the </w:t>
      </w:r>
      <w:r w:rsidR="00336D82">
        <w:rPr>
          <w:b/>
          <w:bCs/>
          <w:szCs w:val="24"/>
        </w:rPr>
        <w:t>Schedule</w:t>
      </w:r>
    </w:p>
    <w:p w14:paraId="039CD815" w14:textId="1A9BCB9C" w:rsidR="003437C4" w:rsidRPr="00B6180D" w:rsidRDefault="005F7631" w:rsidP="000E3C74">
      <w:pPr>
        <w:spacing w:before="120" w:after="120"/>
        <w:jc w:val="both"/>
        <w:rPr>
          <w:szCs w:val="24"/>
        </w:rPr>
      </w:pPr>
      <w:r>
        <w:rPr>
          <w:szCs w:val="24"/>
        </w:rPr>
        <w:t xml:space="preserve">Schedule 3 </w:t>
      </w:r>
      <w:r w:rsidR="00F9416F">
        <w:rPr>
          <w:szCs w:val="24"/>
        </w:rPr>
        <w:t>to</w:t>
      </w:r>
      <w:r>
        <w:rPr>
          <w:szCs w:val="24"/>
        </w:rPr>
        <w:t xml:space="preserve"> the Regulation amends the Citizenship Regulations. New r</w:t>
      </w:r>
      <w:r w:rsidR="003437C4" w:rsidRPr="00B6180D">
        <w:rPr>
          <w:szCs w:val="24"/>
        </w:rPr>
        <w:t xml:space="preserve">egulation 12A of the Citizenship Regulations sets out among other things, in which foreign currencies and countries a citizenship application fee may be paid and how the exchange rate is to be calculated.  </w:t>
      </w:r>
    </w:p>
    <w:p w14:paraId="331A620A" w14:textId="77777777" w:rsidR="003437C4" w:rsidRPr="00B6180D" w:rsidRDefault="003437C4" w:rsidP="000E3C74">
      <w:pPr>
        <w:spacing w:before="120" w:after="120"/>
        <w:jc w:val="both"/>
        <w:rPr>
          <w:szCs w:val="24"/>
        </w:rPr>
      </w:pPr>
      <w:r w:rsidRPr="00B6180D">
        <w:rPr>
          <w:szCs w:val="24"/>
        </w:rPr>
        <w:t xml:space="preserve">The acceptable foreign currencies and countries are set out in legislative instruments made under the </w:t>
      </w:r>
      <w:r w:rsidRPr="00601AFD">
        <w:rPr>
          <w:iCs/>
          <w:szCs w:val="24"/>
        </w:rPr>
        <w:t>Migration Regulations</w:t>
      </w:r>
      <w:r w:rsidRPr="00B6180D">
        <w:rPr>
          <w:szCs w:val="24"/>
        </w:rPr>
        <w:t>.</w:t>
      </w:r>
    </w:p>
    <w:p w14:paraId="162FED41" w14:textId="77777777" w:rsidR="003437C4" w:rsidRPr="00B6180D" w:rsidRDefault="003437C4" w:rsidP="000E3C74">
      <w:pPr>
        <w:spacing w:before="120" w:after="120"/>
        <w:jc w:val="both"/>
        <w:rPr>
          <w:szCs w:val="24"/>
        </w:rPr>
      </w:pPr>
      <w:r w:rsidRPr="00B6180D">
        <w:rPr>
          <w:szCs w:val="24"/>
        </w:rPr>
        <w:t xml:space="preserve">The relevant instruments, </w:t>
      </w:r>
      <w:r w:rsidRPr="00B6180D">
        <w:rPr>
          <w:i/>
          <w:iCs/>
          <w:szCs w:val="24"/>
        </w:rPr>
        <w:t>Places and Currencies for Paying of Fees</w:t>
      </w:r>
      <w:r w:rsidRPr="00B6180D">
        <w:rPr>
          <w:szCs w:val="24"/>
        </w:rPr>
        <w:t xml:space="preserve"> and </w:t>
      </w:r>
      <w:r w:rsidRPr="00B6180D">
        <w:rPr>
          <w:i/>
          <w:iCs/>
          <w:szCs w:val="24"/>
        </w:rPr>
        <w:t>Payment of Visa Application Charges and Fees in Foreign Currencies</w:t>
      </w:r>
      <w:r w:rsidRPr="00B6180D">
        <w:rPr>
          <w:szCs w:val="24"/>
        </w:rPr>
        <w:t>, are updated in January and July each year and are given a new instrument number each time.</w:t>
      </w:r>
    </w:p>
    <w:p w14:paraId="47ADA55D" w14:textId="77777777" w:rsidR="003437C4" w:rsidRPr="00B6180D" w:rsidRDefault="003437C4" w:rsidP="000E3C74">
      <w:pPr>
        <w:spacing w:before="120" w:after="120"/>
        <w:jc w:val="both"/>
        <w:rPr>
          <w:szCs w:val="24"/>
        </w:rPr>
      </w:pPr>
      <w:r w:rsidRPr="00B6180D">
        <w:rPr>
          <w:szCs w:val="24"/>
        </w:rPr>
        <w:t xml:space="preserve">Consequently, to ensure that citizenship application fees can continue to be paid in foreign currencies and countries, subregulation 12A(7) of the Citizenship Regulations must be amended to specify the updated instrument numbers.  </w:t>
      </w:r>
    </w:p>
    <w:p w14:paraId="6BADB6F3" w14:textId="77777777" w:rsidR="00857612" w:rsidRPr="00D1602A" w:rsidRDefault="003437C4" w:rsidP="000E3C74">
      <w:pPr>
        <w:spacing w:before="120" w:after="120"/>
        <w:jc w:val="both"/>
        <w:rPr>
          <w:szCs w:val="24"/>
        </w:rPr>
      </w:pPr>
      <w:r w:rsidRPr="00B6180D">
        <w:rPr>
          <w:szCs w:val="24"/>
        </w:rPr>
        <w:t>The updating of the instrument numbers is the only change and is merely technical in nature. There is no change to the substant</w:t>
      </w:r>
      <w:r w:rsidR="00D1602A">
        <w:rPr>
          <w:szCs w:val="24"/>
        </w:rPr>
        <w:t xml:space="preserve">ive content of the instrument. </w:t>
      </w:r>
    </w:p>
    <w:p w14:paraId="02508423" w14:textId="77777777" w:rsidR="00D1602A" w:rsidRDefault="00D1602A" w:rsidP="000E3C74">
      <w:pPr>
        <w:spacing w:before="120" w:after="120"/>
        <w:jc w:val="both"/>
        <w:rPr>
          <w:b/>
          <w:bCs/>
          <w:szCs w:val="24"/>
        </w:rPr>
      </w:pPr>
    </w:p>
    <w:p w14:paraId="65E9EFEE" w14:textId="77777777" w:rsidR="003437C4" w:rsidRPr="00B6180D" w:rsidRDefault="003437C4" w:rsidP="000E3C74">
      <w:pPr>
        <w:spacing w:before="120" w:after="120"/>
        <w:jc w:val="both"/>
        <w:rPr>
          <w:szCs w:val="24"/>
        </w:rPr>
      </w:pPr>
      <w:r w:rsidRPr="00B6180D">
        <w:rPr>
          <w:b/>
          <w:bCs/>
          <w:szCs w:val="24"/>
        </w:rPr>
        <w:t>Human rights implications</w:t>
      </w:r>
    </w:p>
    <w:p w14:paraId="5AA666A9" w14:textId="77777777" w:rsidR="00857612" w:rsidRPr="00D1602A" w:rsidRDefault="003437C4" w:rsidP="000E3C74">
      <w:pPr>
        <w:spacing w:before="120" w:after="120"/>
        <w:jc w:val="both"/>
        <w:rPr>
          <w:szCs w:val="24"/>
        </w:rPr>
      </w:pPr>
      <w:r w:rsidRPr="00B6180D">
        <w:rPr>
          <w:szCs w:val="24"/>
        </w:rPr>
        <w:t>The amendment has been assessed against the seven core international human rights treaties and does not engage any of the</w:t>
      </w:r>
      <w:r w:rsidR="00D1602A">
        <w:rPr>
          <w:szCs w:val="24"/>
        </w:rPr>
        <w:t xml:space="preserve"> applicable rights or freedoms.</w:t>
      </w:r>
    </w:p>
    <w:p w14:paraId="3CBD5323" w14:textId="77777777" w:rsidR="00D1602A" w:rsidRDefault="00D1602A" w:rsidP="000E3C74">
      <w:pPr>
        <w:spacing w:before="120" w:after="120"/>
        <w:jc w:val="both"/>
        <w:rPr>
          <w:b/>
          <w:bCs/>
          <w:szCs w:val="24"/>
        </w:rPr>
      </w:pPr>
    </w:p>
    <w:p w14:paraId="462B3537" w14:textId="77777777" w:rsidR="003437C4" w:rsidRPr="00B6180D" w:rsidRDefault="003437C4" w:rsidP="000E3C74">
      <w:pPr>
        <w:spacing w:before="120" w:after="120"/>
        <w:jc w:val="both"/>
        <w:rPr>
          <w:szCs w:val="24"/>
        </w:rPr>
      </w:pPr>
      <w:r w:rsidRPr="00B6180D">
        <w:rPr>
          <w:b/>
          <w:bCs/>
          <w:szCs w:val="24"/>
        </w:rPr>
        <w:t>Conclusion</w:t>
      </w:r>
    </w:p>
    <w:p w14:paraId="02A54E1C" w14:textId="75565403" w:rsidR="00225AA7" w:rsidRDefault="003437C4" w:rsidP="000E3C74">
      <w:pPr>
        <w:spacing w:before="120" w:after="120"/>
        <w:jc w:val="both"/>
        <w:rPr>
          <w:szCs w:val="24"/>
        </w:rPr>
      </w:pPr>
      <w:r w:rsidRPr="00B6180D">
        <w:rPr>
          <w:szCs w:val="24"/>
        </w:rPr>
        <w:t>This Regulation amendment is compatible with human rights as it does not raise an</w:t>
      </w:r>
      <w:r w:rsidR="009B689A">
        <w:rPr>
          <w:szCs w:val="24"/>
        </w:rPr>
        <w:t>y human rights issues.</w:t>
      </w:r>
    </w:p>
    <w:p w14:paraId="41932D65" w14:textId="77777777" w:rsidR="00521D33" w:rsidRPr="00B6180D" w:rsidRDefault="00225AA7" w:rsidP="000E3C74">
      <w:pPr>
        <w:pStyle w:val="ListParagraph"/>
        <w:numPr>
          <w:ilvl w:val="0"/>
          <w:numId w:val="11"/>
        </w:numPr>
        <w:jc w:val="center"/>
        <w:rPr>
          <w:b/>
          <w:bCs/>
          <w:szCs w:val="24"/>
        </w:rPr>
      </w:pPr>
      <w:r w:rsidRPr="00B6180D">
        <w:rPr>
          <w:b/>
          <w:bCs/>
          <w:szCs w:val="24"/>
        </w:rPr>
        <w:t xml:space="preserve">Schedule 4 – </w:t>
      </w:r>
      <w:r w:rsidR="00D1602A">
        <w:rPr>
          <w:b/>
          <w:bCs/>
          <w:szCs w:val="24"/>
        </w:rPr>
        <w:t>Amendments relating to fees</w:t>
      </w:r>
      <w:r w:rsidR="00521D33" w:rsidRPr="00B6180D">
        <w:rPr>
          <w:b/>
          <w:bCs/>
          <w:szCs w:val="24"/>
        </w:rPr>
        <w:t xml:space="preserve"> to accompany application for evidence of Australian citizenship</w:t>
      </w:r>
    </w:p>
    <w:p w14:paraId="464151B6" w14:textId="58D93AC4" w:rsidR="00521D33" w:rsidRPr="00B6180D" w:rsidRDefault="00521D33" w:rsidP="000E3C74">
      <w:pPr>
        <w:spacing w:after="120"/>
        <w:jc w:val="both"/>
        <w:rPr>
          <w:szCs w:val="24"/>
        </w:rPr>
      </w:pPr>
      <w:r w:rsidRPr="00B6180D">
        <w:rPr>
          <w:b/>
          <w:bCs/>
          <w:szCs w:val="24"/>
        </w:rPr>
        <w:t xml:space="preserve">Overview of the </w:t>
      </w:r>
      <w:r w:rsidR="00336D82">
        <w:rPr>
          <w:b/>
          <w:bCs/>
          <w:szCs w:val="24"/>
        </w:rPr>
        <w:t>Schedule</w:t>
      </w:r>
    </w:p>
    <w:p w14:paraId="52E87AAC" w14:textId="72750FF4" w:rsidR="00521D33" w:rsidRPr="00B6180D" w:rsidRDefault="00521D33" w:rsidP="000E3C74">
      <w:pPr>
        <w:spacing w:after="120"/>
        <w:rPr>
          <w:szCs w:val="24"/>
        </w:rPr>
      </w:pPr>
      <w:r w:rsidRPr="00B6180D">
        <w:rPr>
          <w:szCs w:val="24"/>
        </w:rPr>
        <w:t xml:space="preserve">Schedule </w:t>
      </w:r>
      <w:r w:rsidR="00D1602A">
        <w:rPr>
          <w:szCs w:val="24"/>
        </w:rPr>
        <w:t>4</w:t>
      </w:r>
      <w:r w:rsidR="00F9416F">
        <w:rPr>
          <w:szCs w:val="24"/>
        </w:rPr>
        <w:t xml:space="preserve"> to the Regulation</w:t>
      </w:r>
      <w:r w:rsidRPr="00B6180D">
        <w:rPr>
          <w:i/>
          <w:szCs w:val="24"/>
          <w:lang w:val="en-US"/>
        </w:rPr>
        <w:t xml:space="preserve"> </w:t>
      </w:r>
      <w:r w:rsidRPr="00B6180D">
        <w:rPr>
          <w:szCs w:val="24"/>
        </w:rPr>
        <w:t>amend</w:t>
      </w:r>
      <w:r w:rsidR="00D1602A">
        <w:rPr>
          <w:szCs w:val="24"/>
        </w:rPr>
        <w:t>s</w:t>
      </w:r>
      <w:r w:rsidRPr="00B6180D">
        <w:rPr>
          <w:szCs w:val="24"/>
        </w:rPr>
        <w:t xml:space="preserve"> the </w:t>
      </w:r>
      <w:r w:rsidRPr="00B6180D">
        <w:rPr>
          <w:i/>
          <w:szCs w:val="24"/>
        </w:rPr>
        <w:t xml:space="preserve">Australian Citizenship Regulations 2007 </w:t>
      </w:r>
      <w:r w:rsidRPr="00B6180D">
        <w:rPr>
          <w:szCs w:val="24"/>
        </w:rPr>
        <w:t xml:space="preserve">(the </w:t>
      </w:r>
      <w:r w:rsidR="0019466D">
        <w:rPr>
          <w:szCs w:val="24"/>
        </w:rPr>
        <w:t xml:space="preserve">Citizenship </w:t>
      </w:r>
      <w:r w:rsidRPr="00B6180D">
        <w:rPr>
          <w:szCs w:val="24"/>
        </w:rPr>
        <w:t>Regulations). It proposes that new item 19A be inserted in Schedule 3 to the</w:t>
      </w:r>
      <w:r w:rsidR="0019466D">
        <w:rPr>
          <w:szCs w:val="24"/>
        </w:rPr>
        <w:t xml:space="preserve"> Citizenship</w:t>
      </w:r>
      <w:r w:rsidRPr="00B6180D">
        <w:rPr>
          <w:szCs w:val="24"/>
        </w:rPr>
        <w:t xml:space="preserve"> Regulations, which will provide that an application made for evidence of Australian citizenship in accordance with section 37 of the </w:t>
      </w:r>
      <w:r w:rsidRPr="00B6180D">
        <w:rPr>
          <w:i/>
          <w:szCs w:val="24"/>
        </w:rPr>
        <w:t xml:space="preserve">Australian Citizenship Act 2007 </w:t>
      </w:r>
      <w:r w:rsidRPr="00B6180D">
        <w:rPr>
          <w:szCs w:val="24"/>
        </w:rPr>
        <w:t xml:space="preserve">(the </w:t>
      </w:r>
      <w:r w:rsidR="0019466D">
        <w:rPr>
          <w:szCs w:val="24"/>
        </w:rPr>
        <w:t xml:space="preserve">Citizenship </w:t>
      </w:r>
      <w:r w:rsidRPr="00B6180D">
        <w:rPr>
          <w:szCs w:val="24"/>
        </w:rPr>
        <w:t>Act) to which new regulation 12AA applies, incurs nil fee.</w:t>
      </w:r>
    </w:p>
    <w:p w14:paraId="3BB7043B" w14:textId="77777777" w:rsidR="00521D33" w:rsidRPr="00B6180D" w:rsidRDefault="00521D33" w:rsidP="000E3C74">
      <w:pPr>
        <w:spacing w:after="120"/>
        <w:rPr>
          <w:szCs w:val="24"/>
        </w:rPr>
      </w:pPr>
      <w:r w:rsidRPr="00B6180D">
        <w:rPr>
          <w:szCs w:val="24"/>
        </w:rPr>
        <w:t xml:space="preserve">New regulation 12AA applies to an application made under section 37 of the </w:t>
      </w:r>
      <w:r w:rsidR="0019466D">
        <w:rPr>
          <w:szCs w:val="24"/>
        </w:rPr>
        <w:t xml:space="preserve">Citizenship </w:t>
      </w:r>
      <w:r w:rsidRPr="00B6180D">
        <w:rPr>
          <w:szCs w:val="24"/>
        </w:rPr>
        <w:t>Act for evidence of Australian citizenship if:</w:t>
      </w:r>
    </w:p>
    <w:p w14:paraId="772A2CEA" w14:textId="77777777" w:rsidR="00521D33" w:rsidRPr="00B6180D" w:rsidRDefault="00521D33" w:rsidP="000E3C74">
      <w:pPr>
        <w:spacing w:after="120"/>
        <w:rPr>
          <w:szCs w:val="24"/>
        </w:rPr>
      </w:pPr>
      <w:r w:rsidRPr="00B6180D">
        <w:rPr>
          <w:szCs w:val="24"/>
        </w:rPr>
        <w:t>(a) the application relates to the replacement of evidence of Australian citizenship that was lost, destroyed or damaged due to a natural disaster that is included on a list of natural disasters published by the Department on its website; and</w:t>
      </w:r>
      <w:r w:rsidR="007513D7">
        <w:rPr>
          <w:szCs w:val="24"/>
        </w:rPr>
        <w:br/>
      </w:r>
      <w:r w:rsidRPr="00B6180D">
        <w:rPr>
          <w:szCs w:val="24"/>
        </w:rPr>
        <w:t>(b) the application is made within 18 months of the date specified for the natural disaster on the list.</w:t>
      </w:r>
    </w:p>
    <w:p w14:paraId="2809F2E9" w14:textId="77777777" w:rsidR="00521D33" w:rsidRPr="00B6180D" w:rsidRDefault="00521D33" w:rsidP="000E3C74">
      <w:pPr>
        <w:spacing w:after="120"/>
        <w:rPr>
          <w:szCs w:val="24"/>
        </w:rPr>
      </w:pPr>
      <w:r w:rsidRPr="00B6180D">
        <w:rPr>
          <w:szCs w:val="24"/>
        </w:rPr>
        <w:t>Such an application must be accompanied by the following information or documents:</w:t>
      </w:r>
    </w:p>
    <w:p w14:paraId="20B8AFAF" w14:textId="77777777" w:rsidR="00521D33" w:rsidRPr="00B6180D" w:rsidRDefault="00521D33" w:rsidP="000E3C74">
      <w:pPr>
        <w:spacing w:after="120"/>
        <w:rPr>
          <w:szCs w:val="24"/>
        </w:rPr>
      </w:pPr>
      <w:r w:rsidRPr="00B6180D">
        <w:rPr>
          <w:szCs w:val="24"/>
        </w:rPr>
        <w:lastRenderedPageBreak/>
        <w:t>(a) a statutory declaration stating that the evidence of Australian citizenship has been lost, destroyed or damaged due to the natural disaster;</w:t>
      </w:r>
      <w:r w:rsidR="007513D7">
        <w:rPr>
          <w:szCs w:val="24"/>
        </w:rPr>
        <w:br/>
      </w:r>
      <w:r w:rsidRPr="00B6180D">
        <w:rPr>
          <w:szCs w:val="24"/>
        </w:rPr>
        <w:t>(b) if the evidence of Australian citizenship is damaged - the damaged evidence of Australian citizenship.</w:t>
      </w:r>
    </w:p>
    <w:p w14:paraId="68389AA6" w14:textId="77777777" w:rsidR="00521D33" w:rsidRPr="00B6180D" w:rsidRDefault="00521D33" w:rsidP="000E3C74">
      <w:pPr>
        <w:spacing w:after="120"/>
        <w:rPr>
          <w:szCs w:val="24"/>
        </w:rPr>
      </w:pPr>
      <w:r w:rsidRPr="00B6180D">
        <w:rPr>
          <w:szCs w:val="24"/>
        </w:rPr>
        <w:t>These amendments allow for Australian citizens who have been affected by listed natural disasters to apply to replace lost or damaged evidence of their Australian citizenship without paying an application fee.</w:t>
      </w:r>
    </w:p>
    <w:p w14:paraId="5E91B67B" w14:textId="77777777" w:rsidR="00521D33" w:rsidRPr="00B6180D" w:rsidRDefault="00521D33" w:rsidP="000E3C74">
      <w:pPr>
        <w:spacing w:after="120"/>
        <w:rPr>
          <w:szCs w:val="24"/>
        </w:rPr>
      </w:pPr>
      <w:r w:rsidRPr="00B6180D">
        <w:rPr>
          <w:b/>
          <w:bCs/>
          <w:szCs w:val="24"/>
        </w:rPr>
        <w:t>Human rights implications</w:t>
      </w:r>
    </w:p>
    <w:p w14:paraId="17128745" w14:textId="77777777" w:rsidR="00521D33" w:rsidRPr="00B6180D" w:rsidRDefault="00521D33" w:rsidP="000E3C74">
      <w:pPr>
        <w:spacing w:after="120"/>
        <w:rPr>
          <w:szCs w:val="24"/>
        </w:rPr>
      </w:pPr>
      <w:r w:rsidRPr="00B6180D">
        <w:rPr>
          <w:szCs w:val="24"/>
        </w:rPr>
        <w:t>The amendment has been assessed against the seven core international human rights treaties and does not engage any of the applicable rights or freedoms.</w:t>
      </w:r>
    </w:p>
    <w:p w14:paraId="3CDC1BD6" w14:textId="77777777" w:rsidR="00521D33" w:rsidRPr="00B6180D" w:rsidRDefault="00521D33" w:rsidP="000E3C74">
      <w:pPr>
        <w:spacing w:after="120"/>
        <w:rPr>
          <w:szCs w:val="24"/>
        </w:rPr>
      </w:pPr>
      <w:r w:rsidRPr="00B6180D">
        <w:rPr>
          <w:b/>
          <w:bCs/>
          <w:szCs w:val="24"/>
        </w:rPr>
        <w:t>Conclusion</w:t>
      </w:r>
    </w:p>
    <w:p w14:paraId="6324BC4E" w14:textId="47806EB2" w:rsidR="00225AA7" w:rsidRDefault="00521D33" w:rsidP="000E3C74">
      <w:pPr>
        <w:spacing w:after="120"/>
        <w:rPr>
          <w:szCs w:val="24"/>
        </w:rPr>
      </w:pPr>
      <w:r w:rsidRPr="00B6180D">
        <w:rPr>
          <w:szCs w:val="24"/>
        </w:rPr>
        <w:t>Th</w:t>
      </w:r>
      <w:r w:rsidR="006F0161">
        <w:rPr>
          <w:szCs w:val="24"/>
        </w:rPr>
        <w:t>e</w:t>
      </w:r>
      <w:r w:rsidRPr="00B6180D">
        <w:rPr>
          <w:szCs w:val="24"/>
        </w:rPr>
        <w:t xml:space="preserve"> amendment is compatible with human rights as it does not raise any human rights issues.</w:t>
      </w:r>
      <w:r w:rsidR="00E12B82">
        <w:rPr>
          <w:szCs w:val="24"/>
        </w:rPr>
        <w:br/>
      </w:r>
    </w:p>
    <w:p w14:paraId="1358D4D4" w14:textId="77777777" w:rsidR="00225AA7" w:rsidRPr="00B6180D" w:rsidRDefault="00225AA7" w:rsidP="000E3C74">
      <w:pPr>
        <w:pStyle w:val="Default"/>
        <w:numPr>
          <w:ilvl w:val="0"/>
          <w:numId w:val="2"/>
        </w:numPr>
      </w:pPr>
      <w:r w:rsidRPr="00B6180D">
        <w:rPr>
          <w:b/>
          <w:bCs/>
        </w:rPr>
        <w:t xml:space="preserve">Schedule 5 – </w:t>
      </w:r>
      <w:r w:rsidR="00521D33" w:rsidRPr="00B6180D">
        <w:rPr>
          <w:b/>
          <w:bCs/>
        </w:rPr>
        <w:t xml:space="preserve">Amendments relating to nominated positions </w:t>
      </w:r>
    </w:p>
    <w:p w14:paraId="51E99059" w14:textId="77777777" w:rsidR="00B6180D" w:rsidRPr="00B6180D" w:rsidRDefault="00B6180D" w:rsidP="000E3C74">
      <w:pPr>
        <w:pStyle w:val="Default"/>
        <w:rPr>
          <w:b/>
          <w:bCs/>
        </w:rPr>
      </w:pPr>
    </w:p>
    <w:p w14:paraId="08537D2D" w14:textId="252382CD" w:rsidR="00B6180D" w:rsidRPr="00B6180D" w:rsidRDefault="00B6180D" w:rsidP="000E3C74">
      <w:pPr>
        <w:spacing w:before="120" w:after="120"/>
        <w:jc w:val="both"/>
        <w:rPr>
          <w:b/>
          <w:bCs/>
          <w:szCs w:val="24"/>
        </w:rPr>
      </w:pPr>
      <w:r w:rsidRPr="00B6180D">
        <w:rPr>
          <w:b/>
          <w:bCs/>
          <w:szCs w:val="24"/>
        </w:rPr>
        <w:t xml:space="preserve">Overview of the </w:t>
      </w:r>
      <w:r w:rsidR="00E8376F">
        <w:rPr>
          <w:b/>
          <w:bCs/>
          <w:szCs w:val="24"/>
        </w:rPr>
        <w:t>Schedule</w:t>
      </w:r>
    </w:p>
    <w:p w14:paraId="05F5EED5" w14:textId="42F4DEB8" w:rsidR="00B6180D" w:rsidRPr="00B6180D" w:rsidRDefault="00F9416F" w:rsidP="000E3C74">
      <w:pPr>
        <w:spacing w:before="120" w:after="120"/>
        <w:rPr>
          <w:szCs w:val="24"/>
        </w:rPr>
      </w:pPr>
      <w:r>
        <w:rPr>
          <w:szCs w:val="24"/>
        </w:rPr>
        <w:t>Schedule 5 to the Regulation introduces an</w:t>
      </w:r>
      <w:r w:rsidR="00B6180D" w:rsidRPr="00B6180D">
        <w:rPr>
          <w:szCs w:val="24"/>
        </w:rPr>
        <w:t xml:space="preserve"> instrument making power to allow the Minister to specify, in a legislative instrument, occupations that are eligible occupations for </w:t>
      </w:r>
      <w:r w:rsidR="00C42B81">
        <w:rPr>
          <w:szCs w:val="24"/>
        </w:rPr>
        <w:t xml:space="preserve">employer </w:t>
      </w:r>
      <w:r w:rsidR="00B6180D" w:rsidRPr="00B6180D">
        <w:rPr>
          <w:szCs w:val="24"/>
        </w:rPr>
        <w:t>nomination for the Subclass 187 (Regional Sponsored Migration Scheme) visa (Subclass</w:t>
      </w:r>
      <w:r w:rsidR="002C4B09">
        <w:rPr>
          <w:szCs w:val="24"/>
        </w:rPr>
        <w:t> </w:t>
      </w:r>
      <w:r w:rsidR="00B6180D" w:rsidRPr="00B6180D">
        <w:rPr>
          <w:szCs w:val="24"/>
        </w:rPr>
        <w:t xml:space="preserve">187 visa). The Subclass 187 visa forms part of the Permanent Employer Sponsored Visa (PESV) program, with the Subclass 186 (Employer Nomination Scheme) visa. Specifically, sub-subparagraph 5.19(4)(h)(ii)(D) will be amended to provide for a new legislative instrument making power that specifies certain occupations that are eligible to be nominated </w:t>
      </w:r>
      <w:r w:rsidR="00C42B81">
        <w:rPr>
          <w:szCs w:val="24"/>
        </w:rPr>
        <w:t>by an employer</w:t>
      </w:r>
      <w:r w:rsidR="00C42B81" w:rsidRPr="00B6180D">
        <w:rPr>
          <w:szCs w:val="24"/>
        </w:rPr>
        <w:t xml:space="preserve"> </w:t>
      </w:r>
      <w:r w:rsidR="00B6180D" w:rsidRPr="00B6180D">
        <w:rPr>
          <w:szCs w:val="24"/>
        </w:rPr>
        <w:t xml:space="preserve">for a Subclass 187 visa. </w:t>
      </w:r>
    </w:p>
    <w:p w14:paraId="46D81FCB" w14:textId="09798625" w:rsidR="00B6180D" w:rsidRPr="00B6180D" w:rsidRDefault="00B6180D" w:rsidP="000E3C74">
      <w:pPr>
        <w:spacing w:before="120" w:after="120"/>
        <w:rPr>
          <w:szCs w:val="24"/>
        </w:rPr>
      </w:pPr>
      <w:r w:rsidRPr="00B6180D">
        <w:rPr>
          <w:szCs w:val="24"/>
        </w:rPr>
        <w:t xml:space="preserve">The effect of the amendment is that the Minister will have flexibility to specify which occupations are eligible to be nominated </w:t>
      </w:r>
      <w:r w:rsidR="00C42B81">
        <w:rPr>
          <w:szCs w:val="24"/>
        </w:rPr>
        <w:t>by an employer</w:t>
      </w:r>
      <w:r w:rsidR="00C42B81" w:rsidRPr="00B6180D">
        <w:rPr>
          <w:szCs w:val="24"/>
        </w:rPr>
        <w:t xml:space="preserve"> </w:t>
      </w:r>
      <w:r w:rsidRPr="00B6180D">
        <w:rPr>
          <w:szCs w:val="24"/>
        </w:rPr>
        <w:t>under the Direct Entry stream for a</w:t>
      </w:r>
      <w:r w:rsidR="002C4B09">
        <w:rPr>
          <w:szCs w:val="24"/>
        </w:rPr>
        <w:t> </w:t>
      </w:r>
      <w:r w:rsidRPr="00B6180D">
        <w:rPr>
          <w:szCs w:val="24"/>
        </w:rPr>
        <w:t>Subclass</w:t>
      </w:r>
      <w:r w:rsidR="002C4B09">
        <w:rPr>
          <w:szCs w:val="24"/>
        </w:rPr>
        <w:t> </w:t>
      </w:r>
      <w:r w:rsidRPr="00B6180D">
        <w:rPr>
          <w:szCs w:val="24"/>
        </w:rPr>
        <w:t>187 visa.</w:t>
      </w:r>
    </w:p>
    <w:p w14:paraId="6C489459" w14:textId="1B10FE97" w:rsidR="00B6180D" w:rsidRPr="00B6180D" w:rsidRDefault="00B6180D" w:rsidP="000E3C74">
      <w:pPr>
        <w:spacing w:before="120" w:after="120"/>
        <w:rPr>
          <w:szCs w:val="24"/>
        </w:rPr>
      </w:pPr>
      <w:r w:rsidRPr="00B6180D">
        <w:rPr>
          <w:szCs w:val="24"/>
        </w:rPr>
        <w:t xml:space="preserve">The purpose of the amendments is to provide </w:t>
      </w:r>
      <w:r w:rsidR="002C4B09">
        <w:rPr>
          <w:szCs w:val="24"/>
        </w:rPr>
        <w:t xml:space="preserve">the Minister flexibility to specify </w:t>
      </w:r>
      <w:r w:rsidR="002C4B09" w:rsidRPr="00B6180D">
        <w:rPr>
          <w:szCs w:val="24"/>
        </w:rPr>
        <w:t xml:space="preserve">occupations that are eligible occupations for </w:t>
      </w:r>
      <w:r w:rsidR="00C42B81">
        <w:rPr>
          <w:szCs w:val="24"/>
        </w:rPr>
        <w:t xml:space="preserve">employer </w:t>
      </w:r>
      <w:r w:rsidR="002C4B09" w:rsidRPr="00B6180D">
        <w:rPr>
          <w:szCs w:val="24"/>
        </w:rPr>
        <w:t>nomination for the Subclass</w:t>
      </w:r>
      <w:r w:rsidR="002C4B09">
        <w:rPr>
          <w:szCs w:val="24"/>
        </w:rPr>
        <w:t> </w:t>
      </w:r>
      <w:r w:rsidR="002C4B09" w:rsidRPr="00B6180D">
        <w:rPr>
          <w:szCs w:val="24"/>
        </w:rPr>
        <w:t>187 visa</w:t>
      </w:r>
      <w:r w:rsidRPr="00B6180D">
        <w:rPr>
          <w:szCs w:val="24"/>
        </w:rPr>
        <w:t>.</w:t>
      </w:r>
    </w:p>
    <w:p w14:paraId="3FBF263C" w14:textId="77777777" w:rsidR="00B6180D" w:rsidRPr="00B6180D" w:rsidRDefault="00B6180D" w:rsidP="000E3C74">
      <w:pPr>
        <w:spacing w:before="120" w:after="120"/>
        <w:rPr>
          <w:b/>
          <w:bCs/>
          <w:szCs w:val="24"/>
        </w:rPr>
      </w:pPr>
      <w:r w:rsidRPr="00B6180D">
        <w:rPr>
          <w:b/>
          <w:bCs/>
          <w:szCs w:val="24"/>
        </w:rPr>
        <w:t>Human rights implications</w:t>
      </w:r>
    </w:p>
    <w:p w14:paraId="232AA9FC" w14:textId="77777777" w:rsidR="002C4B09" w:rsidRPr="00B6180D" w:rsidRDefault="002C4B09" w:rsidP="000E3C74">
      <w:pPr>
        <w:spacing w:after="120"/>
        <w:rPr>
          <w:szCs w:val="24"/>
        </w:rPr>
      </w:pPr>
      <w:r w:rsidRPr="00B6180D">
        <w:rPr>
          <w:szCs w:val="24"/>
        </w:rPr>
        <w:t>The amendment has been assessed against the seven core international human rights treaties and does not engage any of the applicable rights or freedoms.</w:t>
      </w:r>
    </w:p>
    <w:p w14:paraId="1C70297C" w14:textId="77777777" w:rsidR="00B6180D" w:rsidRPr="00B6180D" w:rsidRDefault="00B6180D" w:rsidP="000E3C74">
      <w:pPr>
        <w:spacing w:before="120" w:after="120"/>
        <w:rPr>
          <w:b/>
          <w:bCs/>
          <w:szCs w:val="24"/>
        </w:rPr>
      </w:pPr>
      <w:r w:rsidRPr="00B6180D">
        <w:rPr>
          <w:b/>
          <w:bCs/>
          <w:szCs w:val="24"/>
        </w:rPr>
        <w:t xml:space="preserve">Conclusion </w:t>
      </w:r>
    </w:p>
    <w:p w14:paraId="15F42E20" w14:textId="05D80206" w:rsidR="009B689A" w:rsidRDefault="002C4B09" w:rsidP="000E3C74">
      <w:pPr>
        <w:spacing w:before="120" w:after="120"/>
        <w:rPr>
          <w:szCs w:val="24"/>
        </w:rPr>
      </w:pPr>
      <w:r w:rsidRPr="00B6180D">
        <w:rPr>
          <w:szCs w:val="24"/>
        </w:rPr>
        <w:t>Th</w:t>
      </w:r>
      <w:r w:rsidR="00E8376F">
        <w:rPr>
          <w:szCs w:val="24"/>
        </w:rPr>
        <w:t>e</w:t>
      </w:r>
      <w:r w:rsidRPr="00B6180D">
        <w:rPr>
          <w:szCs w:val="24"/>
        </w:rPr>
        <w:t xml:space="preserve"> amendment is compatible with human rights as it does not raise any human rights issues.</w:t>
      </w:r>
    </w:p>
    <w:p w14:paraId="4AD25634" w14:textId="77777777" w:rsidR="009B689A" w:rsidRDefault="009B689A">
      <w:pPr>
        <w:spacing w:before="0"/>
        <w:rPr>
          <w:szCs w:val="24"/>
        </w:rPr>
      </w:pPr>
      <w:r>
        <w:rPr>
          <w:szCs w:val="24"/>
        </w:rPr>
        <w:br w:type="page"/>
      </w:r>
    </w:p>
    <w:p w14:paraId="74F8BF83" w14:textId="77777777" w:rsidR="00B6180D" w:rsidRPr="00B6180D" w:rsidRDefault="00B6180D" w:rsidP="000E3C74">
      <w:pPr>
        <w:spacing w:before="120" w:after="120"/>
        <w:rPr>
          <w:szCs w:val="24"/>
        </w:rPr>
      </w:pPr>
    </w:p>
    <w:p w14:paraId="5F558835" w14:textId="3B40702B" w:rsidR="00225AA7" w:rsidRPr="00B6180D" w:rsidRDefault="00225AA7" w:rsidP="000E3C74">
      <w:pPr>
        <w:pStyle w:val="Default"/>
        <w:numPr>
          <w:ilvl w:val="0"/>
          <w:numId w:val="2"/>
        </w:numPr>
        <w:rPr>
          <w:b/>
          <w:bCs/>
        </w:rPr>
      </w:pPr>
      <w:r w:rsidRPr="00B6180D">
        <w:rPr>
          <w:b/>
          <w:bCs/>
        </w:rPr>
        <w:t xml:space="preserve">Schedule 6 – </w:t>
      </w:r>
      <w:r w:rsidR="006A350E">
        <w:rPr>
          <w:b/>
          <w:bCs/>
        </w:rPr>
        <w:t>Amendments relating to Tribunals Amalgamation</w:t>
      </w:r>
    </w:p>
    <w:p w14:paraId="6F5750D6" w14:textId="77777777" w:rsidR="00225AA7" w:rsidRDefault="00225AA7" w:rsidP="000E3C74">
      <w:pPr>
        <w:pStyle w:val="Default"/>
      </w:pPr>
    </w:p>
    <w:p w14:paraId="354D7B12" w14:textId="0880C328" w:rsidR="006A350E" w:rsidRPr="00D24AE5" w:rsidRDefault="006A350E" w:rsidP="006A350E">
      <w:pPr>
        <w:spacing w:before="0"/>
        <w:ind w:right="91"/>
        <w:rPr>
          <w:b/>
        </w:rPr>
      </w:pPr>
      <w:r w:rsidRPr="00D24AE5">
        <w:rPr>
          <w:b/>
        </w:rPr>
        <w:t xml:space="preserve">Overview of the </w:t>
      </w:r>
      <w:r w:rsidR="00DA02F5">
        <w:rPr>
          <w:b/>
        </w:rPr>
        <w:t>Schedule</w:t>
      </w:r>
    </w:p>
    <w:p w14:paraId="787744BE" w14:textId="77777777" w:rsidR="006A350E" w:rsidRDefault="006A350E" w:rsidP="006A350E">
      <w:pPr>
        <w:spacing w:before="0"/>
        <w:ind w:right="91"/>
      </w:pPr>
    </w:p>
    <w:p w14:paraId="4D822563" w14:textId="3210C4C9" w:rsidR="006A350E" w:rsidRPr="00D24AE5" w:rsidRDefault="00F9416F" w:rsidP="006A350E">
      <w:pPr>
        <w:spacing w:before="0"/>
        <w:ind w:right="91"/>
      </w:pPr>
      <w:r>
        <w:t xml:space="preserve">Schedule 6 to the Regulation </w:t>
      </w:r>
      <w:r w:rsidR="00F701C3">
        <w:t>includes</w:t>
      </w:r>
      <w:r>
        <w:t xml:space="preserve"> amendments that are </w:t>
      </w:r>
      <w:r w:rsidR="006A350E" w:rsidRPr="00D24AE5">
        <w:t xml:space="preserve">consequential to the </w:t>
      </w:r>
      <w:r w:rsidR="006A350E" w:rsidRPr="002B4A6F">
        <w:rPr>
          <w:i/>
        </w:rPr>
        <w:t>Tribunals Amalgamation Act 2015</w:t>
      </w:r>
      <w:r w:rsidR="006A350E">
        <w:rPr>
          <w:i/>
        </w:rPr>
        <w:t xml:space="preserve"> </w:t>
      </w:r>
      <w:r w:rsidR="006A350E" w:rsidRPr="00D24AE5">
        <w:t>(</w:t>
      </w:r>
      <w:r w:rsidR="006A350E">
        <w:t xml:space="preserve">the </w:t>
      </w:r>
      <w:r w:rsidR="006A350E" w:rsidRPr="00D24AE5">
        <w:t>Amalga</w:t>
      </w:r>
      <w:r>
        <w:t>mation Act), which merged</w:t>
      </w:r>
      <w:r w:rsidR="006A350E" w:rsidRPr="00D24AE5">
        <w:t xml:space="preserve"> the Migration Review Tribunal</w:t>
      </w:r>
      <w:r w:rsidR="006A350E">
        <w:t xml:space="preserve"> (MRT) and </w:t>
      </w:r>
      <w:r w:rsidR="006A350E" w:rsidRPr="00D24AE5">
        <w:t>Refugee Review Tribunal (RRT) and the Social Security Appeal Tribunal (SSAT) with the Administrative Appeals Tribunal (AAT) on 1 July 2015.  The Amalgamation Act received Royal Assent on 26 May 2015.</w:t>
      </w:r>
    </w:p>
    <w:p w14:paraId="14E12F45" w14:textId="77777777" w:rsidR="006A350E" w:rsidRDefault="006A350E" w:rsidP="006A350E">
      <w:pPr>
        <w:spacing w:before="0"/>
        <w:ind w:right="91"/>
      </w:pPr>
    </w:p>
    <w:p w14:paraId="1DDF178D" w14:textId="7DA5ACCE" w:rsidR="006A350E" w:rsidRPr="00D24AE5" w:rsidRDefault="006A350E" w:rsidP="006A350E">
      <w:pPr>
        <w:spacing w:before="0"/>
        <w:ind w:right="91"/>
      </w:pPr>
      <w:r w:rsidRPr="00D24AE5">
        <w:t xml:space="preserve">The Amalgamation Act </w:t>
      </w:r>
      <w:r>
        <w:t xml:space="preserve">is primarily directed at </w:t>
      </w:r>
      <w:r w:rsidRPr="00D24AE5">
        <w:t xml:space="preserve">the establishment, organisation and procedures of </w:t>
      </w:r>
      <w:r>
        <w:t xml:space="preserve">the </w:t>
      </w:r>
      <w:r w:rsidRPr="00D24AE5">
        <w:t>amalgamated tribunal</w:t>
      </w:r>
      <w:r>
        <w:t xml:space="preserve"> which is established</w:t>
      </w:r>
      <w:r w:rsidRPr="00D24AE5">
        <w:t xml:space="preserve"> under the </w:t>
      </w:r>
      <w:r w:rsidRPr="00D24AE5">
        <w:rPr>
          <w:i/>
        </w:rPr>
        <w:t>Administrative Appeals Tribunal Act 1975</w:t>
      </w:r>
      <w:r w:rsidRPr="00D24AE5">
        <w:t xml:space="preserve">.  </w:t>
      </w:r>
      <w:r>
        <w:t xml:space="preserve">Schedule 2 of the </w:t>
      </w:r>
      <w:r w:rsidRPr="00D24AE5">
        <w:t xml:space="preserve">Amalgamation Act </w:t>
      </w:r>
      <w:r>
        <w:t xml:space="preserve">also makes consequential </w:t>
      </w:r>
      <w:r w:rsidRPr="00D24AE5">
        <w:t xml:space="preserve">amendments to the </w:t>
      </w:r>
      <w:r w:rsidRPr="000F4B80">
        <w:t>Migration Act</w:t>
      </w:r>
      <w:r>
        <w:t xml:space="preserve">. </w:t>
      </w:r>
      <w:r w:rsidR="00F701C3">
        <w:t>Schedule 6</w:t>
      </w:r>
      <w:r>
        <w:t xml:space="preserve"> seek</w:t>
      </w:r>
      <w:r w:rsidR="00F701C3">
        <w:t>s</w:t>
      </w:r>
      <w:r>
        <w:t xml:space="preserve"> to give effect to these amendments by making consequential amendments to </w:t>
      </w:r>
      <w:r w:rsidR="003C1A50">
        <w:t>the Migration Regulations</w:t>
      </w:r>
      <w:r>
        <w:t xml:space="preserve"> and </w:t>
      </w:r>
      <w:r w:rsidR="003C1A50">
        <w:t>the Migration Agents Regulations</w:t>
      </w:r>
      <w:r>
        <w:t>.</w:t>
      </w:r>
    </w:p>
    <w:p w14:paraId="12973984" w14:textId="77777777" w:rsidR="006A350E" w:rsidRDefault="006A350E" w:rsidP="006A350E">
      <w:pPr>
        <w:spacing w:before="0"/>
        <w:ind w:right="91"/>
      </w:pPr>
    </w:p>
    <w:p w14:paraId="4E8646C2" w14:textId="07CCDEA1" w:rsidR="006A350E" w:rsidRPr="00D24AE5" w:rsidRDefault="006A350E" w:rsidP="006A350E">
      <w:pPr>
        <w:spacing w:before="0" w:after="120"/>
        <w:ind w:right="91"/>
      </w:pPr>
      <w:r w:rsidRPr="00D24AE5">
        <w:t xml:space="preserve">Part 1 of </w:t>
      </w:r>
      <w:r>
        <w:t xml:space="preserve">Schedule 6 to </w:t>
      </w:r>
      <w:r w:rsidRPr="00D24AE5">
        <w:t>the Regulation</w:t>
      </w:r>
      <w:r>
        <w:t xml:space="preserve"> amends </w:t>
      </w:r>
      <w:r w:rsidRPr="00D24AE5">
        <w:t xml:space="preserve">the </w:t>
      </w:r>
      <w:r>
        <w:t xml:space="preserve">Migration </w:t>
      </w:r>
      <w:r w:rsidRPr="00D24AE5">
        <w:t xml:space="preserve">Agents Regulations and the </w:t>
      </w:r>
      <w:r>
        <w:t xml:space="preserve">Migration </w:t>
      </w:r>
      <w:r w:rsidRPr="00D24AE5">
        <w:t xml:space="preserve">Regulations </w:t>
      </w:r>
      <w:r>
        <w:t>by</w:t>
      </w:r>
      <w:r w:rsidRPr="00D24AE5">
        <w:t xml:space="preserve"> </w:t>
      </w:r>
      <w:r>
        <w:t xml:space="preserve">changing </w:t>
      </w:r>
      <w:r w:rsidRPr="00D24AE5">
        <w:t>references from:</w:t>
      </w:r>
    </w:p>
    <w:p w14:paraId="10555719" w14:textId="7EBD0B63" w:rsidR="006A350E" w:rsidRPr="00D24AE5" w:rsidRDefault="006A350E" w:rsidP="006A350E">
      <w:pPr>
        <w:numPr>
          <w:ilvl w:val="0"/>
          <w:numId w:val="28"/>
        </w:numPr>
        <w:spacing w:before="0"/>
        <w:ind w:right="91"/>
      </w:pPr>
      <w:r w:rsidRPr="00D24AE5">
        <w:t xml:space="preserve">the “MRT” and “RRT” to either the “AAT” or the “Tribunal” (which will be defined in section 5(1) of the </w:t>
      </w:r>
      <w:r>
        <w:t xml:space="preserve">Migration </w:t>
      </w:r>
      <w:r w:rsidRPr="00D24AE5">
        <w:t>Act</w:t>
      </w:r>
      <w:r>
        <w:t xml:space="preserve"> to means the Administrative Appeals Tribunal</w:t>
      </w:r>
      <w:r w:rsidRPr="00D24AE5">
        <w:t>)</w:t>
      </w:r>
      <w:r>
        <w:t>;</w:t>
      </w:r>
    </w:p>
    <w:p w14:paraId="34FB0CA9" w14:textId="77777777" w:rsidR="006A350E" w:rsidRDefault="006A350E" w:rsidP="006A350E">
      <w:pPr>
        <w:numPr>
          <w:ilvl w:val="0"/>
          <w:numId w:val="28"/>
        </w:numPr>
        <w:spacing w:before="0"/>
        <w:ind w:right="91"/>
      </w:pPr>
      <w:r w:rsidRPr="00D24AE5">
        <w:t xml:space="preserve">“review authority” to “Tribunal”; </w:t>
      </w:r>
    </w:p>
    <w:p w14:paraId="1E217A2D" w14:textId="77777777" w:rsidR="006A350E" w:rsidRPr="00D24AE5" w:rsidRDefault="006A350E" w:rsidP="006A350E">
      <w:pPr>
        <w:numPr>
          <w:ilvl w:val="0"/>
          <w:numId w:val="28"/>
        </w:numPr>
        <w:spacing w:before="0"/>
        <w:ind w:right="91"/>
      </w:pPr>
      <w:r w:rsidRPr="00D24AE5">
        <w:t>office bearer titles in the MRT and RRT to the relevant office bearer titles in the AAT:  “Principal Member” to “President of the Tribunal”; and “Registrar, or a Deputy Registrar, or another officer of the Tribunal authorised in writing by the Registrar” to “Registrar of the Tribunal”</w:t>
      </w:r>
      <w:r>
        <w:t>;</w:t>
      </w:r>
    </w:p>
    <w:p w14:paraId="0558CE78" w14:textId="57E354BE" w:rsidR="006A350E" w:rsidRDefault="006A350E" w:rsidP="006A350E">
      <w:pPr>
        <w:numPr>
          <w:ilvl w:val="0"/>
          <w:numId w:val="28"/>
        </w:numPr>
        <w:spacing w:before="0"/>
        <w:ind w:right="91"/>
      </w:pPr>
      <w:r>
        <w:t>“</w:t>
      </w:r>
      <w:r w:rsidRPr="00D24AE5">
        <w:t xml:space="preserve">MRT-reviewable decision” to “Part 5-reviewable decision” (thereby referencing the </w:t>
      </w:r>
      <w:r>
        <w:t>P</w:t>
      </w:r>
      <w:r w:rsidRPr="00D24AE5">
        <w:t xml:space="preserve">art of the </w:t>
      </w:r>
      <w:r w:rsidR="000F4B80">
        <w:t xml:space="preserve">Migration </w:t>
      </w:r>
      <w:r w:rsidRPr="00D24AE5">
        <w:t xml:space="preserve">Act where </w:t>
      </w:r>
      <w:r>
        <w:t xml:space="preserve">provisions authorising the review of </w:t>
      </w:r>
      <w:r w:rsidRPr="00D24AE5">
        <w:t>migration matters</w:t>
      </w:r>
      <w:r>
        <w:t>, other than in relation to protection visas,</w:t>
      </w:r>
      <w:r w:rsidRPr="00D24AE5">
        <w:t xml:space="preserve"> </w:t>
      </w:r>
      <w:r>
        <w:t>are</w:t>
      </w:r>
      <w:r w:rsidRPr="00D24AE5">
        <w:t xml:space="preserve"> located)</w:t>
      </w:r>
      <w:r>
        <w:t>; and</w:t>
      </w:r>
    </w:p>
    <w:p w14:paraId="3AF574F6" w14:textId="4736EB3E" w:rsidR="006A350E" w:rsidRPr="00D24AE5" w:rsidRDefault="006A350E" w:rsidP="006A350E">
      <w:pPr>
        <w:numPr>
          <w:ilvl w:val="0"/>
          <w:numId w:val="28"/>
        </w:numPr>
        <w:spacing w:before="0"/>
        <w:ind w:right="91"/>
      </w:pPr>
      <w:r>
        <w:t>“RRT-reviewable decision” to “Part 7-reviewable decision” (thereby referencing the Part of the</w:t>
      </w:r>
      <w:r w:rsidR="000F4B80">
        <w:t xml:space="preserve"> Migration</w:t>
      </w:r>
      <w:r>
        <w:t xml:space="preserve"> Act where the review of protection visa decisions, other than review under Part 7AA, is located).</w:t>
      </w:r>
    </w:p>
    <w:p w14:paraId="7594D103" w14:textId="77777777" w:rsidR="006A350E" w:rsidRDefault="006A350E" w:rsidP="006A350E">
      <w:pPr>
        <w:spacing w:before="0"/>
        <w:ind w:right="91"/>
      </w:pPr>
    </w:p>
    <w:p w14:paraId="69236383" w14:textId="22E4D605" w:rsidR="006A350E" w:rsidRDefault="006A350E" w:rsidP="006A350E">
      <w:pPr>
        <w:spacing w:before="0"/>
        <w:ind w:right="91"/>
      </w:pPr>
      <w:r>
        <w:t>Part 1 of Schedule 6 to the Regulation also make</w:t>
      </w:r>
      <w:r w:rsidR="00F701C3">
        <w:t>s</w:t>
      </w:r>
      <w:r>
        <w:t xml:space="preserve"> other consequential amendments to remove redundant provisions and streamline the drafting of various provisions in Schedule 2 to the </w:t>
      </w:r>
      <w:r w:rsidR="003C1A50">
        <w:t xml:space="preserve">Migration </w:t>
      </w:r>
      <w:r>
        <w:t>Regulations.</w:t>
      </w:r>
    </w:p>
    <w:p w14:paraId="0DAD895C" w14:textId="77777777" w:rsidR="006A350E" w:rsidRDefault="006A350E" w:rsidP="006A350E">
      <w:pPr>
        <w:spacing w:before="0"/>
        <w:ind w:right="91"/>
      </w:pPr>
    </w:p>
    <w:p w14:paraId="557B500F" w14:textId="3FF33138" w:rsidR="006A350E" w:rsidRPr="00D24AE5" w:rsidRDefault="006A350E" w:rsidP="006A350E">
      <w:pPr>
        <w:spacing w:before="0"/>
        <w:ind w:right="91"/>
      </w:pPr>
      <w:r>
        <w:t>P</w:t>
      </w:r>
      <w:r w:rsidRPr="00D24AE5">
        <w:t xml:space="preserve">art 2 of </w:t>
      </w:r>
      <w:r>
        <w:t xml:space="preserve">Schedule 6 to </w:t>
      </w:r>
      <w:r w:rsidRPr="00D24AE5">
        <w:t>the Regulation</w:t>
      </w:r>
      <w:r>
        <w:t xml:space="preserve"> make</w:t>
      </w:r>
      <w:r w:rsidR="00F701C3">
        <w:t>s</w:t>
      </w:r>
      <w:r>
        <w:t xml:space="preserve"> additional multiple amendments to </w:t>
      </w:r>
      <w:r w:rsidR="003C1A50">
        <w:t>the Migration Regulations</w:t>
      </w:r>
      <w:r>
        <w:t xml:space="preserve">, to change references </w:t>
      </w:r>
      <w:r w:rsidRPr="00D24AE5">
        <w:t>from:</w:t>
      </w:r>
    </w:p>
    <w:p w14:paraId="76BB2DC8" w14:textId="77777777" w:rsidR="006A350E" w:rsidRPr="00D24AE5" w:rsidRDefault="006A350E" w:rsidP="006A350E">
      <w:pPr>
        <w:numPr>
          <w:ilvl w:val="0"/>
          <w:numId w:val="29"/>
        </w:numPr>
        <w:spacing w:before="0"/>
        <w:ind w:right="91"/>
      </w:pPr>
      <w:r w:rsidRPr="00D24AE5">
        <w:t>“Migration Review Tribunal” to “Tribunal”</w:t>
      </w:r>
      <w:r>
        <w:t>;</w:t>
      </w:r>
    </w:p>
    <w:p w14:paraId="05D845CD" w14:textId="77777777" w:rsidR="006A350E" w:rsidRPr="00D24AE5" w:rsidRDefault="006A350E" w:rsidP="006A350E">
      <w:pPr>
        <w:numPr>
          <w:ilvl w:val="0"/>
          <w:numId w:val="29"/>
        </w:numPr>
        <w:spacing w:before="0"/>
        <w:ind w:right="91"/>
      </w:pPr>
      <w:r w:rsidRPr="00D24AE5">
        <w:t>“an MRT-reviewable decision” to “a Part 5-reviewable decision”</w:t>
      </w:r>
      <w:r>
        <w:t>;</w:t>
      </w:r>
    </w:p>
    <w:p w14:paraId="54FA6B6A" w14:textId="77777777" w:rsidR="006A350E" w:rsidRPr="00D24AE5" w:rsidRDefault="006A350E" w:rsidP="006A350E">
      <w:pPr>
        <w:numPr>
          <w:ilvl w:val="0"/>
          <w:numId w:val="29"/>
        </w:numPr>
        <w:spacing w:before="0"/>
        <w:ind w:right="91"/>
      </w:pPr>
      <w:r w:rsidRPr="00D24AE5">
        <w:t>“a review authority” to the “Tribunal”</w:t>
      </w:r>
      <w:r>
        <w:t>;</w:t>
      </w:r>
      <w:r w:rsidRPr="00D24AE5">
        <w:t xml:space="preserve"> and</w:t>
      </w:r>
    </w:p>
    <w:p w14:paraId="25F7A637" w14:textId="77777777" w:rsidR="006A350E" w:rsidRPr="00D24AE5" w:rsidRDefault="006A350E" w:rsidP="006A350E">
      <w:pPr>
        <w:numPr>
          <w:ilvl w:val="0"/>
          <w:numId w:val="29"/>
        </w:numPr>
        <w:spacing w:before="0"/>
        <w:ind w:right="91"/>
      </w:pPr>
      <w:r w:rsidRPr="00D24AE5">
        <w:t>“an RRT-reviewable decision” to “a Part 7-reviewable decision”.</w:t>
      </w:r>
    </w:p>
    <w:p w14:paraId="28B04441" w14:textId="77777777" w:rsidR="006A350E" w:rsidRDefault="006A350E" w:rsidP="006A350E">
      <w:pPr>
        <w:spacing w:before="0"/>
        <w:ind w:right="91"/>
      </w:pPr>
    </w:p>
    <w:p w14:paraId="0D3734E7" w14:textId="77777777" w:rsidR="006A350E" w:rsidRDefault="006A350E" w:rsidP="006A350E">
      <w:pPr>
        <w:spacing w:before="0"/>
        <w:ind w:right="91"/>
      </w:pPr>
      <w:r w:rsidRPr="00D24AE5">
        <w:t xml:space="preserve">Additionally, </w:t>
      </w:r>
      <w:r>
        <w:t xml:space="preserve">a number of redundant references and provisions are omitted. </w:t>
      </w:r>
    </w:p>
    <w:p w14:paraId="19F539BE" w14:textId="77777777" w:rsidR="006A350E" w:rsidRDefault="006A350E" w:rsidP="006A350E">
      <w:pPr>
        <w:spacing w:before="0"/>
        <w:ind w:right="91"/>
        <w:rPr>
          <w:b/>
        </w:rPr>
      </w:pPr>
    </w:p>
    <w:p w14:paraId="6FB4EDDC" w14:textId="77777777" w:rsidR="006A350E" w:rsidRPr="00D24AE5" w:rsidRDefault="006A350E" w:rsidP="006A350E">
      <w:pPr>
        <w:spacing w:before="0"/>
        <w:ind w:right="91"/>
        <w:rPr>
          <w:b/>
        </w:rPr>
      </w:pPr>
      <w:r w:rsidRPr="00D24AE5">
        <w:rPr>
          <w:b/>
        </w:rPr>
        <w:lastRenderedPageBreak/>
        <w:t>Human rights implications</w:t>
      </w:r>
    </w:p>
    <w:p w14:paraId="0B1607D6" w14:textId="77777777" w:rsidR="006A350E" w:rsidRDefault="006A350E" w:rsidP="006A350E">
      <w:pPr>
        <w:spacing w:before="0"/>
        <w:ind w:right="91"/>
      </w:pPr>
    </w:p>
    <w:p w14:paraId="67375A68" w14:textId="46BEDC34" w:rsidR="006A350E" w:rsidRPr="00D24AE5" w:rsidRDefault="006A350E" w:rsidP="006A350E">
      <w:pPr>
        <w:spacing w:before="0"/>
        <w:ind w:right="91"/>
      </w:pPr>
      <w:r w:rsidRPr="00D24AE5">
        <w:t xml:space="preserve">The amendments to the </w:t>
      </w:r>
      <w:r w:rsidR="003C1A50">
        <w:t xml:space="preserve">Migration </w:t>
      </w:r>
      <w:r w:rsidRPr="00D24AE5">
        <w:t xml:space="preserve">Agents Regulations and </w:t>
      </w:r>
      <w:r w:rsidR="003C1A50" w:rsidRPr="00D24AE5">
        <w:t>the</w:t>
      </w:r>
      <w:r w:rsidR="003C1A50">
        <w:t xml:space="preserve"> Migration </w:t>
      </w:r>
      <w:r w:rsidRPr="00D24AE5">
        <w:t xml:space="preserve">Regulations are consequential to </w:t>
      </w:r>
      <w:r>
        <w:t xml:space="preserve">the amendments made to </w:t>
      </w:r>
      <w:r w:rsidR="000F4B80">
        <w:t>the Migration Act</w:t>
      </w:r>
      <w:r>
        <w:t xml:space="preserve"> by </w:t>
      </w:r>
      <w:r w:rsidRPr="00D24AE5">
        <w:t xml:space="preserve">Schedule 2 of the Amalgamation Act.  </w:t>
      </w:r>
      <w:r>
        <w:t>T</w:t>
      </w:r>
      <w:r w:rsidRPr="00D24AE5">
        <w:t xml:space="preserve">he Statement of Compatibility with Human Rights </w:t>
      </w:r>
      <w:r>
        <w:t xml:space="preserve">accompanying the Amalgamation Act </w:t>
      </w:r>
      <w:r w:rsidRPr="00D24AE5">
        <w:t xml:space="preserve">addresses the human rights implications of these amendments.  The </w:t>
      </w:r>
      <w:r>
        <w:t>amen</w:t>
      </w:r>
      <w:r w:rsidRPr="00D24AE5">
        <w:t>dments</w:t>
      </w:r>
      <w:r>
        <w:t xml:space="preserve"> do not engage human rights.</w:t>
      </w:r>
    </w:p>
    <w:p w14:paraId="5194346D" w14:textId="77777777" w:rsidR="006A350E" w:rsidRDefault="006A350E" w:rsidP="006A350E">
      <w:pPr>
        <w:spacing w:before="0"/>
        <w:ind w:right="91"/>
        <w:rPr>
          <w:b/>
        </w:rPr>
      </w:pPr>
    </w:p>
    <w:p w14:paraId="3DAC21F9" w14:textId="77777777" w:rsidR="006A350E" w:rsidRPr="00D24AE5" w:rsidRDefault="006A350E" w:rsidP="006A350E">
      <w:pPr>
        <w:spacing w:before="0"/>
        <w:ind w:right="91"/>
        <w:rPr>
          <w:b/>
        </w:rPr>
      </w:pPr>
      <w:r w:rsidRPr="00D24AE5">
        <w:rPr>
          <w:b/>
        </w:rPr>
        <w:t>Conclusion</w:t>
      </w:r>
    </w:p>
    <w:p w14:paraId="0FA02846" w14:textId="77777777" w:rsidR="006A350E" w:rsidRDefault="006A350E" w:rsidP="006A350E">
      <w:pPr>
        <w:spacing w:before="0"/>
        <w:ind w:right="91"/>
      </w:pPr>
    </w:p>
    <w:p w14:paraId="0E35BE9A" w14:textId="070B09F3" w:rsidR="006A350E" w:rsidRPr="00D24AE5" w:rsidRDefault="006A350E" w:rsidP="006A350E">
      <w:pPr>
        <w:spacing w:before="0"/>
        <w:ind w:right="91"/>
      </w:pPr>
      <w:r w:rsidRPr="00D24AE5">
        <w:t xml:space="preserve">The amendments are compatible with human rights as they do not engage Australia’s human rights obligations. </w:t>
      </w:r>
    </w:p>
    <w:p w14:paraId="31897953" w14:textId="77777777" w:rsidR="006A350E" w:rsidRPr="00B6180D" w:rsidRDefault="006A350E" w:rsidP="000E3C74">
      <w:pPr>
        <w:pStyle w:val="Default"/>
      </w:pPr>
    </w:p>
    <w:p w14:paraId="03C51E0D" w14:textId="77777777" w:rsidR="00225AA7" w:rsidRPr="00B6180D" w:rsidRDefault="00225AA7" w:rsidP="000E3C74">
      <w:pPr>
        <w:pStyle w:val="Default"/>
        <w:numPr>
          <w:ilvl w:val="0"/>
          <w:numId w:val="2"/>
        </w:numPr>
      </w:pPr>
      <w:r w:rsidRPr="00B6180D">
        <w:rPr>
          <w:b/>
          <w:bCs/>
        </w:rPr>
        <w:t xml:space="preserve">Schedule 7 – </w:t>
      </w:r>
      <w:r w:rsidR="00D1602A">
        <w:rPr>
          <w:b/>
          <w:bCs/>
        </w:rPr>
        <w:t>Amendments to relating to v</w:t>
      </w:r>
      <w:r w:rsidR="00B6180D">
        <w:rPr>
          <w:b/>
          <w:bCs/>
        </w:rPr>
        <w:t xml:space="preserve">isa </w:t>
      </w:r>
      <w:r w:rsidR="00D1602A">
        <w:rPr>
          <w:b/>
          <w:bCs/>
        </w:rPr>
        <w:t>a</w:t>
      </w:r>
      <w:r w:rsidR="00B6180D">
        <w:rPr>
          <w:b/>
          <w:bCs/>
        </w:rPr>
        <w:t xml:space="preserve">pplication </w:t>
      </w:r>
      <w:r w:rsidR="00D1602A">
        <w:rPr>
          <w:b/>
          <w:bCs/>
        </w:rPr>
        <w:t>c</w:t>
      </w:r>
      <w:r w:rsidR="00B6180D">
        <w:rPr>
          <w:b/>
          <w:bCs/>
        </w:rPr>
        <w:t>harges</w:t>
      </w:r>
    </w:p>
    <w:p w14:paraId="3C1E9963" w14:textId="77777777" w:rsidR="00B6180D" w:rsidRDefault="00B6180D" w:rsidP="000E3C74">
      <w:pPr>
        <w:tabs>
          <w:tab w:val="left" w:pos="345"/>
        </w:tabs>
        <w:spacing w:before="0"/>
        <w:ind w:left="720" w:right="662"/>
        <w:rPr>
          <w:szCs w:val="24"/>
        </w:rPr>
      </w:pPr>
    </w:p>
    <w:p w14:paraId="7CEF3B6F" w14:textId="4ECB8602" w:rsidR="00B6180D" w:rsidRPr="006744E0" w:rsidRDefault="00B6180D" w:rsidP="000E3C74">
      <w:pPr>
        <w:spacing w:before="0"/>
        <w:rPr>
          <w:b/>
          <w:szCs w:val="24"/>
        </w:rPr>
      </w:pPr>
      <w:r w:rsidRPr="006744E0">
        <w:rPr>
          <w:b/>
          <w:szCs w:val="24"/>
        </w:rPr>
        <w:t xml:space="preserve">Overview of the </w:t>
      </w:r>
      <w:r w:rsidR="00DA02F5">
        <w:rPr>
          <w:b/>
          <w:szCs w:val="24"/>
        </w:rPr>
        <w:t>Schedule</w:t>
      </w:r>
    </w:p>
    <w:p w14:paraId="00C814AD" w14:textId="77777777" w:rsidR="00B6180D" w:rsidRDefault="00B6180D" w:rsidP="000E3C74">
      <w:pPr>
        <w:spacing w:before="0"/>
        <w:rPr>
          <w:color w:val="000000" w:themeColor="text1"/>
          <w:szCs w:val="24"/>
        </w:rPr>
      </w:pPr>
    </w:p>
    <w:p w14:paraId="16CDF45C" w14:textId="77777777" w:rsidR="00B6180D" w:rsidRDefault="00B6180D" w:rsidP="000E3C74">
      <w:pPr>
        <w:spacing w:before="0"/>
        <w:rPr>
          <w:color w:val="000000" w:themeColor="text1"/>
          <w:szCs w:val="24"/>
        </w:rPr>
      </w:pPr>
      <w:r w:rsidRPr="00FB597F">
        <w:rPr>
          <w:color w:val="000000" w:themeColor="text1"/>
          <w:szCs w:val="24"/>
        </w:rPr>
        <w:t xml:space="preserve">Within the government’s 2015 Budget, it was announced and detailed in </w:t>
      </w:r>
      <w:r>
        <w:rPr>
          <w:color w:val="000000" w:themeColor="text1"/>
          <w:szCs w:val="24"/>
        </w:rPr>
        <w:t>‘</w:t>
      </w:r>
      <w:r w:rsidRPr="00FB597F">
        <w:rPr>
          <w:i/>
          <w:color w:val="000000" w:themeColor="text1"/>
          <w:szCs w:val="24"/>
        </w:rPr>
        <w:t>Budget Measures, Budget Paper No. 2’</w:t>
      </w:r>
      <w:r w:rsidRPr="00FB597F">
        <w:rPr>
          <w:color w:val="000000" w:themeColor="text1"/>
          <w:szCs w:val="24"/>
        </w:rPr>
        <w:t xml:space="preserve"> that ‘VACs (Visa Application Charges) for all visa applications made overseas will increase to align them with applications charges in Australia, with the exception of Child Visas, for which domestic VACs will be reduced to match overseas VACs. This measure will also increase VACs for a range of visas’. </w:t>
      </w:r>
    </w:p>
    <w:p w14:paraId="76243A26" w14:textId="77777777" w:rsidR="00B6180D" w:rsidRDefault="00B6180D" w:rsidP="000E3C74">
      <w:pPr>
        <w:spacing w:before="0"/>
        <w:jc w:val="both"/>
        <w:rPr>
          <w:szCs w:val="24"/>
        </w:rPr>
      </w:pPr>
    </w:p>
    <w:p w14:paraId="66D7A925" w14:textId="1BA8B2CF" w:rsidR="00B6180D" w:rsidRDefault="00F701C3" w:rsidP="000E3C74">
      <w:pPr>
        <w:spacing w:before="0"/>
        <w:jc w:val="both"/>
        <w:rPr>
          <w:szCs w:val="24"/>
        </w:rPr>
      </w:pPr>
      <w:r>
        <w:rPr>
          <w:szCs w:val="24"/>
        </w:rPr>
        <w:t>Schedule 7 to the Regulation</w:t>
      </w:r>
      <w:r w:rsidR="00B6180D">
        <w:rPr>
          <w:szCs w:val="24"/>
        </w:rPr>
        <w:t xml:space="preserve"> makes adjustments to VACs including:</w:t>
      </w:r>
    </w:p>
    <w:p w14:paraId="7A80D0DF" w14:textId="77777777" w:rsidR="00B6180D" w:rsidRDefault="00B6180D" w:rsidP="000E3C74">
      <w:pPr>
        <w:spacing w:before="0"/>
        <w:jc w:val="both"/>
        <w:rPr>
          <w:szCs w:val="24"/>
        </w:rPr>
      </w:pPr>
    </w:p>
    <w:p w14:paraId="3AD9F273" w14:textId="77777777" w:rsidR="00B6180D" w:rsidRDefault="00B6180D" w:rsidP="000E3C74">
      <w:pPr>
        <w:pStyle w:val="ListParagraph"/>
        <w:numPr>
          <w:ilvl w:val="0"/>
          <w:numId w:val="7"/>
        </w:numPr>
        <w:spacing w:before="0"/>
        <w:ind w:right="42"/>
        <w:rPr>
          <w:szCs w:val="24"/>
        </w:rPr>
      </w:pPr>
      <w:r w:rsidRPr="00A515B8">
        <w:rPr>
          <w:szCs w:val="24"/>
        </w:rPr>
        <w:t xml:space="preserve">increase the </w:t>
      </w:r>
      <w:r w:rsidR="00E93F79">
        <w:rPr>
          <w:szCs w:val="24"/>
        </w:rPr>
        <w:t xml:space="preserve">first instalment of the </w:t>
      </w:r>
      <w:r>
        <w:rPr>
          <w:szCs w:val="24"/>
        </w:rPr>
        <w:t>VACs</w:t>
      </w:r>
      <w:r w:rsidRPr="00A515B8">
        <w:rPr>
          <w:szCs w:val="24"/>
        </w:rPr>
        <w:t xml:space="preserve"> for some visa categories by Consumer Price Index (2.3 per cent) and 5 per cent for economic related visas, by 10 per cent for </w:t>
      </w:r>
      <w:r>
        <w:rPr>
          <w:szCs w:val="24"/>
        </w:rPr>
        <w:t xml:space="preserve">some </w:t>
      </w:r>
      <w:r w:rsidRPr="00A515B8">
        <w:rPr>
          <w:szCs w:val="24"/>
        </w:rPr>
        <w:t>family related visas</w:t>
      </w:r>
      <w:r>
        <w:rPr>
          <w:szCs w:val="24"/>
        </w:rPr>
        <w:t xml:space="preserve"> (Remaining Relative, Carer, Aged Dependent Relative and Parent (non-contributory))</w:t>
      </w:r>
      <w:r w:rsidRPr="00A515B8">
        <w:rPr>
          <w:szCs w:val="24"/>
        </w:rPr>
        <w:t xml:space="preserve"> and by 50 per cent for significant investor vi</w:t>
      </w:r>
      <w:r>
        <w:rPr>
          <w:szCs w:val="24"/>
        </w:rPr>
        <w:t>sa, effective from 1 July 2015; and</w:t>
      </w:r>
    </w:p>
    <w:p w14:paraId="5636EDEF" w14:textId="77777777" w:rsidR="00B6180D" w:rsidRPr="00F66675" w:rsidRDefault="00B6180D" w:rsidP="000E3C74">
      <w:pPr>
        <w:pStyle w:val="ListParagraph"/>
        <w:numPr>
          <w:ilvl w:val="0"/>
          <w:numId w:val="7"/>
        </w:numPr>
        <w:spacing w:before="0"/>
        <w:ind w:right="42"/>
        <w:rPr>
          <w:szCs w:val="24"/>
        </w:rPr>
      </w:pPr>
      <w:r w:rsidRPr="00A515B8">
        <w:rPr>
          <w:szCs w:val="24"/>
        </w:rPr>
        <w:t>harmonise VACs for some visa categories by creating a uniform price point for onshore and offshore visa applic</w:t>
      </w:r>
      <w:r>
        <w:rPr>
          <w:szCs w:val="24"/>
        </w:rPr>
        <w:t>ations.</w:t>
      </w:r>
    </w:p>
    <w:p w14:paraId="1452C098" w14:textId="77777777" w:rsidR="00B6180D" w:rsidRDefault="00B6180D" w:rsidP="000E3C74">
      <w:pPr>
        <w:spacing w:before="0"/>
        <w:jc w:val="both"/>
        <w:rPr>
          <w:szCs w:val="24"/>
        </w:rPr>
      </w:pPr>
    </w:p>
    <w:p w14:paraId="45B347BB" w14:textId="77777777" w:rsidR="00B6180D" w:rsidRPr="006744E0" w:rsidRDefault="00B6180D" w:rsidP="000E3C74">
      <w:pPr>
        <w:spacing w:before="0"/>
        <w:jc w:val="both"/>
        <w:rPr>
          <w:szCs w:val="24"/>
        </w:rPr>
      </w:pPr>
      <w:r w:rsidRPr="006744E0">
        <w:rPr>
          <w:szCs w:val="24"/>
        </w:rPr>
        <w:t xml:space="preserve">The amount of the increases does not exceed the applicable charge limits set out in the </w:t>
      </w:r>
      <w:r w:rsidRPr="006744E0">
        <w:rPr>
          <w:i/>
          <w:iCs/>
          <w:szCs w:val="24"/>
        </w:rPr>
        <w:t>Migration (Visa Application) Charge Act 1997</w:t>
      </w:r>
      <w:r w:rsidRPr="006744E0">
        <w:rPr>
          <w:szCs w:val="24"/>
        </w:rPr>
        <w:t>.</w:t>
      </w:r>
    </w:p>
    <w:p w14:paraId="09D3B9D6" w14:textId="77777777" w:rsidR="00B6180D" w:rsidRDefault="00B6180D" w:rsidP="000E3C74">
      <w:pPr>
        <w:spacing w:before="0"/>
        <w:jc w:val="both"/>
        <w:rPr>
          <w:szCs w:val="24"/>
        </w:rPr>
      </w:pPr>
    </w:p>
    <w:p w14:paraId="1A8D059C" w14:textId="7EF3E28E" w:rsidR="00B6180D" w:rsidRDefault="00F701C3" w:rsidP="000E3C74">
      <w:pPr>
        <w:spacing w:before="0"/>
        <w:jc w:val="both"/>
        <w:rPr>
          <w:szCs w:val="24"/>
        </w:rPr>
      </w:pPr>
      <w:r>
        <w:rPr>
          <w:szCs w:val="24"/>
        </w:rPr>
        <w:t>Schedule 7</w:t>
      </w:r>
      <w:r w:rsidR="00B6180D" w:rsidRPr="006744E0">
        <w:rPr>
          <w:szCs w:val="24"/>
        </w:rPr>
        <w:t xml:space="preserve"> makes amendments to the current values specified in the </w:t>
      </w:r>
      <w:r w:rsidR="00601AFD">
        <w:rPr>
          <w:iCs/>
          <w:szCs w:val="24"/>
        </w:rPr>
        <w:t>Schedule 1 to the Migration Regulations</w:t>
      </w:r>
      <w:r w:rsidR="00B6180D" w:rsidRPr="006744E0">
        <w:rPr>
          <w:i/>
          <w:iCs/>
          <w:szCs w:val="24"/>
        </w:rPr>
        <w:t xml:space="preserve"> </w:t>
      </w:r>
      <w:r w:rsidR="00B6180D" w:rsidRPr="006744E0">
        <w:rPr>
          <w:szCs w:val="24"/>
        </w:rPr>
        <w:t>to adjust VACs</w:t>
      </w:r>
      <w:r>
        <w:rPr>
          <w:szCs w:val="24"/>
        </w:rPr>
        <w:t>.</w:t>
      </w:r>
    </w:p>
    <w:p w14:paraId="2F1CF45C" w14:textId="77777777" w:rsidR="00B6180D" w:rsidRDefault="00B6180D" w:rsidP="000E3C74">
      <w:pPr>
        <w:spacing w:before="0"/>
        <w:jc w:val="both"/>
        <w:rPr>
          <w:b/>
          <w:bCs/>
          <w:szCs w:val="24"/>
        </w:rPr>
      </w:pPr>
    </w:p>
    <w:p w14:paraId="04D73A3A" w14:textId="77777777" w:rsidR="00B6180D" w:rsidRDefault="00B6180D" w:rsidP="000E3C74">
      <w:pPr>
        <w:spacing w:before="0"/>
        <w:jc w:val="both"/>
        <w:rPr>
          <w:b/>
          <w:bCs/>
          <w:szCs w:val="24"/>
        </w:rPr>
      </w:pPr>
      <w:r w:rsidRPr="006744E0">
        <w:rPr>
          <w:b/>
          <w:bCs/>
          <w:szCs w:val="24"/>
        </w:rPr>
        <w:t>Human rights implications</w:t>
      </w:r>
    </w:p>
    <w:p w14:paraId="4FE17D84" w14:textId="77777777" w:rsidR="00B6180D" w:rsidRDefault="00B6180D" w:rsidP="000E3C74">
      <w:pPr>
        <w:spacing w:before="0"/>
        <w:jc w:val="both"/>
        <w:rPr>
          <w:u w:val="single"/>
        </w:rPr>
      </w:pPr>
    </w:p>
    <w:p w14:paraId="1898FE82" w14:textId="77777777" w:rsidR="00B6180D" w:rsidRPr="00FB597F" w:rsidRDefault="00B6180D" w:rsidP="000E3C74">
      <w:pPr>
        <w:spacing w:before="0"/>
        <w:jc w:val="both"/>
        <w:rPr>
          <w:u w:val="single"/>
        </w:rPr>
      </w:pPr>
      <w:r w:rsidRPr="00FB597F">
        <w:rPr>
          <w:u w:val="single"/>
        </w:rPr>
        <w:t>Right to protection of the family</w:t>
      </w:r>
    </w:p>
    <w:p w14:paraId="406874A1" w14:textId="77777777" w:rsidR="00B6180D" w:rsidRDefault="00B6180D" w:rsidP="000E3C74">
      <w:pPr>
        <w:spacing w:before="0"/>
        <w:jc w:val="both"/>
      </w:pPr>
    </w:p>
    <w:p w14:paraId="024F0F32" w14:textId="77777777" w:rsidR="00B6180D" w:rsidRPr="00FB597F" w:rsidRDefault="00B6180D" w:rsidP="000E3C74">
      <w:pPr>
        <w:spacing w:before="0"/>
        <w:jc w:val="both"/>
      </w:pPr>
      <w:r w:rsidRPr="00FB597F">
        <w:t xml:space="preserve">The right to respect for the family is protected by </w:t>
      </w:r>
      <w:r>
        <w:t>A</w:t>
      </w:r>
      <w:r w:rsidRPr="00FB597F">
        <w:t xml:space="preserve">rticles 17 and 23 of the International Covenant on Civil and Political Rights (ICCPR) and </w:t>
      </w:r>
      <w:r>
        <w:t>A</w:t>
      </w:r>
      <w:r w:rsidRPr="00FB597F">
        <w:t xml:space="preserve">rticle 10 of the International Covenant on Economic, Social and Cultural Rights </w:t>
      </w:r>
      <w:r>
        <w:t>(ICESCR).</w:t>
      </w:r>
    </w:p>
    <w:p w14:paraId="2E06A850" w14:textId="77777777" w:rsidR="00B6180D" w:rsidRDefault="00B6180D" w:rsidP="000E3C74">
      <w:pPr>
        <w:spacing w:before="0"/>
        <w:jc w:val="both"/>
        <w:rPr>
          <w:color w:val="000000" w:themeColor="text1"/>
        </w:rPr>
      </w:pPr>
    </w:p>
    <w:p w14:paraId="5073D2EA" w14:textId="70E0E892" w:rsidR="00B6180D" w:rsidRPr="00FB597F" w:rsidRDefault="00B6180D" w:rsidP="000E3C74">
      <w:pPr>
        <w:spacing w:before="0"/>
        <w:jc w:val="both"/>
        <w:rPr>
          <w:color w:val="000000" w:themeColor="text1"/>
        </w:rPr>
      </w:pPr>
      <w:r w:rsidRPr="00FB597F">
        <w:rPr>
          <w:color w:val="000000" w:themeColor="text1"/>
        </w:rPr>
        <w:t xml:space="preserve">It may be argued that the </w:t>
      </w:r>
      <w:r w:rsidRPr="00FB597F">
        <w:rPr>
          <w:color w:val="000000" w:themeColor="text1"/>
          <w:szCs w:val="24"/>
        </w:rPr>
        <w:t xml:space="preserve">10 per cent </w:t>
      </w:r>
      <w:r w:rsidR="00F701C3">
        <w:rPr>
          <w:color w:val="000000" w:themeColor="text1"/>
          <w:szCs w:val="24"/>
        </w:rPr>
        <w:t xml:space="preserve">VAC increase </w:t>
      </w:r>
      <w:r w:rsidRPr="00FB597F">
        <w:rPr>
          <w:color w:val="000000" w:themeColor="text1"/>
          <w:szCs w:val="24"/>
        </w:rPr>
        <w:t xml:space="preserve">for some family related visas (Remaining Relative, Carer, Aged Dependent Relative and Parent (non-contributory)) engages the aforementioned rights. However, the government is of the view that this </w:t>
      </w:r>
      <w:r w:rsidRPr="00FB597F">
        <w:rPr>
          <w:color w:val="000000" w:themeColor="text1"/>
          <w:szCs w:val="24"/>
        </w:rPr>
        <w:lastRenderedPageBreak/>
        <w:t xml:space="preserve">measure is compatible with these rights in light of the </w:t>
      </w:r>
      <w:r w:rsidRPr="00FB597F">
        <w:rPr>
          <w:color w:val="000000" w:themeColor="text1"/>
        </w:rPr>
        <w:t xml:space="preserve">VAC representing a small price of the overall cost of migrating to Australia.  </w:t>
      </w:r>
      <w:r w:rsidRPr="00FB597F">
        <w:rPr>
          <w:rFonts w:eastAsiaTheme="minorHAnsi"/>
          <w:color w:val="000000" w:themeColor="text1"/>
          <w:szCs w:val="24"/>
          <w:lang w:eastAsia="en-US"/>
        </w:rPr>
        <w:t xml:space="preserve">This </w:t>
      </w:r>
      <w:r>
        <w:rPr>
          <w:rFonts w:eastAsiaTheme="minorHAnsi"/>
          <w:color w:val="000000" w:themeColor="text1"/>
          <w:szCs w:val="24"/>
          <w:lang w:eastAsia="en-US"/>
        </w:rPr>
        <w:t xml:space="preserve">reasonable and proportionate </w:t>
      </w:r>
      <w:r w:rsidRPr="00FB597F">
        <w:rPr>
          <w:rFonts w:eastAsiaTheme="minorHAnsi"/>
          <w:color w:val="000000" w:themeColor="text1"/>
          <w:szCs w:val="24"/>
          <w:lang w:eastAsia="en-US"/>
        </w:rPr>
        <w:t xml:space="preserve">measure has the legitimate objective of reducing the burden on the Australian taxpayer of meeting the significant life-time costs of family migration, while maintaining a commitment to the migration of family members.  </w:t>
      </w:r>
      <w:r>
        <w:rPr>
          <w:color w:val="000000" w:themeColor="text1"/>
        </w:rPr>
        <w:t>This measure</w:t>
      </w:r>
      <w:r w:rsidRPr="00FB597F">
        <w:rPr>
          <w:color w:val="000000" w:themeColor="text1"/>
        </w:rPr>
        <w:t xml:space="preserve"> require</w:t>
      </w:r>
      <w:r>
        <w:rPr>
          <w:color w:val="000000" w:themeColor="text1"/>
        </w:rPr>
        <w:t>s</w:t>
      </w:r>
      <w:r w:rsidRPr="00FB597F">
        <w:rPr>
          <w:color w:val="000000" w:themeColor="text1"/>
        </w:rPr>
        <w:t xml:space="preserve"> applicants to </w:t>
      </w:r>
      <w:r w:rsidR="00C510DB">
        <w:rPr>
          <w:color w:val="000000" w:themeColor="text1"/>
        </w:rPr>
        <w:t>pay a higher</w:t>
      </w:r>
      <w:r w:rsidRPr="00FB597F">
        <w:rPr>
          <w:color w:val="000000" w:themeColor="text1"/>
        </w:rPr>
        <w:t xml:space="preserve"> </w:t>
      </w:r>
      <w:r>
        <w:rPr>
          <w:color w:val="000000" w:themeColor="text1"/>
        </w:rPr>
        <w:t xml:space="preserve">VAC which will assist the government in providing services and should be seen as a modest </w:t>
      </w:r>
      <w:r w:rsidRPr="00FB597F">
        <w:rPr>
          <w:color w:val="000000" w:themeColor="text1"/>
        </w:rPr>
        <w:t>contribution towards their future health, welfare and other costs in Australia.</w:t>
      </w:r>
    </w:p>
    <w:p w14:paraId="066F414A" w14:textId="77777777" w:rsidR="00B6180D" w:rsidRPr="006744E0" w:rsidRDefault="00B6180D" w:rsidP="000E3C74">
      <w:pPr>
        <w:spacing w:before="0"/>
        <w:jc w:val="both"/>
        <w:rPr>
          <w:szCs w:val="24"/>
        </w:rPr>
      </w:pPr>
    </w:p>
    <w:p w14:paraId="75286508" w14:textId="77777777" w:rsidR="00B6180D" w:rsidRPr="006744E0" w:rsidRDefault="00B6180D" w:rsidP="000E3C74">
      <w:pPr>
        <w:spacing w:before="0"/>
        <w:jc w:val="both"/>
        <w:rPr>
          <w:szCs w:val="24"/>
        </w:rPr>
      </w:pPr>
      <w:r w:rsidRPr="006744E0">
        <w:rPr>
          <w:b/>
          <w:bCs/>
          <w:szCs w:val="24"/>
        </w:rPr>
        <w:t>Conclusion</w:t>
      </w:r>
    </w:p>
    <w:p w14:paraId="29B8EA1B" w14:textId="77777777" w:rsidR="00B6180D" w:rsidRDefault="00B6180D" w:rsidP="000E3C74">
      <w:pPr>
        <w:spacing w:before="0"/>
        <w:rPr>
          <w:szCs w:val="24"/>
        </w:rPr>
      </w:pPr>
    </w:p>
    <w:p w14:paraId="35F9CD93" w14:textId="263BFF00" w:rsidR="00B6180D" w:rsidRPr="006744E0" w:rsidRDefault="00F701C3" w:rsidP="000E3C74">
      <w:pPr>
        <w:spacing w:before="0"/>
        <w:rPr>
          <w:szCs w:val="24"/>
        </w:rPr>
      </w:pPr>
      <w:r>
        <w:rPr>
          <w:szCs w:val="24"/>
        </w:rPr>
        <w:t xml:space="preserve">The amendments are </w:t>
      </w:r>
      <w:r w:rsidR="00B6180D" w:rsidRPr="006744E0">
        <w:rPr>
          <w:szCs w:val="24"/>
        </w:rPr>
        <w:t>compatible with human rights as</w:t>
      </w:r>
      <w:r w:rsidR="00B6180D">
        <w:rPr>
          <w:szCs w:val="24"/>
        </w:rPr>
        <w:t xml:space="preserve"> to the extent that it engages or limits the right to protection of the family, those limitations are reasonable, necessary and proportionate.  </w:t>
      </w:r>
    </w:p>
    <w:p w14:paraId="4B5049FB" w14:textId="77777777" w:rsidR="00B6180D" w:rsidRPr="00B6180D" w:rsidRDefault="00B6180D" w:rsidP="009B689A">
      <w:pPr>
        <w:pStyle w:val="Default"/>
      </w:pPr>
    </w:p>
    <w:p w14:paraId="62330A42" w14:textId="6C885225" w:rsidR="007513D7" w:rsidRDefault="00225AA7" w:rsidP="009B689A">
      <w:pPr>
        <w:pStyle w:val="Default"/>
        <w:numPr>
          <w:ilvl w:val="0"/>
          <w:numId w:val="2"/>
        </w:numPr>
        <w:rPr>
          <w:b/>
        </w:rPr>
      </w:pPr>
      <w:r w:rsidRPr="009B689A">
        <w:rPr>
          <w:b/>
        </w:rPr>
        <w:t xml:space="preserve">Schedule 8 – </w:t>
      </w:r>
      <w:r w:rsidR="007513D7" w:rsidRPr="009B689A">
        <w:rPr>
          <w:b/>
        </w:rPr>
        <w:t>Amendment to definition of ‘international airport’</w:t>
      </w:r>
    </w:p>
    <w:p w14:paraId="44C4545F" w14:textId="77777777" w:rsidR="009B689A" w:rsidRPr="009B689A" w:rsidRDefault="009B689A" w:rsidP="009B689A">
      <w:pPr>
        <w:pStyle w:val="Default"/>
        <w:rPr>
          <w:b/>
        </w:rPr>
      </w:pPr>
    </w:p>
    <w:p w14:paraId="12A972D0" w14:textId="7F470DD0" w:rsidR="007513D7" w:rsidRPr="007513D7" w:rsidRDefault="007513D7" w:rsidP="000E3C74">
      <w:pPr>
        <w:spacing w:before="120" w:after="120"/>
        <w:jc w:val="both"/>
        <w:rPr>
          <w:b/>
          <w:szCs w:val="24"/>
        </w:rPr>
      </w:pPr>
      <w:r w:rsidRPr="007513D7">
        <w:rPr>
          <w:b/>
          <w:szCs w:val="24"/>
        </w:rPr>
        <w:t xml:space="preserve">Overview of the </w:t>
      </w:r>
      <w:r w:rsidR="00DA02F5">
        <w:rPr>
          <w:b/>
          <w:szCs w:val="24"/>
        </w:rPr>
        <w:t>Schedule</w:t>
      </w:r>
    </w:p>
    <w:p w14:paraId="09A65E3F" w14:textId="605F8A5A" w:rsidR="007513D7" w:rsidRPr="000D4E07" w:rsidRDefault="00F701C3" w:rsidP="000E3C74">
      <w:pPr>
        <w:pStyle w:val="DINumberedParagraph"/>
        <w:numPr>
          <w:ilvl w:val="0"/>
          <w:numId w:val="0"/>
        </w:numPr>
        <w:tabs>
          <w:tab w:val="clear" w:pos="567"/>
        </w:tabs>
        <w:spacing w:after="120"/>
        <w:jc w:val="both"/>
        <w:rPr>
          <w:szCs w:val="24"/>
        </w:rPr>
      </w:pPr>
      <w:r>
        <w:rPr>
          <w:szCs w:val="24"/>
        </w:rPr>
        <w:t>Schedule 8 to the Regulation includes an</w:t>
      </w:r>
      <w:r w:rsidR="007513D7">
        <w:rPr>
          <w:szCs w:val="24"/>
        </w:rPr>
        <w:t xml:space="preserve"> amendment is to include Sunshine Coast Airport (Maroochydore) and Townsville Airport in the section 4 definition of </w:t>
      </w:r>
      <w:r w:rsidR="007513D7">
        <w:rPr>
          <w:i/>
          <w:szCs w:val="24"/>
        </w:rPr>
        <w:t>international airport</w:t>
      </w:r>
      <w:r w:rsidR="007513D7">
        <w:rPr>
          <w:szCs w:val="24"/>
        </w:rPr>
        <w:t xml:space="preserve"> of the </w:t>
      </w:r>
      <w:r w:rsidR="007513D7">
        <w:rPr>
          <w:i/>
          <w:szCs w:val="24"/>
        </w:rPr>
        <w:t xml:space="preserve">Customs Regulation 2015 </w:t>
      </w:r>
      <w:r w:rsidR="007513D7">
        <w:rPr>
          <w:szCs w:val="24"/>
        </w:rPr>
        <w:t xml:space="preserve">(the Regulation).  This amendment will allow the provision of a Customs presence at Sunshine Coast Airport (Maroochydore) and Townsville Airport, in addition to the nine airports specified in section 4 of the Regulation, following the grant of </w:t>
      </w:r>
      <w:r w:rsidR="007513D7" w:rsidRPr="000D4E07">
        <w:rPr>
          <w:szCs w:val="24"/>
        </w:rPr>
        <w:t xml:space="preserve">appropriation funding for biosecurity and border clearance activities at these airports. </w:t>
      </w:r>
    </w:p>
    <w:p w14:paraId="4E7A51B4" w14:textId="77777777" w:rsidR="007513D7" w:rsidRPr="007513D7" w:rsidRDefault="007513D7" w:rsidP="000E3C74">
      <w:pPr>
        <w:spacing w:before="120" w:after="120"/>
        <w:rPr>
          <w:szCs w:val="24"/>
        </w:rPr>
      </w:pPr>
      <w:r w:rsidRPr="007513D7">
        <w:rPr>
          <w:szCs w:val="24"/>
        </w:rPr>
        <w:t xml:space="preserve">The amendment will remove the ability for Customs and Border Protection to cost recover for the provision of services at Sunshine Coast (Maroochydore) and Townsville Airports. </w:t>
      </w:r>
    </w:p>
    <w:p w14:paraId="459D56C8" w14:textId="77777777" w:rsidR="007513D7" w:rsidRPr="007513D7" w:rsidRDefault="007513D7" w:rsidP="000E3C74">
      <w:pPr>
        <w:spacing w:before="120" w:after="120"/>
        <w:rPr>
          <w:b/>
          <w:szCs w:val="24"/>
        </w:rPr>
      </w:pPr>
      <w:r w:rsidRPr="007513D7">
        <w:rPr>
          <w:b/>
          <w:szCs w:val="24"/>
        </w:rPr>
        <w:t>Human rights implications</w:t>
      </w:r>
    </w:p>
    <w:p w14:paraId="4017222E" w14:textId="7CD41760" w:rsidR="007513D7" w:rsidRPr="007513D7" w:rsidRDefault="00F701C3" w:rsidP="000E3C74">
      <w:pPr>
        <w:spacing w:before="120" w:after="120"/>
        <w:rPr>
          <w:szCs w:val="24"/>
        </w:rPr>
      </w:pPr>
      <w:r>
        <w:rPr>
          <w:szCs w:val="24"/>
        </w:rPr>
        <w:t xml:space="preserve">The amendments </w:t>
      </w:r>
      <w:r w:rsidR="007513D7" w:rsidRPr="007513D7">
        <w:rPr>
          <w:szCs w:val="24"/>
        </w:rPr>
        <w:t>does not engage any of the applicable rights or freedoms.</w:t>
      </w:r>
    </w:p>
    <w:p w14:paraId="52870B49" w14:textId="77777777" w:rsidR="007513D7" w:rsidRPr="007513D7" w:rsidRDefault="007513D7" w:rsidP="000E3C74">
      <w:pPr>
        <w:spacing w:before="120" w:after="120"/>
        <w:rPr>
          <w:b/>
          <w:szCs w:val="24"/>
        </w:rPr>
      </w:pPr>
      <w:r w:rsidRPr="007513D7">
        <w:rPr>
          <w:b/>
          <w:szCs w:val="24"/>
        </w:rPr>
        <w:t>Conclusion</w:t>
      </w:r>
    </w:p>
    <w:p w14:paraId="0A894156" w14:textId="77777777" w:rsidR="00F701C3" w:rsidRPr="00D24AE5" w:rsidRDefault="00F701C3" w:rsidP="00F701C3">
      <w:pPr>
        <w:spacing w:before="0"/>
        <w:ind w:right="91"/>
      </w:pPr>
      <w:r w:rsidRPr="00D24AE5">
        <w:t xml:space="preserve">The amendments are compatible with human rights as they do not engage Australia’s human rights obligations. </w:t>
      </w:r>
    </w:p>
    <w:p w14:paraId="328AB5EF" w14:textId="77777777" w:rsidR="00225AA7" w:rsidRPr="00B6180D" w:rsidRDefault="00225AA7" w:rsidP="000E3C74">
      <w:pPr>
        <w:pStyle w:val="Default"/>
      </w:pPr>
    </w:p>
    <w:p w14:paraId="0E726A78" w14:textId="77777777" w:rsidR="00225AA7" w:rsidRPr="000E3C74" w:rsidRDefault="00225AA7" w:rsidP="000E3C74">
      <w:pPr>
        <w:pStyle w:val="Default"/>
        <w:numPr>
          <w:ilvl w:val="0"/>
          <w:numId w:val="2"/>
        </w:numPr>
      </w:pPr>
      <w:r w:rsidRPr="00B6180D">
        <w:rPr>
          <w:b/>
          <w:bCs/>
        </w:rPr>
        <w:t xml:space="preserve">Schedule 9 – </w:t>
      </w:r>
      <w:r w:rsidR="000E3C74">
        <w:rPr>
          <w:b/>
          <w:bCs/>
        </w:rPr>
        <w:t>Miscellaneous Amendments</w:t>
      </w:r>
    </w:p>
    <w:p w14:paraId="566B2C7F" w14:textId="77777777" w:rsidR="000E3C74" w:rsidRPr="009B689A" w:rsidRDefault="000E3C74" w:rsidP="000E3C74">
      <w:pPr>
        <w:pStyle w:val="Default"/>
        <w:rPr>
          <w:bCs/>
        </w:rPr>
      </w:pPr>
    </w:p>
    <w:p w14:paraId="21E0F327" w14:textId="20C03085" w:rsidR="00057018" w:rsidRPr="006A350E" w:rsidRDefault="00057018" w:rsidP="00057018">
      <w:pPr>
        <w:spacing w:before="120" w:after="120"/>
        <w:jc w:val="both"/>
        <w:rPr>
          <w:b/>
          <w:szCs w:val="24"/>
        </w:rPr>
      </w:pPr>
      <w:r w:rsidRPr="006A350E">
        <w:rPr>
          <w:b/>
          <w:szCs w:val="24"/>
        </w:rPr>
        <w:t xml:space="preserve">Overview of the </w:t>
      </w:r>
      <w:r w:rsidR="00DA02F5">
        <w:rPr>
          <w:b/>
          <w:szCs w:val="24"/>
        </w:rPr>
        <w:t>Schedule</w:t>
      </w:r>
    </w:p>
    <w:p w14:paraId="4DDCD591" w14:textId="77777777" w:rsidR="00057018" w:rsidRDefault="00057018" w:rsidP="00057018">
      <w:pPr>
        <w:spacing w:before="120" w:after="120"/>
        <w:rPr>
          <w:szCs w:val="24"/>
        </w:rPr>
      </w:pPr>
      <w:r>
        <w:rPr>
          <w:szCs w:val="24"/>
        </w:rPr>
        <w:t xml:space="preserve">Schedule 9 to the Regulation comprises items 1 and 2, and an application provision at item 3. </w:t>
      </w:r>
    </w:p>
    <w:p w14:paraId="2BF9F092" w14:textId="1C56F412" w:rsidR="00057018" w:rsidRPr="00057018" w:rsidRDefault="00057018" w:rsidP="00057018">
      <w:pPr>
        <w:rPr>
          <w:color w:val="1F497D"/>
          <w:szCs w:val="24"/>
        </w:rPr>
      </w:pPr>
      <w:r>
        <w:rPr>
          <w:szCs w:val="24"/>
        </w:rPr>
        <w:t xml:space="preserve">Item 1 is an amendment to subregulation 5.40(1) of the </w:t>
      </w:r>
      <w:r>
        <w:rPr>
          <w:i/>
          <w:iCs/>
          <w:szCs w:val="24"/>
        </w:rPr>
        <w:t>Migration Regulations 1994</w:t>
      </w:r>
      <w:r>
        <w:rPr>
          <w:szCs w:val="24"/>
        </w:rPr>
        <w:t xml:space="preserve"> and is consequential to the commencement of the </w:t>
      </w:r>
      <w:r>
        <w:rPr>
          <w:i/>
          <w:iCs/>
          <w:szCs w:val="24"/>
        </w:rPr>
        <w:t>Public Governance, Performance and Accountability Act</w:t>
      </w:r>
      <w:r>
        <w:rPr>
          <w:color w:val="1F497D"/>
          <w:szCs w:val="24"/>
        </w:rPr>
        <w:t xml:space="preserve">. </w:t>
      </w:r>
      <w:r>
        <w:rPr>
          <w:szCs w:val="24"/>
        </w:rPr>
        <w:t>The item</w:t>
      </w:r>
      <w:r w:rsidRPr="00994ADC">
        <w:rPr>
          <w:szCs w:val="24"/>
        </w:rPr>
        <w:t xml:space="preserve"> replaces a reference to </w:t>
      </w:r>
      <w:r>
        <w:rPr>
          <w:szCs w:val="24"/>
        </w:rPr>
        <w:t>“</w:t>
      </w:r>
      <w:r w:rsidRPr="00994ADC">
        <w:rPr>
          <w:szCs w:val="24"/>
        </w:rPr>
        <w:t xml:space="preserve">an Agency within the meaning of the </w:t>
      </w:r>
      <w:r w:rsidRPr="00994ADC">
        <w:rPr>
          <w:i/>
          <w:szCs w:val="24"/>
        </w:rPr>
        <w:t>Financial Management and Accountability Act 1997</w:t>
      </w:r>
      <w:r>
        <w:rPr>
          <w:szCs w:val="24"/>
        </w:rPr>
        <w:t>” with a reference to</w:t>
      </w:r>
      <w:r w:rsidRPr="00994ADC">
        <w:rPr>
          <w:szCs w:val="24"/>
        </w:rPr>
        <w:t xml:space="preserve"> “a non</w:t>
      </w:r>
      <w:r>
        <w:rPr>
          <w:szCs w:val="24"/>
        </w:rPr>
        <w:t>-</w:t>
      </w:r>
      <w:r w:rsidRPr="00994ADC">
        <w:rPr>
          <w:szCs w:val="24"/>
        </w:rPr>
        <w:t xml:space="preserve">corporate Commonwealth entity within the meaning of the </w:t>
      </w:r>
      <w:r w:rsidRPr="00994ADC">
        <w:rPr>
          <w:i/>
          <w:szCs w:val="24"/>
        </w:rPr>
        <w:t>Public Governance, Pe</w:t>
      </w:r>
      <w:r>
        <w:rPr>
          <w:i/>
          <w:szCs w:val="24"/>
        </w:rPr>
        <w:t>rformance and Accountability Act</w:t>
      </w:r>
      <w:r w:rsidRPr="00994ADC">
        <w:rPr>
          <w:szCs w:val="24"/>
        </w:rPr>
        <w:t xml:space="preserve">”. </w:t>
      </w:r>
    </w:p>
    <w:p w14:paraId="2E8EE329" w14:textId="06D0569D" w:rsidR="00057018" w:rsidRPr="00994ADC" w:rsidRDefault="00057018" w:rsidP="00057018">
      <w:pPr>
        <w:spacing w:before="120" w:after="120"/>
        <w:rPr>
          <w:szCs w:val="24"/>
        </w:rPr>
      </w:pPr>
      <w:r>
        <w:rPr>
          <w:szCs w:val="24"/>
        </w:rPr>
        <w:lastRenderedPageBreak/>
        <w:t xml:space="preserve">Item 2 fixes a typographical error in the note to paragraph 1404(3)(f) of Schedule 1 to the </w:t>
      </w:r>
      <w:r w:rsidR="002A6BE0">
        <w:rPr>
          <w:szCs w:val="24"/>
        </w:rPr>
        <w:t xml:space="preserve">Migration </w:t>
      </w:r>
      <w:r>
        <w:rPr>
          <w:szCs w:val="24"/>
        </w:rPr>
        <w:t xml:space="preserve">Regulations. It replaces a </w:t>
      </w:r>
      <w:r w:rsidRPr="00994ADC">
        <w:rPr>
          <w:szCs w:val="24"/>
        </w:rPr>
        <w:t xml:space="preserve">reference to “subparagraph (iii)”, </w:t>
      </w:r>
      <w:r>
        <w:rPr>
          <w:szCs w:val="24"/>
        </w:rPr>
        <w:t>with a reference to</w:t>
      </w:r>
      <w:r w:rsidRPr="00994ADC">
        <w:rPr>
          <w:szCs w:val="24"/>
        </w:rPr>
        <w:t xml:space="preserve"> “subparagraph (iv)”</w:t>
      </w:r>
      <w:r>
        <w:rPr>
          <w:szCs w:val="24"/>
        </w:rPr>
        <w:t>.</w:t>
      </w:r>
    </w:p>
    <w:p w14:paraId="3AAD78BB" w14:textId="77777777" w:rsidR="00057018" w:rsidRPr="002751BB" w:rsidRDefault="00057018" w:rsidP="00057018">
      <w:pPr>
        <w:spacing w:before="120" w:after="120"/>
        <w:rPr>
          <w:szCs w:val="24"/>
        </w:rPr>
      </w:pPr>
      <w:r>
        <w:rPr>
          <w:szCs w:val="24"/>
        </w:rPr>
        <w:t>Item 3</w:t>
      </w:r>
      <w:r w:rsidRPr="002751BB">
        <w:rPr>
          <w:szCs w:val="24"/>
        </w:rPr>
        <w:t xml:space="preserve"> provides that the amendment made by item 1 does not affect the continuity of any instrument that is in force under that provision immediately before the commencement of the item.</w:t>
      </w:r>
    </w:p>
    <w:p w14:paraId="2BFD79CC" w14:textId="77777777" w:rsidR="00057018" w:rsidRDefault="00057018" w:rsidP="00057018">
      <w:pPr>
        <w:spacing w:before="120" w:after="120"/>
        <w:rPr>
          <w:b/>
          <w:szCs w:val="24"/>
        </w:rPr>
      </w:pPr>
    </w:p>
    <w:p w14:paraId="3636551C" w14:textId="77777777" w:rsidR="00057018" w:rsidRPr="002751BB" w:rsidRDefault="00057018" w:rsidP="00057018">
      <w:pPr>
        <w:spacing w:before="120" w:after="120"/>
        <w:rPr>
          <w:b/>
          <w:szCs w:val="24"/>
        </w:rPr>
      </w:pPr>
      <w:r w:rsidRPr="002751BB">
        <w:rPr>
          <w:b/>
          <w:szCs w:val="24"/>
        </w:rPr>
        <w:t>Human rights implications</w:t>
      </w:r>
    </w:p>
    <w:p w14:paraId="5D6BF062" w14:textId="77777777" w:rsidR="00057018" w:rsidRDefault="00057018" w:rsidP="00057018">
      <w:pPr>
        <w:spacing w:before="120" w:after="120"/>
        <w:rPr>
          <w:szCs w:val="24"/>
        </w:rPr>
      </w:pPr>
      <w:r>
        <w:rPr>
          <w:szCs w:val="24"/>
        </w:rPr>
        <w:t>The amendments in Schedule 9</w:t>
      </w:r>
      <w:r w:rsidRPr="002751BB">
        <w:rPr>
          <w:szCs w:val="24"/>
        </w:rPr>
        <w:t xml:space="preserve"> to this Legislative</w:t>
      </w:r>
      <w:r>
        <w:rPr>
          <w:szCs w:val="24"/>
        </w:rPr>
        <w:t xml:space="preserve"> </w:t>
      </w:r>
      <w:r w:rsidRPr="00E4135E">
        <w:rPr>
          <w:szCs w:val="24"/>
        </w:rPr>
        <w:t xml:space="preserve">Instrument </w:t>
      </w:r>
      <w:r>
        <w:rPr>
          <w:szCs w:val="24"/>
        </w:rPr>
        <w:t xml:space="preserve">are consequential and technical in nature and </w:t>
      </w:r>
      <w:r w:rsidRPr="00E4135E">
        <w:rPr>
          <w:szCs w:val="24"/>
        </w:rPr>
        <w:t>do not engage any of the applicable rights or freedoms.</w:t>
      </w:r>
    </w:p>
    <w:p w14:paraId="10F1B7F2" w14:textId="77777777" w:rsidR="00057018" w:rsidRPr="00E4135E" w:rsidRDefault="00057018" w:rsidP="00057018">
      <w:pPr>
        <w:spacing w:before="120" w:after="120"/>
        <w:rPr>
          <w:szCs w:val="24"/>
        </w:rPr>
      </w:pPr>
    </w:p>
    <w:p w14:paraId="242A7850" w14:textId="77777777" w:rsidR="00057018" w:rsidRPr="00E4135E" w:rsidRDefault="00057018" w:rsidP="00057018">
      <w:pPr>
        <w:spacing w:before="120" w:after="120"/>
        <w:rPr>
          <w:b/>
          <w:szCs w:val="24"/>
        </w:rPr>
      </w:pPr>
      <w:r w:rsidRPr="00E4135E">
        <w:rPr>
          <w:b/>
          <w:szCs w:val="24"/>
        </w:rPr>
        <w:t>Conclusion</w:t>
      </w:r>
    </w:p>
    <w:p w14:paraId="0C564DC9" w14:textId="40927AB2" w:rsidR="00057018" w:rsidRDefault="00057018" w:rsidP="00057018">
      <w:pPr>
        <w:spacing w:before="120" w:after="120"/>
        <w:rPr>
          <w:szCs w:val="24"/>
        </w:rPr>
      </w:pPr>
      <w:r w:rsidRPr="00E4135E">
        <w:rPr>
          <w:szCs w:val="24"/>
        </w:rPr>
        <w:t>Th</w:t>
      </w:r>
      <w:r>
        <w:rPr>
          <w:szCs w:val="24"/>
        </w:rPr>
        <w:t>e</w:t>
      </w:r>
      <w:r w:rsidR="00202239">
        <w:rPr>
          <w:szCs w:val="24"/>
        </w:rPr>
        <w:t xml:space="preserve"> </w:t>
      </w:r>
      <w:r>
        <w:rPr>
          <w:szCs w:val="24"/>
        </w:rPr>
        <w:t>amendments are</w:t>
      </w:r>
      <w:r w:rsidRPr="00E4135E">
        <w:rPr>
          <w:szCs w:val="24"/>
        </w:rPr>
        <w:t xml:space="preserve"> compatible with human rights as </w:t>
      </w:r>
      <w:r>
        <w:rPr>
          <w:szCs w:val="24"/>
        </w:rPr>
        <w:t>they</w:t>
      </w:r>
      <w:r w:rsidRPr="00E4135E">
        <w:rPr>
          <w:szCs w:val="24"/>
        </w:rPr>
        <w:t xml:space="preserve"> do not raise any human rights issues.</w:t>
      </w:r>
    </w:p>
    <w:p w14:paraId="3281FD95" w14:textId="3FEA0E0D" w:rsidR="00423750" w:rsidRDefault="00423750">
      <w:pPr>
        <w:spacing w:before="0"/>
        <w:rPr>
          <w:szCs w:val="24"/>
        </w:rPr>
      </w:pPr>
      <w:r>
        <w:rPr>
          <w:szCs w:val="24"/>
        </w:rPr>
        <w:br w:type="page"/>
      </w:r>
    </w:p>
    <w:p w14:paraId="0A448820" w14:textId="5AB8AF56" w:rsidR="00225AA7" w:rsidRPr="00B6180D" w:rsidRDefault="00225AA7" w:rsidP="000E3C74">
      <w:pPr>
        <w:pStyle w:val="Default"/>
        <w:ind w:right="-58"/>
        <w:jc w:val="right"/>
        <w:rPr>
          <w:b/>
          <w:bCs/>
          <w:u w:val="single"/>
        </w:rPr>
      </w:pPr>
      <w:r w:rsidRPr="00B6180D">
        <w:rPr>
          <w:b/>
          <w:bCs/>
          <w:u w:val="single"/>
        </w:rPr>
        <w:lastRenderedPageBreak/>
        <w:t xml:space="preserve">ATTACHMENT </w:t>
      </w:r>
      <w:r w:rsidR="00117F89">
        <w:rPr>
          <w:b/>
          <w:bCs/>
          <w:u w:val="single"/>
        </w:rPr>
        <w:t>C</w:t>
      </w:r>
    </w:p>
    <w:p w14:paraId="0226F005" w14:textId="77777777" w:rsidR="00225AA7" w:rsidRPr="00B6180D" w:rsidRDefault="00225AA7" w:rsidP="000E3C74">
      <w:pPr>
        <w:pStyle w:val="Default"/>
        <w:ind w:right="-58"/>
        <w:jc w:val="right"/>
      </w:pPr>
    </w:p>
    <w:p w14:paraId="2AD2B2BB" w14:textId="77777777" w:rsidR="00225AA7" w:rsidRPr="00B6180D" w:rsidRDefault="00225AA7" w:rsidP="000E3C74">
      <w:pPr>
        <w:tabs>
          <w:tab w:val="left" w:pos="345"/>
        </w:tabs>
        <w:spacing w:before="0"/>
        <w:ind w:right="662"/>
        <w:rPr>
          <w:b/>
          <w:bCs/>
          <w:i/>
          <w:iCs/>
          <w:szCs w:val="24"/>
          <w:u w:val="single"/>
        </w:rPr>
      </w:pPr>
      <w:r w:rsidRPr="00B6180D">
        <w:rPr>
          <w:b/>
          <w:bCs/>
          <w:szCs w:val="24"/>
          <w:u w:val="single"/>
        </w:rPr>
        <w:t xml:space="preserve">Details of the </w:t>
      </w:r>
      <w:r w:rsidRPr="00B6180D">
        <w:rPr>
          <w:b/>
          <w:bCs/>
          <w:i/>
          <w:iCs/>
          <w:szCs w:val="24"/>
          <w:u w:val="single"/>
        </w:rPr>
        <w:t>Migration Legislation Amendment (2015 Measures No. 2) Regulation 2015</w:t>
      </w:r>
    </w:p>
    <w:p w14:paraId="701F6B47" w14:textId="77777777" w:rsidR="00745D8E" w:rsidRPr="00B6180D" w:rsidRDefault="00745D8E" w:rsidP="000E3C74">
      <w:pPr>
        <w:tabs>
          <w:tab w:val="left" w:pos="345"/>
        </w:tabs>
        <w:spacing w:before="0"/>
        <w:ind w:right="662"/>
        <w:rPr>
          <w:b/>
          <w:bCs/>
          <w:i/>
          <w:iCs/>
          <w:szCs w:val="24"/>
          <w:u w:val="single"/>
        </w:rPr>
      </w:pPr>
    </w:p>
    <w:p w14:paraId="00636E3F" w14:textId="77777777" w:rsidR="00745D8E" w:rsidRPr="00B6180D" w:rsidRDefault="00745D8E" w:rsidP="000E3C74">
      <w:pPr>
        <w:pStyle w:val="Default"/>
        <w:ind w:right="-58"/>
      </w:pPr>
      <w:r w:rsidRPr="00B6180D">
        <w:rPr>
          <w:u w:val="single"/>
        </w:rPr>
        <w:t xml:space="preserve">Section 1 – Name of Regulation </w:t>
      </w:r>
    </w:p>
    <w:p w14:paraId="01890649" w14:textId="77777777" w:rsidR="0019466D" w:rsidRDefault="0019466D" w:rsidP="000E3C74">
      <w:pPr>
        <w:pStyle w:val="Default"/>
        <w:ind w:right="-58"/>
      </w:pPr>
    </w:p>
    <w:p w14:paraId="00C2D61F" w14:textId="4441938A" w:rsidR="00745D8E" w:rsidRPr="00B6180D" w:rsidRDefault="00745D8E" w:rsidP="000E3C74">
      <w:pPr>
        <w:pStyle w:val="Default"/>
        <w:ind w:right="-58"/>
      </w:pPr>
      <w:r w:rsidRPr="00B6180D">
        <w:t xml:space="preserve">This section provides that the title of the Regulation is the </w:t>
      </w:r>
      <w:r w:rsidRPr="00B6180D">
        <w:rPr>
          <w:i/>
          <w:iCs/>
        </w:rPr>
        <w:t xml:space="preserve">Migration Legislation Amendment (2015 Measures No. </w:t>
      </w:r>
      <w:r w:rsidR="00F371E0">
        <w:rPr>
          <w:i/>
          <w:iCs/>
        </w:rPr>
        <w:t>2</w:t>
      </w:r>
      <w:r w:rsidRPr="00B6180D">
        <w:rPr>
          <w:i/>
          <w:iCs/>
        </w:rPr>
        <w:t xml:space="preserve">) Regulation 2015 </w:t>
      </w:r>
      <w:r w:rsidRPr="00B6180D">
        <w:t>(the Regulation).</w:t>
      </w:r>
    </w:p>
    <w:p w14:paraId="4D9D1C92" w14:textId="77777777" w:rsidR="00745D8E" w:rsidRPr="00B6180D" w:rsidRDefault="00745D8E" w:rsidP="000E3C74">
      <w:pPr>
        <w:pStyle w:val="Default"/>
        <w:ind w:right="-58"/>
      </w:pPr>
      <w:r w:rsidRPr="00B6180D">
        <w:t xml:space="preserve"> </w:t>
      </w:r>
    </w:p>
    <w:p w14:paraId="1F5DD9C5" w14:textId="77777777" w:rsidR="00745D8E" w:rsidRPr="00B6180D" w:rsidRDefault="00745D8E" w:rsidP="000E3C74">
      <w:pPr>
        <w:pStyle w:val="Default"/>
        <w:ind w:right="-58"/>
      </w:pPr>
      <w:r w:rsidRPr="00B6180D">
        <w:rPr>
          <w:u w:val="single"/>
        </w:rPr>
        <w:t xml:space="preserve">Section 2 – Commencement </w:t>
      </w:r>
    </w:p>
    <w:p w14:paraId="6E78250B" w14:textId="77777777" w:rsidR="0019466D" w:rsidRDefault="0019466D" w:rsidP="000E3C74">
      <w:pPr>
        <w:pStyle w:val="Default"/>
        <w:ind w:right="-58"/>
      </w:pPr>
    </w:p>
    <w:p w14:paraId="123205F8" w14:textId="77777777" w:rsidR="00745D8E" w:rsidRDefault="00745D8E" w:rsidP="000E3C74">
      <w:pPr>
        <w:pStyle w:val="Default"/>
        <w:ind w:right="-58"/>
      </w:pPr>
      <w:r w:rsidRPr="00B6180D">
        <w:t xml:space="preserve">This section provides that the Regulation commences on 1 July 2015. </w:t>
      </w:r>
    </w:p>
    <w:p w14:paraId="241BAF05" w14:textId="77777777" w:rsidR="0019466D" w:rsidRPr="00B6180D" w:rsidRDefault="0019466D" w:rsidP="000E3C74">
      <w:pPr>
        <w:pStyle w:val="Default"/>
        <w:ind w:right="-58"/>
      </w:pPr>
    </w:p>
    <w:p w14:paraId="551627EF" w14:textId="77777777" w:rsidR="00745D8E" w:rsidRPr="00B6180D" w:rsidRDefault="00745D8E" w:rsidP="000E3C74">
      <w:pPr>
        <w:pStyle w:val="Default"/>
        <w:ind w:right="-58"/>
      </w:pPr>
      <w:r w:rsidRPr="00B6180D">
        <w:t xml:space="preserve">The purpose of this section is to provide for when the amendments made by the Regulation commence. </w:t>
      </w:r>
    </w:p>
    <w:p w14:paraId="4E06E2DA" w14:textId="77777777" w:rsidR="00745D8E" w:rsidRPr="00B6180D" w:rsidRDefault="00745D8E" w:rsidP="000E3C74">
      <w:pPr>
        <w:pStyle w:val="Default"/>
        <w:ind w:right="-58"/>
      </w:pPr>
    </w:p>
    <w:p w14:paraId="793995AA" w14:textId="77777777" w:rsidR="00745D8E" w:rsidRPr="00B6180D" w:rsidRDefault="00745D8E" w:rsidP="000E3C74">
      <w:pPr>
        <w:pStyle w:val="Default"/>
        <w:ind w:right="-58"/>
      </w:pPr>
      <w:r w:rsidRPr="00B6180D">
        <w:rPr>
          <w:u w:val="single"/>
        </w:rPr>
        <w:t xml:space="preserve">Section 3 – Authority </w:t>
      </w:r>
    </w:p>
    <w:p w14:paraId="312F9E1C" w14:textId="77777777" w:rsidR="0019466D" w:rsidRDefault="0019466D" w:rsidP="000E3C74">
      <w:pPr>
        <w:pStyle w:val="Default"/>
        <w:ind w:right="-58"/>
      </w:pPr>
    </w:p>
    <w:p w14:paraId="0AD15BB0" w14:textId="77777777" w:rsidR="00745D8E" w:rsidRDefault="00745D8E" w:rsidP="000E3C74">
      <w:pPr>
        <w:pStyle w:val="Default"/>
        <w:ind w:right="-58"/>
      </w:pPr>
      <w:r w:rsidRPr="00B6180D">
        <w:t xml:space="preserve">This section provides that the Regulation is made under the </w:t>
      </w:r>
      <w:r w:rsidRPr="00B6180D">
        <w:rPr>
          <w:i/>
          <w:iCs/>
        </w:rPr>
        <w:t xml:space="preserve">Migration Act 1958 </w:t>
      </w:r>
      <w:r w:rsidRPr="00B6180D">
        <w:t xml:space="preserve">(the Migration Act), the </w:t>
      </w:r>
      <w:r w:rsidRPr="00B6180D">
        <w:rPr>
          <w:i/>
          <w:iCs/>
        </w:rPr>
        <w:t xml:space="preserve">Australian Citizenship Act 2007 </w:t>
      </w:r>
      <w:r w:rsidRPr="00B6180D">
        <w:t xml:space="preserve">(the Citizenship Act) and the </w:t>
      </w:r>
      <w:r w:rsidRPr="00B6180D">
        <w:rPr>
          <w:i/>
        </w:rPr>
        <w:t>Customs Act 1901</w:t>
      </w:r>
      <w:r w:rsidRPr="00B6180D">
        <w:t xml:space="preserve"> (the Customs Act). </w:t>
      </w:r>
    </w:p>
    <w:p w14:paraId="1CB7154E" w14:textId="77777777" w:rsidR="0019466D" w:rsidRPr="00B6180D" w:rsidRDefault="0019466D" w:rsidP="000E3C74">
      <w:pPr>
        <w:pStyle w:val="Default"/>
        <w:ind w:right="-58"/>
      </w:pPr>
    </w:p>
    <w:p w14:paraId="36B904D0" w14:textId="77777777" w:rsidR="00745D8E" w:rsidRPr="00B6180D" w:rsidRDefault="00745D8E" w:rsidP="000E3C74">
      <w:pPr>
        <w:pStyle w:val="Default"/>
        <w:ind w:right="-58"/>
      </w:pPr>
      <w:r w:rsidRPr="00B6180D">
        <w:t xml:space="preserve">The purpose of this section is to set out the Acts under which the Regulation is made. </w:t>
      </w:r>
    </w:p>
    <w:p w14:paraId="72FA713B" w14:textId="77777777" w:rsidR="00745D8E" w:rsidRPr="00B6180D" w:rsidRDefault="00745D8E" w:rsidP="000E3C74">
      <w:pPr>
        <w:pStyle w:val="Default"/>
        <w:ind w:right="-58"/>
      </w:pPr>
    </w:p>
    <w:p w14:paraId="0CD6E431" w14:textId="77777777" w:rsidR="00745D8E" w:rsidRPr="00B6180D" w:rsidRDefault="00745D8E" w:rsidP="000E3C74">
      <w:pPr>
        <w:pStyle w:val="Default"/>
        <w:ind w:right="-58"/>
      </w:pPr>
      <w:r w:rsidRPr="00B6180D">
        <w:rPr>
          <w:u w:val="single"/>
        </w:rPr>
        <w:t xml:space="preserve">Section 4 – Schedule(s) </w:t>
      </w:r>
    </w:p>
    <w:p w14:paraId="2AFCD3BD" w14:textId="77777777" w:rsidR="0019466D" w:rsidRDefault="0019466D" w:rsidP="000E3C74">
      <w:pPr>
        <w:pStyle w:val="Default"/>
        <w:ind w:right="-58"/>
      </w:pPr>
    </w:p>
    <w:p w14:paraId="4053CC62" w14:textId="77777777" w:rsidR="00745D8E" w:rsidRPr="00B6180D" w:rsidRDefault="00745D8E" w:rsidP="000E3C74">
      <w:pPr>
        <w:pStyle w:val="Default"/>
        <w:ind w:right="-58"/>
      </w:pPr>
      <w:r w:rsidRPr="00B6180D">
        <w:t xml:space="preserve">This section provides that each instrument that is specified in a Schedule to the Regulation is amended or repealed as set out in the applicable items in the Schedule concerned, and any other item in a Schedule to the Regulation has effect according to its terms. </w:t>
      </w:r>
    </w:p>
    <w:p w14:paraId="69D49375" w14:textId="77777777" w:rsidR="00745D8E" w:rsidRPr="00B6180D" w:rsidRDefault="00745D8E" w:rsidP="000E3C74">
      <w:pPr>
        <w:pStyle w:val="Default"/>
        <w:ind w:right="-58"/>
      </w:pPr>
    </w:p>
    <w:p w14:paraId="1B29D0C3" w14:textId="77777777" w:rsidR="00745D8E" w:rsidRPr="00B6180D" w:rsidRDefault="00745D8E" w:rsidP="000E3C74">
      <w:pPr>
        <w:pStyle w:val="Default"/>
        <w:ind w:right="-58"/>
      </w:pPr>
      <w:r w:rsidRPr="00B6180D">
        <w:t xml:space="preserve">The purpose of this section is to provide for how the amendments in the Regulation are to operate. </w:t>
      </w:r>
    </w:p>
    <w:p w14:paraId="2E3A99D7" w14:textId="77777777" w:rsidR="00745D8E" w:rsidRPr="00B6180D" w:rsidRDefault="00745D8E" w:rsidP="000E3C74">
      <w:pPr>
        <w:pStyle w:val="Default"/>
        <w:ind w:right="-58"/>
      </w:pPr>
    </w:p>
    <w:p w14:paraId="192C8E25" w14:textId="77777777" w:rsidR="00745D8E" w:rsidRPr="00B6180D" w:rsidRDefault="00745D8E" w:rsidP="000E3C74">
      <w:pPr>
        <w:pStyle w:val="Default"/>
        <w:ind w:right="91"/>
      </w:pPr>
      <w:r w:rsidRPr="00B6180D">
        <w:rPr>
          <w:b/>
          <w:bCs/>
          <w:u w:val="single"/>
        </w:rPr>
        <w:t>Schedule 1 –</w:t>
      </w:r>
      <w:r w:rsidR="00B425D7">
        <w:rPr>
          <w:b/>
          <w:bCs/>
          <w:u w:val="single"/>
        </w:rPr>
        <w:t xml:space="preserve"> Amendments relating to Bridging F and Referred Stay visas</w:t>
      </w:r>
      <w:r w:rsidRPr="00B6180D">
        <w:rPr>
          <w:b/>
          <w:bCs/>
          <w:u w:val="single"/>
        </w:rPr>
        <w:t xml:space="preserve"> </w:t>
      </w:r>
    </w:p>
    <w:p w14:paraId="169E1130" w14:textId="77777777" w:rsidR="000568CB" w:rsidRPr="005A488D" w:rsidRDefault="000568CB" w:rsidP="000568CB">
      <w:pPr>
        <w:spacing w:after="240"/>
        <w:rPr>
          <w:szCs w:val="24"/>
        </w:rPr>
      </w:pPr>
      <w:r>
        <w:rPr>
          <w:szCs w:val="24"/>
          <w:u w:val="single"/>
        </w:rPr>
        <w:t xml:space="preserve">Item [1] – Regulation 1.03 </w:t>
      </w:r>
    </w:p>
    <w:p w14:paraId="49061A3B" w14:textId="7589E684" w:rsidR="000568CB" w:rsidRPr="005A488D" w:rsidRDefault="000568CB" w:rsidP="000568CB">
      <w:pPr>
        <w:spacing w:after="240"/>
        <w:rPr>
          <w:szCs w:val="24"/>
        </w:rPr>
      </w:pPr>
      <w:r w:rsidRPr="005A488D">
        <w:rPr>
          <w:szCs w:val="24"/>
        </w:rPr>
        <w:t xml:space="preserve">This item </w:t>
      </w:r>
      <w:r>
        <w:rPr>
          <w:szCs w:val="24"/>
        </w:rPr>
        <w:t xml:space="preserve">inserts two new definitions in regulation 1.03 of Part 1 of the </w:t>
      </w:r>
      <w:r w:rsidRPr="003E37FD">
        <w:rPr>
          <w:i/>
          <w:szCs w:val="24"/>
        </w:rPr>
        <w:t xml:space="preserve">Migration Regulations </w:t>
      </w:r>
      <w:r w:rsidRPr="000568CB">
        <w:rPr>
          <w:i/>
          <w:szCs w:val="24"/>
        </w:rPr>
        <w:t xml:space="preserve">1994 </w:t>
      </w:r>
      <w:r w:rsidRPr="000568CB">
        <w:rPr>
          <w:szCs w:val="24"/>
        </w:rPr>
        <w:t>(the Migration Regulations).</w:t>
      </w:r>
    </w:p>
    <w:p w14:paraId="0A293855" w14:textId="77777777" w:rsidR="000568CB" w:rsidRPr="005A488D" w:rsidRDefault="000568CB" w:rsidP="000568CB">
      <w:pPr>
        <w:spacing w:after="240"/>
        <w:rPr>
          <w:szCs w:val="24"/>
        </w:rPr>
      </w:pPr>
      <w:r w:rsidRPr="005A488D">
        <w:rPr>
          <w:i/>
          <w:iCs/>
          <w:szCs w:val="24"/>
        </w:rPr>
        <w:t xml:space="preserve">New definition </w:t>
      </w:r>
      <w:r w:rsidRPr="003D76FC">
        <w:rPr>
          <w:i/>
          <w:iCs/>
          <w:szCs w:val="24"/>
        </w:rPr>
        <w:t>of “assistance notice”</w:t>
      </w:r>
    </w:p>
    <w:p w14:paraId="6A62C1C2" w14:textId="77777777" w:rsidR="000568CB" w:rsidRPr="005A488D" w:rsidRDefault="000568CB" w:rsidP="000568CB">
      <w:pPr>
        <w:spacing w:after="240"/>
        <w:rPr>
          <w:szCs w:val="24"/>
        </w:rPr>
      </w:pPr>
      <w:r>
        <w:rPr>
          <w:szCs w:val="24"/>
        </w:rPr>
        <w:t>This item provides that “</w:t>
      </w:r>
      <w:r w:rsidRPr="008E4F9D">
        <w:rPr>
          <w:i/>
          <w:szCs w:val="24"/>
        </w:rPr>
        <w:t>assistance notice</w:t>
      </w:r>
      <w:r w:rsidRPr="003D76FC">
        <w:rPr>
          <w:szCs w:val="24"/>
        </w:rPr>
        <w:t>”</w:t>
      </w:r>
      <w:r w:rsidRPr="005A488D">
        <w:rPr>
          <w:szCs w:val="24"/>
        </w:rPr>
        <w:t xml:space="preserve"> means </w:t>
      </w:r>
      <w:r>
        <w:rPr>
          <w:szCs w:val="24"/>
        </w:rPr>
        <w:t xml:space="preserve">a </w:t>
      </w:r>
      <w:r w:rsidRPr="003D76FC">
        <w:rPr>
          <w:szCs w:val="24"/>
        </w:rPr>
        <w:t>notice</w:t>
      </w:r>
      <w:r>
        <w:rPr>
          <w:szCs w:val="24"/>
        </w:rPr>
        <w:t xml:space="preserve"> in writing, issued by the Attorney-General, Secretary of the Attorney-General’s Department or SES employee or acting SES employee of that department, in relation to a non-citizen, advising that the non-citizen is required in Australia to assist in the administration of criminal justice in relation to</w:t>
      </w:r>
      <w:r w:rsidRPr="00387870">
        <w:rPr>
          <w:szCs w:val="24"/>
        </w:rPr>
        <w:t xml:space="preserve"> human trafficking,</w:t>
      </w:r>
      <w:r w:rsidRPr="00387870">
        <w:rPr>
          <w:i/>
          <w:szCs w:val="24"/>
        </w:rPr>
        <w:t xml:space="preserve"> </w:t>
      </w:r>
      <w:r w:rsidRPr="00387870">
        <w:rPr>
          <w:szCs w:val="24"/>
        </w:rPr>
        <w:t xml:space="preserve">slavery or slavery like practices </w:t>
      </w:r>
      <w:r>
        <w:rPr>
          <w:szCs w:val="24"/>
        </w:rPr>
        <w:t xml:space="preserve">and satisfactory arrangements have been made to meet the cost of keeping the non-citizen in Australia. </w:t>
      </w:r>
    </w:p>
    <w:p w14:paraId="69B0281C" w14:textId="77777777" w:rsidR="000568CB" w:rsidRDefault="000568CB" w:rsidP="000568CB">
      <w:pPr>
        <w:spacing w:after="240"/>
        <w:rPr>
          <w:szCs w:val="24"/>
        </w:rPr>
      </w:pPr>
      <w:r>
        <w:rPr>
          <w:szCs w:val="24"/>
        </w:rPr>
        <w:lastRenderedPageBreak/>
        <w:t xml:space="preserve">Previously, a non-citizen who was required to be in Australia to assist with the administration of criminal justice in relation to </w:t>
      </w:r>
      <w:r w:rsidRPr="00387870">
        <w:rPr>
          <w:szCs w:val="24"/>
        </w:rPr>
        <w:t xml:space="preserve">a </w:t>
      </w:r>
      <w:r w:rsidRPr="00387870">
        <w:rPr>
          <w:i/>
          <w:szCs w:val="24"/>
        </w:rPr>
        <w:t xml:space="preserve">human trafficking </w:t>
      </w:r>
      <w:r w:rsidRPr="005D12AD">
        <w:rPr>
          <w:szCs w:val="24"/>
        </w:rPr>
        <w:t>offence,</w:t>
      </w:r>
      <w:r w:rsidRPr="00387870">
        <w:rPr>
          <w:szCs w:val="24"/>
        </w:rPr>
        <w:t xml:space="preserve"> as</w:t>
      </w:r>
      <w:r>
        <w:rPr>
          <w:szCs w:val="24"/>
        </w:rPr>
        <w:t xml:space="preserve"> a victim of and witness to the offence, would have been the subject of a Criminal Justice Stay Certificate.  This, among other considerations, made the non-citizen eligible for the grant of a Criminal Justice Stay visa. </w:t>
      </w:r>
    </w:p>
    <w:p w14:paraId="25FFA4F2" w14:textId="77777777" w:rsidR="000568CB" w:rsidRDefault="000568CB" w:rsidP="000568CB">
      <w:pPr>
        <w:spacing w:after="240"/>
        <w:rPr>
          <w:szCs w:val="24"/>
        </w:rPr>
      </w:pPr>
      <w:r>
        <w:rPr>
          <w:szCs w:val="24"/>
        </w:rPr>
        <w:t>The Criminal Justice Stay visa is the same visa given to non-citizen perpetrators of criminal offences</w:t>
      </w:r>
      <w:r w:rsidRPr="00337120">
        <w:rPr>
          <w:szCs w:val="24"/>
        </w:rPr>
        <w:t xml:space="preserve"> </w:t>
      </w:r>
      <w:r>
        <w:rPr>
          <w:szCs w:val="24"/>
        </w:rPr>
        <w:t xml:space="preserve">which “stays” their removal or deportation from Australia.  A Criminal Justice Stay Certificate may be given in relation to various cohorts of people including the perpetrators of offences who may otherwise be subject to cancellation of their visa on character grounds.   </w:t>
      </w:r>
    </w:p>
    <w:p w14:paraId="5B67AB88" w14:textId="77777777" w:rsidR="000568CB" w:rsidRPr="00387870" w:rsidRDefault="000568CB" w:rsidP="000568CB">
      <w:pPr>
        <w:spacing w:after="240"/>
        <w:rPr>
          <w:szCs w:val="24"/>
        </w:rPr>
      </w:pPr>
      <w:r w:rsidRPr="00387870">
        <w:rPr>
          <w:szCs w:val="24"/>
        </w:rPr>
        <w:t>Unlike the Criminal Justice Stay Certificate, the assistance notice is intended to be used exclusively by non-citizens who are victims of and witnesses to human trafficking</w:t>
      </w:r>
      <w:r>
        <w:rPr>
          <w:szCs w:val="24"/>
        </w:rPr>
        <w:t xml:space="preserve">, </w:t>
      </w:r>
      <w:r w:rsidRPr="00387870">
        <w:rPr>
          <w:szCs w:val="24"/>
        </w:rPr>
        <w:t>slavery or slavery like practices</w:t>
      </w:r>
      <w:r>
        <w:rPr>
          <w:szCs w:val="24"/>
        </w:rPr>
        <w:t>.  Generally</w:t>
      </w:r>
      <w:r w:rsidRPr="00387870">
        <w:rPr>
          <w:szCs w:val="24"/>
        </w:rPr>
        <w:t xml:space="preserve">, this vulnerable cohort of people are unlikely to have their visa cancelled on character grounds, and would therefore not require a “stay” of potential removal or deportation.  </w:t>
      </w:r>
    </w:p>
    <w:p w14:paraId="332C7585" w14:textId="4FCBDEB5" w:rsidR="000568CB" w:rsidRDefault="000568CB" w:rsidP="000568CB">
      <w:pPr>
        <w:spacing w:after="240"/>
        <w:rPr>
          <w:szCs w:val="24"/>
        </w:rPr>
      </w:pPr>
      <w:r w:rsidRPr="00387870">
        <w:rPr>
          <w:szCs w:val="24"/>
        </w:rPr>
        <w:t>Including a definition of “</w:t>
      </w:r>
      <w:r w:rsidRPr="00387870">
        <w:rPr>
          <w:iCs/>
          <w:szCs w:val="24"/>
        </w:rPr>
        <w:t>assistance notice</w:t>
      </w:r>
      <w:r w:rsidRPr="00387870">
        <w:rPr>
          <w:szCs w:val="24"/>
        </w:rPr>
        <w:t xml:space="preserve">” is consequential to new provisions in the </w:t>
      </w:r>
      <w:r w:rsidR="0074420B">
        <w:rPr>
          <w:szCs w:val="24"/>
        </w:rPr>
        <w:t xml:space="preserve">Migration </w:t>
      </w:r>
      <w:r w:rsidRPr="00387870">
        <w:rPr>
          <w:szCs w:val="24"/>
        </w:rPr>
        <w:t>Regulations which allow a person to make an application for a Bridging F visa that would permit the holder of the visa to remain in Australia for an extended period if they are able to assist in the administration of criminal justice in relation to a human trafficking offence.</w:t>
      </w:r>
      <w:r>
        <w:rPr>
          <w:szCs w:val="24"/>
        </w:rPr>
        <w:t xml:space="preserve">  </w:t>
      </w:r>
    </w:p>
    <w:p w14:paraId="4BA5457C" w14:textId="77777777" w:rsidR="000568CB" w:rsidRDefault="000568CB" w:rsidP="000568CB">
      <w:pPr>
        <w:spacing w:after="240"/>
        <w:rPr>
          <w:szCs w:val="24"/>
        </w:rPr>
      </w:pPr>
      <w:r>
        <w:rPr>
          <w:szCs w:val="24"/>
        </w:rPr>
        <w:t>The purpose and effect of the inclusion of the new definition of assistance notice exclusively for this cohort of applicants removes the necessity to rely on a visa that may lead to misidentification of the holder as a perpetrator of an offence, rather than a victim of and witness to the offence.</w:t>
      </w:r>
    </w:p>
    <w:p w14:paraId="02FB40A4" w14:textId="1652DCB1" w:rsidR="000568CB" w:rsidRDefault="000568CB" w:rsidP="000568CB">
      <w:pPr>
        <w:spacing w:after="240"/>
        <w:rPr>
          <w:szCs w:val="24"/>
        </w:rPr>
      </w:pPr>
      <w:r w:rsidRPr="005A488D">
        <w:rPr>
          <w:i/>
          <w:iCs/>
          <w:szCs w:val="24"/>
        </w:rPr>
        <w:t xml:space="preserve">New definition </w:t>
      </w:r>
      <w:r w:rsidRPr="003D76FC">
        <w:rPr>
          <w:i/>
          <w:iCs/>
          <w:szCs w:val="24"/>
        </w:rPr>
        <w:t>of “</w:t>
      </w:r>
      <w:r w:rsidRPr="007A4A23">
        <w:rPr>
          <w:i/>
          <w:szCs w:val="24"/>
        </w:rPr>
        <w:t>human trafficking</w:t>
      </w:r>
      <w:r w:rsidRPr="007A4A23">
        <w:rPr>
          <w:i/>
          <w:iCs/>
          <w:szCs w:val="24"/>
        </w:rPr>
        <w:t>”</w:t>
      </w:r>
    </w:p>
    <w:p w14:paraId="7BEB8F71" w14:textId="77777777" w:rsidR="000568CB" w:rsidRDefault="000568CB" w:rsidP="000568CB">
      <w:pPr>
        <w:spacing w:after="240"/>
        <w:rPr>
          <w:color w:val="000000"/>
          <w:szCs w:val="24"/>
          <w:lang w:val="en"/>
        </w:rPr>
      </w:pPr>
      <w:r w:rsidRPr="00387870">
        <w:rPr>
          <w:szCs w:val="24"/>
        </w:rPr>
        <w:t>This item provides that</w:t>
      </w:r>
      <w:r w:rsidRPr="00387870">
        <w:rPr>
          <w:color w:val="000000"/>
          <w:szCs w:val="24"/>
          <w:lang w:val="en"/>
        </w:rPr>
        <w:t xml:space="preserve"> </w:t>
      </w:r>
      <w:r w:rsidRPr="00387870">
        <w:rPr>
          <w:i/>
          <w:color w:val="000000"/>
          <w:szCs w:val="24"/>
          <w:lang w:val="en"/>
        </w:rPr>
        <w:t>human trafficking</w:t>
      </w:r>
      <w:r w:rsidRPr="00387870">
        <w:rPr>
          <w:color w:val="000000"/>
          <w:szCs w:val="24"/>
          <w:lang w:val="en"/>
        </w:rPr>
        <w:t xml:space="preserve"> includes activities such as trafficking in persons, </w:t>
      </w:r>
      <w:r>
        <w:rPr>
          <w:color w:val="000000"/>
          <w:szCs w:val="24"/>
          <w:lang w:val="en"/>
        </w:rPr>
        <w:t>organ trafficking and debt bondage.</w:t>
      </w:r>
    </w:p>
    <w:p w14:paraId="16EAE747" w14:textId="77777777" w:rsidR="000568CB" w:rsidRPr="0014281B" w:rsidRDefault="000568CB" w:rsidP="000568CB">
      <w:pPr>
        <w:spacing w:after="240"/>
        <w:rPr>
          <w:szCs w:val="24"/>
        </w:rPr>
      </w:pPr>
      <w:r>
        <w:rPr>
          <w:szCs w:val="24"/>
        </w:rPr>
        <w:t>The inclusion of</w:t>
      </w:r>
      <w:r w:rsidRPr="00387870">
        <w:rPr>
          <w:szCs w:val="24"/>
        </w:rPr>
        <w:t xml:space="preserve"> a definition of “</w:t>
      </w:r>
      <w:r w:rsidRPr="00387870">
        <w:rPr>
          <w:color w:val="000000"/>
          <w:szCs w:val="24"/>
          <w:lang w:val="en"/>
        </w:rPr>
        <w:t>human trafficking</w:t>
      </w:r>
      <w:r w:rsidRPr="00387870">
        <w:rPr>
          <w:szCs w:val="24"/>
        </w:rPr>
        <w:t xml:space="preserve">” is </w:t>
      </w:r>
      <w:r>
        <w:rPr>
          <w:szCs w:val="24"/>
        </w:rPr>
        <w:t>to put beyond doubt that a reference to human trafficking includes a range of activities that are offences in State, Territory or Commonwealth criminal codes.  The definition is not intended to be an exhaustive list of ‘like’ offences, it is merely intended to indicate a range of activities that may be considered to be human trafficking.</w:t>
      </w:r>
    </w:p>
    <w:p w14:paraId="4CB7578C" w14:textId="77777777" w:rsidR="000568CB" w:rsidRDefault="000568CB" w:rsidP="000568CB">
      <w:pPr>
        <w:spacing w:after="240"/>
        <w:rPr>
          <w:szCs w:val="24"/>
        </w:rPr>
      </w:pPr>
      <w:r>
        <w:rPr>
          <w:szCs w:val="24"/>
        </w:rPr>
        <w:t xml:space="preserve">The purpose and effect of the inclusion of the new definition of </w:t>
      </w:r>
      <w:r w:rsidRPr="00387870">
        <w:rPr>
          <w:szCs w:val="24"/>
        </w:rPr>
        <w:t>human trafficking</w:t>
      </w:r>
      <w:r>
        <w:rPr>
          <w:szCs w:val="24"/>
        </w:rPr>
        <w:t xml:space="preserve"> removes the necessity to list each State, Territory or Commonwealth offence that includes activities of these types.</w:t>
      </w:r>
    </w:p>
    <w:p w14:paraId="30A67E03" w14:textId="77777777" w:rsidR="000568CB" w:rsidRPr="005A488D" w:rsidRDefault="000568CB" w:rsidP="000568CB">
      <w:pPr>
        <w:spacing w:after="240"/>
        <w:rPr>
          <w:szCs w:val="24"/>
        </w:rPr>
      </w:pPr>
      <w:r>
        <w:rPr>
          <w:szCs w:val="24"/>
          <w:u w:val="single"/>
        </w:rPr>
        <w:t>Item [2] – Regulation 2.07AK</w:t>
      </w:r>
    </w:p>
    <w:p w14:paraId="7E3CFEFF" w14:textId="77777777" w:rsidR="000568CB" w:rsidRPr="001A4A6B" w:rsidRDefault="000568CB" w:rsidP="000568CB">
      <w:pPr>
        <w:spacing w:after="240"/>
        <w:rPr>
          <w:szCs w:val="24"/>
        </w:rPr>
      </w:pPr>
      <w:r w:rsidRPr="001A4A6B">
        <w:rPr>
          <w:szCs w:val="24"/>
        </w:rPr>
        <w:t xml:space="preserve">This item </w:t>
      </w:r>
      <w:r>
        <w:rPr>
          <w:szCs w:val="24"/>
        </w:rPr>
        <w:t>repeals the heading of Regulation 2.07AK and substitutes “2.07AK  Applications for Referred Stay (Permanent) (Class DH) visas”.</w:t>
      </w:r>
    </w:p>
    <w:p w14:paraId="050F688A" w14:textId="77777777" w:rsidR="000568CB" w:rsidRPr="001A4A6B" w:rsidRDefault="000568CB" w:rsidP="000568CB">
      <w:pPr>
        <w:spacing w:after="240"/>
        <w:rPr>
          <w:szCs w:val="24"/>
        </w:rPr>
      </w:pPr>
      <w:r>
        <w:rPr>
          <w:szCs w:val="24"/>
        </w:rPr>
        <w:t>The heading of old Regulation 2.07AK referred to applications for Witness Protection (Permanent) (Trafficking)(Class DH) visas. Regulation 2.07AK provides the mechanism for making a valid application for a Class DH visa.</w:t>
      </w:r>
    </w:p>
    <w:p w14:paraId="3B2A18D3" w14:textId="77777777" w:rsidR="000568CB" w:rsidRDefault="000568CB" w:rsidP="000568CB">
      <w:pPr>
        <w:spacing w:after="240"/>
        <w:rPr>
          <w:szCs w:val="24"/>
        </w:rPr>
      </w:pPr>
      <w:r w:rsidRPr="001A4A6B">
        <w:rPr>
          <w:szCs w:val="24"/>
        </w:rPr>
        <w:lastRenderedPageBreak/>
        <w:t>The effec</w:t>
      </w:r>
      <w:r>
        <w:rPr>
          <w:szCs w:val="24"/>
        </w:rPr>
        <w:t xml:space="preserve">t and purpose of the item is consequential to the change of this permanent visa’s name, given </w:t>
      </w:r>
      <w:r w:rsidRPr="000568CB">
        <w:rPr>
          <w:szCs w:val="24"/>
        </w:rPr>
        <w:t>effect by Items [7] and [24] of this Schedule.</w:t>
      </w:r>
      <w:r>
        <w:rPr>
          <w:szCs w:val="24"/>
        </w:rPr>
        <w:t xml:space="preserve">  </w:t>
      </w:r>
    </w:p>
    <w:p w14:paraId="59073450" w14:textId="13A49449" w:rsidR="000568CB" w:rsidRDefault="000568CB" w:rsidP="000568CB">
      <w:pPr>
        <w:spacing w:after="240"/>
        <w:rPr>
          <w:szCs w:val="24"/>
          <w:u w:val="single"/>
        </w:rPr>
      </w:pPr>
      <w:r>
        <w:rPr>
          <w:szCs w:val="24"/>
          <w:u w:val="single"/>
        </w:rPr>
        <w:t>Item [3] –Subpara</w:t>
      </w:r>
      <w:r w:rsidR="009B689A">
        <w:rPr>
          <w:szCs w:val="24"/>
          <w:u w:val="single"/>
        </w:rPr>
        <w:t>graphs 2.07AK(3)(c)(</w:t>
      </w:r>
      <w:proofErr w:type="spellStart"/>
      <w:r w:rsidR="009B689A">
        <w:rPr>
          <w:szCs w:val="24"/>
          <w:u w:val="single"/>
        </w:rPr>
        <w:t>i</w:t>
      </w:r>
      <w:proofErr w:type="spellEnd"/>
      <w:r w:rsidR="009B689A">
        <w:rPr>
          <w:szCs w:val="24"/>
          <w:u w:val="single"/>
        </w:rPr>
        <w:t>) and (ii)</w:t>
      </w:r>
    </w:p>
    <w:p w14:paraId="046EBCDB" w14:textId="77777777" w:rsidR="000568CB" w:rsidRDefault="000568CB" w:rsidP="000568CB">
      <w:pPr>
        <w:spacing w:after="240"/>
        <w:rPr>
          <w:szCs w:val="24"/>
        </w:rPr>
      </w:pPr>
      <w:r w:rsidRPr="00387870">
        <w:rPr>
          <w:szCs w:val="24"/>
        </w:rPr>
        <w:t>This item</w:t>
      </w:r>
      <w:r>
        <w:rPr>
          <w:szCs w:val="24"/>
        </w:rPr>
        <w:t xml:space="preserve"> omits the words “trafficked a person” and substitutes the words “engaged in human trafficking, slavery or slavery-like practices”.</w:t>
      </w:r>
    </w:p>
    <w:p w14:paraId="274FBE3B" w14:textId="229565DB" w:rsidR="000568CB" w:rsidRPr="00BE4A1B" w:rsidRDefault="000568CB" w:rsidP="000568CB">
      <w:pPr>
        <w:spacing w:after="240"/>
        <w:rPr>
          <w:szCs w:val="24"/>
        </w:rPr>
      </w:pPr>
      <w:r>
        <w:rPr>
          <w:szCs w:val="24"/>
        </w:rPr>
        <w:t>This item is a technical amendment.  The purpose and effect of this item is to update and make clear the language used in reference to certain offences and to utilise the new definition of human trafficking to provide consistency within the</w:t>
      </w:r>
      <w:r w:rsidR="0074420B">
        <w:rPr>
          <w:szCs w:val="24"/>
        </w:rPr>
        <w:t xml:space="preserve"> Migration</w:t>
      </w:r>
      <w:r>
        <w:rPr>
          <w:szCs w:val="24"/>
        </w:rPr>
        <w:t xml:space="preserve"> </w:t>
      </w:r>
      <w:r w:rsidR="0074420B">
        <w:rPr>
          <w:szCs w:val="24"/>
        </w:rPr>
        <w:t>R</w:t>
      </w:r>
      <w:r>
        <w:rPr>
          <w:szCs w:val="24"/>
        </w:rPr>
        <w:t>egulations.</w:t>
      </w:r>
    </w:p>
    <w:p w14:paraId="39419867" w14:textId="77777777" w:rsidR="000568CB" w:rsidRDefault="000568CB" w:rsidP="000568CB">
      <w:pPr>
        <w:spacing w:after="240"/>
        <w:rPr>
          <w:szCs w:val="24"/>
          <w:u w:val="single"/>
        </w:rPr>
      </w:pPr>
      <w:r>
        <w:rPr>
          <w:szCs w:val="24"/>
          <w:u w:val="single"/>
        </w:rPr>
        <w:t>Item [4] Subregulation 2.20(1)</w:t>
      </w:r>
    </w:p>
    <w:p w14:paraId="24807F63" w14:textId="77777777" w:rsidR="000568CB" w:rsidRDefault="000568CB" w:rsidP="000568CB">
      <w:pPr>
        <w:spacing w:after="240"/>
        <w:rPr>
          <w:szCs w:val="24"/>
        </w:rPr>
      </w:pPr>
      <w:r w:rsidRPr="003D76FC">
        <w:rPr>
          <w:szCs w:val="24"/>
        </w:rPr>
        <w:t xml:space="preserve">This item </w:t>
      </w:r>
      <w:r>
        <w:rPr>
          <w:szCs w:val="24"/>
        </w:rPr>
        <w:t xml:space="preserve">repeals the words “eligible </w:t>
      </w:r>
      <w:r>
        <w:rPr>
          <w:i/>
          <w:szCs w:val="24"/>
        </w:rPr>
        <w:t>non-citizen</w:t>
      </w:r>
      <w:r>
        <w:rPr>
          <w:szCs w:val="24"/>
        </w:rPr>
        <w:t>” and substitutes the words “</w:t>
      </w:r>
      <w:r w:rsidRPr="008E4F9D">
        <w:rPr>
          <w:i/>
          <w:szCs w:val="24"/>
        </w:rPr>
        <w:t xml:space="preserve">eligible </w:t>
      </w:r>
      <w:r>
        <w:rPr>
          <w:i/>
          <w:szCs w:val="24"/>
        </w:rPr>
        <w:t>non-citizen</w:t>
      </w:r>
      <w:r>
        <w:rPr>
          <w:szCs w:val="24"/>
        </w:rPr>
        <w:t>”.</w:t>
      </w:r>
    </w:p>
    <w:p w14:paraId="70A3B5E1" w14:textId="77777777" w:rsidR="000568CB" w:rsidRDefault="000568CB" w:rsidP="000568CB">
      <w:pPr>
        <w:spacing w:after="240"/>
        <w:rPr>
          <w:i/>
          <w:szCs w:val="24"/>
        </w:rPr>
      </w:pPr>
      <w:r>
        <w:rPr>
          <w:szCs w:val="24"/>
        </w:rPr>
        <w:t>This item is a technical amendment to correct a minor typographical error.  The effect and purpose of this amendment is to italicise the reference to the defined term</w:t>
      </w:r>
      <w:r w:rsidRPr="008E4F9D">
        <w:rPr>
          <w:i/>
          <w:szCs w:val="24"/>
        </w:rPr>
        <w:t xml:space="preserve"> eligible </w:t>
      </w:r>
      <w:r>
        <w:rPr>
          <w:i/>
          <w:szCs w:val="24"/>
        </w:rPr>
        <w:t>non-citizen.</w:t>
      </w:r>
    </w:p>
    <w:p w14:paraId="53856C6D" w14:textId="77777777" w:rsidR="000568CB" w:rsidRPr="00BE4A1B" w:rsidRDefault="000568CB" w:rsidP="000568CB">
      <w:pPr>
        <w:spacing w:after="240"/>
        <w:rPr>
          <w:szCs w:val="24"/>
          <w:u w:val="single"/>
        </w:rPr>
      </w:pPr>
      <w:r>
        <w:rPr>
          <w:szCs w:val="24"/>
          <w:u w:val="single"/>
        </w:rPr>
        <w:t>Item</w:t>
      </w:r>
      <w:r w:rsidRPr="00BE4A1B">
        <w:rPr>
          <w:szCs w:val="24"/>
          <w:u w:val="single"/>
        </w:rPr>
        <w:t>s [5], [9] and [22] – Sub-subparagraph 2.20(14)(a)(ii)(E)</w:t>
      </w:r>
      <w:r>
        <w:rPr>
          <w:szCs w:val="24"/>
          <w:u w:val="single"/>
        </w:rPr>
        <w:t>,</w:t>
      </w:r>
      <w:r w:rsidRPr="00BE4A1B">
        <w:rPr>
          <w:szCs w:val="24"/>
          <w:u w:val="single"/>
        </w:rPr>
        <w:t xml:space="preserve"> Subparagraphs 1306(3)(d)(</w:t>
      </w:r>
      <w:proofErr w:type="spellStart"/>
      <w:r w:rsidRPr="00BE4A1B">
        <w:rPr>
          <w:szCs w:val="24"/>
          <w:u w:val="single"/>
        </w:rPr>
        <w:t>i</w:t>
      </w:r>
      <w:proofErr w:type="spellEnd"/>
      <w:r w:rsidRPr="00BE4A1B">
        <w:rPr>
          <w:szCs w:val="24"/>
          <w:u w:val="single"/>
        </w:rPr>
        <w:t>) and (ii) of Schedule 1 and Sub-subparagraphs 060.511(3)(b)(iii)(A) and 060.511(3)(b)(iv)(B) of Schedule 2</w:t>
      </w:r>
    </w:p>
    <w:p w14:paraId="409D7CD2" w14:textId="77777777" w:rsidR="000568CB" w:rsidRDefault="000568CB" w:rsidP="000568CB">
      <w:pPr>
        <w:spacing w:after="240"/>
        <w:rPr>
          <w:szCs w:val="24"/>
        </w:rPr>
      </w:pPr>
      <w:r w:rsidRPr="00324667">
        <w:rPr>
          <w:szCs w:val="24"/>
        </w:rPr>
        <w:t xml:space="preserve">These </w:t>
      </w:r>
      <w:r>
        <w:rPr>
          <w:szCs w:val="24"/>
        </w:rPr>
        <w:t xml:space="preserve">items insert “, slavery or slavery-like practices” after the words “human trafficking” in </w:t>
      </w:r>
      <w:r w:rsidRPr="00BE4A1B">
        <w:rPr>
          <w:szCs w:val="24"/>
        </w:rPr>
        <w:t>Sub-subparagraph 2.20(14)(a)(ii)(E), Subparagraphs 1306(3)(d)(</w:t>
      </w:r>
      <w:proofErr w:type="spellStart"/>
      <w:r w:rsidRPr="00BE4A1B">
        <w:rPr>
          <w:szCs w:val="24"/>
        </w:rPr>
        <w:t>i</w:t>
      </w:r>
      <w:proofErr w:type="spellEnd"/>
      <w:r w:rsidRPr="00BE4A1B">
        <w:rPr>
          <w:szCs w:val="24"/>
        </w:rPr>
        <w:t>) and (ii) and Sub-subparagraphs 060.511(3)(b)(i</w:t>
      </w:r>
      <w:r>
        <w:rPr>
          <w:szCs w:val="24"/>
        </w:rPr>
        <w:t>ii)(A) and 060.511(3)(b)(iv)(B).</w:t>
      </w:r>
    </w:p>
    <w:p w14:paraId="74CA5B5A" w14:textId="0F854BA5" w:rsidR="000568CB" w:rsidRDefault="000568CB" w:rsidP="000568CB">
      <w:pPr>
        <w:spacing w:after="240"/>
        <w:rPr>
          <w:szCs w:val="24"/>
        </w:rPr>
      </w:pPr>
      <w:r>
        <w:rPr>
          <w:szCs w:val="24"/>
        </w:rPr>
        <w:t>These are technical amendments, the</w:t>
      </w:r>
      <w:r w:rsidRPr="00324667">
        <w:rPr>
          <w:szCs w:val="24"/>
        </w:rPr>
        <w:t xml:space="preserve"> p</w:t>
      </w:r>
      <w:r>
        <w:rPr>
          <w:szCs w:val="24"/>
        </w:rPr>
        <w:t>urpose and effect of which</w:t>
      </w:r>
      <w:r w:rsidRPr="00324667">
        <w:rPr>
          <w:szCs w:val="24"/>
        </w:rPr>
        <w:t xml:space="preserve"> is </w:t>
      </w:r>
      <w:r>
        <w:rPr>
          <w:szCs w:val="24"/>
        </w:rPr>
        <w:t xml:space="preserve">to update and make clear the language used in reference to certain offences and to utilise the new definition of human trafficking to provide consistency within the </w:t>
      </w:r>
      <w:r w:rsidR="0074420B">
        <w:rPr>
          <w:szCs w:val="24"/>
        </w:rPr>
        <w:t>Migration R</w:t>
      </w:r>
      <w:r>
        <w:rPr>
          <w:szCs w:val="24"/>
        </w:rPr>
        <w:t>egulations.</w:t>
      </w:r>
    </w:p>
    <w:p w14:paraId="121F8E73" w14:textId="77777777" w:rsidR="000568CB" w:rsidRDefault="000568CB" w:rsidP="000568CB">
      <w:pPr>
        <w:spacing w:after="240"/>
        <w:rPr>
          <w:szCs w:val="24"/>
          <w:u w:val="single"/>
        </w:rPr>
      </w:pPr>
      <w:r>
        <w:rPr>
          <w:szCs w:val="24"/>
          <w:u w:val="single"/>
        </w:rPr>
        <w:t>Item [6] – Subparagraph 2.20(15)(a)(ii)</w:t>
      </w:r>
    </w:p>
    <w:p w14:paraId="5FA883E7" w14:textId="77777777" w:rsidR="000568CB" w:rsidRDefault="000568CB" w:rsidP="000568CB">
      <w:pPr>
        <w:spacing w:after="240"/>
        <w:rPr>
          <w:szCs w:val="24"/>
        </w:rPr>
      </w:pPr>
      <w:r>
        <w:rPr>
          <w:szCs w:val="24"/>
        </w:rPr>
        <w:t>This item inserts a reference to a non-citizen who is the subject of an “assistance notice” that has not been revoked in s</w:t>
      </w:r>
      <w:r w:rsidRPr="005E4A7B">
        <w:rPr>
          <w:szCs w:val="24"/>
        </w:rPr>
        <w:t>ubparagraph 2.20(15)(a)(ii)</w:t>
      </w:r>
      <w:r>
        <w:rPr>
          <w:szCs w:val="24"/>
        </w:rPr>
        <w:t>.</w:t>
      </w:r>
    </w:p>
    <w:p w14:paraId="5ED9229D" w14:textId="77777777" w:rsidR="000568CB" w:rsidRDefault="000568CB" w:rsidP="000568CB">
      <w:pPr>
        <w:spacing w:after="240"/>
        <w:rPr>
          <w:szCs w:val="24"/>
        </w:rPr>
      </w:pPr>
      <w:r>
        <w:rPr>
          <w:szCs w:val="24"/>
        </w:rPr>
        <w:t xml:space="preserve">For the purposes of the definition of eligible non-citizens in section 72 of the </w:t>
      </w:r>
      <w:r w:rsidRPr="005E4A7B">
        <w:rPr>
          <w:i/>
          <w:szCs w:val="24"/>
        </w:rPr>
        <w:t>Migration Act 1958</w:t>
      </w:r>
      <w:r>
        <w:rPr>
          <w:szCs w:val="24"/>
        </w:rPr>
        <w:t xml:space="preserve">, Regulation 2.20 prescribes classes of non-citizens who are eligible for the grant of a bridging visa. </w:t>
      </w:r>
    </w:p>
    <w:p w14:paraId="4B11B7E0" w14:textId="77777777" w:rsidR="000568CB" w:rsidRPr="004046A2" w:rsidRDefault="000568CB" w:rsidP="000568CB">
      <w:pPr>
        <w:pStyle w:val="paragraphsub"/>
        <w:rPr>
          <w:lang w:val="en-US"/>
        </w:rPr>
      </w:pPr>
      <w:r>
        <w:t>Old</w:t>
      </w:r>
      <w:r w:rsidRPr="005E4A7B">
        <w:t xml:space="preserve"> </w:t>
      </w:r>
      <w:r>
        <w:t>s</w:t>
      </w:r>
      <w:r w:rsidRPr="005E4A7B">
        <w:t>ubparagraph 2.20(15)(a)(ii)</w:t>
      </w:r>
      <w:r>
        <w:t xml:space="preserve"> provided that subregulation 2.20(15) applies to a non-citizen </w:t>
      </w:r>
      <w:r w:rsidRPr="004046A2">
        <w:t>who is in Australia and</w:t>
      </w:r>
      <w:r w:rsidRPr="004046A2">
        <w:rPr>
          <w:lang w:val="en-US"/>
        </w:rPr>
        <w:t xml:space="preserve"> </w:t>
      </w:r>
      <w:r w:rsidRPr="004046A2">
        <w:t>is the subject of a valid criminal justice stay certificate under Division 4 of Part 2 of the Act</w:t>
      </w:r>
      <w:r>
        <w:t>.</w:t>
      </w:r>
    </w:p>
    <w:p w14:paraId="01C7FA39" w14:textId="77777777" w:rsidR="000568CB" w:rsidRDefault="000568CB" w:rsidP="000568CB">
      <w:pPr>
        <w:spacing w:after="240"/>
        <w:rPr>
          <w:szCs w:val="24"/>
        </w:rPr>
      </w:pPr>
      <w:r>
        <w:rPr>
          <w:szCs w:val="24"/>
        </w:rPr>
        <w:t xml:space="preserve">The purpose and effect of the inclusion of the reference to </w:t>
      </w:r>
      <w:r w:rsidRPr="004046A2">
        <w:rPr>
          <w:szCs w:val="24"/>
        </w:rPr>
        <w:t>a</w:t>
      </w:r>
      <w:r>
        <w:rPr>
          <w:szCs w:val="24"/>
        </w:rPr>
        <w:t xml:space="preserve">n assistance notice is to make clear that a non-citizen </w:t>
      </w:r>
      <w:r w:rsidRPr="004046A2">
        <w:rPr>
          <w:szCs w:val="24"/>
        </w:rPr>
        <w:t>who is in Australia</w:t>
      </w:r>
      <w:r>
        <w:rPr>
          <w:szCs w:val="24"/>
        </w:rPr>
        <w:t>, and</w:t>
      </w:r>
      <w:r w:rsidRPr="009F4B27">
        <w:rPr>
          <w:szCs w:val="24"/>
        </w:rPr>
        <w:t xml:space="preserve"> </w:t>
      </w:r>
      <w:r w:rsidRPr="004046A2">
        <w:rPr>
          <w:szCs w:val="24"/>
        </w:rPr>
        <w:t>is the subject of</w:t>
      </w:r>
      <w:r>
        <w:rPr>
          <w:szCs w:val="24"/>
        </w:rPr>
        <w:t xml:space="preserve"> an assistance notice that has not been revoked, who also meets the remaining requirements in subregulation 2.20(15), is a non-citizen who is also eligible for the grant of a bridging visa.</w:t>
      </w:r>
    </w:p>
    <w:p w14:paraId="6FD71B1F" w14:textId="77777777" w:rsidR="000568CB" w:rsidRDefault="000568CB" w:rsidP="000568CB">
      <w:pPr>
        <w:spacing w:after="240"/>
        <w:rPr>
          <w:szCs w:val="24"/>
          <w:u w:val="single"/>
        </w:rPr>
      </w:pPr>
      <w:r>
        <w:rPr>
          <w:szCs w:val="24"/>
          <w:u w:val="single"/>
        </w:rPr>
        <w:lastRenderedPageBreak/>
        <w:t>Item [7] – Item 1133 of Schedule 1 (heading)</w:t>
      </w:r>
    </w:p>
    <w:p w14:paraId="2A3859DE" w14:textId="6DE16856" w:rsidR="000568CB" w:rsidRDefault="000568CB" w:rsidP="000568CB">
      <w:pPr>
        <w:spacing w:after="240"/>
        <w:rPr>
          <w:szCs w:val="24"/>
        </w:rPr>
      </w:pPr>
      <w:r>
        <w:rPr>
          <w:szCs w:val="24"/>
        </w:rPr>
        <w:t>This item repeals the heading of Item 1133 of Schedule 1 to the</w:t>
      </w:r>
      <w:r w:rsidR="00ED724E">
        <w:rPr>
          <w:szCs w:val="24"/>
        </w:rPr>
        <w:t xml:space="preserve"> Migration</w:t>
      </w:r>
      <w:r>
        <w:rPr>
          <w:szCs w:val="24"/>
        </w:rPr>
        <w:t xml:space="preserve"> Regulations and substitutes “1133. Referred Stay (Permanent) (Class DH)”.</w:t>
      </w:r>
    </w:p>
    <w:p w14:paraId="4EDC6FBE" w14:textId="77777777" w:rsidR="000568CB" w:rsidRDefault="000568CB" w:rsidP="000568CB">
      <w:pPr>
        <w:spacing w:after="240"/>
        <w:rPr>
          <w:szCs w:val="24"/>
        </w:rPr>
      </w:pPr>
      <w:r>
        <w:rPr>
          <w:szCs w:val="24"/>
        </w:rPr>
        <w:t xml:space="preserve">The heading of old </w:t>
      </w:r>
      <w:r w:rsidRPr="0010731B">
        <w:rPr>
          <w:szCs w:val="24"/>
        </w:rPr>
        <w:t>Item 1133 referred</w:t>
      </w:r>
      <w:r>
        <w:rPr>
          <w:szCs w:val="24"/>
        </w:rPr>
        <w:t xml:space="preserve"> to the validity requirements on applications for Witness Protection (Trafficking)(Permanent) (Class DH) visas.</w:t>
      </w:r>
    </w:p>
    <w:p w14:paraId="79B79A8C" w14:textId="77777777" w:rsidR="000568CB" w:rsidRPr="002805FA" w:rsidRDefault="000568CB" w:rsidP="000568CB">
      <w:pPr>
        <w:spacing w:after="240"/>
        <w:rPr>
          <w:rStyle w:val="highlight"/>
          <w:szCs w:val="24"/>
        </w:rPr>
      </w:pPr>
      <w:r>
        <w:rPr>
          <w:szCs w:val="24"/>
        </w:rPr>
        <w:t>V</w:t>
      </w:r>
      <w:proofErr w:type="spellStart"/>
      <w:r w:rsidRPr="002805FA">
        <w:rPr>
          <w:rStyle w:val="highlight"/>
          <w:color w:val="000000"/>
          <w:szCs w:val="24"/>
          <w:lang w:val="en"/>
        </w:rPr>
        <w:t>ictim</w:t>
      </w:r>
      <w:proofErr w:type="spellEnd"/>
      <w:r w:rsidRPr="002805FA">
        <w:rPr>
          <w:rStyle w:val="highlight"/>
          <w:color w:val="000000"/>
          <w:szCs w:val="24"/>
          <w:lang w:val="en"/>
        </w:rPr>
        <w:t xml:space="preserve"> advocate groups have indicated a perception that the name of the permanent visa for human trafficking</w:t>
      </w:r>
      <w:r>
        <w:rPr>
          <w:rStyle w:val="highlight"/>
          <w:color w:val="000000"/>
          <w:szCs w:val="24"/>
          <w:lang w:val="en"/>
        </w:rPr>
        <w:t xml:space="preserve">, </w:t>
      </w:r>
      <w:r>
        <w:rPr>
          <w:szCs w:val="24"/>
        </w:rPr>
        <w:t>slavery or slavery-like practices</w:t>
      </w:r>
      <w:r w:rsidRPr="002805FA">
        <w:rPr>
          <w:rStyle w:val="highlight"/>
          <w:color w:val="000000"/>
          <w:szCs w:val="24"/>
          <w:lang w:val="en"/>
        </w:rPr>
        <w:t xml:space="preserve"> victims (as witnesses to the offence) contributed to the continued stigmatization of these visa holders – to the extent that the old name of the visa implied that the person was a victim of a human trafficking offence and clearly indicated that the person participated in the administration of criminal justice as a witness to the offence, and required protection on a permanent basis because of their participation in the criminal justice process.</w:t>
      </w:r>
    </w:p>
    <w:p w14:paraId="13B0D47D" w14:textId="77777777" w:rsidR="000568CB" w:rsidRDefault="000568CB" w:rsidP="000568CB">
      <w:pPr>
        <w:spacing w:after="240"/>
        <w:rPr>
          <w:szCs w:val="24"/>
        </w:rPr>
      </w:pPr>
      <w:r w:rsidRPr="002805FA">
        <w:rPr>
          <w:szCs w:val="24"/>
        </w:rPr>
        <w:t>The government has made a commitment to combat offences of trafficking in people, slavery and slavery-like practices by ensuring perpetrators are brought to justice and by protecting and supporting the victims of these types of offences against the person.  In keeping with that commitment, and with the aim of removing any perceived or actual stigma from a particularly vulnerable cohort of people, the name of the visa has been changed to remove the potentially stigmatizing words.</w:t>
      </w:r>
      <w:r>
        <w:rPr>
          <w:szCs w:val="24"/>
        </w:rPr>
        <w:t xml:space="preserve"> </w:t>
      </w:r>
    </w:p>
    <w:p w14:paraId="01D47AFB" w14:textId="77777777" w:rsidR="000568CB" w:rsidRDefault="000568CB" w:rsidP="000568CB">
      <w:pPr>
        <w:spacing w:after="240"/>
        <w:rPr>
          <w:szCs w:val="24"/>
          <w:u w:val="single"/>
        </w:rPr>
      </w:pPr>
      <w:r>
        <w:rPr>
          <w:szCs w:val="24"/>
          <w:u w:val="single"/>
        </w:rPr>
        <w:t>Item [8] – Before subparagraph 1306(3)(c)(</w:t>
      </w:r>
      <w:proofErr w:type="spellStart"/>
      <w:r>
        <w:rPr>
          <w:szCs w:val="24"/>
          <w:u w:val="single"/>
        </w:rPr>
        <w:t>i</w:t>
      </w:r>
      <w:proofErr w:type="spellEnd"/>
      <w:r>
        <w:rPr>
          <w:szCs w:val="24"/>
          <w:u w:val="single"/>
        </w:rPr>
        <w:t>) of Schedule 1</w:t>
      </w:r>
    </w:p>
    <w:p w14:paraId="4F7EB22B" w14:textId="77777777" w:rsidR="000568CB" w:rsidRDefault="000568CB" w:rsidP="000568CB">
      <w:pPr>
        <w:spacing w:after="240"/>
        <w:rPr>
          <w:szCs w:val="24"/>
        </w:rPr>
      </w:pPr>
      <w:r>
        <w:rPr>
          <w:szCs w:val="24"/>
        </w:rPr>
        <w:t xml:space="preserve">This item inserts a new </w:t>
      </w:r>
      <w:r w:rsidRPr="00324667">
        <w:rPr>
          <w:szCs w:val="24"/>
        </w:rPr>
        <w:t>subparagraph 1306(3)(c)(</w:t>
      </w:r>
      <w:proofErr w:type="spellStart"/>
      <w:r w:rsidRPr="00324667">
        <w:rPr>
          <w:szCs w:val="24"/>
        </w:rPr>
        <w:t>i</w:t>
      </w:r>
      <w:r>
        <w:rPr>
          <w:szCs w:val="24"/>
        </w:rPr>
        <w:t>a</w:t>
      </w:r>
      <w:proofErr w:type="spellEnd"/>
      <w:r w:rsidRPr="00324667">
        <w:rPr>
          <w:szCs w:val="24"/>
        </w:rPr>
        <w:t>)</w:t>
      </w:r>
      <w:r>
        <w:rPr>
          <w:szCs w:val="24"/>
        </w:rPr>
        <w:t xml:space="preserve"> in paragraph 1306(3)(c) of Schedule 1 to the Migration Regulations.</w:t>
      </w:r>
    </w:p>
    <w:p w14:paraId="4A86044C" w14:textId="77777777" w:rsidR="000568CB" w:rsidRDefault="000568CB" w:rsidP="000568CB">
      <w:pPr>
        <w:spacing w:after="240"/>
        <w:rPr>
          <w:szCs w:val="24"/>
        </w:rPr>
      </w:pPr>
      <w:r>
        <w:rPr>
          <w:szCs w:val="24"/>
        </w:rPr>
        <w:t>P</w:t>
      </w:r>
      <w:r w:rsidRPr="00324667">
        <w:rPr>
          <w:szCs w:val="24"/>
        </w:rPr>
        <w:t>aragraph 1306(3)(c)</w:t>
      </w:r>
      <w:r>
        <w:rPr>
          <w:szCs w:val="24"/>
        </w:rPr>
        <w:t xml:space="preserve"> specifies a number of alternative requirements, one of which must apply to an applicant, in order for the application for a Bridging F visa to be valid.</w:t>
      </w:r>
    </w:p>
    <w:p w14:paraId="125FBEF0" w14:textId="77777777" w:rsidR="000568CB" w:rsidRPr="003D76FC" w:rsidRDefault="000568CB" w:rsidP="000568CB">
      <w:pPr>
        <w:spacing w:after="240"/>
        <w:rPr>
          <w:szCs w:val="24"/>
        </w:rPr>
      </w:pPr>
      <w:r>
        <w:rPr>
          <w:szCs w:val="24"/>
        </w:rPr>
        <w:t>The purpose and effect of new s</w:t>
      </w:r>
      <w:r w:rsidRPr="00324667">
        <w:rPr>
          <w:szCs w:val="24"/>
        </w:rPr>
        <w:t>ubparagraph 1306(3)(c)(</w:t>
      </w:r>
      <w:proofErr w:type="spellStart"/>
      <w:r w:rsidRPr="00324667">
        <w:rPr>
          <w:szCs w:val="24"/>
        </w:rPr>
        <w:t>i</w:t>
      </w:r>
      <w:r>
        <w:rPr>
          <w:szCs w:val="24"/>
        </w:rPr>
        <w:t>a</w:t>
      </w:r>
      <w:proofErr w:type="spellEnd"/>
      <w:r>
        <w:rPr>
          <w:szCs w:val="24"/>
        </w:rPr>
        <w:t>) is to insert a new alternative validity requirement in relation to making an application for a Bridging F visa. The new requirement is that an assistance notice has been given to the Minister in relation to the applicant, and the notice has not been revoked.</w:t>
      </w:r>
    </w:p>
    <w:p w14:paraId="7E2CC32B" w14:textId="77777777" w:rsidR="000568CB" w:rsidRDefault="000568CB" w:rsidP="000568CB">
      <w:pPr>
        <w:spacing w:after="240"/>
        <w:rPr>
          <w:szCs w:val="24"/>
          <w:u w:val="single"/>
        </w:rPr>
      </w:pPr>
      <w:r>
        <w:rPr>
          <w:szCs w:val="24"/>
          <w:u w:val="single"/>
        </w:rPr>
        <w:t xml:space="preserve">Item [10] – </w:t>
      </w:r>
      <w:r w:rsidRPr="002805FA">
        <w:rPr>
          <w:szCs w:val="24"/>
          <w:u w:val="single"/>
        </w:rPr>
        <w:t>Division 060.1 (note)</w:t>
      </w:r>
    </w:p>
    <w:p w14:paraId="16483B7D" w14:textId="0EFAB434" w:rsidR="000568CB" w:rsidRDefault="000568CB" w:rsidP="000568CB">
      <w:pPr>
        <w:spacing w:after="240"/>
        <w:rPr>
          <w:szCs w:val="24"/>
        </w:rPr>
      </w:pPr>
      <w:r w:rsidRPr="002805FA">
        <w:rPr>
          <w:szCs w:val="24"/>
        </w:rPr>
        <w:t xml:space="preserve">This item </w:t>
      </w:r>
      <w:r>
        <w:rPr>
          <w:szCs w:val="24"/>
        </w:rPr>
        <w:t xml:space="preserve">repeals the note following Division 060.1 of </w:t>
      </w:r>
      <w:r w:rsidRPr="002805FA">
        <w:rPr>
          <w:szCs w:val="24"/>
        </w:rPr>
        <w:t>Schedule 2</w:t>
      </w:r>
      <w:r>
        <w:rPr>
          <w:szCs w:val="24"/>
        </w:rPr>
        <w:t xml:space="preserve"> to the </w:t>
      </w:r>
      <w:r w:rsidR="00ED724E">
        <w:rPr>
          <w:szCs w:val="24"/>
        </w:rPr>
        <w:t xml:space="preserve">Migration </w:t>
      </w:r>
      <w:r>
        <w:rPr>
          <w:szCs w:val="24"/>
        </w:rPr>
        <w:t xml:space="preserve">Regulations, and substitutes a new note which directs the reader to regulation 1.03 for the definition of </w:t>
      </w:r>
      <w:r>
        <w:rPr>
          <w:i/>
          <w:szCs w:val="24"/>
        </w:rPr>
        <w:t>human trafficking</w:t>
      </w:r>
      <w:r>
        <w:rPr>
          <w:szCs w:val="24"/>
        </w:rPr>
        <w:t xml:space="preserve"> and also specifies </w:t>
      </w:r>
      <w:r w:rsidRPr="006A4625">
        <w:rPr>
          <w:szCs w:val="24"/>
        </w:rPr>
        <w:t xml:space="preserve">that </w:t>
      </w:r>
      <w:r w:rsidRPr="006A4625">
        <w:t>there are no interpretation provisions specific to Part</w:t>
      </w:r>
      <w:r>
        <w:t xml:space="preserve"> 060 </w:t>
      </w:r>
      <w:r>
        <w:rPr>
          <w:szCs w:val="24"/>
        </w:rPr>
        <w:t xml:space="preserve">of </w:t>
      </w:r>
      <w:r w:rsidRPr="002805FA">
        <w:rPr>
          <w:szCs w:val="24"/>
        </w:rPr>
        <w:t>Schedule 2</w:t>
      </w:r>
      <w:r>
        <w:rPr>
          <w:szCs w:val="24"/>
        </w:rPr>
        <w:t xml:space="preserve"> to the</w:t>
      </w:r>
      <w:r w:rsidR="00ED724E">
        <w:rPr>
          <w:szCs w:val="24"/>
        </w:rPr>
        <w:t xml:space="preserve"> Migration</w:t>
      </w:r>
      <w:r>
        <w:rPr>
          <w:szCs w:val="24"/>
        </w:rPr>
        <w:t xml:space="preserve"> Regulations</w:t>
      </w:r>
      <w:r w:rsidRPr="006A4625">
        <w:t>.</w:t>
      </w:r>
      <w:r w:rsidRPr="006A4625">
        <w:rPr>
          <w:szCs w:val="24"/>
        </w:rPr>
        <w:t xml:space="preserve"> </w:t>
      </w:r>
    </w:p>
    <w:p w14:paraId="6C1EEF6B" w14:textId="77777777" w:rsidR="000568CB" w:rsidRDefault="000568CB" w:rsidP="000568CB">
      <w:pPr>
        <w:spacing w:after="240"/>
        <w:rPr>
          <w:szCs w:val="24"/>
        </w:rPr>
      </w:pPr>
      <w:r>
        <w:rPr>
          <w:szCs w:val="24"/>
        </w:rPr>
        <w:t>This is a technical amendment, the purpose and effect of which is to include a reference to the new definition of human trafficking inserted into regulation 1.03 by Item [1] of this Schedule.</w:t>
      </w:r>
    </w:p>
    <w:p w14:paraId="07737000" w14:textId="2BD97C61" w:rsidR="009B689A" w:rsidRDefault="009B689A">
      <w:pPr>
        <w:spacing w:before="0"/>
        <w:rPr>
          <w:szCs w:val="24"/>
          <w:u w:val="single"/>
        </w:rPr>
      </w:pPr>
      <w:r>
        <w:rPr>
          <w:szCs w:val="24"/>
          <w:u w:val="single"/>
        </w:rPr>
        <w:br w:type="page"/>
      </w:r>
    </w:p>
    <w:p w14:paraId="79D3C0DF" w14:textId="77777777" w:rsidR="000568CB" w:rsidRDefault="000568CB" w:rsidP="000568CB">
      <w:pPr>
        <w:spacing w:after="240"/>
        <w:rPr>
          <w:szCs w:val="24"/>
          <w:u w:val="single"/>
        </w:rPr>
      </w:pPr>
      <w:r>
        <w:rPr>
          <w:szCs w:val="24"/>
          <w:u w:val="single"/>
        </w:rPr>
        <w:lastRenderedPageBreak/>
        <w:t>Item [11] – Clause 060.221</w:t>
      </w:r>
      <w:r w:rsidRPr="002805FA">
        <w:rPr>
          <w:szCs w:val="24"/>
          <w:u w:val="single"/>
        </w:rPr>
        <w:t xml:space="preserve"> </w:t>
      </w:r>
      <w:r>
        <w:rPr>
          <w:szCs w:val="24"/>
          <w:u w:val="single"/>
        </w:rPr>
        <w:t>of Schedule 2</w:t>
      </w:r>
    </w:p>
    <w:p w14:paraId="4B9B2585" w14:textId="77777777" w:rsidR="000568CB" w:rsidRDefault="000568CB" w:rsidP="000568CB">
      <w:pPr>
        <w:spacing w:after="240"/>
        <w:rPr>
          <w:szCs w:val="24"/>
        </w:rPr>
      </w:pPr>
      <w:r w:rsidRPr="002805FA">
        <w:rPr>
          <w:szCs w:val="24"/>
        </w:rPr>
        <w:t>This item</w:t>
      </w:r>
      <w:r>
        <w:rPr>
          <w:szCs w:val="24"/>
        </w:rPr>
        <w:t xml:space="preserve"> amends </w:t>
      </w:r>
      <w:r w:rsidRPr="006A4625">
        <w:rPr>
          <w:szCs w:val="24"/>
        </w:rPr>
        <w:t>Clause 060.221</w:t>
      </w:r>
      <w:r>
        <w:rPr>
          <w:szCs w:val="24"/>
        </w:rPr>
        <w:t xml:space="preserve"> to clarify that a criterion for a primary applicant for a Bridging F visa that must be satisfied at the time of decision to grant a Bridging F visa is that </w:t>
      </w:r>
      <w:r w:rsidRPr="006A4625">
        <w:rPr>
          <w:szCs w:val="24"/>
        </w:rPr>
        <w:t>the applicant has been identified as a suspected victim of human trafficking, slavery or slavery-like practices.</w:t>
      </w:r>
    </w:p>
    <w:p w14:paraId="19FB388F" w14:textId="4412826C" w:rsidR="000568CB" w:rsidRDefault="000568CB" w:rsidP="000568CB">
      <w:pPr>
        <w:spacing w:after="240"/>
        <w:rPr>
          <w:szCs w:val="24"/>
        </w:rPr>
      </w:pPr>
      <w:r>
        <w:rPr>
          <w:szCs w:val="24"/>
        </w:rPr>
        <w:t>This item is a technical amendment.  The purpose and effect of this item is to update and make clear the language used in reference to certain offences and to utilise the new definition of human trafficking to provide consistency within the</w:t>
      </w:r>
      <w:r w:rsidR="00ED724E">
        <w:rPr>
          <w:szCs w:val="24"/>
        </w:rPr>
        <w:t xml:space="preserve"> Migration R</w:t>
      </w:r>
      <w:r>
        <w:rPr>
          <w:szCs w:val="24"/>
        </w:rPr>
        <w:t>egulations.</w:t>
      </w:r>
    </w:p>
    <w:p w14:paraId="55B5863D" w14:textId="77777777" w:rsidR="000568CB" w:rsidRPr="005A488D" w:rsidRDefault="000568CB" w:rsidP="000568CB">
      <w:pPr>
        <w:spacing w:after="240"/>
        <w:rPr>
          <w:szCs w:val="24"/>
        </w:rPr>
      </w:pPr>
      <w:r>
        <w:rPr>
          <w:szCs w:val="24"/>
          <w:u w:val="single"/>
        </w:rPr>
        <w:t>Items [12], [13],  [17] and [18]   – Clauses 060.222, 060.223, 060.323 and 060.324 of Schedule 2</w:t>
      </w:r>
    </w:p>
    <w:p w14:paraId="2FEBA628" w14:textId="152249AC" w:rsidR="000568CB" w:rsidRDefault="000568CB" w:rsidP="000568CB">
      <w:pPr>
        <w:spacing w:after="240"/>
        <w:rPr>
          <w:szCs w:val="24"/>
        </w:rPr>
      </w:pPr>
      <w:r w:rsidRPr="00324667">
        <w:rPr>
          <w:szCs w:val="24"/>
        </w:rPr>
        <w:t xml:space="preserve">These </w:t>
      </w:r>
      <w:r>
        <w:rPr>
          <w:szCs w:val="24"/>
        </w:rPr>
        <w:t>items remove the phrase “The Minister is satisfied” from c</w:t>
      </w:r>
      <w:r w:rsidRPr="00324667">
        <w:rPr>
          <w:szCs w:val="24"/>
        </w:rPr>
        <w:t>lauses</w:t>
      </w:r>
      <w:r>
        <w:rPr>
          <w:szCs w:val="24"/>
        </w:rPr>
        <w:t xml:space="preserve"> </w:t>
      </w:r>
      <w:r w:rsidRPr="00C33749">
        <w:rPr>
          <w:szCs w:val="24"/>
        </w:rPr>
        <w:t xml:space="preserve">060.222, 060.223, 060.323 and 060.324 </w:t>
      </w:r>
      <w:r w:rsidRPr="00324667">
        <w:rPr>
          <w:szCs w:val="24"/>
        </w:rPr>
        <w:t>of Schedule 2</w:t>
      </w:r>
      <w:r>
        <w:rPr>
          <w:szCs w:val="24"/>
        </w:rPr>
        <w:t xml:space="preserve"> to the </w:t>
      </w:r>
      <w:r w:rsidR="00ED724E">
        <w:rPr>
          <w:szCs w:val="24"/>
        </w:rPr>
        <w:t xml:space="preserve">Migration </w:t>
      </w:r>
      <w:r>
        <w:rPr>
          <w:szCs w:val="24"/>
        </w:rPr>
        <w:t>Regulations.</w:t>
      </w:r>
    </w:p>
    <w:p w14:paraId="7E5217C1" w14:textId="77777777" w:rsidR="000568CB" w:rsidRPr="00324667" w:rsidRDefault="000568CB" w:rsidP="000568CB">
      <w:pPr>
        <w:rPr>
          <w:szCs w:val="24"/>
        </w:rPr>
      </w:pPr>
      <w:r>
        <w:rPr>
          <w:szCs w:val="24"/>
        </w:rPr>
        <w:t>S</w:t>
      </w:r>
      <w:r w:rsidRPr="00324667">
        <w:rPr>
          <w:szCs w:val="24"/>
        </w:rPr>
        <w:t xml:space="preserve">ection 65 of the </w:t>
      </w:r>
      <w:r w:rsidRPr="0077094B">
        <w:rPr>
          <w:i/>
          <w:szCs w:val="24"/>
        </w:rPr>
        <w:t>Migration Act 1958</w:t>
      </w:r>
      <w:r>
        <w:rPr>
          <w:szCs w:val="24"/>
        </w:rPr>
        <w:t xml:space="preserve"> </w:t>
      </w:r>
      <w:r w:rsidRPr="00324667">
        <w:rPr>
          <w:szCs w:val="24"/>
        </w:rPr>
        <w:t>already provides that, in relation to a decision to grant a visa, the Minister is satisfied……that criteria have been satisfied.</w:t>
      </w:r>
      <w:r>
        <w:rPr>
          <w:szCs w:val="24"/>
        </w:rPr>
        <w:t xml:space="preserve"> </w:t>
      </w:r>
      <w:r w:rsidRPr="00324667">
        <w:rPr>
          <w:szCs w:val="24"/>
        </w:rPr>
        <w:t xml:space="preserve">The </w:t>
      </w:r>
      <w:r>
        <w:rPr>
          <w:szCs w:val="24"/>
        </w:rPr>
        <w:t xml:space="preserve">existing </w:t>
      </w:r>
      <w:r w:rsidRPr="00324667">
        <w:rPr>
          <w:szCs w:val="24"/>
        </w:rPr>
        <w:t xml:space="preserve">repetition in the </w:t>
      </w:r>
      <w:r>
        <w:rPr>
          <w:szCs w:val="24"/>
        </w:rPr>
        <w:t xml:space="preserve">legislation with respect to </w:t>
      </w:r>
      <w:r w:rsidRPr="00324667">
        <w:rPr>
          <w:szCs w:val="24"/>
        </w:rPr>
        <w:t xml:space="preserve">granting a </w:t>
      </w:r>
      <w:r>
        <w:rPr>
          <w:szCs w:val="24"/>
        </w:rPr>
        <w:t xml:space="preserve">Bridging F visa </w:t>
      </w:r>
      <w:r w:rsidRPr="00324667">
        <w:rPr>
          <w:szCs w:val="24"/>
        </w:rPr>
        <w:t xml:space="preserve">(looking at the relevant criteria for the grant of the visa), </w:t>
      </w:r>
      <w:r>
        <w:rPr>
          <w:szCs w:val="24"/>
        </w:rPr>
        <w:t xml:space="preserve">requires that the </w:t>
      </w:r>
      <w:r w:rsidRPr="00324667">
        <w:rPr>
          <w:szCs w:val="24"/>
        </w:rPr>
        <w:t xml:space="preserve">Minister is satisfied that the Minister is satisfied that </w:t>
      </w:r>
      <w:r>
        <w:rPr>
          <w:szCs w:val="24"/>
        </w:rPr>
        <w:t xml:space="preserve">the </w:t>
      </w:r>
      <w:r w:rsidRPr="00324667">
        <w:rPr>
          <w:szCs w:val="24"/>
        </w:rPr>
        <w:t xml:space="preserve">criteria </w:t>
      </w:r>
      <w:r>
        <w:rPr>
          <w:szCs w:val="24"/>
        </w:rPr>
        <w:t>(for example, the criteria in clauses</w:t>
      </w:r>
      <w:r w:rsidRPr="00C33749">
        <w:rPr>
          <w:szCs w:val="24"/>
        </w:rPr>
        <w:t xml:space="preserve"> 060.222, 060.223, 060.323 and 060.324</w:t>
      </w:r>
      <w:r>
        <w:rPr>
          <w:szCs w:val="24"/>
        </w:rPr>
        <w:t>)</w:t>
      </w:r>
      <w:r w:rsidRPr="00C33749">
        <w:rPr>
          <w:szCs w:val="24"/>
        </w:rPr>
        <w:t xml:space="preserve"> </w:t>
      </w:r>
      <w:r w:rsidRPr="00324667">
        <w:rPr>
          <w:szCs w:val="24"/>
        </w:rPr>
        <w:t xml:space="preserve">have been satisfied </w:t>
      </w:r>
      <w:r>
        <w:rPr>
          <w:szCs w:val="24"/>
        </w:rPr>
        <w:t>.</w:t>
      </w:r>
    </w:p>
    <w:p w14:paraId="2E665567" w14:textId="77777777" w:rsidR="000568CB" w:rsidRPr="006A4625" w:rsidRDefault="000568CB" w:rsidP="000568CB">
      <w:pPr>
        <w:rPr>
          <w:szCs w:val="24"/>
        </w:rPr>
      </w:pPr>
      <w:r>
        <w:rPr>
          <w:szCs w:val="24"/>
        </w:rPr>
        <w:t>These are technical amendments, the</w:t>
      </w:r>
      <w:r w:rsidRPr="00324667">
        <w:rPr>
          <w:szCs w:val="24"/>
        </w:rPr>
        <w:t xml:space="preserve"> p</w:t>
      </w:r>
      <w:r>
        <w:rPr>
          <w:szCs w:val="24"/>
        </w:rPr>
        <w:t>urpose and effect of which</w:t>
      </w:r>
      <w:r w:rsidRPr="00324667">
        <w:rPr>
          <w:szCs w:val="24"/>
        </w:rPr>
        <w:t xml:space="preserve"> is </w:t>
      </w:r>
      <w:r>
        <w:rPr>
          <w:szCs w:val="24"/>
        </w:rPr>
        <w:t xml:space="preserve">to remove redundant words from these </w:t>
      </w:r>
      <w:r w:rsidRPr="005F1348">
        <w:rPr>
          <w:szCs w:val="24"/>
        </w:rPr>
        <w:t>clauses.</w:t>
      </w:r>
      <w:r>
        <w:rPr>
          <w:szCs w:val="24"/>
        </w:rPr>
        <w:t xml:space="preserve"> </w:t>
      </w:r>
    </w:p>
    <w:p w14:paraId="26E727DC" w14:textId="77777777" w:rsidR="000568CB" w:rsidRPr="005A488D" w:rsidRDefault="000568CB" w:rsidP="000568CB">
      <w:pPr>
        <w:spacing w:after="240"/>
        <w:rPr>
          <w:szCs w:val="24"/>
        </w:rPr>
      </w:pPr>
      <w:r>
        <w:rPr>
          <w:szCs w:val="24"/>
          <w:u w:val="single"/>
        </w:rPr>
        <w:t>Item [14] – At the end of Subdivision 060.22 of Schedule 2</w:t>
      </w:r>
    </w:p>
    <w:p w14:paraId="0CF0FBCA" w14:textId="77777777" w:rsidR="000568CB" w:rsidRDefault="000568CB" w:rsidP="000568CB">
      <w:pPr>
        <w:spacing w:after="240"/>
        <w:rPr>
          <w:szCs w:val="24"/>
        </w:rPr>
      </w:pPr>
      <w:r w:rsidRPr="001A4A6B">
        <w:rPr>
          <w:szCs w:val="24"/>
        </w:rPr>
        <w:t xml:space="preserve">This item </w:t>
      </w:r>
      <w:r>
        <w:rPr>
          <w:szCs w:val="24"/>
        </w:rPr>
        <w:t>inserts a new criterion to the primary criteria that must be satisfied at the time of decision to grant a Bridging F visa.</w:t>
      </w:r>
    </w:p>
    <w:p w14:paraId="13F83832" w14:textId="77777777" w:rsidR="000568CB" w:rsidRDefault="000568CB" w:rsidP="000568CB">
      <w:pPr>
        <w:spacing w:after="240"/>
        <w:rPr>
          <w:szCs w:val="24"/>
        </w:rPr>
      </w:pPr>
      <w:r>
        <w:rPr>
          <w:szCs w:val="24"/>
        </w:rPr>
        <w:t>The purpose and effect of new clause 060.224 is to provide that it is a criterion for the grant of a Bridging F visa that, if the applicant was the subject of an assistance notice at the time the application for the visa was made, the assistance notice given to the Minister with respect to the person is still “in effect” because it has not been revoked.</w:t>
      </w:r>
    </w:p>
    <w:p w14:paraId="34909867" w14:textId="77777777" w:rsidR="000568CB" w:rsidRDefault="000568CB" w:rsidP="000568CB">
      <w:pPr>
        <w:spacing w:after="240"/>
        <w:rPr>
          <w:szCs w:val="24"/>
          <w:u w:val="single"/>
        </w:rPr>
      </w:pPr>
      <w:r>
        <w:rPr>
          <w:szCs w:val="24"/>
          <w:u w:val="single"/>
        </w:rPr>
        <w:t>Item [15] – Clause 060.321 of Schedule 2</w:t>
      </w:r>
    </w:p>
    <w:p w14:paraId="2A3370C6" w14:textId="1FB8F996" w:rsidR="000568CB" w:rsidRDefault="000568CB" w:rsidP="000568CB">
      <w:pPr>
        <w:spacing w:after="240"/>
        <w:rPr>
          <w:szCs w:val="24"/>
        </w:rPr>
      </w:pPr>
      <w:r w:rsidRPr="00353DC3">
        <w:rPr>
          <w:szCs w:val="24"/>
        </w:rPr>
        <w:t>This item</w:t>
      </w:r>
      <w:r>
        <w:rPr>
          <w:szCs w:val="24"/>
        </w:rPr>
        <w:t xml:space="preserve"> inserts “(the </w:t>
      </w:r>
      <w:r>
        <w:rPr>
          <w:i/>
          <w:szCs w:val="24"/>
        </w:rPr>
        <w:t>primary applicant</w:t>
      </w:r>
      <w:r>
        <w:rPr>
          <w:szCs w:val="24"/>
        </w:rPr>
        <w:t xml:space="preserve">)” after “a person” in </w:t>
      </w:r>
      <w:r w:rsidRPr="00353DC3">
        <w:rPr>
          <w:szCs w:val="24"/>
        </w:rPr>
        <w:t>Clause 060.321 of Schedule 2 to the</w:t>
      </w:r>
      <w:r w:rsidR="00ED724E">
        <w:rPr>
          <w:szCs w:val="24"/>
        </w:rPr>
        <w:t xml:space="preserve"> Migration </w:t>
      </w:r>
      <w:r w:rsidRPr="00353DC3">
        <w:rPr>
          <w:szCs w:val="24"/>
        </w:rPr>
        <w:t>Regulations.</w:t>
      </w:r>
    </w:p>
    <w:p w14:paraId="127A2F1A" w14:textId="77777777" w:rsidR="000568CB" w:rsidRDefault="000568CB" w:rsidP="000568CB">
      <w:pPr>
        <w:spacing w:after="240"/>
        <w:rPr>
          <w:color w:val="000000"/>
          <w:szCs w:val="24"/>
          <w:lang w:val="en"/>
        </w:rPr>
      </w:pPr>
      <w:r>
        <w:rPr>
          <w:szCs w:val="24"/>
        </w:rPr>
        <w:t xml:space="preserve">Old </w:t>
      </w:r>
      <w:r w:rsidRPr="00353DC3">
        <w:rPr>
          <w:szCs w:val="24"/>
        </w:rPr>
        <w:t xml:space="preserve">Clause 060.321 provides that </w:t>
      </w:r>
      <w:r w:rsidRPr="00353DC3">
        <w:rPr>
          <w:color w:val="000000"/>
          <w:szCs w:val="24"/>
          <w:lang w:val="en"/>
        </w:rPr>
        <w:t>the applicant is a member of the immediate family of, and made a combined application with, a person in relation to whom the primary criteria in Subdivision 060.22 are satisfied.</w:t>
      </w:r>
    </w:p>
    <w:p w14:paraId="746DC3BF" w14:textId="77777777" w:rsidR="000568CB" w:rsidRDefault="000568CB" w:rsidP="000568CB">
      <w:pPr>
        <w:spacing w:after="240"/>
        <w:rPr>
          <w:color w:val="000000"/>
          <w:szCs w:val="24"/>
          <w:lang w:val="en"/>
        </w:rPr>
      </w:pPr>
      <w:r>
        <w:rPr>
          <w:color w:val="000000"/>
          <w:szCs w:val="24"/>
          <w:lang w:val="en"/>
        </w:rPr>
        <w:t>The purpose and effect of this item is to make “</w:t>
      </w:r>
      <w:r>
        <w:rPr>
          <w:i/>
          <w:color w:val="000000"/>
          <w:szCs w:val="24"/>
          <w:lang w:val="en"/>
        </w:rPr>
        <w:t>primary applicant</w:t>
      </w:r>
      <w:r>
        <w:rPr>
          <w:color w:val="000000"/>
          <w:szCs w:val="24"/>
          <w:lang w:val="en"/>
        </w:rPr>
        <w:t xml:space="preserve">” a ‘tagged term’ to assist in the readability of following clauses by making it clear that a reference to the </w:t>
      </w:r>
      <w:r>
        <w:rPr>
          <w:i/>
          <w:color w:val="000000"/>
          <w:szCs w:val="24"/>
          <w:lang w:val="en"/>
        </w:rPr>
        <w:t xml:space="preserve">primary applicant </w:t>
      </w:r>
      <w:r>
        <w:rPr>
          <w:color w:val="000000"/>
          <w:szCs w:val="24"/>
          <w:lang w:val="en"/>
        </w:rPr>
        <w:t xml:space="preserve">is a reference to the person who satisfies the primary criteria for the grant of a Bridging visa F.  That is, the </w:t>
      </w:r>
      <w:r>
        <w:rPr>
          <w:i/>
          <w:color w:val="000000"/>
          <w:szCs w:val="24"/>
          <w:lang w:val="en"/>
        </w:rPr>
        <w:t xml:space="preserve">primary applicant </w:t>
      </w:r>
      <w:r>
        <w:rPr>
          <w:color w:val="000000"/>
          <w:szCs w:val="24"/>
          <w:lang w:val="en"/>
        </w:rPr>
        <w:t xml:space="preserve">is a person who the Minister is satisfied has been identified as a suspected victim of human trafficking for whom suitable arrangements have been made for their care, safety and welfare in Australia for </w:t>
      </w:r>
      <w:r>
        <w:rPr>
          <w:color w:val="000000"/>
          <w:szCs w:val="24"/>
          <w:lang w:val="en"/>
        </w:rPr>
        <w:lastRenderedPageBreak/>
        <w:t>the proposed period of the visa and who will abide with the conditions imposed upon the bridging visa if it is granted.</w:t>
      </w:r>
    </w:p>
    <w:p w14:paraId="31FB6548" w14:textId="77777777" w:rsidR="000568CB" w:rsidRDefault="000568CB" w:rsidP="000568CB">
      <w:pPr>
        <w:spacing w:after="240"/>
        <w:rPr>
          <w:szCs w:val="24"/>
          <w:u w:val="single"/>
        </w:rPr>
      </w:pPr>
      <w:r>
        <w:rPr>
          <w:szCs w:val="24"/>
          <w:u w:val="single"/>
        </w:rPr>
        <w:t>Item [16] –  Clause 060.322 of Schedule 2</w:t>
      </w:r>
    </w:p>
    <w:p w14:paraId="14694E68" w14:textId="164BA6CB" w:rsidR="000568CB" w:rsidRDefault="000568CB" w:rsidP="000568CB">
      <w:pPr>
        <w:spacing w:after="240"/>
        <w:rPr>
          <w:szCs w:val="24"/>
        </w:rPr>
      </w:pPr>
      <w:r>
        <w:rPr>
          <w:szCs w:val="24"/>
        </w:rPr>
        <w:t>This item substitutes the words “the primary applicant” for the words “</w:t>
      </w:r>
      <w:r>
        <w:rPr>
          <w:color w:val="000000"/>
          <w:szCs w:val="24"/>
          <w:lang w:val="en"/>
        </w:rPr>
        <w:t>a person who has been identified as a suspected victim of human trafficking</w:t>
      </w:r>
      <w:r>
        <w:rPr>
          <w:szCs w:val="24"/>
        </w:rPr>
        <w:t xml:space="preserve">” in </w:t>
      </w:r>
      <w:r w:rsidRPr="00353DC3">
        <w:rPr>
          <w:szCs w:val="24"/>
        </w:rPr>
        <w:t>Clause 060.32</w:t>
      </w:r>
      <w:r>
        <w:rPr>
          <w:szCs w:val="24"/>
        </w:rPr>
        <w:t>2</w:t>
      </w:r>
      <w:r w:rsidRPr="00353DC3">
        <w:rPr>
          <w:szCs w:val="24"/>
        </w:rPr>
        <w:t xml:space="preserve"> of Schedule 2 to the </w:t>
      </w:r>
      <w:r w:rsidR="00ED724E">
        <w:rPr>
          <w:szCs w:val="24"/>
        </w:rPr>
        <w:t xml:space="preserve">Migration </w:t>
      </w:r>
      <w:r w:rsidRPr="00353DC3">
        <w:rPr>
          <w:szCs w:val="24"/>
        </w:rPr>
        <w:t>Regulations.</w:t>
      </w:r>
    </w:p>
    <w:p w14:paraId="26F197B1" w14:textId="77777777" w:rsidR="000568CB" w:rsidRDefault="000568CB" w:rsidP="000568CB">
      <w:pPr>
        <w:spacing w:after="240"/>
        <w:rPr>
          <w:color w:val="000000"/>
          <w:szCs w:val="24"/>
          <w:lang w:val="en"/>
        </w:rPr>
      </w:pPr>
      <w:r>
        <w:rPr>
          <w:szCs w:val="24"/>
        </w:rPr>
        <w:t xml:space="preserve">Old </w:t>
      </w:r>
      <w:r w:rsidRPr="00353DC3">
        <w:rPr>
          <w:szCs w:val="24"/>
        </w:rPr>
        <w:t>Clause 060.32</w:t>
      </w:r>
      <w:r>
        <w:rPr>
          <w:szCs w:val="24"/>
        </w:rPr>
        <w:t>2 provided</w:t>
      </w:r>
      <w:r w:rsidRPr="00353DC3">
        <w:rPr>
          <w:szCs w:val="24"/>
        </w:rPr>
        <w:t xml:space="preserve"> that </w:t>
      </w:r>
      <w:r w:rsidRPr="00353DC3">
        <w:rPr>
          <w:color w:val="000000"/>
          <w:szCs w:val="24"/>
          <w:lang w:val="en"/>
        </w:rPr>
        <w:t xml:space="preserve">the </w:t>
      </w:r>
      <w:r>
        <w:rPr>
          <w:color w:val="000000"/>
          <w:szCs w:val="24"/>
          <w:lang w:val="en"/>
        </w:rPr>
        <w:t xml:space="preserve">Minister is satisfied that the </w:t>
      </w:r>
      <w:r w:rsidRPr="00353DC3">
        <w:rPr>
          <w:color w:val="000000"/>
          <w:szCs w:val="24"/>
          <w:lang w:val="en"/>
        </w:rPr>
        <w:t xml:space="preserve">applicant </w:t>
      </w:r>
      <w:r>
        <w:rPr>
          <w:color w:val="000000"/>
          <w:szCs w:val="24"/>
          <w:lang w:val="en"/>
        </w:rPr>
        <w:t>continues to be</w:t>
      </w:r>
      <w:r w:rsidRPr="00353DC3">
        <w:rPr>
          <w:color w:val="000000"/>
          <w:szCs w:val="24"/>
          <w:lang w:val="en"/>
        </w:rPr>
        <w:t xml:space="preserve"> a member of the immediate family of</w:t>
      </w:r>
      <w:r>
        <w:rPr>
          <w:color w:val="000000"/>
          <w:szCs w:val="24"/>
          <w:lang w:val="en"/>
        </w:rPr>
        <w:t xml:space="preserve"> </w:t>
      </w:r>
      <w:r w:rsidRPr="00353DC3">
        <w:rPr>
          <w:color w:val="000000"/>
          <w:szCs w:val="24"/>
          <w:lang w:val="en"/>
        </w:rPr>
        <w:t xml:space="preserve">a person </w:t>
      </w:r>
      <w:r>
        <w:rPr>
          <w:color w:val="000000"/>
          <w:szCs w:val="24"/>
          <w:lang w:val="en"/>
        </w:rPr>
        <w:t>that has been identified as a suspected victim of human trafficking.</w:t>
      </w:r>
    </w:p>
    <w:p w14:paraId="1D5525B6" w14:textId="77777777" w:rsidR="000568CB" w:rsidRPr="005A488D" w:rsidRDefault="000568CB" w:rsidP="000568CB">
      <w:pPr>
        <w:spacing w:after="240"/>
        <w:rPr>
          <w:szCs w:val="24"/>
        </w:rPr>
      </w:pPr>
      <w:r>
        <w:rPr>
          <w:szCs w:val="24"/>
        </w:rPr>
        <w:t xml:space="preserve">The purpose and effect of this item is to assist the readability of this Clause by taking advantage of the ‘tagged term’ inserted by Item [11] of this Schedule.  The item also operates to remove references to </w:t>
      </w:r>
      <w:r>
        <w:rPr>
          <w:color w:val="000000"/>
          <w:szCs w:val="24"/>
          <w:lang w:val="en"/>
        </w:rPr>
        <w:t>suspected victims of human trafficking,</w:t>
      </w:r>
      <w:r w:rsidRPr="008B4D9D">
        <w:rPr>
          <w:color w:val="000000"/>
          <w:szCs w:val="24"/>
        </w:rPr>
        <w:t xml:space="preserve"> minimising</w:t>
      </w:r>
      <w:r>
        <w:rPr>
          <w:color w:val="000000"/>
          <w:szCs w:val="24"/>
          <w:lang w:val="en"/>
        </w:rPr>
        <w:t xml:space="preserve"> possible stigmatization while still being specific to this cohort of vulnerable applicants.</w:t>
      </w:r>
    </w:p>
    <w:p w14:paraId="66948ABC" w14:textId="77777777" w:rsidR="000568CB" w:rsidRDefault="000568CB" w:rsidP="000568CB">
      <w:pPr>
        <w:spacing w:after="240"/>
        <w:rPr>
          <w:szCs w:val="24"/>
          <w:u w:val="single"/>
        </w:rPr>
      </w:pPr>
      <w:r>
        <w:rPr>
          <w:szCs w:val="24"/>
          <w:u w:val="single"/>
        </w:rPr>
        <w:t>Item [19] – At the end of Subdivision 060.32 of Schedule 2</w:t>
      </w:r>
    </w:p>
    <w:p w14:paraId="6B9B4368" w14:textId="77777777" w:rsidR="000568CB" w:rsidRDefault="000568CB" w:rsidP="000568CB">
      <w:pPr>
        <w:spacing w:after="240"/>
        <w:rPr>
          <w:szCs w:val="24"/>
        </w:rPr>
      </w:pPr>
      <w:r w:rsidRPr="001A4A6B">
        <w:rPr>
          <w:szCs w:val="24"/>
        </w:rPr>
        <w:t xml:space="preserve">This item </w:t>
      </w:r>
      <w:r>
        <w:rPr>
          <w:szCs w:val="24"/>
        </w:rPr>
        <w:t>inserts a new criterion to the secondary criteria that must be satisfied at the time of decision for the grant of a Bridging F visa.</w:t>
      </w:r>
    </w:p>
    <w:p w14:paraId="3E75E950" w14:textId="77777777" w:rsidR="000568CB" w:rsidRPr="005A488D" w:rsidRDefault="000568CB" w:rsidP="000568CB">
      <w:pPr>
        <w:spacing w:after="240"/>
        <w:rPr>
          <w:szCs w:val="24"/>
        </w:rPr>
      </w:pPr>
      <w:r w:rsidRPr="004B13E5">
        <w:rPr>
          <w:szCs w:val="24"/>
        </w:rPr>
        <w:t>The purpose and effect of new clause 060.325 is to provide that it is a criterion for the grant of a Bridging F visa that, if the applicant is and continues to be a member of the immediate family of</w:t>
      </w:r>
      <w:r w:rsidRPr="004B13E5">
        <w:rPr>
          <w:color w:val="000000"/>
          <w:szCs w:val="24"/>
          <w:lang w:val="en"/>
        </w:rPr>
        <w:t xml:space="preserve"> the </w:t>
      </w:r>
      <w:r w:rsidRPr="00D43D3F">
        <w:rPr>
          <w:color w:val="000000"/>
          <w:szCs w:val="24"/>
          <w:lang w:val="en"/>
        </w:rPr>
        <w:t>primary applicant</w:t>
      </w:r>
      <w:r w:rsidRPr="004B13E5">
        <w:rPr>
          <w:i/>
          <w:color w:val="000000"/>
          <w:szCs w:val="24"/>
          <w:lang w:val="en"/>
        </w:rPr>
        <w:t xml:space="preserve"> </w:t>
      </w:r>
      <w:r w:rsidRPr="004B13E5">
        <w:rPr>
          <w:color w:val="000000"/>
          <w:szCs w:val="24"/>
          <w:lang w:val="en"/>
        </w:rPr>
        <w:t xml:space="preserve">who </w:t>
      </w:r>
      <w:r w:rsidRPr="004B13E5">
        <w:rPr>
          <w:szCs w:val="24"/>
        </w:rPr>
        <w:t xml:space="preserve">was the subject of an assistance notice at the time of application for the visa was made, the assistance notice given to the Minister with respect to the </w:t>
      </w:r>
      <w:r w:rsidRPr="00D43D3F">
        <w:rPr>
          <w:color w:val="000000"/>
          <w:szCs w:val="24"/>
          <w:lang w:val="en"/>
        </w:rPr>
        <w:t>primary applicant</w:t>
      </w:r>
      <w:r w:rsidRPr="004B13E5">
        <w:rPr>
          <w:i/>
          <w:color w:val="000000"/>
          <w:szCs w:val="24"/>
          <w:lang w:val="en"/>
        </w:rPr>
        <w:t xml:space="preserve"> </w:t>
      </w:r>
      <w:r>
        <w:rPr>
          <w:szCs w:val="24"/>
        </w:rPr>
        <w:t>is still in effect because</w:t>
      </w:r>
      <w:r w:rsidRPr="004B13E5">
        <w:rPr>
          <w:szCs w:val="24"/>
        </w:rPr>
        <w:t xml:space="preserve"> it has not been revoked.</w:t>
      </w:r>
    </w:p>
    <w:p w14:paraId="4C84778E" w14:textId="77777777" w:rsidR="000568CB" w:rsidRDefault="000568CB" w:rsidP="000568CB">
      <w:pPr>
        <w:spacing w:after="240"/>
        <w:rPr>
          <w:szCs w:val="24"/>
          <w:u w:val="single"/>
        </w:rPr>
      </w:pPr>
      <w:r w:rsidRPr="00870748">
        <w:rPr>
          <w:szCs w:val="24"/>
          <w:u w:val="single"/>
        </w:rPr>
        <w:t>Item [20] –  Subparagraphs 060.511(2)(c)(ii) and (iii) of Schedule 2</w:t>
      </w:r>
    </w:p>
    <w:p w14:paraId="10EB6618" w14:textId="2FB10AFD" w:rsidR="000568CB" w:rsidRDefault="000568CB" w:rsidP="000568CB">
      <w:pPr>
        <w:spacing w:after="240"/>
        <w:rPr>
          <w:szCs w:val="24"/>
        </w:rPr>
      </w:pPr>
      <w:r w:rsidRPr="001A4A6B">
        <w:rPr>
          <w:szCs w:val="24"/>
        </w:rPr>
        <w:t xml:space="preserve">This item </w:t>
      </w:r>
      <w:r>
        <w:rPr>
          <w:szCs w:val="24"/>
        </w:rPr>
        <w:t xml:space="preserve">substitutes a new subparagraph </w:t>
      </w:r>
      <w:r w:rsidRPr="00004B16">
        <w:rPr>
          <w:szCs w:val="24"/>
        </w:rPr>
        <w:t>060.511(2)(c)(ii)</w:t>
      </w:r>
      <w:r>
        <w:rPr>
          <w:szCs w:val="24"/>
        </w:rPr>
        <w:t xml:space="preserve"> and omits old </w:t>
      </w:r>
      <w:r w:rsidRPr="00004B16">
        <w:rPr>
          <w:szCs w:val="24"/>
        </w:rPr>
        <w:t>subparagraphs 060.511(2)(c)(ii) and (iii) of Schedule 2</w:t>
      </w:r>
      <w:r>
        <w:rPr>
          <w:szCs w:val="24"/>
        </w:rPr>
        <w:t xml:space="preserve"> to the </w:t>
      </w:r>
      <w:r w:rsidR="00ED724E">
        <w:rPr>
          <w:szCs w:val="24"/>
        </w:rPr>
        <w:t xml:space="preserve">Migration </w:t>
      </w:r>
      <w:r>
        <w:rPr>
          <w:szCs w:val="24"/>
        </w:rPr>
        <w:t xml:space="preserve">Regulations. Clause </w:t>
      </w:r>
      <w:r w:rsidRPr="00004B16">
        <w:rPr>
          <w:szCs w:val="24"/>
        </w:rPr>
        <w:t>060.511</w:t>
      </w:r>
      <w:r>
        <w:rPr>
          <w:szCs w:val="24"/>
        </w:rPr>
        <w:t xml:space="preserve"> deals with when a Bridging F Visa is in effect.</w:t>
      </w:r>
    </w:p>
    <w:p w14:paraId="31B86296" w14:textId="77777777" w:rsidR="000568CB" w:rsidRDefault="000568CB" w:rsidP="000568CB">
      <w:pPr>
        <w:rPr>
          <w:color w:val="000000"/>
          <w:szCs w:val="24"/>
          <w:lang w:val="en"/>
        </w:rPr>
      </w:pPr>
      <w:r w:rsidRPr="00673B05">
        <w:rPr>
          <w:szCs w:val="24"/>
        </w:rPr>
        <w:t xml:space="preserve">Old </w:t>
      </w:r>
      <w:r>
        <w:rPr>
          <w:szCs w:val="24"/>
        </w:rPr>
        <w:t>s</w:t>
      </w:r>
      <w:r w:rsidRPr="00673B05">
        <w:rPr>
          <w:szCs w:val="24"/>
        </w:rPr>
        <w:t xml:space="preserve">ubparagraphs 060.511(2)(c)(ii) and (iii) </w:t>
      </w:r>
      <w:r>
        <w:rPr>
          <w:szCs w:val="24"/>
        </w:rPr>
        <w:t xml:space="preserve">provided that </w:t>
      </w:r>
      <w:r>
        <w:rPr>
          <w:color w:val="000000"/>
          <w:szCs w:val="24"/>
          <w:lang w:val="en"/>
        </w:rPr>
        <w:t>f</w:t>
      </w:r>
      <w:r w:rsidRPr="00730AD9">
        <w:rPr>
          <w:color w:val="000000"/>
          <w:szCs w:val="24"/>
          <w:lang w:val="en"/>
        </w:rPr>
        <w:t xml:space="preserve">or a person to whom subregulation 2.20(15) applies regardless of whether the person has been immigration cleared, and who made an application in accordance with subregulation 2.20B(2) — the bridging visa </w:t>
      </w:r>
      <w:r>
        <w:rPr>
          <w:color w:val="000000"/>
          <w:szCs w:val="24"/>
          <w:lang w:val="en"/>
        </w:rPr>
        <w:t xml:space="preserve">permits the holder to remain in Australia </w:t>
      </w:r>
      <w:r w:rsidRPr="00730AD9">
        <w:rPr>
          <w:color w:val="000000"/>
          <w:szCs w:val="24"/>
          <w:lang w:val="en"/>
        </w:rPr>
        <w:t>until the earliest of the following</w:t>
      </w:r>
      <w:r>
        <w:rPr>
          <w:color w:val="000000"/>
          <w:szCs w:val="24"/>
          <w:lang w:val="en"/>
        </w:rPr>
        <w:t xml:space="preserve">, either </w:t>
      </w:r>
      <w:r w:rsidRPr="00673B05">
        <w:rPr>
          <w:color w:val="000000"/>
          <w:szCs w:val="24"/>
          <w:lang w:val="en"/>
        </w:rPr>
        <w:t xml:space="preserve">the date on which the holder is granted a new criminal justice stay visa in accordance with </w:t>
      </w:r>
      <w:r>
        <w:rPr>
          <w:color w:val="000000"/>
          <w:szCs w:val="24"/>
          <w:lang w:val="en"/>
        </w:rPr>
        <w:t xml:space="preserve">Division 4 of Part 2 of the Act or </w:t>
      </w:r>
      <w:r w:rsidRPr="00673B05">
        <w:rPr>
          <w:color w:val="000000"/>
          <w:szCs w:val="24"/>
          <w:lang w:val="en"/>
        </w:rPr>
        <w:t xml:space="preserve">the date on which a criminal justice </w:t>
      </w:r>
      <w:r>
        <w:rPr>
          <w:color w:val="000000"/>
          <w:szCs w:val="24"/>
          <w:lang w:val="en"/>
        </w:rPr>
        <w:t xml:space="preserve">stay </w:t>
      </w:r>
      <w:r w:rsidRPr="00673B05">
        <w:rPr>
          <w:color w:val="000000"/>
          <w:szCs w:val="24"/>
          <w:lang w:val="en"/>
        </w:rPr>
        <w:t>certificate issued to the holder in accordance with that Division is cancelled.</w:t>
      </w:r>
    </w:p>
    <w:p w14:paraId="09AAF35B" w14:textId="77777777" w:rsidR="000568CB" w:rsidRDefault="000568CB" w:rsidP="000568CB">
      <w:pPr>
        <w:rPr>
          <w:szCs w:val="24"/>
        </w:rPr>
      </w:pPr>
      <w:r>
        <w:rPr>
          <w:szCs w:val="24"/>
        </w:rPr>
        <w:t xml:space="preserve">The purpose and effect of new subparagraph </w:t>
      </w:r>
      <w:r w:rsidRPr="00004B16">
        <w:rPr>
          <w:szCs w:val="24"/>
        </w:rPr>
        <w:t>060.511(2)(c)(ii)</w:t>
      </w:r>
      <w:r>
        <w:rPr>
          <w:szCs w:val="24"/>
        </w:rPr>
        <w:t xml:space="preserve"> is to provide that, as an alternative to the cessation provision in subparagraph 060.511(2)(c)(</w:t>
      </w:r>
      <w:proofErr w:type="spellStart"/>
      <w:r>
        <w:rPr>
          <w:szCs w:val="24"/>
        </w:rPr>
        <w:t>i</w:t>
      </w:r>
      <w:proofErr w:type="spellEnd"/>
      <w:r w:rsidRPr="00673B05">
        <w:rPr>
          <w:szCs w:val="24"/>
        </w:rPr>
        <w:t>)</w:t>
      </w:r>
      <w:r>
        <w:rPr>
          <w:szCs w:val="24"/>
        </w:rPr>
        <w:t>,</w:t>
      </w:r>
      <w:r w:rsidRPr="00673B05">
        <w:rPr>
          <w:szCs w:val="24"/>
        </w:rPr>
        <w:t xml:space="preserve"> </w:t>
      </w:r>
      <w:r>
        <w:rPr>
          <w:szCs w:val="24"/>
        </w:rPr>
        <w:t xml:space="preserve">the visa would cease to be in effect </w:t>
      </w:r>
      <w:r w:rsidRPr="00004B16">
        <w:rPr>
          <w:szCs w:val="24"/>
        </w:rPr>
        <w:t>28 days after the day the Attorney</w:t>
      </w:r>
      <w:r w:rsidRPr="00004B16">
        <w:rPr>
          <w:szCs w:val="24"/>
        </w:rPr>
        <w:noBreakHyphen/>
        <w:t>General, the Secretary of the Attorney</w:t>
      </w:r>
      <w:r w:rsidRPr="00004B16">
        <w:rPr>
          <w:szCs w:val="24"/>
        </w:rPr>
        <w:noBreakHyphen/>
        <w:t>General’s Department or an SES employee or acting SES employee of the Attorney</w:t>
      </w:r>
      <w:r w:rsidRPr="00004B16">
        <w:rPr>
          <w:szCs w:val="24"/>
        </w:rPr>
        <w:noBreakHyphen/>
        <w:t>General’s Department, notifies the Minister, in writing, that the assistance notice is revoked.</w:t>
      </w:r>
    </w:p>
    <w:p w14:paraId="7E469BE2" w14:textId="77777777" w:rsidR="000568CB" w:rsidRDefault="000568CB" w:rsidP="000568CB">
      <w:pPr>
        <w:rPr>
          <w:szCs w:val="24"/>
        </w:rPr>
      </w:pPr>
      <w:r w:rsidRPr="007257BB">
        <w:rPr>
          <w:szCs w:val="24"/>
        </w:rPr>
        <w:t>This 28 day period permits the visa holder to make arrangements to either seek the grant of a different visa or to depart Australia.</w:t>
      </w:r>
    </w:p>
    <w:p w14:paraId="75D72549" w14:textId="77777777" w:rsidR="000568CB" w:rsidRDefault="000568CB" w:rsidP="000568CB">
      <w:pPr>
        <w:rPr>
          <w:szCs w:val="24"/>
        </w:rPr>
      </w:pPr>
      <w:r>
        <w:rPr>
          <w:szCs w:val="24"/>
        </w:rPr>
        <w:lastRenderedPageBreak/>
        <w:t>This reflects that, following these amendments, these applicants would be the subject of an assistance notice rather than a criminal justice stay certificate.</w:t>
      </w:r>
    </w:p>
    <w:p w14:paraId="59BE48D8" w14:textId="77777777" w:rsidR="000568CB" w:rsidRDefault="000568CB" w:rsidP="000568CB">
      <w:pPr>
        <w:spacing w:after="240"/>
        <w:rPr>
          <w:szCs w:val="24"/>
          <w:u w:val="single"/>
        </w:rPr>
      </w:pPr>
      <w:r>
        <w:rPr>
          <w:szCs w:val="24"/>
          <w:u w:val="single"/>
        </w:rPr>
        <w:t>Item [21] – After Subclause 060.511(2) of Schedule 2</w:t>
      </w:r>
    </w:p>
    <w:p w14:paraId="73FD72E3" w14:textId="35FF48D4" w:rsidR="000568CB" w:rsidRDefault="000568CB" w:rsidP="000568CB">
      <w:pPr>
        <w:spacing w:after="240"/>
        <w:rPr>
          <w:szCs w:val="24"/>
        </w:rPr>
      </w:pPr>
      <w:r w:rsidRPr="009A5034">
        <w:rPr>
          <w:szCs w:val="24"/>
        </w:rPr>
        <w:t xml:space="preserve">This item </w:t>
      </w:r>
      <w:r>
        <w:rPr>
          <w:szCs w:val="24"/>
        </w:rPr>
        <w:t>inserts a new s</w:t>
      </w:r>
      <w:r w:rsidRPr="009A5034">
        <w:rPr>
          <w:szCs w:val="24"/>
        </w:rPr>
        <w:t>ubclause 060.511(2</w:t>
      </w:r>
      <w:r>
        <w:rPr>
          <w:szCs w:val="24"/>
        </w:rPr>
        <w:t>A</w:t>
      </w:r>
      <w:r w:rsidRPr="009A5034">
        <w:rPr>
          <w:szCs w:val="24"/>
        </w:rPr>
        <w:t xml:space="preserve">) </w:t>
      </w:r>
      <w:r>
        <w:rPr>
          <w:szCs w:val="24"/>
        </w:rPr>
        <w:t>after s</w:t>
      </w:r>
      <w:r w:rsidRPr="009A5034">
        <w:rPr>
          <w:szCs w:val="24"/>
        </w:rPr>
        <w:t>ubclause 060.511(2) of Schedule 2</w:t>
      </w:r>
      <w:r>
        <w:rPr>
          <w:szCs w:val="24"/>
        </w:rPr>
        <w:t xml:space="preserve"> to the </w:t>
      </w:r>
      <w:r w:rsidR="00ED724E">
        <w:rPr>
          <w:szCs w:val="24"/>
        </w:rPr>
        <w:t xml:space="preserve">Migration </w:t>
      </w:r>
      <w:r>
        <w:rPr>
          <w:szCs w:val="24"/>
        </w:rPr>
        <w:t>Regulations.</w:t>
      </w:r>
    </w:p>
    <w:p w14:paraId="5D2D684C" w14:textId="77777777" w:rsidR="000568CB" w:rsidRPr="009A5034" w:rsidRDefault="000568CB" w:rsidP="000568CB">
      <w:pPr>
        <w:spacing w:after="240"/>
        <w:rPr>
          <w:szCs w:val="24"/>
        </w:rPr>
      </w:pPr>
      <w:r>
        <w:rPr>
          <w:szCs w:val="24"/>
        </w:rPr>
        <w:t>The purpose and effect of new s</w:t>
      </w:r>
      <w:r w:rsidRPr="009A5034">
        <w:rPr>
          <w:szCs w:val="24"/>
        </w:rPr>
        <w:t>ubclause 060.511(2</w:t>
      </w:r>
      <w:r>
        <w:rPr>
          <w:szCs w:val="24"/>
        </w:rPr>
        <w:t>A</w:t>
      </w:r>
      <w:r w:rsidRPr="009A5034">
        <w:rPr>
          <w:szCs w:val="24"/>
        </w:rPr>
        <w:t>)</w:t>
      </w:r>
      <w:r>
        <w:rPr>
          <w:szCs w:val="24"/>
        </w:rPr>
        <w:t xml:space="preserve"> is to make provision for when a Bridging F visa is in effect for a non-citizen who is either the subject of an assistance notice or who is a member of the immediate family of such a person.  In those circumstances, the visa comes into effect when it is granted, permitting the holder of the visa to stay in Australia until the visa ceases to be in effect, which would be 28 days after </w:t>
      </w:r>
      <w:r w:rsidRPr="00004B16">
        <w:rPr>
          <w:szCs w:val="24"/>
        </w:rPr>
        <w:t>the day the Attorney</w:t>
      </w:r>
      <w:r w:rsidRPr="00004B16">
        <w:rPr>
          <w:szCs w:val="24"/>
        </w:rPr>
        <w:noBreakHyphen/>
        <w:t>General, the Secretary of the Attorney</w:t>
      </w:r>
      <w:r w:rsidRPr="00004B16">
        <w:rPr>
          <w:szCs w:val="24"/>
        </w:rPr>
        <w:noBreakHyphen/>
        <w:t>General’s Department or an SES employee or acting SES employee of the Attorney</w:t>
      </w:r>
      <w:r w:rsidRPr="00004B16">
        <w:rPr>
          <w:szCs w:val="24"/>
        </w:rPr>
        <w:noBreakHyphen/>
        <w:t>General’s Department, notifies the Minister, in writing, that the assistance notice is revoked</w:t>
      </w:r>
      <w:r>
        <w:rPr>
          <w:szCs w:val="24"/>
        </w:rPr>
        <w:t>.</w:t>
      </w:r>
    </w:p>
    <w:p w14:paraId="320712C9" w14:textId="77777777" w:rsidR="000568CB" w:rsidRDefault="000568CB" w:rsidP="000568CB">
      <w:pPr>
        <w:spacing w:after="240"/>
        <w:rPr>
          <w:szCs w:val="24"/>
          <w:u w:val="single"/>
        </w:rPr>
      </w:pPr>
      <w:r>
        <w:rPr>
          <w:szCs w:val="24"/>
          <w:u w:val="single"/>
        </w:rPr>
        <w:t>Item [23</w:t>
      </w:r>
      <w:r w:rsidRPr="00EE3BE9">
        <w:rPr>
          <w:szCs w:val="24"/>
          <w:u w:val="single"/>
        </w:rPr>
        <w:t>] –</w:t>
      </w:r>
      <w:r>
        <w:rPr>
          <w:szCs w:val="24"/>
          <w:u w:val="single"/>
        </w:rPr>
        <w:t xml:space="preserve">  Clause 060.612 of Schedule 2</w:t>
      </w:r>
      <w:r w:rsidRPr="006E2274">
        <w:rPr>
          <w:szCs w:val="24"/>
          <w:highlight w:val="yellow"/>
          <w:u w:val="single"/>
        </w:rPr>
        <w:t xml:space="preserve"> </w:t>
      </w:r>
    </w:p>
    <w:p w14:paraId="5468876E" w14:textId="77777777" w:rsidR="000568CB" w:rsidRDefault="000568CB" w:rsidP="000568CB">
      <w:pPr>
        <w:spacing w:after="240"/>
        <w:rPr>
          <w:szCs w:val="24"/>
        </w:rPr>
      </w:pPr>
      <w:r w:rsidRPr="0085204B">
        <w:rPr>
          <w:szCs w:val="24"/>
        </w:rPr>
        <w:t xml:space="preserve">This item </w:t>
      </w:r>
      <w:r>
        <w:rPr>
          <w:szCs w:val="24"/>
        </w:rPr>
        <w:t>repeals clause 060.612 and substitutes new clause 060.612.</w:t>
      </w:r>
    </w:p>
    <w:p w14:paraId="49205BB4" w14:textId="77777777" w:rsidR="000568CB" w:rsidRDefault="000568CB" w:rsidP="000568CB">
      <w:pPr>
        <w:spacing w:after="240"/>
        <w:rPr>
          <w:szCs w:val="24"/>
        </w:rPr>
      </w:pPr>
      <w:r>
        <w:rPr>
          <w:szCs w:val="24"/>
        </w:rPr>
        <w:t>Old clause 060.612 dealt with both mandatory conditions that were imposed and discretionary conditions that may be imposed on holders of Bridging F visas. Old paragraph 060.612(a) mandatorily imposed both condition 8101 (the holder must not work in Australia) and condition 8401 (a requirement to report to the department). Old paragraph 060.612(b) dealt with conditions that may be imposed at the Minister’s discretion, including conditions 8505 and 8506 (which relate to living at a particular address and reporting any change of address) and conditions 8507, 8510 and 8511 (which relate to the holder of the visa paying costs of detention, showing a passport and showing a ticket for travel to a country other than Australia, respectively).</w:t>
      </w:r>
    </w:p>
    <w:p w14:paraId="796AF2EF" w14:textId="77777777" w:rsidR="000568CB" w:rsidRDefault="000568CB" w:rsidP="000568CB">
      <w:pPr>
        <w:spacing w:after="240"/>
        <w:rPr>
          <w:szCs w:val="24"/>
        </w:rPr>
      </w:pPr>
      <w:r>
        <w:rPr>
          <w:szCs w:val="24"/>
        </w:rPr>
        <w:t>An effect of this amendment is to remove the mandatory conditions that the visa holder must not engage in work in Australia and must comply with reporting requirements during the period the visa is in effect from the holder of a Bridging F visa.  These conditions will be discretionary rather than mandatory.</w:t>
      </w:r>
    </w:p>
    <w:p w14:paraId="16F6C645" w14:textId="77777777" w:rsidR="000568CB" w:rsidRDefault="000568CB" w:rsidP="000568CB">
      <w:pPr>
        <w:spacing w:after="240"/>
        <w:rPr>
          <w:szCs w:val="24"/>
        </w:rPr>
      </w:pPr>
      <w:r>
        <w:rPr>
          <w:szCs w:val="24"/>
        </w:rPr>
        <w:t>A further effect is to remove conditions 8507, 8510 and 8511 from application to a Bridging F visa holder as those conditions are no longer considered appropriate to be imposed, even on a discretionary basis, on applicants from this vulnerable cohort</w:t>
      </w:r>
    </w:p>
    <w:p w14:paraId="1420F9E5" w14:textId="77777777" w:rsidR="000568CB" w:rsidRPr="00A953CD" w:rsidRDefault="000568CB" w:rsidP="000568CB">
      <w:pPr>
        <w:spacing w:after="240"/>
        <w:rPr>
          <w:szCs w:val="24"/>
        </w:rPr>
      </w:pPr>
      <w:r>
        <w:rPr>
          <w:szCs w:val="24"/>
        </w:rPr>
        <w:t>This amendment is in keeping with the government’s commitment to protect and support victims of human trafficking offences by enabling them to achieve a level of personal autonomy in relation to earning their own income whilst they are in Australia assisting in the administration of criminal justice should they be sufficiently recovered from their experience and able to engage in work.</w:t>
      </w:r>
    </w:p>
    <w:p w14:paraId="501F7BD7" w14:textId="77777777" w:rsidR="000568CB" w:rsidRDefault="000568CB" w:rsidP="000568CB">
      <w:pPr>
        <w:spacing w:after="240"/>
        <w:rPr>
          <w:szCs w:val="24"/>
          <w:u w:val="single"/>
        </w:rPr>
      </w:pPr>
      <w:r>
        <w:rPr>
          <w:szCs w:val="24"/>
          <w:u w:val="single"/>
        </w:rPr>
        <w:t>Item [24]</w:t>
      </w:r>
      <w:r w:rsidRPr="00EE3BE9">
        <w:rPr>
          <w:szCs w:val="24"/>
          <w:u w:val="single"/>
        </w:rPr>
        <w:t xml:space="preserve"> </w:t>
      </w:r>
      <w:r>
        <w:rPr>
          <w:szCs w:val="24"/>
          <w:u w:val="single"/>
        </w:rPr>
        <w:t>– Part 852 of Schedule 2 (heading)</w:t>
      </w:r>
    </w:p>
    <w:p w14:paraId="62DEC30A" w14:textId="1D99BA58" w:rsidR="000568CB" w:rsidRDefault="000568CB" w:rsidP="000568CB">
      <w:pPr>
        <w:spacing w:after="240"/>
        <w:rPr>
          <w:szCs w:val="24"/>
        </w:rPr>
      </w:pPr>
      <w:r>
        <w:rPr>
          <w:szCs w:val="24"/>
        </w:rPr>
        <w:t xml:space="preserve">This item repeals the heading of Part 852 of Schedule 2 to the </w:t>
      </w:r>
      <w:r w:rsidR="00ED724E">
        <w:rPr>
          <w:szCs w:val="24"/>
        </w:rPr>
        <w:t xml:space="preserve">Migration </w:t>
      </w:r>
      <w:r>
        <w:rPr>
          <w:szCs w:val="24"/>
        </w:rPr>
        <w:t>Regulations and substitutes “Subclass 852  -  Referred Stay (Permanent)”.</w:t>
      </w:r>
    </w:p>
    <w:p w14:paraId="16ED51F8" w14:textId="78F9ADA1" w:rsidR="000568CB" w:rsidRDefault="000568CB" w:rsidP="000568CB">
      <w:pPr>
        <w:spacing w:after="240"/>
        <w:rPr>
          <w:szCs w:val="24"/>
        </w:rPr>
      </w:pPr>
      <w:r>
        <w:rPr>
          <w:szCs w:val="24"/>
        </w:rPr>
        <w:lastRenderedPageBreak/>
        <w:t xml:space="preserve">The heading of old Part 852 </w:t>
      </w:r>
      <w:r w:rsidRPr="0010731B">
        <w:rPr>
          <w:szCs w:val="24"/>
        </w:rPr>
        <w:t>referred</w:t>
      </w:r>
      <w:r>
        <w:rPr>
          <w:szCs w:val="24"/>
        </w:rPr>
        <w:t xml:space="preserve"> to applications for Witness Protection (</w:t>
      </w:r>
      <w:r w:rsidR="009B689A">
        <w:rPr>
          <w:szCs w:val="24"/>
        </w:rPr>
        <w:t>Trafficking)(Permanent) visas.</w:t>
      </w:r>
    </w:p>
    <w:p w14:paraId="296E49D2" w14:textId="77777777" w:rsidR="000568CB" w:rsidRDefault="000568CB" w:rsidP="000568CB">
      <w:pPr>
        <w:spacing w:after="240"/>
        <w:rPr>
          <w:szCs w:val="24"/>
        </w:rPr>
      </w:pPr>
      <w:r>
        <w:rPr>
          <w:szCs w:val="24"/>
        </w:rPr>
        <w:t>The purpose and effect of this item is to change the permanent visa’s name from Witness Protection (Trafficking)(Permanent) visa to Referred Stay (Permanent) visa.</w:t>
      </w:r>
    </w:p>
    <w:p w14:paraId="0712D602" w14:textId="77777777" w:rsidR="000568CB" w:rsidRPr="00EE3BE9" w:rsidRDefault="000568CB" w:rsidP="000568CB">
      <w:pPr>
        <w:spacing w:after="240"/>
        <w:rPr>
          <w:szCs w:val="24"/>
        </w:rPr>
      </w:pPr>
      <w:r>
        <w:rPr>
          <w:szCs w:val="24"/>
        </w:rPr>
        <w:t xml:space="preserve">As discussed </w:t>
      </w:r>
      <w:r w:rsidRPr="00B024FA">
        <w:rPr>
          <w:szCs w:val="24"/>
        </w:rPr>
        <w:t>at Item [7], the</w:t>
      </w:r>
      <w:r>
        <w:rPr>
          <w:szCs w:val="24"/>
        </w:rPr>
        <w:t xml:space="preserve"> change to the permanent visa’s name is in keeping with the government’s commitment to protect and support victims of human trafficking offences and aims to reduce stigma associated with being a trafficked person, and with participating in the administration of criminal justice with respect to trafficking in people, slavery and slavery-like offences.</w:t>
      </w:r>
    </w:p>
    <w:p w14:paraId="78A8C099" w14:textId="77777777" w:rsidR="000568CB" w:rsidRPr="005A488D" w:rsidRDefault="000568CB" w:rsidP="000568CB">
      <w:pPr>
        <w:spacing w:after="240"/>
        <w:rPr>
          <w:szCs w:val="24"/>
        </w:rPr>
      </w:pPr>
      <w:r>
        <w:rPr>
          <w:szCs w:val="24"/>
          <w:u w:val="single"/>
        </w:rPr>
        <w:t>Item [25</w:t>
      </w:r>
      <w:r w:rsidRPr="00EE3BE9">
        <w:rPr>
          <w:szCs w:val="24"/>
          <w:u w:val="single"/>
        </w:rPr>
        <w:t>] Amendments</w:t>
      </w:r>
      <w:r>
        <w:rPr>
          <w:szCs w:val="24"/>
          <w:u w:val="single"/>
        </w:rPr>
        <w:t xml:space="preserve"> of listed provisions – Witness Protection (Trafficking)</w:t>
      </w:r>
    </w:p>
    <w:p w14:paraId="7CF19E6C" w14:textId="77777777" w:rsidR="000568CB" w:rsidRDefault="000568CB" w:rsidP="000568CB">
      <w:pPr>
        <w:spacing w:after="240"/>
        <w:rPr>
          <w:szCs w:val="24"/>
        </w:rPr>
      </w:pPr>
      <w:r>
        <w:rPr>
          <w:szCs w:val="24"/>
        </w:rPr>
        <w:t>This item omits the words “</w:t>
      </w:r>
      <w:r w:rsidRPr="00C33749">
        <w:rPr>
          <w:szCs w:val="24"/>
        </w:rPr>
        <w:t>Witness Protection (Trafficking)”</w:t>
      </w:r>
      <w:r>
        <w:rPr>
          <w:szCs w:val="24"/>
        </w:rPr>
        <w:t xml:space="preserve"> and substitutes the words “Referred Stay” in each of the following provisions, and in the notes following Clause 852.311 and </w:t>
      </w:r>
      <w:proofErr w:type="spellStart"/>
      <w:r>
        <w:rPr>
          <w:szCs w:val="24"/>
        </w:rPr>
        <w:t>subitem</w:t>
      </w:r>
      <w:proofErr w:type="spellEnd"/>
      <w:r>
        <w:rPr>
          <w:szCs w:val="24"/>
        </w:rPr>
        <w:t xml:space="preserve"> 1133(3):</w:t>
      </w:r>
    </w:p>
    <w:p w14:paraId="5C578434" w14:textId="77777777" w:rsidR="000568CB" w:rsidRPr="009F64C0" w:rsidRDefault="000568CB" w:rsidP="000568CB">
      <w:pPr>
        <w:pStyle w:val="paragraph"/>
        <w:numPr>
          <w:ilvl w:val="0"/>
          <w:numId w:val="27"/>
        </w:numPr>
      </w:pPr>
      <w:r w:rsidRPr="009F64C0">
        <w:t>subregulation</w:t>
      </w:r>
      <w:r>
        <w:t xml:space="preserve"> </w:t>
      </w:r>
      <w:r w:rsidRPr="009F64C0">
        <w:t>2.07AK(1);</w:t>
      </w:r>
    </w:p>
    <w:p w14:paraId="2477992E" w14:textId="77777777" w:rsidR="000568CB" w:rsidRPr="00336FE2" w:rsidRDefault="000568CB" w:rsidP="000568CB">
      <w:pPr>
        <w:pStyle w:val="paragraph"/>
        <w:numPr>
          <w:ilvl w:val="0"/>
          <w:numId w:val="27"/>
        </w:numPr>
        <w:tabs>
          <w:tab w:val="clear" w:pos="1531"/>
          <w:tab w:val="left" w:pos="0"/>
        </w:tabs>
      </w:pPr>
      <w:r w:rsidRPr="00336FE2">
        <w:t>paragraph 2.08AB(b);</w:t>
      </w:r>
    </w:p>
    <w:p w14:paraId="1B3C4ED5" w14:textId="77777777" w:rsidR="000568CB" w:rsidRPr="00336FE2" w:rsidRDefault="000568CB" w:rsidP="000568CB">
      <w:pPr>
        <w:pStyle w:val="paragraph"/>
        <w:numPr>
          <w:ilvl w:val="0"/>
          <w:numId w:val="27"/>
        </w:numPr>
        <w:tabs>
          <w:tab w:val="clear" w:pos="1531"/>
          <w:tab w:val="left" w:pos="0"/>
        </w:tabs>
      </w:pPr>
      <w:r w:rsidRPr="00336FE2">
        <w:t>subparagraph 2.08AC(2)(b)(</w:t>
      </w:r>
      <w:proofErr w:type="spellStart"/>
      <w:r w:rsidRPr="00336FE2">
        <w:t>i</w:t>
      </w:r>
      <w:proofErr w:type="spellEnd"/>
      <w:r w:rsidRPr="00336FE2">
        <w:t>);</w:t>
      </w:r>
    </w:p>
    <w:p w14:paraId="73A9020A" w14:textId="77777777" w:rsidR="000568CB" w:rsidRPr="00336FE2" w:rsidRDefault="000568CB" w:rsidP="000568CB">
      <w:pPr>
        <w:pStyle w:val="paragraph"/>
        <w:numPr>
          <w:ilvl w:val="0"/>
          <w:numId w:val="27"/>
        </w:numPr>
        <w:tabs>
          <w:tab w:val="clear" w:pos="1531"/>
          <w:tab w:val="left" w:pos="0"/>
        </w:tabs>
      </w:pPr>
      <w:r w:rsidRPr="00336FE2">
        <w:t>paragraph 2</w:t>
      </w:r>
      <w:bookmarkStart w:id="8" w:name="BK_S3P6L8C17"/>
      <w:bookmarkEnd w:id="8"/>
      <w:r w:rsidRPr="00336FE2">
        <w:t>.08AC(3)(a);</w:t>
      </w:r>
    </w:p>
    <w:p w14:paraId="35C03078" w14:textId="77777777" w:rsidR="000568CB" w:rsidRPr="00336FE2" w:rsidRDefault="000568CB" w:rsidP="000568CB">
      <w:pPr>
        <w:pStyle w:val="paragraph"/>
        <w:numPr>
          <w:ilvl w:val="0"/>
          <w:numId w:val="27"/>
        </w:numPr>
        <w:tabs>
          <w:tab w:val="clear" w:pos="1531"/>
          <w:tab w:val="left" w:pos="0"/>
        </w:tabs>
      </w:pPr>
      <w:r w:rsidRPr="00336FE2">
        <w:t>sub-subparagraph 2.08AC(4)(a)(</w:t>
      </w:r>
      <w:proofErr w:type="spellStart"/>
      <w:r w:rsidRPr="00336FE2">
        <w:t>i</w:t>
      </w:r>
      <w:proofErr w:type="spellEnd"/>
      <w:r w:rsidRPr="00336FE2">
        <w:t>)(B);</w:t>
      </w:r>
    </w:p>
    <w:p w14:paraId="29104895" w14:textId="77777777" w:rsidR="000568CB" w:rsidRDefault="000568CB" w:rsidP="000568CB">
      <w:pPr>
        <w:pStyle w:val="paragraph"/>
        <w:numPr>
          <w:ilvl w:val="0"/>
          <w:numId w:val="27"/>
        </w:numPr>
        <w:tabs>
          <w:tab w:val="clear" w:pos="1531"/>
          <w:tab w:val="left" w:pos="0"/>
        </w:tabs>
      </w:pPr>
      <w:proofErr w:type="spellStart"/>
      <w:r w:rsidRPr="009F64C0">
        <w:t>subitem</w:t>
      </w:r>
      <w:proofErr w:type="spellEnd"/>
      <w:r>
        <w:t xml:space="preserve"> </w:t>
      </w:r>
      <w:r w:rsidRPr="009F64C0">
        <w:t>1133(3) of Schedule</w:t>
      </w:r>
      <w:r>
        <w:t xml:space="preserve"> </w:t>
      </w:r>
      <w:r w:rsidRPr="009F64C0">
        <w:t>1</w:t>
      </w:r>
      <w:r>
        <w:t xml:space="preserve">; and </w:t>
      </w:r>
    </w:p>
    <w:p w14:paraId="70BD3F90" w14:textId="77777777" w:rsidR="000568CB" w:rsidRPr="009F64C0" w:rsidRDefault="000568CB" w:rsidP="000568CB">
      <w:pPr>
        <w:pStyle w:val="paragraph"/>
        <w:numPr>
          <w:ilvl w:val="0"/>
          <w:numId w:val="27"/>
        </w:numPr>
        <w:tabs>
          <w:tab w:val="clear" w:pos="1531"/>
          <w:tab w:val="left" w:pos="0"/>
        </w:tabs>
      </w:pPr>
      <w:r w:rsidRPr="009F64C0">
        <w:t>Clauses</w:t>
      </w:r>
      <w:r>
        <w:t xml:space="preserve"> </w:t>
      </w:r>
      <w:r w:rsidRPr="009F64C0">
        <w:t>852.211</w:t>
      </w:r>
      <w:r>
        <w:t>,</w:t>
      </w:r>
      <w:r w:rsidRPr="009F64C0">
        <w:t xml:space="preserve"> 852.224</w:t>
      </w:r>
      <w:r>
        <w:t>,</w:t>
      </w:r>
      <w:r w:rsidRPr="009F64C0">
        <w:t xml:space="preserve"> 852.311</w:t>
      </w:r>
      <w:r>
        <w:t xml:space="preserve">, </w:t>
      </w:r>
      <w:r w:rsidRPr="009F64C0">
        <w:t>852.312</w:t>
      </w:r>
      <w:r>
        <w:t xml:space="preserve"> and </w:t>
      </w:r>
      <w:r w:rsidRPr="009F64C0">
        <w:t xml:space="preserve"> 852.323 of Schedule</w:t>
      </w:r>
      <w:r>
        <w:t xml:space="preserve"> </w:t>
      </w:r>
      <w:r w:rsidRPr="009F64C0">
        <w:t>2.</w:t>
      </w:r>
    </w:p>
    <w:p w14:paraId="729C698B" w14:textId="3BE63C60" w:rsidR="000568CB" w:rsidRDefault="000568CB" w:rsidP="004127D4">
      <w:pPr>
        <w:spacing w:after="240"/>
        <w:rPr>
          <w:b/>
          <w:bCs/>
          <w:szCs w:val="24"/>
          <w:u w:val="single"/>
        </w:rPr>
      </w:pPr>
      <w:r>
        <w:rPr>
          <w:szCs w:val="24"/>
        </w:rPr>
        <w:t xml:space="preserve">The effect and purpose of these items is to make consequential changes to reflect the change of this permanent visa’s name, given effect </w:t>
      </w:r>
      <w:r w:rsidRPr="003E0274">
        <w:rPr>
          <w:szCs w:val="24"/>
        </w:rPr>
        <w:t>by items [7] and [24] of this Schedule.</w:t>
      </w:r>
      <w:r>
        <w:rPr>
          <w:szCs w:val="24"/>
        </w:rPr>
        <w:t xml:space="preserve">  </w:t>
      </w:r>
    </w:p>
    <w:p w14:paraId="4CAD7A2F" w14:textId="77777777" w:rsidR="00601AFD" w:rsidRPr="009B689A" w:rsidRDefault="00601AFD" w:rsidP="009B689A">
      <w:pPr>
        <w:spacing w:after="240"/>
        <w:rPr>
          <w:b/>
          <w:szCs w:val="24"/>
          <w:u w:val="single"/>
        </w:rPr>
      </w:pPr>
      <w:r w:rsidRPr="009B689A">
        <w:rPr>
          <w:b/>
          <w:szCs w:val="24"/>
          <w:u w:val="single"/>
        </w:rPr>
        <w:t>Schedule 2 – Reporting on departing passengers and crew</w:t>
      </w:r>
    </w:p>
    <w:p w14:paraId="3635333E" w14:textId="77777777" w:rsidR="00601AFD" w:rsidRPr="00816AFB" w:rsidRDefault="00601AFD" w:rsidP="00117F89">
      <w:pPr>
        <w:spacing w:before="0" w:after="240"/>
        <w:rPr>
          <w:szCs w:val="24"/>
        </w:rPr>
      </w:pPr>
      <w:r w:rsidRPr="00816AFB">
        <w:rPr>
          <w:szCs w:val="24"/>
          <w:u w:val="single"/>
        </w:rPr>
        <w:t xml:space="preserve">Item [1] – </w:t>
      </w:r>
      <w:r>
        <w:rPr>
          <w:szCs w:val="24"/>
          <w:u w:val="single"/>
        </w:rPr>
        <w:t>Regulation 3.13</w:t>
      </w:r>
    </w:p>
    <w:p w14:paraId="31FBA705" w14:textId="77777777" w:rsidR="00601AFD" w:rsidRDefault="00601AFD" w:rsidP="00117F89">
      <w:pPr>
        <w:spacing w:before="0" w:after="240"/>
        <w:rPr>
          <w:szCs w:val="24"/>
        </w:rPr>
      </w:pPr>
      <w:r w:rsidRPr="00816AFB">
        <w:rPr>
          <w:szCs w:val="24"/>
        </w:rPr>
        <w:t>This item</w:t>
      </w:r>
      <w:r>
        <w:rPr>
          <w:szCs w:val="24"/>
        </w:rPr>
        <w:t xml:space="preserve"> inserts a number of new definitions in regulation 3.13 of the </w:t>
      </w:r>
      <w:r w:rsidRPr="009B689A">
        <w:rPr>
          <w:szCs w:val="24"/>
        </w:rPr>
        <w:t>Migration Regulations and, in conjunction with item 2 restructures Division 3.2 of the Migration Regulations. Division 3.2 of the Migration Regulations deals with information about</w:t>
      </w:r>
      <w:r>
        <w:rPr>
          <w:szCs w:val="24"/>
        </w:rPr>
        <w:t xml:space="preserve"> passengers and crew on overseas vessels. </w:t>
      </w:r>
    </w:p>
    <w:p w14:paraId="1E4327F6" w14:textId="77777777" w:rsidR="00601AFD" w:rsidRDefault="00601AFD" w:rsidP="00117F89">
      <w:pPr>
        <w:spacing w:before="0" w:after="240"/>
        <w:rPr>
          <w:szCs w:val="24"/>
        </w:rPr>
      </w:pPr>
      <w:r>
        <w:rPr>
          <w:szCs w:val="24"/>
        </w:rPr>
        <w:t xml:space="preserve">The new definitions in regulation 3.13 also ensure that Division 12B of Part 2 of the Migration Act will now apply to both departing and arriving vessels. Division 12B of the Migration Act deals with reporting on passengers and crew of aircraft and ships. </w:t>
      </w:r>
    </w:p>
    <w:p w14:paraId="1160C43D" w14:textId="77777777" w:rsidR="00601AFD" w:rsidRDefault="00601AFD" w:rsidP="00117F89">
      <w:pPr>
        <w:spacing w:before="0" w:after="240"/>
        <w:rPr>
          <w:szCs w:val="24"/>
        </w:rPr>
      </w:pPr>
      <w:r>
        <w:rPr>
          <w:szCs w:val="24"/>
        </w:rPr>
        <w:t xml:space="preserve">Prior to this amendment, definitions for these terms existed, but rather than being collected in the definitions section of Division 3.2, they were separated into subsections 3.13A(2), 3.13B(2) and 3.13C(2). </w:t>
      </w:r>
    </w:p>
    <w:p w14:paraId="485510A8" w14:textId="2C20ADC2" w:rsidR="00601AFD" w:rsidRDefault="00601AFD" w:rsidP="00117F89">
      <w:pPr>
        <w:spacing w:before="0" w:after="240"/>
        <w:rPr>
          <w:szCs w:val="24"/>
        </w:rPr>
      </w:pPr>
      <w:r>
        <w:rPr>
          <w:szCs w:val="24"/>
        </w:rPr>
        <w:t xml:space="preserve">As part of the restructure of Division 3.2 of </w:t>
      </w:r>
      <w:r w:rsidR="00057018">
        <w:rPr>
          <w:szCs w:val="24"/>
        </w:rPr>
        <w:t>the Migration Regulations</w:t>
      </w:r>
      <w:r>
        <w:rPr>
          <w:szCs w:val="24"/>
        </w:rPr>
        <w:t xml:space="preserve"> this amendment collects those definitions into regulation 3.13, the interpretation provision for Division 3.2, and makes some minor changes to those definitions to reflect the amendments to </w:t>
      </w:r>
      <w:r>
        <w:rPr>
          <w:szCs w:val="24"/>
        </w:rPr>
        <w:lastRenderedPageBreak/>
        <w:t xml:space="preserve">Division 12B of </w:t>
      </w:r>
      <w:r w:rsidR="00057018">
        <w:rPr>
          <w:szCs w:val="24"/>
        </w:rPr>
        <w:t>the Migration Act</w:t>
      </w:r>
      <w:r>
        <w:rPr>
          <w:szCs w:val="24"/>
        </w:rPr>
        <w:t xml:space="preserve"> made by  the </w:t>
      </w:r>
      <w:r w:rsidRPr="00C94978">
        <w:rPr>
          <w:i/>
        </w:rPr>
        <w:t>Counter-Terrorism Legislation Amendment (Foreign Fighters) Act 2014</w:t>
      </w:r>
      <w:r>
        <w:rPr>
          <w:szCs w:val="24"/>
        </w:rPr>
        <w:t xml:space="preserve"> (the Foreign Fighters Act), including:</w:t>
      </w:r>
    </w:p>
    <w:p w14:paraId="026CD53A" w14:textId="6BB8DBC2" w:rsidR="00601AFD" w:rsidRPr="002713DA" w:rsidRDefault="00601AFD" w:rsidP="00117F89">
      <w:pPr>
        <w:pStyle w:val="ListParagraph"/>
        <w:numPr>
          <w:ilvl w:val="0"/>
          <w:numId w:val="22"/>
        </w:numPr>
        <w:spacing w:before="0" w:after="240"/>
        <w:rPr>
          <w:szCs w:val="24"/>
        </w:rPr>
      </w:pPr>
      <w:r w:rsidRPr="002713DA">
        <w:rPr>
          <w:szCs w:val="24"/>
        </w:rPr>
        <w:t xml:space="preserve">references in Division 12B of </w:t>
      </w:r>
      <w:r w:rsidR="00057018">
        <w:rPr>
          <w:szCs w:val="24"/>
        </w:rPr>
        <w:t>the Migration Act</w:t>
      </w:r>
      <w:r w:rsidRPr="002713DA">
        <w:rPr>
          <w:szCs w:val="24"/>
        </w:rPr>
        <w:t xml:space="preserve"> to ‘airports’ and ‘ports’ were generalised to ‘place’ </w:t>
      </w:r>
      <w:r w:rsidRPr="00D71585">
        <w:rPr>
          <w:szCs w:val="24"/>
        </w:rPr>
        <w:t>or ‘place in Australia’</w:t>
      </w:r>
      <w:r w:rsidRPr="002713DA">
        <w:rPr>
          <w:szCs w:val="24"/>
        </w:rPr>
        <w:t xml:space="preserve">. This was to ensure that reporting requirements could not be avoided by departing or arriving at an unusual place. </w:t>
      </w:r>
    </w:p>
    <w:p w14:paraId="243CBD88" w14:textId="77777777" w:rsidR="00601AFD" w:rsidRDefault="00601AFD" w:rsidP="00117F89">
      <w:pPr>
        <w:spacing w:before="0" w:after="240"/>
        <w:ind w:left="720"/>
        <w:rPr>
          <w:szCs w:val="24"/>
        </w:rPr>
      </w:pPr>
      <w:r>
        <w:rPr>
          <w:szCs w:val="24"/>
        </w:rPr>
        <w:t>Accordingly, all references in the new definitions to ‘airport’ or ‘port’ have been amended to ‘place’ or ‘place in Australia’.</w:t>
      </w:r>
    </w:p>
    <w:p w14:paraId="493FCB5F" w14:textId="56650A4A" w:rsidR="00601AFD" w:rsidRPr="002713DA" w:rsidRDefault="00601AFD" w:rsidP="00117F89">
      <w:pPr>
        <w:pStyle w:val="ListParagraph"/>
        <w:numPr>
          <w:ilvl w:val="0"/>
          <w:numId w:val="22"/>
        </w:numPr>
        <w:spacing w:before="0" w:after="240"/>
        <w:rPr>
          <w:szCs w:val="24"/>
        </w:rPr>
      </w:pPr>
      <w:r w:rsidRPr="002713DA">
        <w:rPr>
          <w:szCs w:val="24"/>
        </w:rPr>
        <w:t xml:space="preserve">The amendments made by Schedule 6 of the Foreign Fighters Act </w:t>
      </w:r>
      <w:r>
        <w:rPr>
          <w:szCs w:val="24"/>
        </w:rPr>
        <w:t xml:space="preserve">extended </w:t>
      </w:r>
      <w:r w:rsidRPr="002713DA">
        <w:rPr>
          <w:szCs w:val="24"/>
        </w:rPr>
        <w:t>A</w:t>
      </w:r>
      <w:r w:rsidR="00117F89">
        <w:rPr>
          <w:szCs w:val="24"/>
        </w:rPr>
        <w:t xml:space="preserve">dvance </w:t>
      </w:r>
      <w:r w:rsidRPr="002713DA">
        <w:rPr>
          <w:szCs w:val="24"/>
        </w:rPr>
        <w:t>P</w:t>
      </w:r>
      <w:r w:rsidR="00117F89">
        <w:rPr>
          <w:szCs w:val="24"/>
        </w:rPr>
        <w:t xml:space="preserve">assenger </w:t>
      </w:r>
      <w:r w:rsidRPr="002713DA">
        <w:rPr>
          <w:szCs w:val="24"/>
        </w:rPr>
        <w:t>P</w:t>
      </w:r>
      <w:r w:rsidR="00117F89">
        <w:rPr>
          <w:szCs w:val="24"/>
        </w:rPr>
        <w:t>rocessing (APP)</w:t>
      </w:r>
      <w:r w:rsidRPr="002713DA">
        <w:rPr>
          <w:szCs w:val="24"/>
        </w:rPr>
        <w:t xml:space="preserve"> reporting </w:t>
      </w:r>
      <w:r>
        <w:rPr>
          <w:szCs w:val="24"/>
        </w:rPr>
        <w:t>to outgoing vessels; accordingly any reference in the new definitions specific to an incoming vessel was generalised to include both incoming and outgoing vessels.</w:t>
      </w:r>
    </w:p>
    <w:p w14:paraId="2F69D880" w14:textId="77777777" w:rsidR="00601AFD" w:rsidRPr="009B689A" w:rsidRDefault="00601AFD" w:rsidP="009B689A">
      <w:pPr>
        <w:spacing w:before="0" w:after="240"/>
        <w:rPr>
          <w:i/>
          <w:szCs w:val="24"/>
        </w:rPr>
      </w:pPr>
      <w:r w:rsidRPr="009B689A">
        <w:rPr>
          <w:i/>
          <w:szCs w:val="24"/>
        </w:rPr>
        <w:t>New definition of “international cargo ship”</w:t>
      </w:r>
    </w:p>
    <w:p w14:paraId="0AA369F0" w14:textId="77777777" w:rsidR="00601AFD" w:rsidRDefault="00601AFD" w:rsidP="00117F89">
      <w:pPr>
        <w:spacing w:before="0" w:after="240"/>
        <w:rPr>
          <w:szCs w:val="24"/>
        </w:rPr>
      </w:pPr>
      <w:r w:rsidRPr="00816AFB">
        <w:rPr>
          <w:szCs w:val="24"/>
        </w:rPr>
        <w:t>This item prov</w:t>
      </w:r>
      <w:r>
        <w:rPr>
          <w:szCs w:val="24"/>
        </w:rPr>
        <w:t>ides that “international cargo ship</w:t>
      </w:r>
      <w:r w:rsidRPr="00816AFB">
        <w:rPr>
          <w:szCs w:val="24"/>
        </w:rPr>
        <w:t>” means</w:t>
      </w:r>
      <w:r>
        <w:rPr>
          <w:szCs w:val="24"/>
        </w:rPr>
        <w:t xml:space="preserve"> a civilian vessel that:</w:t>
      </w:r>
    </w:p>
    <w:p w14:paraId="3A23E1F2" w14:textId="77777777" w:rsidR="00601AFD" w:rsidRDefault="00601AFD" w:rsidP="00117F89">
      <w:pPr>
        <w:pStyle w:val="ListParagraph"/>
        <w:numPr>
          <w:ilvl w:val="0"/>
          <w:numId w:val="16"/>
        </w:numPr>
        <w:spacing w:before="0" w:after="120"/>
        <w:ind w:hanging="357"/>
        <w:rPr>
          <w:szCs w:val="24"/>
        </w:rPr>
      </w:pPr>
      <w:r>
        <w:rPr>
          <w:szCs w:val="24"/>
        </w:rPr>
        <w:t>has a gross tonnage of at least 500 tons; and</w:t>
      </w:r>
    </w:p>
    <w:p w14:paraId="0D9FDEE1" w14:textId="77777777" w:rsidR="00601AFD" w:rsidRDefault="00601AFD" w:rsidP="00117F89">
      <w:pPr>
        <w:pStyle w:val="ListParagraph"/>
        <w:numPr>
          <w:ilvl w:val="0"/>
          <w:numId w:val="16"/>
        </w:numPr>
        <w:spacing w:before="0" w:after="120"/>
        <w:ind w:hanging="357"/>
        <w:rPr>
          <w:szCs w:val="24"/>
        </w:rPr>
      </w:pPr>
      <w:r>
        <w:rPr>
          <w:szCs w:val="24"/>
        </w:rPr>
        <w:t>either:</w:t>
      </w:r>
    </w:p>
    <w:p w14:paraId="493608AC" w14:textId="77777777" w:rsidR="00601AFD" w:rsidRDefault="00601AFD" w:rsidP="00117F89">
      <w:pPr>
        <w:pStyle w:val="ListParagraph"/>
        <w:numPr>
          <w:ilvl w:val="1"/>
          <w:numId w:val="16"/>
        </w:numPr>
        <w:spacing w:before="0" w:after="120"/>
        <w:ind w:hanging="357"/>
        <w:rPr>
          <w:szCs w:val="24"/>
        </w:rPr>
      </w:pPr>
      <w:r>
        <w:rPr>
          <w:szCs w:val="24"/>
        </w:rPr>
        <w:t>is used wholly or principally to provide sea transportation of cargo; or</w:t>
      </w:r>
    </w:p>
    <w:p w14:paraId="38F78B65" w14:textId="77777777" w:rsidR="00601AFD" w:rsidRDefault="00601AFD" w:rsidP="00117F89">
      <w:pPr>
        <w:pStyle w:val="ListParagraph"/>
        <w:numPr>
          <w:ilvl w:val="1"/>
          <w:numId w:val="16"/>
        </w:numPr>
        <w:spacing w:before="0" w:after="120"/>
        <w:ind w:hanging="357"/>
        <w:rPr>
          <w:szCs w:val="24"/>
        </w:rPr>
      </w:pPr>
      <w:r>
        <w:rPr>
          <w:szCs w:val="24"/>
        </w:rPr>
        <w:t>is used to provide services to ships or shipping; and</w:t>
      </w:r>
    </w:p>
    <w:p w14:paraId="0BAB8486" w14:textId="77777777" w:rsidR="00601AFD" w:rsidRDefault="00601AFD" w:rsidP="00117F89">
      <w:pPr>
        <w:pStyle w:val="ListParagraph"/>
        <w:keepNext/>
        <w:numPr>
          <w:ilvl w:val="0"/>
          <w:numId w:val="16"/>
        </w:numPr>
        <w:spacing w:before="0" w:after="120"/>
        <w:ind w:hanging="357"/>
        <w:rPr>
          <w:szCs w:val="24"/>
        </w:rPr>
      </w:pPr>
      <w:r>
        <w:rPr>
          <w:szCs w:val="24"/>
        </w:rPr>
        <w:t>does not include any of the following:</w:t>
      </w:r>
    </w:p>
    <w:p w14:paraId="4E07D28F" w14:textId="77777777" w:rsidR="00601AFD" w:rsidRDefault="00601AFD" w:rsidP="00117F89">
      <w:pPr>
        <w:pStyle w:val="ListParagraph"/>
        <w:numPr>
          <w:ilvl w:val="1"/>
          <w:numId w:val="16"/>
        </w:numPr>
        <w:spacing w:before="0" w:after="120"/>
        <w:ind w:hanging="357"/>
        <w:rPr>
          <w:szCs w:val="24"/>
        </w:rPr>
      </w:pPr>
      <w:r>
        <w:rPr>
          <w:szCs w:val="24"/>
        </w:rPr>
        <w:t xml:space="preserve">an international passenger cruise ship; </w:t>
      </w:r>
    </w:p>
    <w:p w14:paraId="1D259589" w14:textId="77777777" w:rsidR="00601AFD" w:rsidRDefault="00601AFD" w:rsidP="00117F89">
      <w:pPr>
        <w:pStyle w:val="ListParagraph"/>
        <w:numPr>
          <w:ilvl w:val="1"/>
          <w:numId w:val="16"/>
        </w:numPr>
        <w:spacing w:before="0" w:after="120"/>
        <w:ind w:hanging="357"/>
        <w:rPr>
          <w:szCs w:val="24"/>
        </w:rPr>
      </w:pPr>
      <w:r>
        <w:rPr>
          <w:szCs w:val="24"/>
        </w:rPr>
        <w:t>a fishing vessel;</w:t>
      </w:r>
    </w:p>
    <w:p w14:paraId="45E67D97" w14:textId="77777777" w:rsidR="00601AFD" w:rsidRDefault="00601AFD" w:rsidP="000E3C74">
      <w:pPr>
        <w:pStyle w:val="ListParagraph"/>
        <w:numPr>
          <w:ilvl w:val="1"/>
          <w:numId w:val="16"/>
        </w:numPr>
        <w:spacing w:before="0" w:after="120"/>
        <w:ind w:hanging="357"/>
        <w:rPr>
          <w:szCs w:val="24"/>
        </w:rPr>
      </w:pPr>
      <w:r>
        <w:rPr>
          <w:szCs w:val="24"/>
        </w:rPr>
        <w:t>a fishing support vessel;</w:t>
      </w:r>
    </w:p>
    <w:p w14:paraId="366CD502" w14:textId="77777777" w:rsidR="00601AFD" w:rsidRPr="005E3F29" w:rsidRDefault="00601AFD" w:rsidP="00117F89">
      <w:pPr>
        <w:pStyle w:val="ListParagraph"/>
        <w:numPr>
          <w:ilvl w:val="1"/>
          <w:numId w:val="16"/>
        </w:numPr>
        <w:spacing w:before="0" w:after="120"/>
        <w:ind w:hanging="357"/>
        <w:rPr>
          <w:szCs w:val="24"/>
        </w:rPr>
      </w:pPr>
      <w:r>
        <w:rPr>
          <w:szCs w:val="24"/>
        </w:rPr>
        <w:t>a pleasure craft.</w:t>
      </w:r>
    </w:p>
    <w:p w14:paraId="08348EB0" w14:textId="40060440" w:rsidR="00601AFD" w:rsidRPr="00816AFB" w:rsidRDefault="00601AFD" w:rsidP="00117F89">
      <w:pPr>
        <w:spacing w:before="0" w:after="240"/>
        <w:rPr>
          <w:szCs w:val="24"/>
        </w:rPr>
      </w:pPr>
      <w:r w:rsidRPr="00816AFB">
        <w:rPr>
          <w:szCs w:val="24"/>
        </w:rPr>
        <w:t>The defi</w:t>
      </w:r>
      <w:r>
        <w:rPr>
          <w:szCs w:val="24"/>
        </w:rPr>
        <w:t>nition of “international cargo ship</w:t>
      </w:r>
      <w:r w:rsidRPr="00816AFB">
        <w:rPr>
          <w:szCs w:val="24"/>
        </w:rPr>
        <w:t>” is relevant t</w:t>
      </w:r>
      <w:r>
        <w:rPr>
          <w:szCs w:val="24"/>
        </w:rPr>
        <w:t xml:space="preserve">o regulation 3.13A of the Migration </w:t>
      </w:r>
      <w:r w:rsidRPr="00816AFB">
        <w:rPr>
          <w:szCs w:val="24"/>
        </w:rPr>
        <w:t>Regulations</w:t>
      </w:r>
      <w:r>
        <w:rPr>
          <w:szCs w:val="24"/>
        </w:rPr>
        <w:t>,</w:t>
      </w:r>
      <w:r w:rsidRPr="00816AFB">
        <w:rPr>
          <w:szCs w:val="24"/>
        </w:rPr>
        <w:t xml:space="preserve"> which</w:t>
      </w:r>
      <w:r>
        <w:rPr>
          <w:szCs w:val="24"/>
        </w:rPr>
        <w:t xml:space="preserve"> prescribes the kind of aircraft or ship to which Division 12B of the Migration Act applies. Division 12B of the Migration Act deals with reporting on passengers and crew of aircraft and ships. This definition is identical to the definition that appeared in subregulation 3.13C(2) before that subregulation was repealed by  item 2 of Schedule 2 of the </w:t>
      </w:r>
      <w:r w:rsidR="00F701C3">
        <w:rPr>
          <w:szCs w:val="24"/>
        </w:rPr>
        <w:t>R</w:t>
      </w:r>
      <w:r>
        <w:rPr>
          <w:szCs w:val="24"/>
        </w:rPr>
        <w:t>egulation.</w:t>
      </w:r>
    </w:p>
    <w:p w14:paraId="6352AB0F" w14:textId="77777777" w:rsidR="00601AFD" w:rsidRPr="009B689A" w:rsidRDefault="00601AFD" w:rsidP="009B689A">
      <w:pPr>
        <w:spacing w:before="0" w:after="240"/>
        <w:rPr>
          <w:i/>
          <w:szCs w:val="24"/>
        </w:rPr>
      </w:pPr>
      <w:r w:rsidRPr="009B689A">
        <w:rPr>
          <w:i/>
          <w:szCs w:val="24"/>
        </w:rPr>
        <w:t>New definition of "international passenger aircraft”</w:t>
      </w:r>
    </w:p>
    <w:p w14:paraId="75795655" w14:textId="77777777" w:rsidR="00601AFD" w:rsidRPr="00816AFB" w:rsidRDefault="00601AFD" w:rsidP="00117F89">
      <w:pPr>
        <w:spacing w:before="0" w:after="240"/>
        <w:rPr>
          <w:szCs w:val="24"/>
        </w:rPr>
      </w:pPr>
      <w:r w:rsidRPr="00816AFB">
        <w:rPr>
          <w:szCs w:val="24"/>
        </w:rPr>
        <w:t>This item provides that “</w:t>
      </w:r>
      <w:r>
        <w:rPr>
          <w:szCs w:val="24"/>
        </w:rPr>
        <w:t xml:space="preserve">international passenger aircraft” means an aircraft that is being used to provide a regular international passenger air service or an international passenger charter air service. </w:t>
      </w:r>
    </w:p>
    <w:p w14:paraId="4AF1ECB2" w14:textId="77777777" w:rsidR="00601AFD" w:rsidRPr="00816AFB" w:rsidRDefault="00601AFD" w:rsidP="00117F89">
      <w:pPr>
        <w:spacing w:before="0" w:after="240"/>
        <w:rPr>
          <w:szCs w:val="24"/>
        </w:rPr>
      </w:pPr>
      <w:r w:rsidRPr="00816AFB">
        <w:rPr>
          <w:szCs w:val="24"/>
        </w:rPr>
        <w:t>The defi</w:t>
      </w:r>
      <w:r>
        <w:rPr>
          <w:szCs w:val="24"/>
        </w:rPr>
        <w:t>nition of “international passenger aircraft</w:t>
      </w:r>
      <w:r w:rsidRPr="00816AFB">
        <w:rPr>
          <w:szCs w:val="24"/>
        </w:rPr>
        <w:t>” is relevant t</w:t>
      </w:r>
      <w:r>
        <w:rPr>
          <w:szCs w:val="24"/>
        </w:rPr>
        <w:t xml:space="preserve">o regulation 3.13A of the Migration </w:t>
      </w:r>
      <w:r w:rsidRPr="00816AFB">
        <w:rPr>
          <w:szCs w:val="24"/>
        </w:rPr>
        <w:t>Regulations</w:t>
      </w:r>
      <w:r>
        <w:rPr>
          <w:szCs w:val="24"/>
        </w:rPr>
        <w:t>,</w:t>
      </w:r>
      <w:r w:rsidRPr="00816AFB">
        <w:rPr>
          <w:szCs w:val="24"/>
        </w:rPr>
        <w:t xml:space="preserve"> which</w:t>
      </w:r>
      <w:r>
        <w:rPr>
          <w:szCs w:val="24"/>
        </w:rPr>
        <w:t xml:space="preserve"> prescribes the kind of aircraft or ship to which Division 12B of the Migration Act applies. Division 12B of the Migration Act deals with reporting on passengers and crew of aircraft and ships.</w:t>
      </w:r>
    </w:p>
    <w:p w14:paraId="77A60BC7" w14:textId="77777777" w:rsidR="009B689A" w:rsidRDefault="009B689A">
      <w:pPr>
        <w:spacing w:before="0"/>
        <w:rPr>
          <w:i/>
          <w:iCs/>
          <w:szCs w:val="24"/>
        </w:rPr>
      </w:pPr>
      <w:r>
        <w:rPr>
          <w:i/>
          <w:iCs/>
          <w:szCs w:val="24"/>
        </w:rPr>
        <w:br w:type="page"/>
      </w:r>
    </w:p>
    <w:p w14:paraId="3E123F35" w14:textId="5163AB0E" w:rsidR="00601AFD" w:rsidRDefault="00601AFD" w:rsidP="00117F89">
      <w:pPr>
        <w:spacing w:before="0" w:after="240"/>
        <w:rPr>
          <w:i/>
          <w:iCs/>
          <w:szCs w:val="24"/>
        </w:rPr>
      </w:pPr>
      <w:r w:rsidRPr="00816AFB">
        <w:rPr>
          <w:i/>
          <w:iCs/>
          <w:szCs w:val="24"/>
        </w:rPr>
        <w:lastRenderedPageBreak/>
        <w:t>New definition of</w:t>
      </w:r>
      <w:r>
        <w:rPr>
          <w:i/>
          <w:iCs/>
          <w:szCs w:val="24"/>
        </w:rPr>
        <w:t xml:space="preserve"> “international passenger charter air service”</w:t>
      </w:r>
    </w:p>
    <w:p w14:paraId="5D0FA639" w14:textId="77777777" w:rsidR="00601AFD" w:rsidRDefault="00601AFD" w:rsidP="00117F89">
      <w:pPr>
        <w:spacing w:before="0" w:after="240"/>
        <w:rPr>
          <w:szCs w:val="24"/>
        </w:rPr>
      </w:pPr>
      <w:r w:rsidRPr="00816AFB">
        <w:rPr>
          <w:szCs w:val="24"/>
        </w:rPr>
        <w:t>This item provides that “</w:t>
      </w:r>
      <w:r>
        <w:rPr>
          <w:szCs w:val="24"/>
        </w:rPr>
        <w:t>international passenger charter air service” means a service of providing air transportation of persons:</w:t>
      </w:r>
    </w:p>
    <w:p w14:paraId="3C68CDF8" w14:textId="77777777" w:rsidR="00601AFD" w:rsidRDefault="00601AFD" w:rsidP="00117F89">
      <w:pPr>
        <w:pStyle w:val="ListParagraph"/>
        <w:numPr>
          <w:ilvl w:val="0"/>
          <w:numId w:val="16"/>
        </w:numPr>
        <w:spacing w:before="0" w:after="120"/>
        <w:ind w:hanging="357"/>
        <w:rPr>
          <w:szCs w:val="24"/>
        </w:rPr>
      </w:pPr>
      <w:r>
        <w:rPr>
          <w:szCs w:val="24"/>
        </w:rPr>
        <w:t>from:</w:t>
      </w:r>
    </w:p>
    <w:p w14:paraId="1BB28733" w14:textId="77777777" w:rsidR="00601AFD" w:rsidRDefault="00601AFD" w:rsidP="00117F89">
      <w:pPr>
        <w:pStyle w:val="ListParagraph"/>
        <w:numPr>
          <w:ilvl w:val="1"/>
          <w:numId w:val="16"/>
        </w:numPr>
        <w:spacing w:before="0" w:after="120"/>
        <w:ind w:hanging="357"/>
        <w:rPr>
          <w:szCs w:val="24"/>
        </w:rPr>
      </w:pPr>
      <w:r>
        <w:rPr>
          <w:szCs w:val="24"/>
        </w:rPr>
        <w:t>a place outside Australia to a place in Australia; or</w:t>
      </w:r>
    </w:p>
    <w:p w14:paraId="2AF97CC8" w14:textId="77777777" w:rsidR="00601AFD" w:rsidRDefault="00601AFD" w:rsidP="00117F89">
      <w:pPr>
        <w:pStyle w:val="ListParagraph"/>
        <w:numPr>
          <w:ilvl w:val="1"/>
          <w:numId w:val="16"/>
        </w:numPr>
        <w:spacing w:before="0" w:after="120"/>
        <w:ind w:hanging="357"/>
        <w:rPr>
          <w:szCs w:val="24"/>
        </w:rPr>
      </w:pPr>
      <w:r>
        <w:rPr>
          <w:szCs w:val="24"/>
        </w:rPr>
        <w:t>a place in Australia to a place outside Australia; and</w:t>
      </w:r>
    </w:p>
    <w:p w14:paraId="4034C28C" w14:textId="77777777" w:rsidR="00601AFD" w:rsidRDefault="00601AFD" w:rsidP="00117F89">
      <w:pPr>
        <w:pStyle w:val="ListParagraph"/>
        <w:numPr>
          <w:ilvl w:val="0"/>
          <w:numId w:val="16"/>
        </w:numPr>
        <w:spacing w:before="0" w:after="120"/>
        <w:ind w:hanging="357"/>
        <w:rPr>
          <w:szCs w:val="24"/>
        </w:rPr>
      </w:pPr>
      <w:r>
        <w:rPr>
          <w:szCs w:val="24"/>
        </w:rPr>
        <w:t>that is provided:</w:t>
      </w:r>
    </w:p>
    <w:p w14:paraId="4318500C" w14:textId="77777777" w:rsidR="00601AFD" w:rsidRDefault="00601AFD" w:rsidP="00117F89">
      <w:pPr>
        <w:pStyle w:val="ListParagraph"/>
        <w:numPr>
          <w:ilvl w:val="1"/>
          <w:numId w:val="16"/>
        </w:numPr>
        <w:spacing w:before="0" w:after="120"/>
        <w:ind w:hanging="357"/>
        <w:rPr>
          <w:szCs w:val="24"/>
        </w:rPr>
      </w:pPr>
      <w:r>
        <w:rPr>
          <w:szCs w:val="24"/>
        </w:rPr>
        <w:t xml:space="preserve"> by an airline operator that provides a regular international passenger air service; and</w:t>
      </w:r>
    </w:p>
    <w:p w14:paraId="16C3B860" w14:textId="77777777" w:rsidR="00601AFD" w:rsidRDefault="00601AFD" w:rsidP="00117F89">
      <w:pPr>
        <w:pStyle w:val="ListParagraph"/>
        <w:numPr>
          <w:ilvl w:val="1"/>
          <w:numId w:val="16"/>
        </w:numPr>
        <w:spacing w:before="0" w:after="120"/>
        <w:ind w:hanging="357"/>
        <w:rPr>
          <w:szCs w:val="24"/>
        </w:rPr>
      </w:pPr>
      <w:r>
        <w:rPr>
          <w:szCs w:val="24"/>
        </w:rPr>
        <w:t>in return for a fee payable by persons using the service; and</w:t>
      </w:r>
    </w:p>
    <w:p w14:paraId="6D84F072" w14:textId="5366E2BD" w:rsidR="00601AFD" w:rsidRPr="005E5336" w:rsidRDefault="00601AFD" w:rsidP="00117F89">
      <w:pPr>
        <w:pStyle w:val="ListParagraph"/>
        <w:numPr>
          <w:ilvl w:val="1"/>
          <w:numId w:val="16"/>
        </w:numPr>
        <w:spacing w:before="0" w:after="120"/>
        <w:ind w:hanging="357"/>
        <w:rPr>
          <w:szCs w:val="24"/>
        </w:rPr>
      </w:pPr>
      <w:r>
        <w:rPr>
          <w:szCs w:val="24"/>
        </w:rPr>
        <w:t xml:space="preserve">that is not conducted in accordance with an international airline licence granted under Division 1 of Part 6 of the </w:t>
      </w:r>
      <w:r w:rsidRPr="005E5336">
        <w:rPr>
          <w:i/>
          <w:szCs w:val="24"/>
        </w:rPr>
        <w:t>Air Navigation Regulations 1947</w:t>
      </w:r>
      <w:r w:rsidR="00981E35">
        <w:rPr>
          <w:i/>
          <w:szCs w:val="24"/>
        </w:rPr>
        <w:t xml:space="preserve"> </w:t>
      </w:r>
      <w:r w:rsidR="00981E35">
        <w:rPr>
          <w:szCs w:val="24"/>
        </w:rPr>
        <w:t>(the Air Navigation Regulations)</w:t>
      </w:r>
      <w:r>
        <w:rPr>
          <w:szCs w:val="24"/>
        </w:rPr>
        <w:t>.</w:t>
      </w:r>
    </w:p>
    <w:p w14:paraId="200940C0" w14:textId="77777777" w:rsidR="00601AFD" w:rsidRDefault="00601AFD" w:rsidP="00117F89">
      <w:pPr>
        <w:spacing w:before="0" w:after="240"/>
        <w:rPr>
          <w:szCs w:val="24"/>
        </w:rPr>
      </w:pPr>
      <w:r>
        <w:rPr>
          <w:szCs w:val="24"/>
        </w:rPr>
        <w:t xml:space="preserve">The definition of “international passenger charter air service” is relevant to the new definition of “international passenger aircraft” inserted by this item. </w:t>
      </w:r>
    </w:p>
    <w:p w14:paraId="1E05B8A1" w14:textId="3C5265C3" w:rsidR="00601AFD" w:rsidRDefault="00601AFD" w:rsidP="00117F89">
      <w:pPr>
        <w:spacing w:before="0" w:after="240"/>
        <w:rPr>
          <w:szCs w:val="24"/>
        </w:rPr>
      </w:pPr>
      <w:r>
        <w:rPr>
          <w:szCs w:val="24"/>
        </w:rPr>
        <w:t xml:space="preserve">This definition is substantially similar to the definition that appeared in the previous subregulation 3.13A(2) before that subregulation was repealed by item 2 of Schedule 2 of the </w:t>
      </w:r>
      <w:r w:rsidR="00F701C3">
        <w:rPr>
          <w:szCs w:val="24"/>
        </w:rPr>
        <w:t>R</w:t>
      </w:r>
      <w:r>
        <w:rPr>
          <w:szCs w:val="24"/>
        </w:rPr>
        <w:t>egulation. However, there are a number of small changes.</w:t>
      </w:r>
    </w:p>
    <w:p w14:paraId="5C88B8C6" w14:textId="77777777" w:rsidR="00601AFD" w:rsidRDefault="00601AFD" w:rsidP="00117F89">
      <w:pPr>
        <w:spacing w:before="0" w:after="240"/>
        <w:rPr>
          <w:szCs w:val="24"/>
        </w:rPr>
      </w:pPr>
      <w:r>
        <w:rPr>
          <w:szCs w:val="24"/>
        </w:rPr>
        <w:t>References to ‘airport in Australia’ were generalised to a ‘place in Australia’, this change reflects the amendments to Division 12B of the Migration Act made by the Foreign Fighters Act.</w:t>
      </w:r>
    </w:p>
    <w:p w14:paraId="04257E4B" w14:textId="679DB330" w:rsidR="00601AFD" w:rsidRDefault="00601AFD" w:rsidP="00117F89">
      <w:pPr>
        <w:spacing w:before="0" w:after="240"/>
        <w:rPr>
          <w:szCs w:val="24"/>
        </w:rPr>
      </w:pPr>
      <w:r>
        <w:rPr>
          <w:szCs w:val="24"/>
        </w:rPr>
        <w:t xml:space="preserve">References to </w:t>
      </w:r>
      <w:r w:rsidRPr="003B4246">
        <w:rPr>
          <w:szCs w:val="24"/>
        </w:rPr>
        <w:t xml:space="preserve">regulation 15 of the </w:t>
      </w:r>
      <w:r w:rsidRPr="00981E35">
        <w:rPr>
          <w:szCs w:val="24"/>
        </w:rPr>
        <w:t>Air Navigation Regulations</w:t>
      </w:r>
      <w:r w:rsidRPr="003F22C1">
        <w:rPr>
          <w:i/>
          <w:szCs w:val="24"/>
        </w:rPr>
        <w:t xml:space="preserve"> </w:t>
      </w:r>
      <w:r>
        <w:rPr>
          <w:szCs w:val="24"/>
        </w:rPr>
        <w:t xml:space="preserve">were updated to Division 1 of Part 6 of the </w:t>
      </w:r>
      <w:r w:rsidRPr="00981E35">
        <w:rPr>
          <w:szCs w:val="24"/>
        </w:rPr>
        <w:t>Air Navigation Regulations</w:t>
      </w:r>
      <w:r>
        <w:rPr>
          <w:szCs w:val="24"/>
        </w:rPr>
        <w:t xml:space="preserve">. This reflects amendments made by the </w:t>
      </w:r>
      <w:r>
        <w:rPr>
          <w:i/>
          <w:szCs w:val="24"/>
        </w:rPr>
        <w:t>Air Navigation Amendment Regulations 2009 (No.1)</w:t>
      </w:r>
      <w:r>
        <w:rPr>
          <w:szCs w:val="24"/>
        </w:rPr>
        <w:t xml:space="preserve"> which commenced on 20 March 2009 and had the effect that an international air licence is now granted under subregulation 17A(2) of the Air Navigation Regulations. Division 1 of Part 6 of the Air Navigation regulations contains both regulation 15 and regulation 17A, so covers licenses granted under both versions of the Air Navigation Regulations.</w:t>
      </w:r>
    </w:p>
    <w:p w14:paraId="2D6AA81D" w14:textId="77777777" w:rsidR="00601AFD" w:rsidRPr="00B211D9" w:rsidRDefault="00601AFD" w:rsidP="00117F89">
      <w:pPr>
        <w:spacing w:before="0" w:after="240"/>
        <w:rPr>
          <w:i/>
          <w:szCs w:val="24"/>
        </w:rPr>
      </w:pPr>
      <w:r w:rsidRPr="00B211D9">
        <w:rPr>
          <w:i/>
          <w:szCs w:val="24"/>
        </w:rPr>
        <w:t>New definition of “international passenger cruise ship”</w:t>
      </w:r>
    </w:p>
    <w:p w14:paraId="6FC02218" w14:textId="77777777" w:rsidR="00601AFD" w:rsidRDefault="00601AFD" w:rsidP="00117F89">
      <w:pPr>
        <w:spacing w:before="0" w:after="240"/>
        <w:rPr>
          <w:szCs w:val="24"/>
        </w:rPr>
      </w:pPr>
      <w:r>
        <w:rPr>
          <w:szCs w:val="24"/>
        </w:rPr>
        <w:t>This item provides that “</w:t>
      </w:r>
      <w:r w:rsidRPr="0038631F">
        <w:rPr>
          <w:szCs w:val="24"/>
        </w:rPr>
        <w:t>international passenger cruise ship</w:t>
      </w:r>
      <w:r>
        <w:rPr>
          <w:szCs w:val="24"/>
        </w:rPr>
        <w:t>” means a ship that:</w:t>
      </w:r>
    </w:p>
    <w:p w14:paraId="38E8F073" w14:textId="77777777" w:rsidR="00601AFD" w:rsidRDefault="00601AFD" w:rsidP="00117F89">
      <w:pPr>
        <w:pStyle w:val="ListParagraph"/>
        <w:numPr>
          <w:ilvl w:val="0"/>
          <w:numId w:val="17"/>
        </w:numPr>
        <w:spacing w:before="0" w:after="120"/>
        <w:ind w:left="714" w:hanging="357"/>
        <w:rPr>
          <w:szCs w:val="24"/>
        </w:rPr>
      </w:pPr>
      <w:r>
        <w:rPr>
          <w:szCs w:val="24"/>
        </w:rPr>
        <w:t>has sleeping facilities for at least 100 persons (other than crew members); and</w:t>
      </w:r>
    </w:p>
    <w:p w14:paraId="5B5D3DD3" w14:textId="77777777" w:rsidR="00601AFD" w:rsidRDefault="00601AFD" w:rsidP="00117F89">
      <w:pPr>
        <w:pStyle w:val="ListParagraph"/>
        <w:numPr>
          <w:ilvl w:val="0"/>
          <w:numId w:val="17"/>
        </w:numPr>
        <w:spacing w:before="0" w:after="120"/>
        <w:ind w:left="714" w:hanging="357"/>
        <w:rPr>
          <w:i/>
          <w:szCs w:val="24"/>
        </w:rPr>
      </w:pPr>
      <w:r>
        <w:rPr>
          <w:szCs w:val="24"/>
        </w:rPr>
        <w:t xml:space="preserve">is being used to provide an </w:t>
      </w:r>
      <w:r w:rsidRPr="00B211D9">
        <w:rPr>
          <w:szCs w:val="24"/>
        </w:rPr>
        <w:t>international passenger sea transportation service</w:t>
      </w:r>
      <w:r>
        <w:rPr>
          <w:i/>
          <w:szCs w:val="24"/>
        </w:rPr>
        <w:t>.</w:t>
      </w:r>
    </w:p>
    <w:p w14:paraId="28BCD74D" w14:textId="77777777" w:rsidR="00601AFD" w:rsidRDefault="00601AFD" w:rsidP="000E3C74">
      <w:pPr>
        <w:spacing w:before="0" w:after="240"/>
        <w:rPr>
          <w:szCs w:val="24"/>
        </w:rPr>
      </w:pPr>
      <w:r w:rsidRPr="00816AFB">
        <w:rPr>
          <w:szCs w:val="24"/>
        </w:rPr>
        <w:t>The defi</w:t>
      </w:r>
      <w:r>
        <w:rPr>
          <w:szCs w:val="24"/>
        </w:rPr>
        <w:t>nition of “international passenger cruise ship</w:t>
      </w:r>
      <w:r w:rsidRPr="00816AFB">
        <w:rPr>
          <w:szCs w:val="24"/>
        </w:rPr>
        <w:t>” is relevant t</w:t>
      </w:r>
      <w:r>
        <w:rPr>
          <w:szCs w:val="24"/>
        </w:rPr>
        <w:t xml:space="preserve">o regulation 3.13A of the Migration </w:t>
      </w:r>
      <w:r w:rsidRPr="00816AFB">
        <w:rPr>
          <w:szCs w:val="24"/>
        </w:rPr>
        <w:t>Regulations</w:t>
      </w:r>
      <w:r>
        <w:rPr>
          <w:szCs w:val="24"/>
        </w:rPr>
        <w:t>,</w:t>
      </w:r>
      <w:r w:rsidRPr="00816AFB">
        <w:rPr>
          <w:szCs w:val="24"/>
        </w:rPr>
        <w:t xml:space="preserve"> which</w:t>
      </w:r>
      <w:r>
        <w:rPr>
          <w:szCs w:val="24"/>
        </w:rPr>
        <w:t xml:space="preserve"> prescribes the kind of aircraft or ship to which Division 12B of the Migration Act applies. Division 12B of the Migration Act deals with reporting on passengers and crew of aircraft and ships.</w:t>
      </w:r>
    </w:p>
    <w:p w14:paraId="6F9C7299" w14:textId="159E253C" w:rsidR="00601AFD" w:rsidRPr="00816AFB" w:rsidRDefault="00601AFD" w:rsidP="000E3C74">
      <w:pPr>
        <w:spacing w:before="0" w:after="240"/>
        <w:rPr>
          <w:szCs w:val="24"/>
        </w:rPr>
      </w:pPr>
      <w:r>
        <w:rPr>
          <w:szCs w:val="24"/>
        </w:rPr>
        <w:lastRenderedPageBreak/>
        <w:t xml:space="preserve">This definition is identical to the definition that appeared in the previous subregulation 3.13B(2) before that subregulation was repealed by item 2 of Schedule 2 of the </w:t>
      </w:r>
      <w:r w:rsidR="00981E35">
        <w:rPr>
          <w:szCs w:val="24"/>
        </w:rPr>
        <w:t>R</w:t>
      </w:r>
      <w:r>
        <w:rPr>
          <w:szCs w:val="24"/>
        </w:rPr>
        <w:t>egulation.</w:t>
      </w:r>
    </w:p>
    <w:p w14:paraId="5FE53850" w14:textId="77777777" w:rsidR="00601AFD" w:rsidRDefault="00601AFD" w:rsidP="009B689A">
      <w:pPr>
        <w:spacing w:before="0" w:after="240"/>
        <w:rPr>
          <w:i/>
          <w:szCs w:val="24"/>
        </w:rPr>
      </w:pPr>
      <w:r w:rsidRPr="00B211D9">
        <w:rPr>
          <w:i/>
          <w:szCs w:val="24"/>
        </w:rPr>
        <w:t>New definition of “int</w:t>
      </w:r>
      <w:r>
        <w:rPr>
          <w:i/>
          <w:szCs w:val="24"/>
        </w:rPr>
        <w:t>ernational passenger sea transportation service”</w:t>
      </w:r>
    </w:p>
    <w:p w14:paraId="77AE4215" w14:textId="77777777" w:rsidR="00601AFD" w:rsidRDefault="00601AFD" w:rsidP="000E3C74">
      <w:pPr>
        <w:keepLines/>
        <w:spacing w:before="0" w:after="240"/>
        <w:rPr>
          <w:szCs w:val="24"/>
        </w:rPr>
      </w:pPr>
      <w:r>
        <w:rPr>
          <w:szCs w:val="24"/>
        </w:rPr>
        <w:t>This item provides that “</w:t>
      </w:r>
      <w:r w:rsidRPr="0038631F">
        <w:rPr>
          <w:szCs w:val="24"/>
        </w:rPr>
        <w:t>international passenger sea transportation service</w:t>
      </w:r>
      <w:r>
        <w:rPr>
          <w:szCs w:val="24"/>
        </w:rPr>
        <w:t>” means a service of providing sea transportation of persons:</w:t>
      </w:r>
    </w:p>
    <w:p w14:paraId="732A047B" w14:textId="77777777" w:rsidR="00601AFD" w:rsidRDefault="00601AFD" w:rsidP="000E3C74">
      <w:pPr>
        <w:pStyle w:val="ListParagraph"/>
        <w:numPr>
          <w:ilvl w:val="0"/>
          <w:numId w:val="18"/>
        </w:numPr>
        <w:spacing w:before="0" w:after="120"/>
        <w:ind w:hanging="357"/>
        <w:rPr>
          <w:szCs w:val="24"/>
        </w:rPr>
      </w:pPr>
      <w:r>
        <w:rPr>
          <w:szCs w:val="24"/>
        </w:rPr>
        <w:t>from:</w:t>
      </w:r>
    </w:p>
    <w:p w14:paraId="2DFACF68" w14:textId="77777777" w:rsidR="00601AFD" w:rsidRDefault="00601AFD" w:rsidP="000E3C74">
      <w:pPr>
        <w:pStyle w:val="ListParagraph"/>
        <w:numPr>
          <w:ilvl w:val="1"/>
          <w:numId w:val="18"/>
        </w:numPr>
        <w:spacing w:before="0" w:after="120"/>
        <w:ind w:hanging="357"/>
        <w:rPr>
          <w:szCs w:val="24"/>
        </w:rPr>
      </w:pPr>
      <w:r>
        <w:rPr>
          <w:szCs w:val="24"/>
        </w:rPr>
        <w:t>a place outside Australia to a place in Australia; or</w:t>
      </w:r>
    </w:p>
    <w:p w14:paraId="09F391D7" w14:textId="77777777" w:rsidR="00601AFD" w:rsidRDefault="00601AFD" w:rsidP="000E3C74">
      <w:pPr>
        <w:pStyle w:val="ListParagraph"/>
        <w:numPr>
          <w:ilvl w:val="1"/>
          <w:numId w:val="18"/>
        </w:numPr>
        <w:spacing w:before="0" w:after="120"/>
        <w:ind w:hanging="357"/>
        <w:rPr>
          <w:szCs w:val="24"/>
        </w:rPr>
      </w:pPr>
      <w:r>
        <w:rPr>
          <w:szCs w:val="24"/>
        </w:rPr>
        <w:t>a place in Australia to a place outside Australia; and</w:t>
      </w:r>
    </w:p>
    <w:p w14:paraId="602E9C67" w14:textId="77777777" w:rsidR="00601AFD" w:rsidRDefault="00601AFD" w:rsidP="000E3C74">
      <w:pPr>
        <w:pStyle w:val="ListParagraph"/>
        <w:numPr>
          <w:ilvl w:val="0"/>
          <w:numId w:val="18"/>
        </w:numPr>
        <w:spacing w:before="0" w:after="120"/>
        <w:ind w:hanging="357"/>
        <w:rPr>
          <w:szCs w:val="24"/>
        </w:rPr>
      </w:pPr>
      <w:r>
        <w:rPr>
          <w:szCs w:val="24"/>
        </w:rPr>
        <w:t>that is provided in return for a fee payable by persons using the service; and</w:t>
      </w:r>
    </w:p>
    <w:p w14:paraId="7732F734" w14:textId="77777777" w:rsidR="00601AFD" w:rsidRPr="00B211D9" w:rsidRDefault="00601AFD" w:rsidP="000E3C74">
      <w:pPr>
        <w:pStyle w:val="ListParagraph"/>
        <w:numPr>
          <w:ilvl w:val="0"/>
          <w:numId w:val="18"/>
        </w:numPr>
        <w:spacing w:before="0" w:after="120"/>
        <w:ind w:hanging="357"/>
        <w:rPr>
          <w:szCs w:val="24"/>
        </w:rPr>
      </w:pPr>
      <w:r>
        <w:rPr>
          <w:szCs w:val="24"/>
        </w:rPr>
        <w:t xml:space="preserve">that is available to the general public. </w:t>
      </w:r>
    </w:p>
    <w:p w14:paraId="79427348" w14:textId="77777777" w:rsidR="00601AFD" w:rsidRDefault="00601AFD" w:rsidP="000E3C74">
      <w:pPr>
        <w:spacing w:before="0" w:after="240"/>
        <w:rPr>
          <w:szCs w:val="24"/>
        </w:rPr>
      </w:pPr>
      <w:r>
        <w:rPr>
          <w:szCs w:val="24"/>
        </w:rPr>
        <w:t>The definition of “international passenger sea transportation service” is relevant to the new definition of “international passenger cruise ship” inserted by this item.</w:t>
      </w:r>
    </w:p>
    <w:p w14:paraId="054D98DB" w14:textId="6F071A7A" w:rsidR="00601AFD" w:rsidRDefault="00601AFD" w:rsidP="000E3C74">
      <w:pPr>
        <w:spacing w:before="0" w:after="240"/>
        <w:rPr>
          <w:szCs w:val="24"/>
        </w:rPr>
      </w:pPr>
      <w:r>
        <w:rPr>
          <w:szCs w:val="24"/>
        </w:rPr>
        <w:t xml:space="preserve">This definition is substantially similar to the definition that appeared in the previous subregulation 3.13B(2) before that subregulation was repealed by  item 2 of Schedule 2 of the </w:t>
      </w:r>
      <w:r w:rsidR="00981E35">
        <w:rPr>
          <w:szCs w:val="24"/>
        </w:rPr>
        <w:t>R</w:t>
      </w:r>
      <w:r>
        <w:rPr>
          <w:szCs w:val="24"/>
        </w:rPr>
        <w:t>egulation. However the new definition has been slightly reworded to apply to both incoming and outgoing vessels.</w:t>
      </w:r>
    </w:p>
    <w:p w14:paraId="0CEDBB3D" w14:textId="77777777" w:rsidR="00601AFD" w:rsidRPr="0038631F" w:rsidRDefault="00601AFD" w:rsidP="000E3C74">
      <w:pPr>
        <w:spacing w:before="0" w:after="240"/>
        <w:rPr>
          <w:i/>
          <w:szCs w:val="24"/>
        </w:rPr>
      </w:pPr>
      <w:r w:rsidRPr="0038631F">
        <w:rPr>
          <w:i/>
          <w:szCs w:val="24"/>
        </w:rPr>
        <w:t>New definition of “regular international passenger air service”</w:t>
      </w:r>
    </w:p>
    <w:p w14:paraId="1734D70C" w14:textId="77777777" w:rsidR="00601AFD" w:rsidRDefault="00601AFD" w:rsidP="000E3C74">
      <w:pPr>
        <w:spacing w:before="0" w:after="240"/>
        <w:rPr>
          <w:szCs w:val="24"/>
        </w:rPr>
      </w:pPr>
      <w:r>
        <w:rPr>
          <w:szCs w:val="24"/>
        </w:rPr>
        <w:t>This item provides that “regular international passenger air service” means a service of providing air transportation of persons:</w:t>
      </w:r>
    </w:p>
    <w:p w14:paraId="612AB090" w14:textId="77777777" w:rsidR="00601AFD" w:rsidRDefault="00601AFD" w:rsidP="000E3C74">
      <w:pPr>
        <w:pStyle w:val="ListParagraph"/>
        <w:numPr>
          <w:ilvl w:val="0"/>
          <w:numId w:val="19"/>
        </w:numPr>
        <w:spacing w:before="0" w:after="120"/>
        <w:ind w:hanging="357"/>
        <w:rPr>
          <w:szCs w:val="24"/>
        </w:rPr>
      </w:pPr>
      <w:r>
        <w:rPr>
          <w:szCs w:val="24"/>
        </w:rPr>
        <w:t>from:</w:t>
      </w:r>
    </w:p>
    <w:p w14:paraId="3DC46FE9" w14:textId="77777777" w:rsidR="00601AFD" w:rsidRDefault="00601AFD" w:rsidP="000E3C74">
      <w:pPr>
        <w:pStyle w:val="ListParagraph"/>
        <w:numPr>
          <w:ilvl w:val="1"/>
          <w:numId w:val="19"/>
        </w:numPr>
        <w:spacing w:before="0" w:after="120"/>
        <w:ind w:hanging="357"/>
        <w:rPr>
          <w:szCs w:val="24"/>
        </w:rPr>
      </w:pPr>
      <w:r>
        <w:rPr>
          <w:szCs w:val="24"/>
        </w:rPr>
        <w:t>a place outside Australia to a place in Australia; or</w:t>
      </w:r>
    </w:p>
    <w:p w14:paraId="34061131" w14:textId="77777777" w:rsidR="00601AFD" w:rsidRDefault="00601AFD" w:rsidP="000E3C74">
      <w:pPr>
        <w:pStyle w:val="ListParagraph"/>
        <w:numPr>
          <w:ilvl w:val="1"/>
          <w:numId w:val="19"/>
        </w:numPr>
        <w:spacing w:before="0" w:after="120"/>
        <w:ind w:hanging="357"/>
        <w:rPr>
          <w:szCs w:val="24"/>
        </w:rPr>
      </w:pPr>
      <w:r>
        <w:rPr>
          <w:szCs w:val="24"/>
        </w:rPr>
        <w:t>a place in Australia to a place outside Australia; and</w:t>
      </w:r>
    </w:p>
    <w:p w14:paraId="67CE4C94" w14:textId="77777777" w:rsidR="00601AFD" w:rsidRDefault="00601AFD" w:rsidP="000E3C74">
      <w:pPr>
        <w:pStyle w:val="ListParagraph"/>
        <w:numPr>
          <w:ilvl w:val="0"/>
          <w:numId w:val="19"/>
        </w:numPr>
        <w:spacing w:before="0" w:after="120"/>
        <w:ind w:hanging="357"/>
        <w:rPr>
          <w:szCs w:val="24"/>
        </w:rPr>
      </w:pPr>
      <w:r>
        <w:rPr>
          <w:szCs w:val="24"/>
        </w:rPr>
        <w:t>that is provided in return for a fee payable by persons using that service; and</w:t>
      </w:r>
    </w:p>
    <w:p w14:paraId="705CCA6A" w14:textId="77777777" w:rsidR="00601AFD" w:rsidRDefault="00601AFD" w:rsidP="000E3C74">
      <w:pPr>
        <w:pStyle w:val="ListParagraph"/>
        <w:numPr>
          <w:ilvl w:val="0"/>
          <w:numId w:val="19"/>
        </w:numPr>
        <w:spacing w:before="0" w:after="120"/>
        <w:ind w:hanging="357"/>
        <w:rPr>
          <w:szCs w:val="24"/>
        </w:rPr>
      </w:pPr>
      <w:r>
        <w:rPr>
          <w:szCs w:val="24"/>
        </w:rPr>
        <w:t>that is conducted in accordance with:</w:t>
      </w:r>
    </w:p>
    <w:p w14:paraId="32CE3FFE" w14:textId="77777777" w:rsidR="00601AFD" w:rsidRPr="0038631F" w:rsidRDefault="00601AFD" w:rsidP="000E3C74">
      <w:pPr>
        <w:pStyle w:val="ListParagraph"/>
        <w:numPr>
          <w:ilvl w:val="1"/>
          <w:numId w:val="19"/>
        </w:numPr>
        <w:spacing w:before="0" w:after="120"/>
        <w:ind w:hanging="357"/>
        <w:rPr>
          <w:i/>
          <w:szCs w:val="24"/>
        </w:rPr>
      </w:pPr>
      <w:r>
        <w:rPr>
          <w:szCs w:val="24"/>
        </w:rPr>
        <w:t xml:space="preserve">an international airline licence granted under Division 1 of Part 6 of the </w:t>
      </w:r>
      <w:r w:rsidRPr="0038631F">
        <w:rPr>
          <w:i/>
          <w:szCs w:val="24"/>
        </w:rPr>
        <w:t>Air Navigation Regulations 1947</w:t>
      </w:r>
      <w:r>
        <w:rPr>
          <w:i/>
          <w:szCs w:val="24"/>
        </w:rPr>
        <w:t xml:space="preserve">; </w:t>
      </w:r>
      <w:r w:rsidRPr="0038631F">
        <w:rPr>
          <w:szCs w:val="24"/>
        </w:rPr>
        <w:t>and</w:t>
      </w:r>
    </w:p>
    <w:p w14:paraId="2D79B3F0" w14:textId="77777777" w:rsidR="00601AFD" w:rsidRPr="0038631F" w:rsidRDefault="00601AFD" w:rsidP="000E3C74">
      <w:pPr>
        <w:pStyle w:val="ListParagraph"/>
        <w:numPr>
          <w:ilvl w:val="1"/>
          <w:numId w:val="19"/>
        </w:numPr>
        <w:spacing w:before="0" w:after="120"/>
        <w:ind w:hanging="357"/>
        <w:rPr>
          <w:i/>
          <w:szCs w:val="24"/>
        </w:rPr>
      </w:pPr>
      <w:r>
        <w:rPr>
          <w:szCs w:val="24"/>
        </w:rPr>
        <w:t>fixed schedules from fixed airports outside Australia over specific routes to fixed airports in Australia; and</w:t>
      </w:r>
    </w:p>
    <w:p w14:paraId="30F8CEA9" w14:textId="77777777" w:rsidR="00601AFD" w:rsidRPr="00A2751C" w:rsidRDefault="00601AFD" w:rsidP="000E3C74">
      <w:pPr>
        <w:pStyle w:val="ListParagraph"/>
        <w:numPr>
          <w:ilvl w:val="0"/>
          <w:numId w:val="19"/>
        </w:numPr>
        <w:spacing w:before="0" w:after="120"/>
        <w:ind w:hanging="357"/>
        <w:rPr>
          <w:i/>
          <w:szCs w:val="24"/>
        </w:rPr>
      </w:pPr>
      <w:r w:rsidRPr="0038631F">
        <w:rPr>
          <w:szCs w:val="24"/>
        </w:rPr>
        <w:t>that is available to the general pub</w:t>
      </w:r>
      <w:r>
        <w:rPr>
          <w:szCs w:val="24"/>
        </w:rPr>
        <w:t>lic on a regular basis.</w:t>
      </w:r>
    </w:p>
    <w:p w14:paraId="541D0661" w14:textId="77777777" w:rsidR="00601AFD" w:rsidRDefault="00601AFD" w:rsidP="000E3C74">
      <w:pPr>
        <w:spacing w:before="0" w:after="240"/>
        <w:rPr>
          <w:szCs w:val="24"/>
        </w:rPr>
      </w:pPr>
      <w:r>
        <w:rPr>
          <w:szCs w:val="24"/>
        </w:rPr>
        <w:t>The definition of “regular international passenger air service” is relevant to the new definition of “international passenger charter air service” inserted by this item.</w:t>
      </w:r>
    </w:p>
    <w:p w14:paraId="10B9ADED" w14:textId="77777777" w:rsidR="009B689A" w:rsidRDefault="009B689A">
      <w:pPr>
        <w:spacing w:before="0"/>
        <w:rPr>
          <w:szCs w:val="24"/>
        </w:rPr>
      </w:pPr>
      <w:r>
        <w:rPr>
          <w:szCs w:val="24"/>
        </w:rPr>
        <w:br w:type="page"/>
      </w:r>
    </w:p>
    <w:p w14:paraId="788AA109" w14:textId="381ECD60" w:rsidR="00601AFD" w:rsidRDefault="00601AFD" w:rsidP="000E3C74">
      <w:pPr>
        <w:spacing w:before="0" w:after="240"/>
        <w:rPr>
          <w:szCs w:val="24"/>
        </w:rPr>
      </w:pPr>
      <w:r>
        <w:rPr>
          <w:szCs w:val="24"/>
        </w:rPr>
        <w:lastRenderedPageBreak/>
        <w:t xml:space="preserve">This definition is substantially similar to the definition that appeared in the previous subregulation 3.13A(2) before that subregulation was repealed by item 2 of Schedule 2 of the </w:t>
      </w:r>
      <w:r w:rsidR="00981E35">
        <w:rPr>
          <w:szCs w:val="24"/>
        </w:rPr>
        <w:t>R</w:t>
      </w:r>
      <w:r>
        <w:rPr>
          <w:szCs w:val="24"/>
        </w:rPr>
        <w:t xml:space="preserve">egulation. However the new definition has been slightly reworded to: </w:t>
      </w:r>
    </w:p>
    <w:p w14:paraId="7950C263" w14:textId="77777777" w:rsidR="00601AFD" w:rsidRPr="009B689A" w:rsidRDefault="00601AFD" w:rsidP="009B689A">
      <w:pPr>
        <w:pStyle w:val="ListParagraph"/>
        <w:numPr>
          <w:ilvl w:val="0"/>
          <w:numId w:val="34"/>
        </w:numPr>
        <w:spacing w:before="0"/>
        <w:ind w:left="714" w:hanging="357"/>
        <w:rPr>
          <w:szCs w:val="24"/>
        </w:rPr>
      </w:pPr>
      <w:r w:rsidRPr="009B689A">
        <w:rPr>
          <w:szCs w:val="24"/>
        </w:rPr>
        <w:t>apply to both incoming and outgoing vessels,</w:t>
      </w:r>
    </w:p>
    <w:p w14:paraId="2A3E545D" w14:textId="77777777" w:rsidR="00601AFD" w:rsidRPr="009B689A" w:rsidRDefault="00601AFD" w:rsidP="009B689A">
      <w:pPr>
        <w:pStyle w:val="ListParagraph"/>
        <w:numPr>
          <w:ilvl w:val="0"/>
          <w:numId w:val="34"/>
        </w:numPr>
        <w:spacing w:before="0"/>
        <w:ind w:left="714" w:hanging="357"/>
        <w:rPr>
          <w:szCs w:val="24"/>
        </w:rPr>
      </w:pPr>
      <w:r w:rsidRPr="009B689A">
        <w:rPr>
          <w:szCs w:val="24"/>
        </w:rPr>
        <w:t>generalise ‘airport’ to ‘place’; and</w:t>
      </w:r>
    </w:p>
    <w:p w14:paraId="34374C20" w14:textId="4420AC77" w:rsidR="00601AFD" w:rsidRDefault="00601AFD" w:rsidP="009B689A">
      <w:pPr>
        <w:pStyle w:val="ListParagraph"/>
        <w:numPr>
          <w:ilvl w:val="0"/>
          <w:numId w:val="34"/>
        </w:numPr>
        <w:spacing w:before="0"/>
        <w:ind w:left="714" w:hanging="357"/>
        <w:rPr>
          <w:szCs w:val="24"/>
        </w:rPr>
      </w:pPr>
      <w:r w:rsidRPr="009B689A">
        <w:rPr>
          <w:szCs w:val="24"/>
        </w:rPr>
        <w:t>reflect the current licensing regulations in the Air Navigation Regulations</w:t>
      </w:r>
    </w:p>
    <w:p w14:paraId="3485291F" w14:textId="77777777" w:rsidR="009B689A" w:rsidRPr="009B689A" w:rsidRDefault="009B689A" w:rsidP="009B689A">
      <w:pPr>
        <w:spacing w:before="0"/>
        <w:rPr>
          <w:szCs w:val="24"/>
        </w:rPr>
      </w:pPr>
    </w:p>
    <w:p w14:paraId="166F59B0" w14:textId="77777777" w:rsidR="00601AFD" w:rsidRPr="00A2751C" w:rsidRDefault="00601AFD" w:rsidP="000E3C74">
      <w:pPr>
        <w:keepNext/>
        <w:spacing w:before="0" w:after="240"/>
        <w:rPr>
          <w:szCs w:val="24"/>
          <w:u w:val="single"/>
        </w:rPr>
      </w:pPr>
      <w:r w:rsidRPr="00A2751C">
        <w:rPr>
          <w:szCs w:val="24"/>
          <w:u w:val="single"/>
        </w:rPr>
        <w:t>Item [2] – Regulations 3.13A to 3.13D</w:t>
      </w:r>
    </w:p>
    <w:p w14:paraId="48D07BAB" w14:textId="77777777" w:rsidR="00601AFD" w:rsidRDefault="00601AFD" w:rsidP="000E3C74">
      <w:pPr>
        <w:spacing w:before="0" w:after="240"/>
        <w:rPr>
          <w:szCs w:val="24"/>
        </w:rPr>
      </w:pPr>
      <w:r>
        <w:rPr>
          <w:szCs w:val="24"/>
        </w:rPr>
        <w:t xml:space="preserve">This item repeals and substitutes regulations 3.13A, 3.13B, 3.13C and 3.13D of the Migration Regulations. </w:t>
      </w:r>
    </w:p>
    <w:p w14:paraId="01253AF2" w14:textId="77777777" w:rsidR="00601AFD" w:rsidRPr="009B689A" w:rsidRDefault="00601AFD" w:rsidP="009B689A">
      <w:pPr>
        <w:spacing w:before="0" w:after="240"/>
        <w:rPr>
          <w:i/>
          <w:szCs w:val="24"/>
        </w:rPr>
      </w:pPr>
      <w:r w:rsidRPr="009B689A">
        <w:rPr>
          <w:i/>
          <w:szCs w:val="24"/>
        </w:rPr>
        <w:t xml:space="preserve">Repealed Regulations 3.13A, 3.13B and 3.13C </w:t>
      </w:r>
    </w:p>
    <w:p w14:paraId="0C531801" w14:textId="2811E395" w:rsidR="00601AFD" w:rsidRDefault="00601AFD" w:rsidP="000E3C74">
      <w:pPr>
        <w:spacing w:before="0" w:after="240"/>
        <w:rPr>
          <w:szCs w:val="24"/>
        </w:rPr>
      </w:pPr>
      <w:r>
        <w:rPr>
          <w:szCs w:val="24"/>
        </w:rPr>
        <w:t xml:space="preserve">Together these three regulations provided that international passenger aircraft, international passenger cruise ships, and international cargo ships were a kind of aircraft or ship to which Division 12B of </w:t>
      </w:r>
      <w:r w:rsidR="00057018">
        <w:rPr>
          <w:szCs w:val="24"/>
        </w:rPr>
        <w:t>the Migration Act</w:t>
      </w:r>
      <w:r>
        <w:rPr>
          <w:szCs w:val="24"/>
        </w:rPr>
        <w:t xml:space="preserve"> applied, and provided definitions for relevant terms. The substance of these provisions has been substantially retained in the new provisions. The same kinds of vessels are made aircraft or ships to which Division 12B of </w:t>
      </w:r>
      <w:r w:rsidR="00057018">
        <w:rPr>
          <w:szCs w:val="24"/>
        </w:rPr>
        <w:t>the Migration Act</w:t>
      </w:r>
      <w:r>
        <w:rPr>
          <w:szCs w:val="24"/>
        </w:rPr>
        <w:t xml:space="preserve"> applies by new regulation 3.13A, and the definitions have been recreated in regulation 3.13. There are some minor changes to the provisions to reflect the broadening of terminology from ‘airport/port’ to ‘place’, to reflect that APP now applies to incoming and outgoing vessels, and to reflect the amended licensing provisions in the Air Navigation regulations.</w:t>
      </w:r>
    </w:p>
    <w:p w14:paraId="6ACC99C8" w14:textId="77777777" w:rsidR="00601AFD" w:rsidRDefault="00601AFD" w:rsidP="009B689A">
      <w:pPr>
        <w:spacing w:before="0" w:after="240"/>
        <w:rPr>
          <w:i/>
          <w:szCs w:val="24"/>
        </w:rPr>
      </w:pPr>
      <w:r>
        <w:rPr>
          <w:i/>
          <w:szCs w:val="24"/>
        </w:rPr>
        <w:t>Repealed Regulation 3.13D</w:t>
      </w:r>
    </w:p>
    <w:p w14:paraId="46347492" w14:textId="0FB64F13" w:rsidR="00601AFD" w:rsidRDefault="00601AFD" w:rsidP="000E3C74">
      <w:pPr>
        <w:spacing w:before="0" w:after="240"/>
        <w:rPr>
          <w:szCs w:val="24"/>
        </w:rPr>
      </w:pPr>
      <w:r>
        <w:rPr>
          <w:szCs w:val="24"/>
        </w:rPr>
        <w:t xml:space="preserve">Repealed regulation 3.13D provided the timeframes under which arriving ships of a kind to which Division 12B of </w:t>
      </w:r>
      <w:r w:rsidR="00057018">
        <w:rPr>
          <w:szCs w:val="24"/>
        </w:rPr>
        <w:t>the Migration Act</w:t>
      </w:r>
      <w:r>
        <w:rPr>
          <w:szCs w:val="24"/>
        </w:rPr>
        <w:t xml:space="preserve"> applied had to make inward APP reports. Most of these timeframes have been recreated in new regulation 3.13B. However subregulation 3.13D(1) provided timeframes for vessels that departed their last port prior to 15 February 2009. These timeframes have not been retained, as subregulation 3.13D(1) was a transitional provision which is no longer required as it is highly unlikely that there are any vessels to which it could apply. </w:t>
      </w:r>
    </w:p>
    <w:p w14:paraId="6568DE47" w14:textId="5AD5E44B" w:rsidR="00601AFD" w:rsidRPr="00E23CB1" w:rsidRDefault="00601AFD" w:rsidP="000E3C74">
      <w:pPr>
        <w:spacing w:before="0" w:after="240"/>
        <w:rPr>
          <w:szCs w:val="24"/>
        </w:rPr>
      </w:pPr>
      <w:r>
        <w:rPr>
          <w:szCs w:val="24"/>
        </w:rPr>
        <w:t>Should a ship to which repealed subregulation 3.13D(1) would have applied arrive in Australia on or after 1 July 2015</w:t>
      </w:r>
      <w:r w:rsidR="00DD01BD">
        <w:rPr>
          <w:szCs w:val="24"/>
        </w:rPr>
        <w:t xml:space="preserve">. It </w:t>
      </w:r>
      <w:r>
        <w:rPr>
          <w:szCs w:val="24"/>
        </w:rPr>
        <w:t xml:space="preserve">will be required to make an APP report under the timeframes that have existed for most vessels since 16 February 2009, which require reports to be made earlier than their pre-16 February 2009 equivalents.  Given the apparently slow pace of travel of any vessel to which this </w:t>
      </w:r>
      <w:r w:rsidR="00F17FC4">
        <w:rPr>
          <w:szCs w:val="24"/>
        </w:rPr>
        <w:t>will</w:t>
      </w:r>
      <w:r>
        <w:rPr>
          <w:szCs w:val="24"/>
        </w:rPr>
        <w:t xml:space="preserve"> apply, the slightly longer reporting timeframes are not considered an overly onerous burden.</w:t>
      </w:r>
    </w:p>
    <w:p w14:paraId="03243073" w14:textId="77777777" w:rsidR="00601AFD" w:rsidRPr="00A2751C" w:rsidRDefault="00601AFD" w:rsidP="009B689A">
      <w:pPr>
        <w:spacing w:before="0" w:after="240"/>
        <w:rPr>
          <w:i/>
          <w:szCs w:val="24"/>
        </w:rPr>
      </w:pPr>
      <w:r>
        <w:rPr>
          <w:i/>
          <w:szCs w:val="24"/>
        </w:rPr>
        <w:t xml:space="preserve">New </w:t>
      </w:r>
      <w:r w:rsidRPr="00A2751C">
        <w:rPr>
          <w:i/>
          <w:szCs w:val="24"/>
        </w:rPr>
        <w:t>Regulation 3.13A</w:t>
      </w:r>
    </w:p>
    <w:p w14:paraId="1E635969" w14:textId="77777777" w:rsidR="00601AFD" w:rsidRDefault="00601AFD" w:rsidP="000E3C74">
      <w:pPr>
        <w:spacing w:before="0" w:after="240"/>
        <w:rPr>
          <w:szCs w:val="24"/>
        </w:rPr>
      </w:pPr>
      <w:r>
        <w:rPr>
          <w:szCs w:val="24"/>
        </w:rPr>
        <w:t>New regulation 3.13A deals with information about passengers and crew which is to be given before arrival and departure of certain aircrafts and ships. New regulation 3.13A also reflects the restructure of Division 3.2 of the Migration Regulations. Division 3.2 of the Migration Regulations deals with information about passengers and crew on overseas vessels.</w:t>
      </w:r>
    </w:p>
    <w:p w14:paraId="6469DC5F" w14:textId="56A487CA" w:rsidR="00601AFD" w:rsidRDefault="00601AFD" w:rsidP="000E3C74">
      <w:pPr>
        <w:spacing w:before="0" w:after="240"/>
        <w:rPr>
          <w:szCs w:val="24"/>
        </w:rPr>
      </w:pPr>
      <w:r>
        <w:rPr>
          <w:szCs w:val="24"/>
        </w:rPr>
        <w:lastRenderedPageBreak/>
        <w:t xml:space="preserve">This regulation prescribes the kind of aircraft or ship to which Division 12B of the Migration Act applies in subsection 24I(1) of </w:t>
      </w:r>
      <w:r w:rsidR="00057018">
        <w:rPr>
          <w:szCs w:val="24"/>
        </w:rPr>
        <w:t>the Migration Act</w:t>
      </w:r>
      <w:r>
        <w:rPr>
          <w:szCs w:val="24"/>
        </w:rPr>
        <w:t>, including:</w:t>
      </w:r>
    </w:p>
    <w:p w14:paraId="4C382771" w14:textId="77777777" w:rsidR="00601AFD" w:rsidRDefault="00601AFD" w:rsidP="000E3C74">
      <w:pPr>
        <w:pStyle w:val="ListParagraph"/>
        <w:numPr>
          <w:ilvl w:val="0"/>
          <w:numId w:val="20"/>
        </w:numPr>
        <w:spacing w:before="0" w:after="120"/>
        <w:ind w:left="714" w:hanging="357"/>
        <w:rPr>
          <w:szCs w:val="24"/>
        </w:rPr>
      </w:pPr>
      <w:r>
        <w:rPr>
          <w:szCs w:val="24"/>
        </w:rPr>
        <w:t>an international passenger aircraft</w:t>
      </w:r>
    </w:p>
    <w:p w14:paraId="214DE85A" w14:textId="77777777" w:rsidR="00601AFD" w:rsidRDefault="00601AFD" w:rsidP="000E3C74">
      <w:pPr>
        <w:pStyle w:val="ListParagraph"/>
        <w:numPr>
          <w:ilvl w:val="0"/>
          <w:numId w:val="20"/>
        </w:numPr>
        <w:spacing w:before="0" w:after="120"/>
        <w:ind w:left="714" w:hanging="357"/>
        <w:rPr>
          <w:szCs w:val="24"/>
        </w:rPr>
      </w:pPr>
      <w:r>
        <w:rPr>
          <w:szCs w:val="24"/>
        </w:rPr>
        <w:t>an international passenger cruise ship</w:t>
      </w:r>
    </w:p>
    <w:p w14:paraId="44D7976B" w14:textId="24C4818E" w:rsidR="00601AFD" w:rsidRPr="001F4EE3" w:rsidRDefault="00601AFD" w:rsidP="000E3C74">
      <w:pPr>
        <w:pStyle w:val="ListParagraph"/>
        <w:numPr>
          <w:ilvl w:val="0"/>
          <w:numId w:val="20"/>
        </w:numPr>
        <w:spacing w:before="0" w:after="120"/>
        <w:ind w:left="714" w:hanging="357"/>
        <w:rPr>
          <w:szCs w:val="24"/>
        </w:rPr>
      </w:pPr>
      <w:r>
        <w:rPr>
          <w:szCs w:val="24"/>
        </w:rPr>
        <w:t>an international cargo ship</w:t>
      </w:r>
    </w:p>
    <w:p w14:paraId="1DD8ABBB" w14:textId="77777777" w:rsidR="00601AFD" w:rsidRDefault="00601AFD" w:rsidP="000E3C74">
      <w:pPr>
        <w:spacing w:before="0" w:after="240"/>
        <w:rPr>
          <w:szCs w:val="24"/>
        </w:rPr>
      </w:pPr>
      <w:r>
        <w:rPr>
          <w:szCs w:val="24"/>
        </w:rPr>
        <w:t xml:space="preserve">Generally, Division 12B of the Migration Act deals with the electronic reporting of persons due to arrive at, or depart from, a place in Australia via an approved system and before a prescribed deadline. </w:t>
      </w:r>
    </w:p>
    <w:p w14:paraId="1C40DFD4" w14:textId="5F65F5DA" w:rsidR="00601AFD" w:rsidRDefault="00601AFD" w:rsidP="000E3C74">
      <w:pPr>
        <w:spacing w:before="0" w:after="240"/>
        <w:rPr>
          <w:szCs w:val="24"/>
        </w:rPr>
      </w:pPr>
      <w:r>
        <w:rPr>
          <w:szCs w:val="24"/>
        </w:rPr>
        <w:t>New regulation 3.13A consolidates the types of vessels previously provided for by repealed regulations 3.13A, 3.13B and 3.13C into a single regulation. In addition</w:t>
      </w:r>
      <w:r w:rsidR="00DD01BD">
        <w:rPr>
          <w:szCs w:val="24"/>
        </w:rPr>
        <w:t>,</w:t>
      </w:r>
      <w:r>
        <w:rPr>
          <w:szCs w:val="24"/>
        </w:rPr>
        <w:t xml:space="preserve"> 3.13A extends those definitions to cover both departing and arriving vessels. </w:t>
      </w:r>
      <w:r w:rsidR="00DD01BD">
        <w:rPr>
          <w:szCs w:val="24"/>
        </w:rPr>
        <w:t xml:space="preserve">These </w:t>
      </w:r>
      <w:r>
        <w:rPr>
          <w:szCs w:val="24"/>
        </w:rPr>
        <w:t xml:space="preserve">changes reflect the fact that, as a result of amendments made by Schedule </w:t>
      </w:r>
      <w:r w:rsidRPr="00F932F2">
        <w:rPr>
          <w:szCs w:val="24"/>
        </w:rPr>
        <w:t>6 to the Foreign Fighters Act,</w:t>
      </w:r>
      <w:r>
        <w:rPr>
          <w:szCs w:val="24"/>
        </w:rPr>
        <w:t xml:space="preserve"> Division 12B of </w:t>
      </w:r>
      <w:r w:rsidR="00DD01BD">
        <w:rPr>
          <w:szCs w:val="24"/>
        </w:rPr>
        <w:t xml:space="preserve">Part </w:t>
      </w:r>
      <w:r>
        <w:rPr>
          <w:szCs w:val="24"/>
        </w:rPr>
        <w:t xml:space="preserve">2 requires all airlines and maritime vessels reporting on travellers </w:t>
      </w:r>
      <w:r w:rsidRPr="001541B2">
        <w:rPr>
          <w:szCs w:val="24"/>
        </w:rPr>
        <w:t>arriving</w:t>
      </w:r>
      <w:r>
        <w:rPr>
          <w:szCs w:val="24"/>
        </w:rPr>
        <w:t xml:space="preserve"> in Australia, to now report via the APP system all travellers </w:t>
      </w:r>
      <w:r w:rsidRPr="004A36FE">
        <w:rPr>
          <w:i/>
          <w:szCs w:val="24"/>
        </w:rPr>
        <w:t>departing</w:t>
      </w:r>
      <w:r>
        <w:rPr>
          <w:szCs w:val="24"/>
        </w:rPr>
        <w:t xml:space="preserve"> Australia (referred to as ‘Outward APP’) as well as the pre-existing requirement to report on travellers </w:t>
      </w:r>
      <w:r>
        <w:rPr>
          <w:i/>
          <w:szCs w:val="24"/>
        </w:rPr>
        <w:t xml:space="preserve">arriving </w:t>
      </w:r>
      <w:r w:rsidRPr="003F22C1">
        <w:rPr>
          <w:szCs w:val="24"/>
        </w:rPr>
        <w:t>in Australia</w:t>
      </w:r>
      <w:r>
        <w:rPr>
          <w:szCs w:val="24"/>
        </w:rPr>
        <w:t xml:space="preserve">. </w:t>
      </w:r>
    </w:p>
    <w:p w14:paraId="7FD79902" w14:textId="77777777" w:rsidR="00601AFD" w:rsidRDefault="00601AFD" w:rsidP="009B689A">
      <w:pPr>
        <w:spacing w:before="0" w:after="240"/>
        <w:rPr>
          <w:i/>
          <w:szCs w:val="24"/>
        </w:rPr>
      </w:pPr>
      <w:r>
        <w:rPr>
          <w:i/>
          <w:szCs w:val="24"/>
        </w:rPr>
        <w:t xml:space="preserve">New </w:t>
      </w:r>
      <w:r w:rsidRPr="00053888">
        <w:rPr>
          <w:i/>
          <w:szCs w:val="24"/>
        </w:rPr>
        <w:t>Regulation 3.13B</w:t>
      </w:r>
    </w:p>
    <w:p w14:paraId="0D15EF7F" w14:textId="77777777" w:rsidR="00601AFD" w:rsidRDefault="00601AFD" w:rsidP="000E3C74">
      <w:pPr>
        <w:spacing w:before="0" w:after="240"/>
        <w:rPr>
          <w:szCs w:val="24"/>
        </w:rPr>
      </w:pPr>
      <w:r>
        <w:rPr>
          <w:szCs w:val="24"/>
        </w:rPr>
        <w:t xml:space="preserve">New regulation 3.13B prescribes the relevant reporting deadlines for paragraphs 245L(5)(a) and 245L(5)(b) of the Migration Act. This amendment also reflects the restructure of Division 3.2 of the Migration Regulations. </w:t>
      </w:r>
    </w:p>
    <w:p w14:paraId="1D9181BA" w14:textId="77777777" w:rsidR="00601AFD" w:rsidRDefault="00601AFD" w:rsidP="000E3C74">
      <w:pPr>
        <w:spacing w:before="0" w:after="240"/>
        <w:rPr>
          <w:szCs w:val="24"/>
        </w:rPr>
      </w:pPr>
      <w:r>
        <w:rPr>
          <w:szCs w:val="24"/>
        </w:rPr>
        <w:t xml:space="preserve">Subsection 245L(5) of the Migration Act deals with the prescribed period that a report on passengers or crew on a ship arriving to Australia must be given by. Specifically, paragraph 245L(5)(a) of the Migration Act provides that a report on passengers or crew on a ship must be given not later than the start of the prescribed period before the ship’s estimated time of arrival at the place in Australia. The prescribed period in new subregulation 3.13B(1) is 96 hours. This means that a report on passengers or crew on a ship must be given at some time within the 96 hours before the ship’s arrival at the place in Australia. </w:t>
      </w:r>
    </w:p>
    <w:p w14:paraId="722A84F3" w14:textId="0EF86F9B" w:rsidR="00601AFD" w:rsidRPr="00561CEC" w:rsidRDefault="00601AFD" w:rsidP="000E3C74">
      <w:pPr>
        <w:pStyle w:val="EMparagraph"/>
        <w:tabs>
          <w:tab w:val="left" w:pos="345"/>
        </w:tabs>
        <w:spacing w:after="0"/>
        <w:ind w:right="42"/>
        <w:rPr>
          <w:szCs w:val="24"/>
        </w:rPr>
      </w:pPr>
      <w:r>
        <w:rPr>
          <w:szCs w:val="24"/>
        </w:rPr>
        <w:t xml:space="preserve">Paragraph 245L(5)(b) of the Migration Act provides that if the journey is of a kind prescribed in </w:t>
      </w:r>
      <w:r w:rsidR="00057018">
        <w:rPr>
          <w:szCs w:val="24"/>
        </w:rPr>
        <w:t>the Migration Regulations</w:t>
      </w:r>
      <w:r>
        <w:rPr>
          <w:szCs w:val="24"/>
        </w:rPr>
        <w:t xml:space="preserve"> made for the purposes of paragraph 245L5(b), a report on passengers or crew on a ship arriving to Australia must be given no later than the start of the shorter period specified in those regulations before the ship’s estimated time of </w:t>
      </w:r>
      <w:r w:rsidRPr="00561CEC">
        <w:rPr>
          <w:szCs w:val="24"/>
        </w:rPr>
        <w:t>arrival at the place in Australia.</w:t>
      </w:r>
    </w:p>
    <w:p w14:paraId="643B49F3" w14:textId="77777777" w:rsidR="00601AFD" w:rsidRDefault="00601AFD" w:rsidP="000E3C74">
      <w:pPr>
        <w:spacing w:before="0"/>
        <w:rPr>
          <w:szCs w:val="24"/>
        </w:rPr>
      </w:pPr>
    </w:p>
    <w:p w14:paraId="5190C9DD" w14:textId="77777777" w:rsidR="00601AFD" w:rsidRDefault="00601AFD" w:rsidP="000E3C74">
      <w:pPr>
        <w:spacing w:before="0"/>
        <w:rPr>
          <w:szCs w:val="24"/>
        </w:rPr>
      </w:pPr>
      <w:r>
        <w:rPr>
          <w:szCs w:val="24"/>
        </w:rPr>
        <w:t xml:space="preserve">The table at new subregulation 3.13B(2) provides for the reporting period for certain journeys based on the likely duration of a ship’s journey. For example, where the likely duration of the ship’s journey is 72 hours, but less than 96 hours, the specified period for providing a report is 72 hours before the ship’s time of arrival. </w:t>
      </w:r>
    </w:p>
    <w:p w14:paraId="3A9D1447" w14:textId="77777777" w:rsidR="00601AFD" w:rsidRDefault="00601AFD" w:rsidP="000E3C74">
      <w:pPr>
        <w:spacing w:before="0"/>
        <w:rPr>
          <w:szCs w:val="24"/>
        </w:rPr>
      </w:pPr>
    </w:p>
    <w:p w14:paraId="371FBE56" w14:textId="77777777" w:rsidR="00601AFD" w:rsidRDefault="00601AFD" w:rsidP="000E3C74">
      <w:pPr>
        <w:spacing w:before="0"/>
        <w:rPr>
          <w:szCs w:val="24"/>
        </w:rPr>
      </w:pPr>
      <w:r>
        <w:rPr>
          <w:szCs w:val="24"/>
        </w:rPr>
        <w:t>This regulation recreates repealed subregulations 3.13D(2) and (3). Repealed subregulation 3.13D(1),  applied to vessels that departed their last place before arriving in Australia prior to 16 February 2009, and is no longer needed as it is highly unlikely that there are any vessels to which it applies.</w:t>
      </w:r>
    </w:p>
    <w:p w14:paraId="3D7BFBE1" w14:textId="77777777" w:rsidR="00601AFD" w:rsidRDefault="00601AFD" w:rsidP="009B689A">
      <w:pPr>
        <w:spacing w:before="0" w:after="240"/>
        <w:rPr>
          <w:i/>
          <w:szCs w:val="24"/>
        </w:rPr>
      </w:pPr>
      <w:r w:rsidRPr="00090075">
        <w:rPr>
          <w:i/>
          <w:szCs w:val="24"/>
        </w:rPr>
        <w:lastRenderedPageBreak/>
        <w:t>New Regulation 3.13C</w:t>
      </w:r>
    </w:p>
    <w:p w14:paraId="79C48DB7" w14:textId="77777777" w:rsidR="00601AFD" w:rsidRDefault="00601AFD" w:rsidP="000E3C74">
      <w:pPr>
        <w:spacing w:before="0"/>
        <w:rPr>
          <w:szCs w:val="24"/>
        </w:rPr>
      </w:pPr>
      <w:r w:rsidRPr="00762069">
        <w:rPr>
          <w:szCs w:val="24"/>
        </w:rPr>
        <w:t xml:space="preserve">New </w:t>
      </w:r>
      <w:r>
        <w:rPr>
          <w:szCs w:val="24"/>
        </w:rPr>
        <w:t>regulation 3.13C limits the reporting requirements for Outward APP to only the part of the flight or voyage where the aircraft or ship actually leaves Australia, for the purpose of paragraph 245LA(3)(b) of the Migration Act.</w:t>
      </w:r>
    </w:p>
    <w:p w14:paraId="047DB01A" w14:textId="77777777" w:rsidR="00601AFD" w:rsidRPr="00762069" w:rsidRDefault="00601AFD" w:rsidP="000E3C74">
      <w:pPr>
        <w:spacing w:before="0"/>
        <w:rPr>
          <w:i/>
          <w:szCs w:val="24"/>
        </w:rPr>
      </w:pPr>
    </w:p>
    <w:p w14:paraId="64D98A6B" w14:textId="7FC3A1BC" w:rsidR="00601AFD" w:rsidRDefault="00601AFD" w:rsidP="000E3C74">
      <w:pPr>
        <w:spacing w:before="0" w:after="240"/>
        <w:rPr>
          <w:szCs w:val="24"/>
        </w:rPr>
      </w:pPr>
      <w:r>
        <w:rPr>
          <w:szCs w:val="24"/>
        </w:rPr>
        <w:t xml:space="preserve">Paragraph 245LA(3)(b) of the Migration Act provides that </w:t>
      </w:r>
      <w:r w:rsidR="00057018">
        <w:rPr>
          <w:szCs w:val="24"/>
        </w:rPr>
        <w:t>the Migration Regulations</w:t>
      </w:r>
      <w:r>
        <w:rPr>
          <w:szCs w:val="24"/>
        </w:rPr>
        <w:t xml:space="preserve"> may prescribe that the reporting requirements only relate to the part of the flight or voyage that is from the last place in Australia to the place outside Australia. New regulation 3.13C ensures that in the situation where a flight or voyage is calling in multiple places in Australia before departing Australia, a report is only required for </w:t>
      </w:r>
      <w:r w:rsidR="00C54919">
        <w:rPr>
          <w:szCs w:val="24"/>
        </w:rPr>
        <w:t>a</w:t>
      </w:r>
      <w:r w:rsidR="00CA5BAB">
        <w:rPr>
          <w:szCs w:val="24"/>
        </w:rPr>
        <w:t xml:space="preserve"> </w:t>
      </w:r>
      <w:r>
        <w:rPr>
          <w:szCs w:val="24"/>
        </w:rPr>
        <w:t>passenger or crew</w:t>
      </w:r>
      <w:r w:rsidR="00C54919">
        <w:rPr>
          <w:szCs w:val="24"/>
        </w:rPr>
        <w:t xml:space="preserve"> member</w:t>
      </w:r>
      <w:r>
        <w:rPr>
          <w:szCs w:val="24"/>
        </w:rPr>
        <w:t xml:space="preserve"> for the part of the flight or voyage that is from the </w:t>
      </w:r>
      <w:r w:rsidRPr="00762069">
        <w:rPr>
          <w:i/>
          <w:szCs w:val="24"/>
        </w:rPr>
        <w:t xml:space="preserve">last </w:t>
      </w:r>
      <w:r>
        <w:rPr>
          <w:szCs w:val="24"/>
        </w:rPr>
        <w:t>place in Australia to a place outside Australia.</w:t>
      </w:r>
    </w:p>
    <w:p w14:paraId="08A014D3" w14:textId="77777777" w:rsidR="00601AFD" w:rsidRDefault="00601AFD" w:rsidP="000E3C74">
      <w:pPr>
        <w:spacing w:before="0" w:after="240"/>
        <w:rPr>
          <w:szCs w:val="24"/>
        </w:rPr>
      </w:pPr>
      <w:r>
        <w:rPr>
          <w:szCs w:val="24"/>
        </w:rPr>
        <w:t>It is not currently intended that operators be required to report on the domestic legs of voyages which contain both international and domestic components. This amendment ensures that operators will only need to report on the leg of the voyage where the vessel leaves Australia.</w:t>
      </w:r>
    </w:p>
    <w:p w14:paraId="004B8FFD" w14:textId="77777777" w:rsidR="00601AFD" w:rsidRPr="00090075" w:rsidRDefault="00601AFD" w:rsidP="000E3C74">
      <w:pPr>
        <w:spacing w:before="0" w:after="240"/>
        <w:rPr>
          <w:i/>
          <w:szCs w:val="24"/>
        </w:rPr>
      </w:pPr>
      <w:r>
        <w:rPr>
          <w:i/>
          <w:szCs w:val="24"/>
        </w:rPr>
        <w:t>New Regulation 3.13D</w:t>
      </w:r>
    </w:p>
    <w:p w14:paraId="6DDF8C43" w14:textId="77777777" w:rsidR="00601AFD" w:rsidRDefault="00601AFD" w:rsidP="000E3C74">
      <w:pPr>
        <w:rPr>
          <w:szCs w:val="24"/>
        </w:rPr>
      </w:pPr>
      <w:r>
        <w:rPr>
          <w:szCs w:val="24"/>
        </w:rPr>
        <w:t>New regulation 3.13D provides the deadline for providing an Outward APP report for the kind of aircraft or ship to which Division 12B of the Migration Act applies, including:</w:t>
      </w:r>
    </w:p>
    <w:p w14:paraId="3414DEC1" w14:textId="77777777" w:rsidR="00601AFD" w:rsidRDefault="00601AFD" w:rsidP="000E3C74">
      <w:pPr>
        <w:spacing w:before="0"/>
        <w:rPr>
          <w:szCs w:val="24"/>
        </w:rPr>
      </w:pPr>
    </w:p>
    <w:p w14:paraId="1FB25015" w14:textId="77777777" w:rsidR="00601AFD" w:rsidRDefault="00601AFD" w:rsidP="000E3C74">
      <w:pPr>
        <w:pStyle w:val="ListParagraph"/>
        <w:numPr>
          <w:ilvl w:val="0"/>
          <w:numId w:val="20"/>
        </w:numPr>
        <w:spacing w:before="0" w:after="120"/>
        <w:ind w:left="714" w:hanging="357"/>
        <w:rPr>
          <w:szCs w:val="24"/>
        </w:rPr>
      </w:pPr>
      <w:r>
        <w:rPr>
          <w:szCs w:val="24"/>
        </w:rPr>
        <w:t>an international passenger aircraft</w:t>
      </w:r>
    </w:p>
    <w:p w14:paraId="16B6F16D" w14:textId="77777777" w:rsidR="00601AFD" w:rsidRDefault="00601AFD" w:rsidP="000E3C74">
      <w:pPr>
        <w:pStyle w:val="ListParagraph"/>
        <w:numPr>
          <w:ilvl w:val="0"/>
          <w:numId w:val="20"/>
        </w:numPr>
        <w:spacing w:before="0" w:after="120"/>
        <w:ind w:left="714" w:hanging="357"/>
        <w:rPr>
          <w:szCs w:val="24"/>
        </w:rPr>
      </w:pPr>
      <w:r>
        <w:rPr>
          <w:szCs w:val="24"/>
        </w:rPr>
        <w:t>an international passenger cruise ship</w:t>
      </w:r>
    </w:p>
    <w:p w14:paraId="03589421" w14:textId="77777777" w:rsidR="00601AFD" w:rsidRPr="001F4EE3" w:rsidRDefault="00601AFD" w:rsidP="000E3C74">
      <w:pPr>
        <w:pStyle w:val="ListParagraph"/>
        <w:numPr>
          <w:ilvl w:val="0"/>
          <w:numId w:val="20"/>
        </w:numPr>
        <w:spacing w:before="0" w:after="120"/>
        <w:ind w:left="714" w:hanging="357"/>
        <w:rPr>
          <w:szCs w:val="24"/>
        </w:rPr>
      </w:pPr>
      <w:r>
        <w:rPr>
          <w:szCs w:val="24"/>
        </w:rPr>
        <w:t>an international cargo ship</w:t>
      </w:r>
    </w:p>
    <w:p w14:paraId="78376BEF" w14:textId="77777777" w:rsidR="00601AFD" w:rsidRPr="001F4EE3" w:rsidRDefault="00601AFD" w:rsidP="000E3C74">
      <w:pPr>
        <w:rPr>
          <w:i/>
          <w:szCs w:val="24"/>
        </w:rPr>
      </w:pPr>
      <w:r w:rsidRPr="001F4EE3">
        <w:rPr>
          <w:i/>
          <w:szCs w:val="24"/>
        </w:rPr>
        <w:t>Deadline for reporting on persons departing on an international passenger aircraft</w:t>
      </w:r>
    </w:p>
    <w:p w14:paraId="0134A7A4" w14:textId="77777777" w:rsidR="00601AFD" w:rsidRDefault="00601AFD" w:rsidP="000E3C74">
      <w:pPr>
        <w:rPr>
          <w:szCs w:val="24"/>
        </w:rPr>
      </w:pPr>
      <w:r>
        <w:rPr>
          <w:szCs w:val="24"/>
        </w:rPr>
        <w:t xml:space="preserve">Subregulation 3.13D(1) deals with the deadline for an Outward APP report on persons departing on an international passenger aircraft. </w:t>
      </w:r>
    </w:p>
    <w:p w14:paraId="5C0FDCC6" w14:textId="77777777" w:rsidR="00601AFD" w:rsidRDefault="00601AFD" w:rsidP="000E3C74">
      <w:pPr>
        <w:rPr>
          <w:szCs w:val="24"/>
        </w:rPr>
      </w:pPr>
      <w:r>
        <w:rPr>
          <w:szCs w:val="24"/>
        </w:rPr>
        <w:t>Subregulation 3.13D(1) provides for the three different circumstances where Outward APP reporting is required for a passenger aircraft:</w:t>
      </w:r>
    </w:p>
    <w:p w14:paraId="6795797C" w14:textId="0BD40479" w:rsidR="00601AFD" w:rsidRDefault="00601AFD" w:rsidP="000E3C74">
      <w:pPr>
        <w:pStyle w:val="ListParagraph"/>
        <w:numPr>
          <w:ilvl w:val="0"/>
          <w:numId w:val="21"/>
        </w:numPr>
        <w:spacing w:before="120"/>
        <w:ind w:left="714" w:hanging="357"/>
        <w:rPr>
          <w:szCs w:val="24"/>
        </w:rPr>
      </w:pPr>
      <w:r>
        <w:rPr>
          <w:szCs w:val="24"/>
        </w:rPr>
        <w:t xml:space="preserve">before the passenger or crew member is required to present evidence of their identity to a clearance authority in relation their departure. Clearance authority has the meaning given by section 165 of </w:t>
      </w:r>
      <w:r w:rsidR="00057018">
        <w:rPr>
          <w:szCs w:val="24"/>
        </w:rPr>
        <w:t>the Migration Act</w:t>
      </w:r>
      <w:r>
        <w:rPr>
          <w:szCs w:val="24"/>
        </w:rPr>
        <w:t xml:space="preserve"> which deals with immigration clearance. </w:t>
      </w:r>
    </w:p>
    <w:p w14:paraId="6C628261" w14:textId="77777777" w:rsidR="00601AFD" w:rsidRDefault="00601AFD" w:rsidP="000E3C74">
      <w:pPr>
        <w:pStyle w:val="ListParagraph"/>
        <w:numPr>
          <w:ilvl w:val="0"/>
          <w:numId w:val="21"/>
        </w:numPr>
        <w:spacing w:before="120"/>
        <w:ind w:left="714" w:hanging="357"/>
        <w:rPr>
          <w:szCs w:val="24"/>
        </w:rPr>
      </w:pPr>
      <w:r>
        <w:rPr>
          <w:szCs w:val="24"/>
        </w:rPr>
        <w:t>where a report has already been given in respect of a passenger and they subsequently change their flight, a new report must be given before the passenger or crew member boards their new departing flight;</w:t>
      </w:r>
    </w:p>
    <w:p w14:paraId="1A30B881" w14:textId="77777777" w:rsidR="00601AFD" w:rsidRDefault="00601AFD" w:rsidP="000E3C74">
      <w:pPr>
        <w:pStyle w:val="ListParagraph"/>
        <w:numPr>
          <w:ilvl w:val="0"/>
          <w:numId w:val="21"/>
        </w:numPr>
        <w:spacing w:before="120"/>
        <w:ind w:left="714" w:hanging="357"/>
        <w:rPr>
          <w:szCs w:val="24"/>
        </w:rPr>
      </w:pPr>
      <w:r>
        <w:rPr>
          <w:szCs w:val="24"/>
        </w:rPr>
        <w:t xml:space="preserve">where a person is transiting through Australia and is not immigration cleared, and a report has not been previously given in relation to their departure from Australia, the report must be given before the passenger or crew member boards the departing flight. </w:t>
      </w:r>
    </w:p>
    <w:p w14:paraId="5A22EAAE" w14:textId="77777777" w:rsidR="00601AFD" w:rsidRDefault="00601AFD" w:rsidP="000E3C74">
      <w:pPr>
        <w:rPr>
          <w:szCs w:val="24"/>
        </w:rPr>
      </w:pPr>
      <w:r>
        <w:rPr>
          <w:szCs w:val="24"/>
        </w:rPr>
        <w:lastRenderedPageBreak/>
        <w:t xml:space="preserve">The three scenarios reflect the policy intention that an Outward APP report should be received as soon as possible prior to a person departing Australia to ensure the information can be utilised before the person leaves Australia. </w:t>
      </w:r>
    </w:p>
    <w:p w14:paraId="4A694606" w14:textId="77777777" w:rsidR="009B689A" w:rsidRDefault="009B689A" w:rsidP="009B689A">
      <w:pPr>
        <w:spacing w:before="0"/>
        <w:rPr>
          <w:i/>
          <w:szCs w:val="24"/>
        </w:rPr>
      </w:pPr>
    </w:p>
    <w:p w14:paraId="0891E96F" w14:textId="3534ECB2" w:rsidR="00601AFD" w:rsidRPr="001F4EE3" w:rsidRDefault="00601AFD" w:rsidP="009B689A">
      <w:pPr>
        <w:spacing w:before="0"/>
        <w:rPr>
          <w:i/>
          <w:szCs w:val="24"/>
        </w:rPr>
      </w:pPr>
      <w:r w:rsidRPr="001F4EE3">
        <w:rPr>
          <w:i/>
          <w:szCs w:val="24"/>
        </w:rPr>
        <w:t xml:space="preserve">Deadline for reporting on persons departing on an international passenger </w:t>
      </w:r>
      <w:r>
        <w:rPr>
          <w:i/>
          <w:szCs w:val="24"/>
        </w:rPr>
        <w:t>cruise ship</w:t>
      </w:r>
    </w:p>
    <w:p w14:paraId="60B50118" w14:textId="090D10E2" w:rsidR="00601AFD" w:rsidRDefault="00601AFD" w:rsidP="000E3C74">
      <w:pPr>
        <w:rPr>
          <w:szCs w:val="24"/>
        </w:rPr>
      </w:pPr>
      <w:r>
        <w:rPr>
          <w:szCs w:val="24"/>
        </w:rPr>
        <w:t xml:space="preserve">Subregulation 3.13D(2) gives effect to the deadline for  Outward APP reporting on persons departing on an international cruise ship. Subregulation 3.13D(2) requires that for a passenger or crew member who is on, or is expected to be on, a voyage to be undertaken by an international passenger cruise ship, the report required by subsection 245LA(2) of </w:t>
      </w:r>
      <w:r w:rsidR="00057018">
        <w:rPr>
          <w:szCs w:val="24"/>
        </w:rPr>
        <w:t>the Migration Act</w:t>
      </w:r>
      <w:r>
        <w:rPr>
          <w:szCs w:val="24"/>
        </w:rPr>
        <w:t xml:space="preserve"> must be provided before the ship departs a place in Australia for a place outside Australia.</w:t>
      </w:r>
    </w:p>
    <w:p w14:paraId="1AF7D149" w14:textId="77777777" w:rsidR="00601AFD" w:rsidRDefault="00601AFD" w:rsidP="000E3C74">
      <w:pPr>
        <w:rPr>
          <w:szCs w:val="24"/>
        </w:rPr>
      </w:pPr>
      <w:r>
        <w:rPr>
          <w:szCs w:val="24"/>
        </w:rPr>
        <w:t xml:space="preserve">This ensures that the operator of an international passenger cruise ship uses an approved system for an Outward APP report on passengers and crew, including expected passengers and crew, prior to the ship physically leaving Australia. </w:t>
      </w:r>
    </w:p>
    <w:p w14:paraId="30248FA6" w14:textId="7D6577CD" w:rsidR="00601AFD" w:rsidRPr="003B18A3" w:rsidRDefault="00601AFD" w:rsidP="000E3C74">
      <w:pPr>
        <w:rPr>
          <w:szCs w:val="24"/>
        </w:rPr>
      </w:pPr>
      <w:r>
        <w:rPr>
          <w:szCs w:val="24"/>
        </w:rPr>
        <w:t xml:space="preserve">This measure differs to the timeframes for airline carriers </w:t>
      </w:r>
      <w:r w:rsidR="00C54919">
        <w:rPr>
          <w:szCs w:val="24"/>
        </w:rPr>
        <w:t xml:space="preserve">for outward APP reporting </w:t>
      </w:r>
      <w:r>
        <w:rPr>
          <w:szCs w:val="24"/>
        </w:rPr>
        <w:t xml:space="preserve">due to the lack of consistently fixed infrastructure at the various ports located throughout Australia. Linking the Outward APP reporting obligation to the physical event to the ship’s detachment from the port of embarkation is the most appropriate method of requiring reporting. </w:t>
      </w:r>
    </w:p>
    <w:p w14:paraId="05A79AA4" w14:textId="77777777" w:rsidR="00601AFD" w:rsidRDefault="00601AFD" w:rsidP="000E3C74">
      <w:pPr>
        <w:pStyle w:val="Default"/>
      </w:pPr>
    </w:p>
    <w:p w14:paraId="09E4360F" w14:textId="77777777" w:rsidR="00601AFD" w:rsidRPr="00F62A3B" w:rsidRDefault="00601AFD" w:rsidP="000E3C74">
      <w:pPr>
        <w:pStyle w:val="Default"/>
        <w:rPr>
          <w:i/>
        </w:rPr>
      </w:pPr>
      <w:r w:rsidRPr="00F62A3B">
        <w:rPr>
          <w:i/>
        </w:rPr>
        <w:t>Deadline for reporting on persons departing on an international cargo ship</w:t>
      </w:r>
    </w:p>
    <w:p w14:paraId="12FAA4EF" w14:textId="77777777" w:rsidR="00601AFD" w:rsidRDefault="00601AFD" w:rsidP="000E3C74">
      <w:pPr>
        <w:pStyle w:val="Default"/>
      </w:pPr>
    </w:p>
    <w:p w14:paraId="3496233E" w14:textId="414286B0" w:rsidR="00601AFD" w:rsidRDefault="00601AFD" w:rsidP="000E3C74">
      <w:pPr>
        <w:pStyle w:val="Default"/>
      </w:pPr>
      <w:r>
        <w:t xml:space="preserve">Subregulation 3.13D(3) gives effect to the deadline for Outward APP reporting on persons departing on an international cargo ship. Subregulation 3.13D(3) requires that for a passenger or crew member who is on, or is expected to be on, a voyage to be undertaken by an international cargo </w:t>
      </w:r>
      <w:r w:rsidR="00C07A65">
        <w:t>ship</w:t>
      </w:r>
      <w:r>
        <w:t xml:space="preserve">, the report required by subsection 245LA(2) of </w:t>
      </w:r>
      <w:r w:rsidR="00057018">
        <w:t>the Migration Act</w:t>
      </w:r>
      <w:r>
        <w:t xml:space="preserve"> must be provided before the ship departs a place in Australia for a place outside Australia. </w:t>
      </w:r>
    </w:p>
    <w:p w14:paraId="7ED2C0C2" w14:textId="77777777" w:rsidR="00601AFD" w:rsidRDefault="00601AFD" w:rsidP="000E3C74">
      <w:pPr>
        <w:pStyle w:val="Default"/>
      </w:pPr>
    </w:p>
    <w:p w14:paraId="7639DE5D" w14:textId="77777777" w:rsidR="00601AFD" w:rsidRDefault="00601AFD" w:rsidP="000E3C74">
      <w:pPr>
        <w:pStyle w:val="Default"/>
      </w:pPr>
      <w:r>
        <w:t>This aligns with the policy for international passenger cruise ships by ensuring that the operator of an international cargo ship uses an approved system for an Outward App report on passengers and crew, including expected passengers and crew, prior to the ship physically leaving Australia.</w:t>
      </w:r>
    </w:p>
    <w:p w14:paraId="25149AC9" w14:textId="77777777" w:rsidR="00601AFD" w:rsidRDefault="00601AFD" w:rsidP="000E3C74">
      <w:pPr>
        <w:pStyle w:val="Default"/>
      </w:pPr>
    </w:p>
    <w:p w14:paraId="2282D462" w14:textId="77777777" w:rsidR="00601AFD" w:rsidRDefault="00601AFD" w:rsidP="000E3C74">
      <w:pPr>
        <w:pStyle w:val="Default"/>
      </w:pPr>
      <w:r>
        <w:t xml:space="preserve">New subregulation 3.13D(2) and (3) also reflect the amendments made by Schedule 6 to </w:t>
      </w:r>
      <w:r w:rsidRPr="00517018">
        <w:t>the Foreign Fighters Act to include a reference to ‘place’ or ‘place in Australia’ instead of</w:t>
      </w:r>
      <w:r>
        <w:t xml:space="preserve"> ‘airport’ or ‘ports’ (as described at item 1 of this Regulation). </w:t>
      </w:r>
    </w:p>
    <w:p w14:paraId="3035D785" w14:textId="77777777" w:rsidR="00C07A65" w:rsidRDefault="00C07A65" w:rsidP="000E3C74">
      <w:pPr>
        <w:pStyle w:val="Default"/>
      </w:pPr>
    </w:p>
    <w:p w14:paraId="61A34868" w14:textId="77777777" w:rsidR="00601AFD" w:rsidRDefault="00601AFD" w:rsidP="000E3C74">
      <w:pPr>
        <w:spacing w:before="0" w:after="240"/>
        <w:rPr>
          <w:szCs w:val="24"/>
          <w:u w:val="single"/>
        </w:rPr>
      </w:pPr>
      <w:r>
        <w:rPr>
          <w:szCs w:val="24"/>
          <w:u w:val="single"/>
        </w:rPr>
        <w:t>Item [3</w:t>
      </w:r>
      <w:r w:rsidRPr="00145B54">
        <w:rPr>
          <w:szCs w:val="24"/>
          <w:u w:val="single"/>
        </w:rPr>
        <w:t>]</w:t>
      </w:r>
      <w:r>
        <w:rPr>
          <w:szCs w:val="24"/>
          <w:u w:val="single"/>
        </w:rPr>
        <w:t xml:space="preserve"> and [4]</w:t>
      </w:r>
      <w:r w:rsidRPr="00145B54">
        <w:rPr>
          <w:szCs w:val="24"/>
          <w:u w:val="single"/>
        </w:rPr>
        <w:t xml:space="preserve"> – Regulation</w:t>
      </w:r>
      <w:r>
        <w:rPr>
          <w:szCs w:val="24"/>
          <w:u w:val="single"/>
        </w:rPr>
        <w:t xml:space="preserve"> 5.20 (note),</w:t>
      </w:r>
    </w:p>
    <w:p w14:paraId="501DB511" w14:textId="77777777" w:rsidR="00601AFD" w:rsidRPr="00601AFD" w:rsidRDefault="00601AFD" w:rsidP="000E3C74">
      <w:pPr>
        <w:spacing w:before="0" w:after="240"/>
        <w:rPr>
          <w:szCs w:val="24"/>
        </w:rPr>
      </w:pPr>
      <w:r>
        <w:rPr>
          <w:szCs w:val="24"/>
        </w:rPr>
        <w:t xml:space="preserve">The notes at regulation 5.20 and 5.21 have no operative effect and were repealed in line with current drafting practices. </w:t>
      </w:r>
    </w:p>
    <w:p w14:paraId="5ABF7205" w14:textId="77777777" w:rsidR="009B689A" w:rsidRDefault="009B689A">
      <w:pPr>
        <w:spacing w:before="0"/>
        <w:rPr>
          <w:b/>
          <w:bCs/>
          <w:szCs w:val="24"/>
          <w:u w:val="single"/>
        </w:rPr>
      </w:pPr>
      <w:r>
        <w:rPr>
          <w:b/>
          <w:bCs/>
          <w:szCs w:val="24"/>
          <w:u w:val="single"/>
        </w:rPr>
        <w:br w:type="page"/>
      </w:r>
    </w:p>
    <w:p w14:paraId="1EB82D9C" w14:textId="43B03A75" w:rsidR="00857612" w:rsidRPr="00B6180D" w:rsidRDefault="00745D8E" w:rsidP="000E3C74">
      <w:pPr>
        <w:spacing w:after="240"/>
        <w:rPr>
          <w:szCs w:val="24"/>
        </w:rPr>
      </w:pPr>
      <w:r w:rsidRPr="00B6180D">
        <w:rPr>
          <w:b/>
          <w:bCs/>
          <w:szCs w:val="24"/>
          <w:u w:val="single"/>
        </w:rPr>
        <w:lastRenderedPageBreak/>
        <w:t xml:space="preserve">Schedule 3 – </w:t>
      </w:r>
      <w:r w:rsidR="0019466D">
        <w:rPr>
          <w:b/>
          <w:bCs/>
          <w:szCs w:val="24"/>
          <w:u w:val="single"/>
        </w:rPr>
        <w:t xml:space="preserve">Amendment relating to foreign currency </w:t>
      </w:r>
      <w:proofErr w:type="spellStart"/>
      <w:r w:rsidR="0019466D">
        <w:rPr>
          <w:b/>
          <w:bCs/>
          <w:szCs w:val="24"/>
          <w:u w:val="single"/>
        </w:rPr>
        <w:t>exhange</w:t>
      </w:r>
      <w:proofErr w:type="spellEnd"/>
    </w:p>
    <w:p w14:paraId="1ABA8ABF" w14:textId="77777777" w:rsidR="00857612" w:rsidRPr="00B6180D" w:rsidRDefault="00745D8E" w:rsidP="000E3C74">
      <w:pPr>
        <w:spacing w:after="240"/>
        <w:rPr>
          <w:szCs w:val="24"/>
        </w:rPr>
      </w:pPr>
      <w:r w:rsidRPr="00B6180D">
        <w:rPr>
          <w:szCs w:val="24"/>
          <w:u w:val="single"/>
        </w:rPr>
        <w:t xml:space="preserve">Item 1 – </w:t>
      </w:r>
      <w:r w:rsidR="00857612" w:rsidRPr="00B6180D">
        <w:rPr>
          <w:szCs w:val="24"/>
          <w:u w:val="single"/>
        </w:rPr>
        <w:t>Subregulation 12A(7)</w:t>
      </w:r>
    </w:p>
    <w:p w14:paraId="01698966" w14:textId="32ED1A4A" w:rsidR="00857612" w:rsidRPr="00B6180D" w:rsidRDefault="00857612" w:rsidP="000E3C74">
      <w:pPr>
        <w:spacing w:after="240"/>
        <w:rPr>
          <w:szCs w:val="24"/>
        </w:rPr>
      </w:pPr>
      <w:r w:rsidRPr="00B6180D">
        <w:rPr>
          <w:szCs w:val="24"/>
        </w:rPr>
        <w:t xml:space="preserve">This item substitutes the previous definitions of “conversion instrument” and “places and currencies instrument” in subregulation 12A(7) of the </w:t>
      </w:r>
      <w:r w:rsidR="00CA5BAB">
        <w:rPr>
          <w:i/>
          <w:szCs w:val="24"/>
        </w:rPr>
        <w:t xml:space="preserve">Australian Citizenship Regulations 2007 </w:t>
      </w:r>
      <w:r w:rsidR="00CA5BAB">
        <w:rPr>
          <w:szCs w:val="24"/>
        </w:rPr>
        <w:t xml:space="preserve">(the </w:t>
      </w:r>
      <w:r w:rsidRPr="00B6180D">
        <w:rPr>
          <w:szCs w:val="24"/>
        </w:rPr>
        <w:t>Citizenship Regulations</w:t>
      </w:r>
      <w:r w:rsidR="00CA5BAB">
        <w:rPr>
          <w:szCs w:val="24"/>
        </w:rPr>
        <w:t>)</w:t>
      </w:r>
      <w:r w:rsidRPr="00B6180D">
        <w:rPr>
          <w:szCs w:val="24"/>
        </w:rPr>
        <w:t>.</w:t>
      </w:r>
    </w:p>
    <w:p w14:paraId="48C8B086" w14:textId="77777777" w:rsidR="00857612" w:rsidRPr="00B6180D" w:rsidRDefault="00857612" w:rsidP="000E3C74">
      <w:pPr>
        <w:spacing w:after="240"/>
        <w:rPr>
          <w:szCs w:val="24"/>
        </w:rPr>
      </w:pPr>
      <w:r w:rsidRPr="00B6180D">
        <w:rPr>
          <w:i/>
          <w:iCs/>
          <w:szCs w:val="24"/>
        </w:rPr>
        <w:t>New definition of “conversion instrument”</w:t>
      </w:r>
    </w:p>
    <w:p w14:paraId="5628CD6F" w14:textId="77777777" w:rsidR="00857612" w:rsidRPr="00B6180D" w:rsidRDefault="00857612" w:rsidP="000E3C74">
      <w:pPr>
        <w:spacing w:after="240"/>
        <w:rPr>
          <w:szCs w:val="24"/>
        </w:rPr>
      </w:pPr>
      <w:r w:rsidRPr="00B6180D">
        <w:rPr>
          <w:szCs w:val="24"/>
        </w:rPr>
        <w:t xml:space="preserve">This item provides that “conversion instrument” means the instrument titled </w:t>
      </w:r>
      <w:r w:rsidRPr="00B6180D">
        <w:rPr>
          <w:i/>
          <w:iCs/>
          <w:szCs w:val="24"/>
        </w:rPr>
        <w:t xml:space="preserve">Payment of Visa Application Charges and Fees in Foreign Currencies, </w:t>
      </w:r>
      <w:r w:rsidRPr="00B6180D">
        <w:rPr>
          <w:szCs w:val="24"/>
        </w:rPr>
        <w:t>(IMMI 15/051), that commences on 1 July 2015.</w:t>
      </w:r>
    </w:p>
    <w:p w14:paraId="765E0EF0" w14:textId="77777777" w:rsidR="00857612" w:rsidRPr="00B6180D" w:rsidRDefault="00857612" w:rsidP="000E3C74">
      <w:pPr>
        <w:spacing w:after="240"/>
        <w:rPr>
          <w:szCs w:val="24"/>
        </w:rPr>
      </w:pPr>
      <w:r w:rsidRPr="00B6180D">
        <w:rPr>
          <w:szCs w:val="24"/>
        </w:rPr>
        <w:t>The definition of “conversion instrument” is relevant to provisions in the Citizenship Regulations which allow a person who makes an application under the Citizenship Act to pay the prescribed fee in a foreign currency specified in the conversion instrument.</w:t>
      </w:r>
    </w:p>
    <w:p w14:paraId="116FF172" w14:textId="77777777" w:rsidR="00857612" w:rsidRPr="00B6180D" w:rsidRDefault="00857612" w:rsidP="000E3C74">
      <w:pPr>
        <w:spacing w:after="240"/>
        <w:rPr>
          <w:szCs w:val="24"/>
        </w:rPr>
      </w:pPr>
      <w:r w:rsidRPr="00B6180D">
        <w:rPr>
          <w:szCs w:val="24"/>
        </w:rPr>
        <w:t xml:space="preserve">This item replaces a reference to the previous instrument in the definition of “conversion instrument” with a reference to an instrument that is made under subregulation 5.36(1A) of the </w:t>
      </w:r>
      <w:r w:rsidRPr="00601AFD">
        <w:rPr>
          <w:iCs/>
          <w:szCs w:val="24"/>
        </w:rPr>
        <w:t>Migration Regulations</w:t>
      </w:r>
      <w:r w:rsidRPr="00B6180D">
        <w:rPr>
          <w:szCs w:val="24"/>
        </w:rPr>
        <w:t>.  This instrument commences on 1 July 2015 and sets out visa application charge and fee amounts in foreign currencies which correspond to amounts payable in Australian dollars.  If the amount of the application fee is mentioned in the conversion instrument, then payment can be made in the corresponding amount in the foreign currency.</w:t>
      </w:r>
    </w:p>
    <w:p w14:paraId="0E8E5764" w14:textId="61090798" w:rsidR="00857612" w:rsidRPr="00B6180D" w:rsidRDefault="00857612" w:rsidP="000E3C74">
      <w:pPr>
        <w:pStyle w:val="CommentText"/>
        <w:rPr>
          <w:sz w:val="24"/>
          <w:szCs w:val="24"/>
        </w:rPr>
      </w:pPr>
      <w:r w:rsidRPr="00B6180D">
        <w:rPr>
          <w:sz w:val="24"/>
          <w:szCs w:val="24"/>
        </w:rPr>
        <w:t xml:space="preserve">By referring to the current instrument made under subregulation 5.36(1A) of the </w:t>
      </w:r>
      <w:r w:rsidRPr="00601AFD">
        <w:rPr>
          <w:iCs/>
          <w:sz w:val="24"/>
          <w:szCs w:val="24"/>
        </w:rPr>
        <w:t>Migration Regulations</w:t>
      </w:r>
      <w:r w:rsidRPr="00B6180D">
        <w:rPr>
          <w:sz w:val="24"/>
          <w:szCs w:val="24"/>
        </w:rPr>
        <w:t xml:space="preserve">, application fees and refunds </w:t>
      </w:r>
      <w:r w:rsidR="00FD1C85">
        <w:rPr>
          <w:sz w:val="24"/>
          <w:szCs w:val="24"/>
        </w:rPr>
        <w:t>payable</w:t>
      </w:r>
      <w:r w:rsidR="00FD1C85" w:rsidRPr="00B6180D">
        <w:rPr>
          <w:sz w:val="24"/>
          <w:szCs w:val="24"/>
        </w:rPr>
        <w:t xml:space="preserve"> </w:t>
      </w:r>
      <w:r w:rsidRPr="00B6180D">
        <w:rPr>
          <w:sz w:val="24"/>
          <w:szCs w:val="24"/>
        </w:rPr>
        <w:t xml:space="preserve">under </w:t>
      </w:r>
      <w:r w:rsidRPr="00FD1C85">
        <w:rPr>
          <w:i/>
          <w:sz w:val="24"/>
          <w:szCs w:val="24"/>
        </w:rPr>
        <w:t>the</w:t>
      </w:r>
      <w:r w:rsidR="00FD1C85" w:rsidRPr="00FD1C85">
        <w:rPr>
          <w:i/>
          <w:sz w:val="24"/>
          <w:szCs w:val="24"/>
        </w:rPr>
        <w:t xml:space="preserve"> Australian</w:t>
      </w:r>
      <w:r w:rsidRPr="00FD1C85">
        <w:rPr>
          <w:i/>
          <w:sz w:val="24"/>
          <w:szCs w:val="24"/>
        </w:rPr>
        <w:t xml:space="preserve"> Citizenship Act </w:t>
      </w:r>
      <w:r w:rsidR="00FD1C85" w:rsidRPr="00FD1C85">
        <w:rPr>
          <w:i/>
          <w:sz w:val="24"/>
          <w:szCs w:val="24"/>
        </w:rPr>
        <w:t>2007</w:t>
      </w:r>
      <w:r w:rsidR="00FD1C85">
        <w:rPr>
          <w:i/>
          <w:sz w:val="24"/>
          <w:szCs w:val="24"/>
        </w:rPr>
        <w:t xml:space="preserve"> </w:t>
      </w:r>
      <w:r w:rsidR="00FD1C85">
        <w:rPr>
          <w:sz w:val="24"/>
          <w:szCs w:val="24"/>
        </w:rPr>
        <w:t>(the Citizenship Act)</w:t>
      </w:r>
      <w:r w:rsidR="00FD1C85" w:rsidRPr="004F287A">
        <w:rPr>
          <w:i/>
          <w:sz w:val="24"/>
          <w:szCs w:val="24"/>
        </w:rPr>
        <w:t xml:space="preserve"> </w:t>
      </w:r>
      <w:r w:rsidRPr="00B6180D">
        <w:rPr>
          <w:sz w:val="24"/>
          <w:szCs w:val="24"/>
        </w:rPr>
        <w:t>can continue to be paid in foreign currencies. This amendment reduces hardship for clients making applications at overseas posts.</w:t>
      </w:r>
    </w:p>
    <w:p w14:paraId="05BB5AEB" w14:textId="0D3EA0FC" w:rsidR="00857612" w:rsidRPr="00B6180D" w:rsidRDefault="00857612" w:rsidP="000E3C74">
      <w:pPr>
        <w:spacing w:after="240"/>
        <w:rPr>
          <w:szCs w:val="24"/>
        </w:rPr>
      </w:pPr>
      <w:r w:rsidRPr="00B6180D">
        <w:rPr>
          <w:szCs w:val="24"/>
        </w:rPr>
        <w:t xml:space="preserve">Due to the operation of section 14 of the </w:t>
      </w:r>
      <w:r w:rsidRPr="00B6180D">
        <w:rPr>
          <w:i/>
          <w:iCs/>
          <w:szCs w:val="24"/>
        </w:rPr>
        <w:t>Legislative Instruments Act 2003</w:t>
      </w:r>
      <w:r w:rsidRPr="00B6180D">
        <w:rPr>
          <w:szCs w:val="24"/>
        </w:rPr>
        <w:t xml:space="preserve">, it is not possible to incorporate by reference the instrument made under subregulation 5.36(1A) of the </w:t>
      </w:r>
      <w:r w:rsidR="0019466D">
        <w:rPr>
          <w:szCs w:val="24"/>
        </w:rPr>
        <w:t xml:space="preserve">Migration </w:t>
      </w:r>
      <w:r w:rsidRPr="00B6180D">
        <w:rPr>
          <w:szCs w:val="24"/>
        </w:rPr>
        <w:t xml:space="preserve">Regulations as in force from time to time.  Rather, the current instrument needs to be incorporated by reference at the time of commencement of </w:t>
      </w:r>
      <w:r w:rsidR="00057018">
        <w:rPr>
          <w:szCs w:val="24"/>
        </w:rPr>
        <w:t>the Migration Regulations</w:t>
      </w:r>
      <w:r w:rsidRPr="00B6180D">
        <w:rPr>
          <w:szCs w:val="24"/>
        </w:rPr>
        <w:t xml:space="preserve">. </w:t>
      </w:r>
    </w:p>
    <w:p w14:paraId="7F9B96B3" w14:textId="77777777" w:rsidR="00857612" w:rsidRPr="00B6180D" w:rsidRDefault="00857612" w:rsidP="000E3C74">
      <w:pPr>
        <w:spacing w:after="240"/>
        <w:rPr>
          <w:szCs w:val="24"/>
        </w:rPr>
      </w:pPr>
      <w:r w:rsidRPr="00B6180D">
        <w:rPr>
          <w:szCs w:val="24"/>
        </w:rPr>
        <w:t xml:space="preserve">Instruments made under the </w:t>
      </w:r>
      <w:r w:rsidRPr="00601AFD">
        <w:rPr>
          <w:iCs/>
          <w:szCs w:val="24"/>
        </w:rPr>
        <w:t>Migration Regulations</w:t>
      </w:r>
      <w:r w:rsidRPr="00B6180D">
        <w:rPr>
          <w:i/>
          <w:iCs/>
          <w:szCs w:val="24"/>
        </w:rPr>
        <w:t xml:space="preserve"> </w:t>
      </w:r>
      <w:r w:rsidRPr="00B6180D">
        <w:rPr>
          <w:szCs w:val="24"/>
        </w:rPr>
        <w:t>are incorporated in the Citizenship Regulations because the Citizenship Act does not currently permit the Minister for Immigration and Border Protection to make instruments under the Citizenship Regulations.</w:t>
      </w:r>
    </w:p>
    <w:p w14:paraId="0EF14D1D" w14:textId="77777777" w:rsidR="00857612" w:rsidRPr="00B6180D" w:rsidRDefault="00485EA3" w:rsidP="000E3C74">
      <w:pPr>
        <w:rPr>
          <w:szCs w:val="24"/>
        </w:rPr>
      </w:pPr>
      <w:r>
        <w:rPr>
          <w:i/>
          <w:iCs/>
          <w:szCs w:val="24"/>
        </w:rPr>
        <w:t>N</w:t>
      </w:r>
      <w:r w:rsidR="00857612" w:rsidRPr="00B6180D">
        <w:rPr>
          <w:i/>
          <w:iCs/>
          <w:szCs w:val="24"/>
        </w:rPr>
        <w:t>ew definition of “places and currencies instrument”</w:t>
      </w:r>
    </w:p>
    <w:p w14:paraId="5A27FD38" w14:textId="77777777" w:rsidR="00857612" w:rsidRPr="00B6180D" w:rsidRDefault="00857612" w:rsidP="000E3C74">
      <w:pPr>
        <w:spacing w:after="240"/>
        <w:rPr>
          <w:szCs w:val="24"/>
        </w:rPr>
      </w:pPr>
      <w:r w:rsidRPr="00B6180D">
        <w:rPr>
          <w:szCs w:val="24"/>
        </w:rPr>
        <w:t xml:space="preserve">This item provides that “places and currencies instrument” means the instrument titled </w:t>
      </w:r>
      <w:r w:rsidRPr="00B6180D">
        <w:rPr>
          <w:i/>
          <w:iCs/>
          <w:szCs w:val="24"/>
        </w:rPr>
        <w:t>Places and Currencies for Paying of Fees</w:t>
      </w:r>
      <w:r w:rsidRPr="00B6180D">
        <w:rPr>
          <w:szCs w:val="24"/>
        </w:rPr>
        <w:t>, (IMMI 15/052), that commences on 1 July 2015.</w:t>
      </w:r>
    </w:p>
    <w:p w14:paraId="4B2A2336" w14:textId="77777777" w:rsidR="00857612" w:rsidRPr="00B6180D" w:rsidRDefault="00857612" w:rsidP="000E3C74">
      <w:pPr>
        <w:spacing w:after="240"/>
        <w:rPr>
          <w:szCs w:val="24"/>
        </w:rPr>
      </w:pPr>
      <w:r w:rsidRPr="00B6180D">
        <w:rPr>
          <w:szCs w:val="24"/>
        </w:rPr>
        <w:t>The definition of “places and currencies instrument” is relevant to provisions in the Citizenship Regulations which allow a person who makes an application under the Citizenship Act to pay the prescribed fee in a foreign country and a foreign currency specified in the “places and currencies instrument.”</w:t>
      </w:r>
    </w:p>
    <w:p w14:paraId="2A95AE9A" w14:textId="77777777" w:rsidR="00857612" w:rsidRPr="00B6180D" w:rsidRDefault="00857612" w:rsidP="000E3C74">
      <w:pPr>
        <w:spacing w:after="240"/>
        <w:rPr>
          <w:szCs w:val="24"/>
        </w:rPr>
      </w:pPr>
      <w:r w:rsidRPr="00B6180D">
        <w:rPr>
          <w:szCs w:val="24"/>
        </w:rPr>
        <w:lastRenderedPageBreak/>
        <w:t xml:space="preserve">This item replaces a reference to the previous instrument in the definition of “places and currencies instrument” with a reference to an instrument that is made under subregulation 5.36(1) of the </w:t>
      </w:r>
      <w:r w:rsidRPr="00601AFD">
        <w:rPr>
          <w:iCs/>
          <w:szCs w:val="24"/>
        </w:rPr>
        <w:t>Migration Regulations</w:t>
      </w:r>
      <w:r w:rsidRPr="00B6180D">
        <w:rPr>
          <w:szCs w:val="24"/>
        </w:rPr>
        <w:t xml:space="preserve">.  This instrument commences on 1 July 2015 and sets out the places and currencies for paying fees. </w:t>
      </w:r>
    </w:p>
    <w:p w14:paraId="4B581792" w14:textId="01977F8F" w:rsidR="00857612" w:rsidRPr="00B6180D" w:rsidRDefault="00857612" w:rsidP="000E3C74">
      <w:pPr>
        <w:pStyle w:val="CommentText"/>
        <w:rPr>
          <w:sz w:val="24"/>
          <w:szCs w:val="24"/>
        </w:rPr>
      </w:pPr>
      <w:r w:rsidRPr="00B6180D">
        <w:rPr>
          <w:sz w:val="24"/>
          <w:szCs w:val="24"/>
        </w:rPr>
        <w:t xml:space="preserve">By referring to the current instrument made under subregulation 5.36(1) of the </w:t>
      </w:r>
      <w:r w:rsidRPr="00601AFD">
        <w:rPr>
          <w:iCs/>
          <w:sz w:val="24"/>
          <w:szCs w:val="24"/>
        </w:rPr>
        <w:t>Migration Regulations</w:t>
      </w:r>
      <w:r w:rsidRPr="00B6180D">
        <w:rPr>
          <w:sz w:val="24"/>
          <w:szCs w:val="24"/>
        </w:rPr>
        <w:t xml:space="preserve">, application fees and refunds </w:t>
      </w:r>
      <w:r w:rsidR="00FD1C85">
        <w:rPr>
          <w:sz w:val="24"/>
          <w:szCs w:val="24"/>
        </w:rPr>
        <w:t>payable</w:t>
      </w:r>
      <w:r w:rsidR="00FD1C85" w:rsidRPr="00B6180D">
        <w:rPr>
          <w:sz w:val="24"/>
          <w:szCs w:val="24"/>
        </w:rPr>
        <w:t xml:space="preserve"> </w:t>
      </w:r>
      <w:r w:rsidRPr="00B6180D">
        <w:rPr>
          <w:sz w:val="24"/>
          <w:szCs w:val="24"/>
        </w:rPr>
        <w:t>under the Citizenship Act can continue to be paid in foreign countries and foreign currencies. This amendment reduces hardship for clients making applications at overseas posts.</w:t>
      </w:r>
    </w:p>
    <w:p w14:paraId="0D8D1CC6" w14:textId="7E1756AF" w:rsidR="00857612" w:rsidRPr="00B6180D" w:rsidRDefault="00857612" w:rsidP="000E3C74">
      <w:pPr>
        <w:spacing w:after="240"/>
        <w:rPr>
          <w:szCs w:val="24"/>
        </w:rPr>
      </w:pPr>
      <w:r w:rsidRPr="00B6180D">
        <w:rPr>
          <w:szCs w:val="24"/>
        </w:rPr>
        <w:t xml:space="preserve">Due to the operation of section 14 of the </w:t>
      </w:r>
      <w:r w:rsidRPr="00B6180D">
        <w:rPr>
          <w:i/>
          <w:iCs/>
          <w:szCs w:val="24"/>
        </w:rPr>
        <w:t>Legislative Instruments Act 2003</w:t>
      </w:r>
      <w:r w:rsidRPr="00B6180D">
        <w:rPr>
          <w:szCs w:val="24"/>
        </w:rPr>
        <w:t xml:space="preserve">, it is not possible to incorporate by reference the instrument made under subregulation 5.36(1) of the </w:t>
      </w:r>
      <w:r w:rsidRPr="00601AFD">
        <w:rPr>
          <w:iCs/>
          <w:szCs w:val="24"/>
        </w:rPr>
        <w:t>Migration Regulations</w:t>
      </w:r>
      <w:r w:rsidRPr="00B6180D">
        <w:rPr>
          <w:i/>
          <w:iCs/>
          <w:szCs w:val="24"/>
        </w:rPr>
        <w:t xml:space="preserve"> </w:t>
      </w:r>
      <w:r w:rsidRPr="00B6180D">
        <w:rPr>
          <w:szCs w:val="24"/>
        </w:rPr>
        <w:t xml:space="preserve">as in force from time to time.  Rather, the current instrument needs to be incorporated by reference at the time of commencement of </w:t>
      </w:r>
      <w:r w:rsidR="00057018">
        <w:rPr>
          <w:szCs w:val="24"/>
        </w:rPr>
        <w:t>the Migration Regulations</w:t>
      </w:r>
      <w:r w:rsidRPr="00B6180D">
        <w:rPr>
          <w:szCs w:val="24"/>
        </w:rPr>
        <w:t xml:space="preserve">. </w:t>
      </w:r>
    </w:p>
    <w:p w14:paraId="79959E82" w14:textId="77777777" w:rsidR="00857612" w:rsidRPr="00B6180D" w:rsidRDefault="00857612" w:rsidP="000E3C74">
      <w:pPr>
        <w:spacing w:after="240"/>
        <w:rPr>
          <w:szCs w:val="24"/>
        </w:rPr>
      </w:pPr>
      <w:r w:rsidRPr="00B6180D">
        <w:rPr>
          <w:szCs w:val="24"/>
        </w:rPr>
        <w:t xml:space="preserve">Instruments made under the </w:t>
      </w:r>
      <w:r w:rsidR="0019466D">
        <w:rPr>
          <w:szCs w:val="24"/>
        </w:rPr>
        <w:t>Migration</w:t>
      </w:r>
      <w:r w:rsidRPr="00B6180D">
        <w:rPr>
          <w:szCs w:val="24"/>
        </w:rPr>
        <w:t xml:space="preserve"> Regulations are incorporated in the Citizenship Regulations because the Citizenship Act does not currently permit the Minister for Immigration and Border Protection to make instruments under the Citizenship Regulations.</w:t>
      </w:r>
    </w:p>
    <w:p w14:paraId="7BEEE579" w14:textId="77777777" w:rsidR="00521D33" w:rsidRPr="00B6180D" w:rsidRDefault="00745D8E" w:rsidP="000E3C74">
      <w:pPr>
        <w:spacing w:after="240"/>
        <w:rPr>
          <w:b/>
          <w:noProof/>
          <w:szCs w:val="24"/>
          <w:u w:val="single"/>
        </w:rPr>
      </w:pPr>
      <w:r w:rsidRPr="00B6180D">
        <w:rPr>
          <w:b/>
          <w:bCs/>
          <w:szCs w:val="24"/>
          <w:u w:val="single"/>
        </w:rPr>
        <w:t xml:space="preserve">Schedule 4 – </w:t>
      </w:r>
      <w:r w:rsidR="0019466D">
        <w:rPr>
          <w:b/>
          <w:noProof/>
          <w:szCs w:val="24"/>
          <w:u w:val="single"/>
        </w:rPr>
        <w:t>Amendment relating fees</w:t>
      </w:r>
      <w:r w:rsidR="00521D33" w:rsidRPr="00B6180D">
        <w:rPr>
          <w:b/>
          <w:noProof/>
          <w:szCs w:val="24"/>
          <w:u w:val="single"/>
        </w:rPr>
        <w:t xml:space="preserve"> to accompany application for evidence of Australian citizen</w:t>
      </w:r>
      <w:bookmarkStart w:id="9" w:name="BK_S2P1L7C19"/>
      <w:bookmarkEnd w:id="9"/>
      <w:r w:rsidR="00521D33" w:rsidRPr="00B6180D">
        <w:rPr>
          <w:b/>
          <w:noProof/>
          <w:szCs w:val="24"/>
          <w:u w:val="single"/>
        </w:rPr>
        <w:t>ship</w:t>
      </w:r>
    </w:p>
    <w:p w14:paraId="16E643BA" w14:textId="77777777" w:rsidR="00521D33" w:rsidRPr="00B6180D" w:rsidRDefault="00521D33" w:rsidP="000E3C74">
      <w:pPr>
        <w:spacing w:after="240"/>
        <w:rPr>
          <w:szCs w:val="24"/>
        </w:rPr>
      </w:pPr>
      <w:r w:rsidRPr="00B6180D">
        <w:rPr>
          <w:szCs w:val="24"/>
          <w:u w:val="single"/>
        </w:rPr>
        <w:t>Item [1] – Regulation 12AA</w:t>
      </w:r>
    </w:p>
    <w:p w14:paraId="1AC0F849" w14:textId="2C053F1B" w:rsidR="00521D33" w:rsidRPr="00B6180D" w:rsidRDefault="00521D33" w:rsidP="000E3C74">
      <w:pPr>
        <w:spacing w:after="240"/>
        <w:rPr>
          <w:szCs w:val="24"/>
        </w:rPr>
      </w:pPr>
      <w:r w:rsidRPr="00B6180D">
        <w:rPr>
          <w:szCs w:val="24"/>
        </w:rPr>
        <w:t xml:space="preserve">This item inserts new subregulations 12AA(1) and (2) in Part 3 of </w:t>
      </w:r>
      <w:r w:rsidR="00C54919">
        <w:rPr>
          <w:szCs w:val="24"/>
        </w:rPr>
        <w:t xml:space="preserve">the </w:t>
      </w:r>
      <w:r w:rsidRPr="00B6180D">
        <w:rPr>
          <w:szCs w:val="24"/>
        </w:rPr>
        <w:t>Citizenship Regulations.</w:t>
      </w:r>
    </w:p>
    <w:p w14:paraId="7801C775" w14:textId="66C564B4" w:rsidR="00521D33" w:rsidRPr="00B6180D" w:rsidRDefault="00521D33" w:rsidP="000E3C74">
      <w:pPr>
        <w:spacing w:after="240"/>
        <w:rPr>
          <w:szCs w:val="24"/>
        </w:rPr>
      </w:pPr>
      <w:r w:rsidRPr="00B6180D">
        <w:rPr>
          <w:szCs w:val="24"/>
        </w:rPr>
        <w:t xml:space="preserve">Subregulation 12AA(1) provides that the regulation applies to an application for  a replacement evidence of Australia citizenship made under section 37 of the </w:t>
      </w:r>
      <w:r w:rsidR="00FD1C85" w:rsidRPr="002A6BE0">
        <w:rPr>
          <w:szCs w:val="24"/>
        </w:rPr>
        <w:t xml:space="preserve">Citizenship Act </w:t>
      </w:r>
      <w:r w:rsidRPr="00B6180D">
        <w:rPr>
          <w:szCs w:val="24"/>
        </w:rPr>
        <w:t>if the previous evidence of Australian citizenship was lost, destroyed or damaged due to a natural disaster and that natural disaster has been included on a list of natural disasters published on the website of the Department of Immigration and Border Protection and the application is made within 18 months of the date specified for that disaster on the published list.</w:t>
      </w:r>
    </w:p>
    <w:p w14:paraId="774DC385" w14:textId="77777777" w:rsidR="00521D33" w:rsidRPr="00B6180D" w:rsidRDefault="00521D33" w:rsidP="000E3C74">
      <w:pPr>
        <w:spacing w:after="240"/>
        <w:rPr>
          <w:szCs w:val="24"/>
        </w:rPr>
      </w:pPr>
      <w:r w:rsidRPr="00B6180D">
        <w:rPr>
          <w:szCs w:val="24"/>
        </w:rPr>
        <w:t>Subregulation 12AA(2) provides the evidentiary requirements in relation to an application made under subregulation 12AA(1). Under this subregulation an applicant is required to provide a statutory declaration in relation to the loss of evidence of their Australian Citizenship. To ensure the integrity of Australian Citizenship evidence, where the evidence of Australian Citizenship has been damaged (but not necessarily lost or destroyed) due to a natural disaster the applicant is required to provide the damaged evidence with their application. Applicants will still be required to satisfy the Minister as to their identity in accordance with subsection 37(4) of the Citizenship Act and meet application requirements in accordance with section 46(1).</w:t>
      </w:r>
    </w:p>
    <w:p w14:paraId="7D52B46F" w14:textId="77777777" w:rsidR="00521D33" w:rsidRPr="00B6180D" w:rsidRDefault="00521D33" w:rsidP="000E3C74">
      <w:pPr>
        <w:spacing w:after="240"/>
        <w:rPr>
          <w:szCs w:val="24"/>
        </w:rPr>
      </w:pPr>
      <w:r w:rsidRPr="00B6180D">
        <w:rPr>
          <w:szCs w:val="24"/>
        </w:rPr>
        <w:t>The note following subregulation 12AA(2) stipulates that in circumstances where this regulation applies, no fee is payable and directs the reader to Schedule 3 of the Citizenship  Regulations which deals with the amounts to accompany certain applications.</w:t>
      </w:r>
    </w:p>
    <w:p w14:paraId="68E0EE8C" w14:textId="77777777" w:rsidR="00521D33" w:rsidRPr="00B6180D" w:rsidRDefault="00521D33" w:rsidP="000E3C74">
      <w:pPr>
        <w:spacing w:after="240"/>
        <w:rPr>
          <w:szCs w:val="24"/>
        </w:rPr>
      </w:pPr>
      <w:r w:rsidRPr="00B6180D">
        <w:rPr>
          <w:szCs w:val="24"/>
        </w:rPr>
        <w:lastRenderedPageBreak/>
        <w:t>A range of Commonwealth as well as State and Territory agencies make provision for the replacement of documents that have been lost during, or damaged by, a natural disaster.</w:t>
      </w:r>
    </w:p>
    <w:p w14:paraId="182C642D" w14:textId="32AA41D8" w:rsidR="00521D33" w:rsidRPr="00B6180D" w:rsidRDefault="00521D33" w:rsidP="000E3C74">
      <w:pPr>
        <w:spacing w:after="240"/>
        <w:rPr>
          <w:szCs w:val="24"/>
        </w:rPr>
      </w:pPr>
      <w:r w:rsidRPr="00B6180D">
        <w:rPr>
          <w:szCs w:val="24"/>
        </w:rPr>
        <w:t>The amendments are intended to cater for applicants whose previous evidence of citizenship was lost or damaged as a result of certain natural disasters, such as a bushfire or flood. The requirement for the natural disaster to be published on the website is intended to limit the circumstances where no fee is payable. The intention of this arrangement is to encourage affected applicants to make an application in a timely manner.</w:t>
      </w:r>
    </w:p>
    <w:p w14:paraId="7A0BDABA" w14:textId="77777777" w:rsidR="00521D33" w:rsidRPr="00B6180D" w:rsidRDefault="00521D33" w:rsidP="000E3C74">
      <w:pPr>
        <w:spacing w:after="240"/>
        <w:rPr>
          <w:szCs w:val="24"/>
        </w:rPr>
      </w:pPr>
      <w:r w:rsidRPr="00B6180D">
        <w:rPr>
          <w:szCs w:val="24"/>
        </w:rPr>
        <w:t>To be eligible for the nil fee, an application must be received within 18 months of the date specified on the published list of natural disasters on the Department of Immigration and Border Protection website. Applications for replacement evidence of citizenship can continue to be made after this time and will attract the appropriate fee in accordance with the relevant table item in Schedule 3 of the Citizenship Regulations.</w:t>
      </w:r>
    </w:p>
    <w:p w14:paraId="33D2FD3E" w14:textId="77777777" w:rsidR="00745D8E" w:rsidRPr="00B6180D" w:rsidRDefault="00745D8E" w:rsidP="000E3C74">
      <w:pPr>
        <w:pStyle w:val="Default"/>
        <w:ind w:right="91"/>
      </w:pPr>
      <w:r w:rsidRPr="00B6180D">
        <w:rPr>
          <w:b/>
          <w:bCs/>
          <w:u w:val="single"/>
        </w:rPr>
        <w:t xml:space="preserve">Schedule 5 – </w:t>
      </w:r>
      <w:r w:rsidR="0019466D">
        <w:rPr>
          <w:b/>
          <w:bCs/>
          <w:u w:val="single"/>
        </w:rPr>
        <w:t>Amendments related to n</w:t>
      </w:r>
      <w:r w:rsidR="00B6180D">
        <w:rPr>
          <w:b/>
          <w:bCs/>
          <w:u w:val="single"/>
        </w:rPr>
        <w:t>ominated positions</w:t>
      </w:r>
    </w:p>
    <w:p w14:paraId="404A0E1D" w14:textId="77777777" w:rsidR="00745D8E" w:rsidRPr="00B6180D" w:rsidRDefault="00745D8E" w:rsidP="000E3C74">
      <w:pPr>
        <w:tabs>
          <w:tab w:val="left" w:pos="345"/>
        </w:tabs>
        <w:spacing w:before="0"/>
        <w:ind w:right="662"/>
        <w:rPr>
          <w:szCs w:val="24"/>
          <w:u w:val="single"/>
        </w:rPr>
      </w:pPr>
    </w:p>
    <w:p w14:paraId="740C3929" w14:textId="77777777" w:rsidR="00B6180D" w:rsidRPr="00B02FD0" w:rsidRDefault="00B6180D" w:rsidP="000E3C74">
      <w:pPr>
        <w:spacing w:before="0"/>
        <w:ind w:right="-57"/>
        <w:rPr>
          <w:szCs w:val="24"/>
          <w:u w:val="single"/>
        </w:rPr>
      </w:pPr>
      <w:r w:rsidRPr="00B02FD0">
        <w:rPr>
          <w:szCs w:val="24"/>
          <w:u w:val="single"/>
        </w:rPr>
        <w:t xml:space="preserve">Item 1 – </w:t>
      </w:r>
      <w:r>
        <w:rPr>
          <w:szCs w:val="24"/>
          <w:u w:val="single"/>
        </w:rPr>
        <w:t>S</w:t>
      </w:r>
      <w:r w:rsidRPr="00010CC8">
        <w:rPr>
          <w:szCs w:val="24"/>
          <w:u w:val="single"/>
        </w:rPr>
        <w:t>ub-subparagraph 5.19(4)(h)(ii)(D)</w:t>
      </w:r>
    </w:p>
    <w:p w14:paraId="13F9D6CE" w14:textId="77777777" w:rsidR="00485EA3" w:rsidRDefault="00485EA3" w:rsidP="000E3C74">
      <w:pPr>
        <w:ind w:right="91"/>
      </w:pPr>
      <w:r>
        <w:t xml:space="preserve">This item repeals and substitutes sub-subparagraph 5.19(4)(h)(ii)(D). </w:t>
      </w:r>
      <w:r w:rsidR="00DB04BF">
        <w:t>Previous</w:t>
      </w:r>
      <w:r>
        <w:t xml:space="preserve"> sub-subparagraph 5.19(4)(h)(ii)(D) provided that the tasks to be performed in the position correspond to the tasks of an occupation at a skill level of ANZSCO skill level 1, 2 or 3. </w:t>
      </w:r>
      <w:r w:rsidR="00DB04BF">
        <w:t>Amended</w:t>
      </w:r>
      <w:r>
        <w:t xml:space="preserve"> sub-subparagraph 5.19(4)(h)(ii)(D) provides that the tasks to be performed in the position correspond to the tasks of an occupation specified by the Minister in an instrument in writing.</w:t>
      </w:r>
    </w:p>
    <w:p w14:paraId="72B24884" w14:textId="77777777" w:rsidR="00B6180D" w:rsidRDefault="00B6180D" w:rsidP="000E3C74">
      <w:pPr>
        <w:spacing w:before="0"/>
        <w:ind w:right="91"/>
        <w:rPr>
          <w:szCs w:val="24"/>
          <w:highlight w:val="yellow"/>
        </w:rPr>
      </w:pPr>
    </w:p>
    <w:p w14:paraId="3C94EC2F" w14:textId="4F5A82C4" w:rsidR="00B6180D" w:rsidRPr="006A0B9F" w:rsidRDefault="00B6180D" w:rsidP="000E3C74">
      <w:pPr>
        <w:spacing w:before="0"/>
        <w:ind w:right="91"/>
        <w:rPr>
          <w:szCs w:val="24"/>
        </w:rPr>
      </w:pPr>
      <w:r>
        <w:rPr>
          <w:szCs w:val="24"/>
        </w:rPr>
        <w:t xml:space="preserve">The effect of this amendment is to </w:t>
      </w:r>
      <w:r w:rsidRPr="006A0B9F">
        <w:rPr>
          <w:szCs w:val="24"/>
        </w:rPr>
        <w:t>provide for a new legislative instrument</w:t>
      </w:r>
      <w:r>
        <w:rPr>
          <w:szCs w:val="24"/>
        </w:rPr>
        <w:t xml:space="preserve"> making power</w:t>
      </w:r>
      <w:r w:rsidRPr="006A0B9F">
        <w:rPr>
          <w:szCs w:val="24"/>
        </w:rPr>
        <w:t xml:space="preserve"> specifying which occupations are eligible </w:t>
      </w:r>
      <w:r w:rsidR="00C42B81">
        <w:rPr>
          <w:szCs w:val="24"/>
        </w:rPr>
        <w:t>to be nominated</w:t>
      </w:r>
      <w:r w:rsidR="00C42B81" w:rsidRPr="006A0B9F">
        <w:rPr>
          <w:szCs w:val="24"/>
        </w:rPr>
        <w:t xml:space="preserve"> </w:t>
      </w:r>
      <w:r w:rsidRPr="006A0B9F">
        <w:rPr>
          <w:szCs w:val="24"/>
        </w:rPr>
        <w:t xml:space="preserve">for the Direct Entry stream </w:t>
      </w:r>
      <w:r w:rsidR="00C42B81">
        <w:rPr>
          <w:szCs w:val="24"/>
        </w:rPr>
        <w:t>of</w:t>
      </w:r>
      <w:r w:rsidR="00C42B81" w:rsidRPr="006A0B9F">
        <w:rPr>
          <w:szCs w:val="24"/>
        </w:rPr>
        <w:t xml:space="preserve"> </w:t>
      </w:r>
      <w:r w:rsidRPr="006A0B9F">
        <w:rPr>
          <w:szCs w:val="24"/>
        </w:rPr>
        <w:t xml:space="preserve">the Subclass 187 </w:t>
      </w:r>
      <w:r>
        <w:rPr>
          <w:szCs w:val="24"/>
        </w:rPr>
        <w:t>(</w:t>
      </w:r>
      <w:r w:rsidRPr="0021333E">
        <w:rPr>
          <w:szCs w:val="24"/>
        </w:rPr>
        <w:t>Regional Sponsored Migration Scheme</w:t>
      </w:r>
      <w:r>
        <w:rPr>
          <w:szCs w:val="24"/>
        </w:rPr>
        <w:t xml:space="preserve">) </w:t>
      </w:r>
      <w:r w:rsidRPr="006A0B9F">
        <w:rPr>
          <w:szCs w:val="24"/>
        </w:rPr>
        <w:t>visa</w:t>
      </w:r>
      <w:r>
        <w:rPr>
          <w:szCs w:val="24"/>
        </w:rPr>
        <w:t xml:space="preserve"> (Subclass 187 visa)</w:t>
      </w:r>
      <w:r w:rsidRPr="006A0B9F">
        <w:rPr>
          <w:szCs w:val="24"/>
        </w:rPr>
        <w:t>.</w:t>
      </w:r>
    </w:p>
    <w:p w14:paraId="3835A735" w14:textId="77777777" w:rsidR="00B6180D" w:rsidRPr="006A0B9F" w:rsidRDefault="00B6180D" w:rsidP="000E3C74">
      <w:pPr>
        <w:spacing w:before="0"/>
        <w:ind w:right="91"/>
        <w:rPr>
          <w:szCs w:val="24"/>
        </w:rPr>
      </w:pPr>
    </w:p>
    <w:p w14:paraId="5F6D656A" w14:textId="38C3F3ED" w:rsidR="00B6180D" w:rsidRDefault="00B6180D" w:rsidP="000E3C74">
      <w:pPr>
        <w:spacing w:before="0"/>
        <w:ind w:right="91"/>
        <w:rPr>
          <w:szCs w:val="24"/>
        </w:rPr>
      </w:pPr>
      <w:r>
        <w:rPr>
          <w:szCs w:val="24"/>
        </w:rPr>
        <w:t>The purpose of this amendment is to ensure</w:t>
      </w:r>
      <w:r w:rsidRPr="006A0B9F">
        <w:rPr>
          <w:szCs w:val="24"/>
        </w:rPr>
        <w:t xml:space="preserve"> </w:t>
      </w:r>
      <w:r w:rsidR="00435DAE">
        <w:rPr>
          <w:szCs w:val="24"/>
        </w:rPr>
        <w:t xml:space="preserve">that the Minister has the flexibility to specify </w:t>
      </w:r>
      <w:r w:rsidR="00435DAE" w:rsidRPr="00B6180D">
        <w:rPr>
          <w:szCs w:val="24"/>
        </w:rPr>
        <w:t xml:space="preserve">occupations that are eligible occupations for </w:t>
      </w:r>
      <w:r w:rsidR="00C42B81">
        <w:rPr>
          <w:szCs w:val="24"/>
        </w:rPr>
        <w:t xml:space="preserve">employer </w:t>
      </w:r>
      <w:r w:rsidR="00435DAE" w:rsidRPr="00B6180D">
        <w:rPr>
          <w:szCs w:val="24"/>
        </w:rPr>
        <w:t>nomination for the Subclass</w:t>
      </w:r>
      <w:r w:rsidR="00435DAE">
        <w:rPr>
          <w:szCs w:val="24"/>
        </w:rPr>
        <w:t> </w:t>
      </w:r>
      <w:r w:rsidR="00435DAE" w:rsidRPr="00B6180D">
        <w:rPr>
          <w:szCs w:val="24"/>
        </w:rPr>
        <w:t>187 visa</w:t>
      </w:r>
      <w:r w:rsidR="00435DAE">
        <w:rPr>
          <w:szCs w:val="24"/>
        </w:rPr>
        <w:t xml:space="preserve">.  </w:t>
      </w:r>
    </w:p>
    <w:p w14:paraId="62BCA51C" w14:textId="77777777" w:rsidR="00117F89" w:rsidRPr="00906442" w:rsidRDefault="00117F89" w:rsidP="000E3C74">
      <w:pPr>
        <w:spacing w:before="0"/>
        <w:ind w:right="91"/>
        <w:rPr>
          <w:szCs w:val="24"/>
        </w:rPr>
      </w:pPr>
    </w:p>
    <w:p w14:paraId="46E45E9A" w14:textId="77777777" w:rsidR="00B6180D" w:rsidRPr="00B02FD0" w:rsidRDefault="00B6180D" w:rsidP="00117F89">
      <w:pPr>
        <w:spacing w:before="0"/>
        <w:ind w:right="91"/>
        <w:rPr>
          <w:szCs w:val="24"/>
          <w:u w:val="single"/>
        </w:rPr>
      </w:pPr>
      <w:r>
        <w:rPr>
          <w:szCs w:val="24"/>
          <w:u w:val="single"/>
        </w:rPr>
        <w:t>Item 2</w:t>
      </w:r>
      <w:r w:rsidRPr="00B02FD0">
        <w:rPr>
          <w:szCs w:val="24"/>
          <w:u w:val="single"/>
        </w:rPr>
        <w:t xml:space="preserve"> – </w:t>
      </w:r>
      <w:r w:rsidRPr="00010CC8">
        <w:rPr>
          <w:szCs w:val="24"/>
          <w:u w:val="single"/>
        </w:rPr>
        <w:t>Subparagraph 187.233(1)(a)(</w:t>
      </w:r>
      <w:proofErr w:type="spellStart"/>
      <w:r w:rsidRPr="00010CC8">
        <w:rPr>
          <w:szCs w:val="24"/>
          <w:u w:val="single"/>
        </w:rPr>
        <w:t>i</w:t>
      </w:r>
      <w:proofErr w:type="spellEnd"/>
      <w:r w:rsidRPr="00010CC8">
        <w:rPr>
          <w:szCs w:val="24"/>
          <w:u w:val="single"/>
        </w:rPr>
        <w:t>) of Schedule 2</w:t>
      </w:r>
    </w:p>
    <w:p w14:paraId="420E23AC" w14:textId="77777777" w:rsidR="00B6180D" w:rsidRPr="00B02FD0" w:rsidRDefault="00B6180D" w:rsidP="000E3C74">
      <w:pPr>
        <w:keepNext/>
        <w:keepLines/>
        <w:spacing w:before="0"/>
        <w:ind w:right="-57"/>
        <w:rPr>
          <w:szCs w:val="24"/>
        </w:rPr>
      </w:pPr>
    </w:p>
    <w:p w14:paraId="337B5347" w14:textId="77777777" w:rsidR="00B6180D" w:rsidRDefault="00B6180D" w:rsidP="000E3C74">
      <w:pPr>
        <w:spacing w:before="0"/>
        <w:ind w:right="91"/>
        <w:rPr>
          <w:szCs w:val="24"/>
        </w:rPr>
      </w:pPr>
      <w:r w:rsidRPr="007B529F">
        <w:rPr>
          <w:szCs w:val="24"/>
        </w:rPr>
        <w:t>This item makes a technical amendment to subparagraph 187.233(1)(a)(</w:t>
      </w:r>
      <w:proofErr w:type="spellStart"/>
      <w:r w:rsidRPr="007B529F">
        <w:rPr>
          <w:szCs w:val="24"/>
        </w:rPr>
        <w:t>i</w:t>
      </w:r>
      <w:proofErr w:type="spellEnd"/>
      <w:r w:rsidRPr="007B529F">
        <w:rPr>
          <w:szCs w:val="24"/>
        </w:rPr>
        <w:t>) of Schedule 2 to</w:t>
      </w:r>
      <w:r>
        <w:rPr>
          <w:szCs w:val="24"/>
        </w:rPr>
        <w:t xml:space="preserve"> omit the reference to “5.19(4)(h) ii)” and</w:t>
      </w:r>
      <w:r w:rsidRPr="007B529F">
        <w:rPr>
          <w:szCs w:val="24"/>
        </w:rPr>
        <w:t xml:space="preserve"> substitute “5.19(4)(h)(ii)</w:t>
      </w:r>
      <w:r>
        <w:rPr>
          <w:szCs w:val="24"/>
        </w:rPr>
        <w:t>”</w:t>
      </w:r>
    </w:p>
    <w:p w14:paraId="1D36A3CF" w14:textId="77777777" w:rsidR="00B6180D" w:rsidRDefault="00B6180D" w:rsidP="000E3C74">
      <w:pPr>
        <w:spacing w:before="0"/>
        <w:ind w:right="91"/>
        <w:rPr>
          <w:szCs w:val="24"/>
        </w:rPr>
      </w:pPr>
    </w:p>
    <w:p w14:paraId="54370DF2" w14:textId="62476CB8" w:rsidR="00B6180D" w:rsidRPr="007B529F" w:rsidRDefault="00B6180D" w:rsidP="000E3C74">
      <w:pPr>
        <w:spacing w:before="0"/>
        <w:ind w:right="91"/>
        <w:rPr>
          <w:szCs w:val="24"/>
        </w:rPr>
      </w:pPr>
      <w:r>
        <w:rPr>
          <w:szCs w:val="24"/>
        </w:rPr>
        <w:t xml:space="preserve">The purpose of this amendment is to </w:t>
      </w:r>
      <w:r>
        <w:t>correct</w:t>
      </w:r>
      <w:r w:rsidRPr="007B529F">
        <w:t xml:space="preserve"> the </w:t>
      </w:r>
      <w:r w:rsidR="00FD1C85">
        <w:t>typographical error</w:t>
      </w:r>
      <w:r w:rsidRPr="007B529F">
        <w:rPr>
          <w:szCs w:val="24"/>
        </w:rPr>
        <w:t>.</w:t>
      </w:r>
    </w:p>
    <w:p w14:paraId="5F1EDD45" w14:textId="77777777" w:rsidR="00745D8E" w:rsidRPr="00B6180D" w:rsidRDefault="00745D8E" w:rsidP="000E3C74">
      <w:pPr>
        <w:pStyle w:val="Default"/>
        <w:ind w:right="91"/>
        <w:rPr>
          <w:b/>
          <w:bCs/>
          <w:u w:val="single"/>
        </w:rPr>
      </w:pPr>
    </w:p>
    <w:p w14:paraId="3E1B9089" w14:textId="73D33C93" w:rsidR="00745D8E" w:rsidRPr="00B6180D" w:rsidRDefault="00745D8E" w:rsidP="000E3C74">
      <w:pPr>
        <w:pStyle w:val="Default"/>
        <w:ind w:right="91"/>
      </w:pPr>
      <w:r w:rsidRPr="00B6180D">
        <w:rPr>
          <w:b/>
          <w:bCs/>
          <w:u w:val="single"/>
        </w:rPr>
        <w:t xml:space="preserve">Schedule 6 – </w:t>
      </w:r>
      <w:r w:rsidR="003C1A50">
        <w:rPr>
          <w:b/>
          <w:bCs/>
          <w:u w:val="single"/>
        </w:rPr>
        <w:t>Amendments relating to tribunals amalgamation</w:t>
      </w:r>
    </w:p>
    <w:p w14:paraId="4284A3E6" w14:textId="77777777" w:rsidR="00745D8E" w:rsidRPr="00B6180D" w:rsidRDefault="00745D8E" w:rsidP="000E3C74">
      <w:pPr>
        <w:tabs>
          <w:tab w:val="left" w:pos="345"/>
        </w:tabs>
        <w:spacing w:before="0"/>
        <w:ind w:right="662"/>
        <w:rPr>
          <w:szCs w:val="24"/>
          <w:u w:val="single"/>
        </w:rPr>
      </w:pPr>
    </w:p>
    <w:p w14:paraId="0F776D6B" w14:textId="77777777" w:rsidR="003C1A50" w:rsidRPr="00020344" w:rsidRDefault="003C1A50" w:rsidP="003C1A50">
      <w:pPr>
        <w:spacing w:before="0"/>
        <w:ind w:right="91"/>
        <w:rPr>
          <w:b/>
        </w:rPr>
      </w:pPr>
      <w:r>
        <w:rPr>
          <w:b/>
        </w:rPr>
        <w:t>Part 1 – Main amendments</w:t>
      </w:r>
    </w:p>
    <w:p w14:paraId="73AD5DBC" w14:textId="77777777" w:rsidR="003C1A50" w:rsidRDefault="003C1A50" w:rsidP="003C1A50">
      <w:pPr>
        <w:spacing w:before="0"/>
        <w:ind w:right="91"/>
        <w:rPr>
          <w:b/>
          <w:i/>
        </w:rPr>
      </w:pPr>
    </w:p>
    <w:p w14:paraId="5CF1FA85" w14:textId="77777777" w:rsidR="003C1A50" w:rsidRPr="000B4101" w:rsidRDefault="003C1A50" w:rsidP="003C1A50">
      <w:pPr>
        <w:spacing w:before="0"/>
        <w:ind w:right="91"/>
        <w:rPr>
          <w:b/>
          <w:i/>
        </w:rPr>
      </w:pPr>
      <w:r>
        <w:rPr>
          <w:b/>
          <w:i/>
        </w:rPr>
        <w:t>Migration Agents Regulations 1998</w:t>
      </w:r>
    </w:p>
    <w:p w14:paraId="4A249882" w14:textId="77777777" w:rsidR="003C1A50" w:rsidRDefault="003C1A50" w:rsidP="003C1A50">
      <w:pPr>
        <w:spacing w:before="0"/>
        <w:ind w:right="91"/>
      </w:pPr>
    </w:p>
    <w:p w14:paraId="1A2D0B5C" w14:textId="77777777" w:rsidR="009B689A" w:rsidRDefault="009B689A">
      <w:pPr>
        <w:spacing w:before="0"/>
        <w:rPr>
          <w:u w:val="single"/>
        </w:rPr>
      </w:pPr>
      <w:r>
        <w:rPr>
          <w:u w:val="single"/>
        </w:rPr>
        <w:br w:type="page"/>
      </w:r>
    </w:p>
    <w:p w14:paraId="78FB850C" w14:textId="7D8609A5" w:rsidR="003C1A50" w:rsidRPr="0093233E" w:rsidRDefault="003C1A50" w:rsidP="003C1A50">
      <w:pPr>
        <w:spacing w:before="0"/>
        <w:ind w:right="91"/>
        <w:rPr>
          <w:u w:val="single"/>
        </w:rPr>
      </w:pPr>
      <w:r>
        <w:rPr>
          <w:u w:val="single"/>
        </w:rPr>
        <w:lastRenderedPageBreak/>
        <w:t>Item 1 – Subregulation 7B(4)(d)</w:t>
      </w:r>
    </w:p>
    <w:p w14:paraId="642C04AF" w14:textId="77777777" w:rsidR="003C1A50" w:rsidRDefault="003C1A50" w:rsidP="003C1A50">
      <w:pPr>
        <w:spacing w:before="0"/>
        <w:ind w:right="91"/>
      </w:pPr>
    </w:p>
    <w:p w14:paraId="07BC9A00" w14:textId="1DF6CEBD" w:rsidR="003C1A50" w:rsidRDefault="003C1A50" w:rsidP="003C1A50">
      <w:pPr>
        <w:spacing w:before="0"/>
        <w:ind w:right="91"/>
      </w:pPr>
      <w:r>
        <w:t xml:space="preserve">This item amends paragraph 7B(4)(d) in Part 3 of the </w:t>
      </w:r>
      <w:r w:rsidRPr="00AD27BD">
        <w:rPr>
          <w:i/>
        </w:rPr>
        <w:t>Migration Agents Regulation</w:t>
      </w:r>
      <w:r>
        <w:rPr>
          <w:i/>
        </w:rPr>
        <w:t>s</w:t>
      </w:r>
      <w:r w:rsidRPr="00AD27BD">
        <w:rPr>
          <w:i/>
        </w:rPr>
        <w:t xml:space="preserve"> 1998 </w:t>
      </w:r>
      <w:r>
        <w:t>(the Migration Agents Regulation) by omitting references to the RRT and the MRT. Those tribunals cease to exist on 1 July 2015, at which time they are amalgamated with the Administrative Appeals Tribunal (AAT). Pursuant to Schedule 2 to</w:t>
      </w:r>
      <w:r w:rsidR="00FD1C85">
        <w:t xml:space="preserve"> the </w:t>
      </w:r>
      <w:r w:rsidR="00FD1C85" w:rsidRPr="002B4A6F">
        <w:rPr>
          <w:i/>
        </w:rPr>
        <w:t>Tribunals Amalgamation Act 2015</w:t>
      </w:r>
      <w:r w:rsidR="00FD1C85">
        <w:rPr>
          <w:i/>
        </w:rPr>
        <w:t xml:space="preserve"> </w:t>
      </w:r>
      <w:r w:rsidR="00FD1C85" w:rsidRPr="00D24AE5">
        <w:t>(</w:t>
      </w:r>
      <w:r w:rsidR="00FD1C85">
        <w:t xml:space="preserve">the </w:t>
      </w:r>
      <w:r w:rsidR="00FD1C85" w:rsidRPr="00D24AE5">
        <w:t>Amalga</w:t>
      </w:r>
      <w:r w:rsidR="00FD1C85">
        <w:t>mation Act)</w:t>
      </w:r>
      <w:r>
        <w:rPr>
          <w:i/>
        </w:rPr>
        <w:t>,</w:t>
      </w:r>
      <w:r>
        <w:t xml:space="preserve"> the AAT inherits the review jurisdiction of the MRT and RRT from 1 July 2015. </w:t>
      </w:r>
    </w:p>
    <w:p w14:paraId="696C9F1B" w14:textId="77777777" w:rsidR="003C1A50" w:rsidRDefault="003C1A50" w:rsidP="003C1A50">
      <w:pPr>
        <w:spacing w:before="0"/>
        <w:ind w:right="91"/>
      </w:pPr>
    </w:p>
    <w:p w14:paraId="0720B5FD" w14:textId="1A7DC527" w:rsidR="003C1A50" w:rsidRPr="00152956" w:rsidRDefault="003C1A50" w:rsidP="003C1A50">
      <w:pPr>
        <w:spacing w:before="0"/>
        <w:ind w:right="91"/>
      </w:pPr>
      <w:r>
        <w:t xml:space="preserve">Paragraph 7B(4)(d) refers to “the Tribunal” which is a reference to the AAT. From 1 July 2015, “Tribunal” is defined in subsection 5(1) of the </w:t>
      </w:r>
      <w:r w:rsidRPr="000F4B80">
        <w:t>Migration Act</w:t>
      </w:r>
      <w:r>
        <w:t xml:space="preserve"> as “</w:t>
      </w:r>
      <w:r w:rsidRPr="00894C2E">
        <w:rPr>
          <w:b/>
          <w:i/>
        </w:rPr>
        <w:t xml:space="preserve">Tribunal </w:t>
      </w:r>
      <w:r>
        <w:t xml:space="preserve">means the Administrative Appeals Tribunal”. This change is made by item 8 of Part 1 of Schedule 2 to the </w:t>
      </w:r>
      <w:r>
        <w:rPr>
          <w:i/>
        </w:rPr>
        <w:t>Amalgamation Act</w:t>
      </w:r>
      <w:r>
        <w:t xml:space="preserve">. The definition of Tribunal in </w:t>
      </w:r>
      <w:r w:rsidR="000F4B80">
        <w:t>the Migration Act</w:t>
      </w:r>
      <w:r>
        <w:t xml:space="preserve"> applies to the </w:t>
      </w:r>
      <w:r w:rsidRPr="00AD27BD">
        <w:rPr>
          <w:i/>
        </w:rPr>
        <w:t>Migration Agents Regulation</w:t>
      </w:r>
      <w:r>
        <w:rPr>
          <w:i/>
        </w:rPr>
        <w:t>s</w:t>
      </w:r>
      <w:r w:rsidRPr="00AD27BD">
        <w:rPr>
          <w:i/>
        </w:rPr>
        <w:t xml:space="preserve"> 1998</w:t>
      </w:r>
      <w:r>
        <w:rPr>
          <w:i/>
        </w:rPr>
        <w:t xml:space="preserve"> </w:t>
      </w:r>
      <w:r>
        <w:t xml:space="preserve">pursuant to paragraph 13(1)(b) of the </w:t>
      </w:r>
      <w:r w:rsidRPr="009A073F">
        <w:rPr>
          <w:i/>
        </w:rPr>
        <w:t>Legislative Instruments Act 2003</w:t>
      </w:r>
      <w:r>
        <w:t>.</w:t>
      </w:r>
    </w:p>
    <w:p w14:paraId="0CF262F6" w14:textId="77777777" w:rsidR="003C1A50" w:rsidRDefault="003C1A50" w:rsidP="003C1A50">
      <w:pPr>
        <w:spacing w:before="0"/>
        <w:ind w:right="91"/>
      </w:pPr>
    </w:p>
    <w:p w14:paraId="49CB25BF" w14:textId="77777777" w:rsidR="003C1A50" w:rsidRPr="0093233E" w:rsidRDefault="003C1A50" w:rsidP="003C1A50">
      <w:pPr>
        <w:spacing w:before="0"/>
        <w:ind w:right="91"/>
        <w:rPr>
          <w:u w:val="single"/>
        </w:rPr>
      </w:pPr>
      <w:r>
        <w:rPr>
          <w:u w:val="single"/>
        </w:rPr>
        <w:t>Item 2 – At the end of subregulation 7B(4)</w:t>
      </w:r>
    </w:p>
    <w:p w14:paraId="1173FAF0" w14:textId="77777777" w:rsidR="003C1A50" w:rsidRDefault="003C1A50" w:rsidP="003C1A50">
      <w:pPr>
        <w:spacing w:before="0"/>
        <w:ind w:right="91"/>
      </w:pPr>
    </w:p>
    <w:p w14:paraId="296E87E7" w14:textId="53671B1B" w:rsidR="003C1A50" w:rsidRDefault="003C1A50" w:rsidP="003C1A50">
      <w:pPr>
        <w:spacing w:before="0"/>
        <w:ind w:right="91"/>
      </w:pPr>
      <w:r>
        <w:t xml:space="preserve">This item adds a note at the end of subregulation 7B(4) in Part 3 of the </w:t>
      </w:r>
      <w:r w:rsidRPr="00FD1C85">
        <w:t>Migration Agents Regulations</w:t>
      </w:r>
      <w:r w:rsidRPr="00AD27BD">
        <w:rPr>
          <w:i/>
        </w:rPr>
        <w:t xml:space="preserve"> </w:t>
      </w:r>
      <w:r>
        <w:t xml:space="preserve">to clarify that “Tribunal” is defined in subsection 5(1) of </w:t>
      </w:r>
      <w:r w:rsidR="000F4B80">
        <w:t>the Migration Act</w:t>
      </w:r>
      <w:r>
        <w:t xml:space="preserve">. Subsection 5(1) provides that “Tribunal” means the AAT. The amendment is consequential to Schedule 2 to the </w:t>
      </w:r>
      <w:r>
        <w:rPr>
          <w:i/>
        </w:rPr>
        <w:t>Amalgamation Act</w:t>
      </w:r>
      <w:r>
        <w:t>.</w:t>
      </w:r>
    </w:p>
    <w:p w14:paraId="10608409" w14:textId="77777777" w:rsidR="003C1A50" w:rsidRDefault="003C1A50" w:rsidP="003C1A50">
      <w:pPr>
        <w:spacing w:before="0"/>
        <w:ind w:right="91"/>
        <w:rPr>
          <w:u w:val="single"/>
        </w:rPr>
      </w:pPr>
    </w:p>
    <w:p w14:paraId="61B5FBF3" w14:textId="77777777" w:rsidR="003C1A50" w:rsidRPr="002C4B9A" w:rsidRDefault="003C1A50" w:rsidP="003C1A50">
      <w:pPr>
        <w:spacing w:before="0"/>
        <w:ind w:right="91"/>
        <w:rPr>
          <w:u w:val="single"/>
        </w:rPr>
      </w:pPr>
      <w:r w:rsidRPr="002C4B9A">
        <w:rPr>
          <w:u w:val="single"/>
        </w:rPr>
        <w:t>Item</w:t>
      </w:r>
      <w:r>
        <w:rPr>
          <w:u w:val="single"/>
        </w:rPr>
        <w:t> 3</w:t>
      </w:r>
      <w:r w:rsidRPr="002C4B9A">
        <w:rPr>
          <w:u w:val="single"/>
        </w:rPr>
        <w:t xml:space="preserve"> – Regulation 7H</w:t>
      </w:r>
    </w:p>
    <w:p w14:paraId="1D8F7956" w14:textId="77777777" w:rsidR="003C1A50" w:rsidRDefault="003C1A50" w:rsidP="003C1A50">
      <w:pPr>
        <w:spacing w:before="0"/>
        <w:ind w:right="91"/>
      </w:pPr>
    </w:p>
    <w:p w14:paraId="242EACD7" w14:textId="5DF211F7" w:rsidR="003C1A50" w:rsidRPr="00FD1C85" w:rsidRDefault="003C1A50" w:rsidP="003C1A50">
      <w:pPr>
        <w:spacing w:before="0"/>
        <w:ind w:right="91"/>
      </w:pPr>
      <w:r>
        <w:t xml:space="preserve">This item amends regulation 7H in Part 3 of the </w:t>
      </w:r>
      <w:r w:rsidRPr="001B6B68">
        <w:t>Migration Agents Regulations</w:t>
      </w:r>
      <w:r w:rsidRPr="00AD27BD">
        <w:rPr>
          <w:i/>
        </w:rPr>
        <w:t xml:space="preserve"> </w:t>
      </w:r>
      <w:r>
        <w:t xml:space="preserve">by replacing references to the RRT and MRT with references to the AAT. The amendment is consequential to Schedule 2 to the </w:t>
      </w:r>
      <w:r w:rsidRPr="001B6B68">
        <w:t>Amalgamation Act</w:t>
      </w:r>
      <w:r w:rsidRPr="00FD1C85">
        <w:t>.</w:t>
      </w:r>
    </w:p>
    <w:p w14:paraId="2DA96A5B" w14:textId="77777777" w:rsidR="003C1A50" w:rsidRDefault="003C1A50" w:rsidP="003C1A50">
      <w:pPr>
        <w:spacing w:before="0"/>
        <w:ind w:right="91"/>
      </w:pPr>
    </w:p>
    <w:p w14:paraId="5761EC04" w14:textId="39A898A6" w:rsidR="003C1A50" w:rsidRDefault="003C1A50" w:rsidP="003C1A50">
      <w:pPr>
        <w:spacing w:before="0"/>
        <w:ind w:right="91"/>
        <w:rPr>
          <w:u w:val="single"/>
        </w:rPr>
      </w:pPr>
      <w:r w:rsidRPr="00B35188">
        <w:rPr>
          <w:u w:val="single"/>
        </w:rPr>
        <w:t xml:space="preserve">Item 4– </w:t>
      </w:r>
      <w:r>
        <w:rPr>
          <w:u w:val="single"/>
        </w:rPr>
        <w:t>At the end of r</w:t>
      </w:r>
      <w:r w:rsidRPr="00B35188">
        <w:rPr>
          <w:u w:val="single"/>
        </w:rPr>
        <w:t>egulation 7H</w:t>
      </w:r>
    </w:p>
    <w:p w14:paraId="62A82FD1" w14:textId="77777777" w:rsidR="003C1A50" w:rsidRDefault="003C1A50" w:rsidP="003C1A50">
      <w:pPr>
        <w:spacing w:before="0"/>
        <w:ind w:right="91"/>
        <w:rPr>
          <w:u w:val="single"/>
        </w:rPr>
      </w:pPr>
    </w:p>
    <w:p w14:paraId="693F4103" w14:textId="31863D59" w:rsidR="003C1A50" w:rsidRDefault="003C1A50" w:rsidP="003C1A50">
      <w:pPr>
        <w:spacing w:before="0"/>
        <w:ind w:right="91"/>
      </w:pPr>
      <w:r>
        <w:t xml:space="preserve">This item adds two notes at the end of regulation 7H in Part 3 of the </w:t>
      </w:r>
      <w:r w:rsidRPr="00AD27BD">
        <w:rPr>
          <w:i/>
        </w:rPr>
        <w:t>Migration Agents Regulation</w:t>
      </w:r>
      <w:r>
        <w:rPr>
          <w:i/>
        </w:rPr>
        <w:t>s</w:t>
      </w:r>
      <w:r w:rsidRPr="00AD27BD">
        <w:rPr>
          <w:i/>
        </w:rPr>
        <w:t xml:space="preserve"> 1998</w:t>
      </w:r>
      <w:r>
        <w:t xml:space="preserve">. The first note deals with the obligation of a migration agent, under section 312B of </w:t>
      </w:r>
      <w:r w:rsidR="000F4B80">
        <w:t>the Migration Act</w:t>
      </w:r>
      <w:r>
        <w:t>, to notify the AAT that the agent is representing an applicant for review. The note clarifies that the obligation under section 312B only arises in relation to an application for review of a Part 5-reviewable decision or a Part 7-reviewable decision. This terminology is used, from 1 July 2015, to describe the former jurisdiction of the MRT and RRT which is transferred to the AAT on 1 July 2015.</w:t>
      </w:r>
    </w:p>
    <w:p w14:paraId="3AADF2FF" w14:textId="77777777" w:rsidR="003C1A50" w:rsidRDefault="003C1A50" w:rsidP="003C1A50">
      <w:pPr>
        <w:spacing w:before="0"/>
        <w:ind w:right="91"/>
      </w:pPr>
    </w:p>
    <w:p w14:paraId="3E4FF17C" w14:textId="57C99749" w:rsidR="003C1A50" w:rsidRDefault="003C1A50" w:rsidP="003C1A50">
      <w:pPr>
        <w:spacing w:before="0"/>
        <w:ind w:right="91"/>
      </w:pPr>
      <w:r>
        <w:t xml:space="preserve">The second note clarifies that “Tribunal” is defined in subsection 5(1) of </w:t>
      </w:r>
      <w:r w:rsidR="000F4B80">
        <w:t>the Migration Act</w:t>
      </w:r>
      <w:r>
        <w:t>. Subsection 5(1) provides that “Tribunal” means the AAT.</w:t>
      </w:r>
    </w:p>
    <w:p w14:paraId="1BEFFB84" w14:textId="77777777" w:rsidR="003C1A50" w:rsidRPr="00B35188" w:rsidRDefault="003C1A50" w:rsidP="003C1A50">
      <w:pPr>
        <w:spacing w:before="0"/>
        <w:ind w:right="91"/>
        <w:rPr>
          <w:u w:val="single"/>
        </w:rPr>
      </w:pPr>
    </w:p>
    <w:p w14:paraId="6090A5C8" w14:textId="77777777" w:rsidR="003C1A50" w:rsidRDefault="003C1A50" w:rsidP="003C1A50">
      <w:pPr>
        <w:spacing w:before="0"/>
        <w:ind w:right="91"/>
        <w:rPr>
          <w:b/>
          <w:i/>
        </w:rPr>
      </w:pPr>
      <w:bookmarkStart w:id="10" w:name="_Toc419704999"/>
      <w:r w:rsidRPr="00B430F6">
        <w:rPr>
          <w:b/>
          <w:i/>
        </w:rPr>
        <w:t>Migration Regulations 1994</w:t>
      </w:r>
      <w:bookmarkEnd w:id="10"/>
    </w:p>
    <w:p w14:paraId="2834D7A7" w14:textId="77777777" w:rsidR="003C1A50" w:rsidRPr="00B430F6" w:rsidRDefault="003C1A50" w:rsidP="003C1A50">
      <w:pPr>
        <w:spacing w:before="0"/>
        <w:ind w:right="91"/>
        <w:rPr>
          <w:b/>
        </w:rPr>
      </w:pPr>
    </w:p>
    <w:p w14:paraId="0E41EE06" w14:textId="77777777" w:rsidR="003C1A50" w:rsidRPr="00B430F6" w:rsidRDefault="003C1A50" w:rsidP="003C1A50">
      <w:pPr>
        <w:spacing w:before="0"/>
        <w:ind w:right="91"/>
        <w:rPr>
          <w:u w:val="single"/>
        </w:rPr>
      </w:pPr>
      <w:r>
        <w:rPr>
          <w:u w:val="single"/>
        </w:rPr>
        <w:t xml:space="preserve">Item 5  </w:t>
      </w:r>
      <w:r w:rsidRPr="00B430F6">
        <w:rPr>
          <w:u w:val="single"/>
        </w:rPr>
        <w:t xml:space="preserve">– </w:t>
      </w:r>
      <w:r>
        <w:rPr>
          <w:u w:val="single"/>
        </w:rPr>
        <w:t>Regulation 1.03</w:t>
      </w:r>
    </w:p>
    <w:p w14:paraId="1255132E" w14:textId="77777777" w:rsidR="003C1A50" w:rsidRDefault="003C1A50" w:rsidP="003C1A50">
      <w:pPr>
        <w:spacing w:before="0"/>
        <w:ind w:right="91"/>
        <w:rPr>
          <w:u w:val="single"/>
        </w:rPr>
      </w:pPr>
    </w:p>
    <w:p w14:paraId="64CD8B9F" w14:textId="61D7452F" w:rsidR="003C1A50" w:rsidRPr="00717C70" w:rsidRDefault="003C1A50" w:rsidP="003C1A50">
      <w:pPr>
        <w:spacing w:before="0"/>
        <w:ind w:right="91"/>
      </w:pPr>
      <w:r>
        <w:t xml:space="preserve">This item inserts a definition of “outstanding” in regulation 1.03 in Division 1.2 of Part 1 of the Migration Regulations. The purpose of the definition is to streamline the drafting of provisions in Schedule 2 to the Migration Regulations (see items 33 to 50 </w:t>
      </w:r>
      <w:r>
        <w:lastRenderedPageBreak/>
        <w:t>below). The effect of the definition is that a parent visa application is outstanding if it remains to be decided by the Minister or is subject to merits review by the AAT, or judicial review by a court. This restates an existing requirement in Schedule 2. The definition has been inserted to streamline the drafting. It also makes consequential changes to replace references to the MRT with references to the AAT.</w:t>
      </w:r>
    </w:p>
    <w:p w14:paraId="3C7250A4" w14:textId="77777777" w:rsidR="003C1A50" w:rsidRDefault="003C1A50" w:rsidP="003C1A50">
      <w:pPr>
        <w:spacing w:before="0"/>
        <w:ind w:right="91"/>
        <w:rPr>
          <w:u w:val="single"/>
        </w:rPr>
      </w:pPr>
    </w:p>
    <w:p w14:paraId="088C836A" w14:textId="77777777" w:rsidR="003C1A50" w:rsidRPr="00B430F6" w:rsidRDefault="003C1A50" w:rsidP="003C1A50">
      <w:pPr>
        <w:spacing w:before="0"/>
        <w:ind w:right="91"/>
        <w:rPr>
          <w:u w:val="single"/>
        </w:rPr>
      </w:pPr>
      <w:r>
        <w:rPr>
          <w:u w:val="single"/>
        </w:rPr>
        <w:t xml:space="preserve">Item 6  </w:t>
      </w:r>
      <w:r w:rsidRPr="00B430F6">
        <w:rPr>
          <w:u w:val="single"/>
        </w:rPr>
        <w:t xml:space="preserve">– </w:t>
      </w:r>
      <w:r>
        <w:rPr>
          <w:u w:val="single"/>
        </w:rPr>
        <w:t>S</w:t>
      </w:r>
      <w:r w:rsidRPr="00B430F6">
        <w:rPr>
          <w:u w:val="single"/>
        </w:rPr>
        <w:t>ubparagraph 2.08F(3)(b)(</w:t>
      </w:r>
      <w:proofErr w:type="spellStart"/>
      <w:r w:rsidRPr="00B430F6">
        <w:rPr>
          <w:u w:val="single"/>
        </w:rPr>
        <w:t>i</w:t>
      </w:r>
      <w:proofErr w:type="spellEnd"/>
      <w:r w:rsidRPr="00B430F6">
        <w:rPr>
          <w:u w:val="single"/>
        </w:rPr>
        <w:t>)</w:t>
      </w:r>
    </w:p>
    <w:p w14:paraId="119A3933" w14:textId="77777777" w:rsidR="003C1A50" w:rsidRDefault="003C1A50" w:rsidP="003C1A50">
      <w:pPr>
        <w:spacing w:before="0"/>
        <w:ind w:right="91"/>
      </w:pPr>
      <w:r>
        <w:t xml:space="preserve"> </w:t>
      </w:r>
    </w:p>
    <w:p w14:paraId="64911C23" w14:textId="51569847" w:rsidR="003C1A50" w:rsidRPr="00152956" w:rsidRDefault="003C1A50" w:rsidP="003C1A50">
      <w:pPr>
        <w:spacing w:before="0"/>
        <w:ind w:right="91"/>
      </w:pPr>
      <w:r>
        <w:t xml:space="preserve">This item amends subparagraph </w:t>
      </w:r>
      <w:r w:rsidRPr="00B430F6">
        <w:t>2.08F(3)(b)(</w:t>
      </w:r>
      <w:proofErr w:type="spellStart"/>
      <w:r w:rsidRPr="00B430F6">
        <w:t>i</w:t>
      </w:r>
      <w:proofErr w:type="spellEnd"/>
      <w:r w:rsidRPr="00B430F6">
        <w:t xml:space="preserve">) </w:t>
      </w:r>
      <w:r>
        <w:t xml:space="preserve">in Division 2.2 of Part 2 of the </w:t>
      </w:r>
      <w:proofErr w:type="spellStart"/>
      <w:r>
        <w:t>the</w:t>
      </w:r>
      <w:proofErr w:type="spellEnd"/>
      <w:r>
        <w:t xml:space="preserve"> </w:t>
      </w:r>
      <w:r w:rsidR="002A6BE0">
        <w:t xml:space="preserve">Migration </w:t>
      </w:r>
      <w:r>
        <w:t xml:space="preserve">Regulations </w:t>
      </w:r>
      <w:r w:rsidRPr="00B430F6">
        <w:t xml:space="preserve">to </w:t>
      </w:r>
      <w:r>
        <w:t xml:space="preserve">replace a reference to </w:t>
      </w:r>
      <w:r w:rsidRPr="00B83D71">
        <w:t>“Refugee Review T</w:t>
      </w:r>
      <w:r>
        <w:t xml:space="preserve">ribunal” with a reference to “Tribunal”. From 1 July 2015, “Tribunal” is defined in subsection 5(1) of </w:t>
      </w:r>
      <w:r w:rsidR="000F4B80">
        <w:t>the Migration Act</w:t>
      </w:r>
      <w:r>
        <w:t xml:space="preserve"> as “</w:t>
      </w:r>
      <w:r w:rsidRPr="00894C2E">
        <w:rPr>
          <w:b/>
          <w:i/>
        </w:rPr>
        <w:t xml:space="preserve">Tribunal </w:t>
      </w:r>
      <w:r>
        <w:t xml:space="preserve">means the Administrative Appeals Tribunal”. This change is made by item 8 of Part 1 of Schedule 2 to the </w:t>
      </w:r>
      <w:r>
        <w:rPr>
          <w:i/>
        </w:rPr>
        <w:t>Amalgamation Act</w:t>
      </w:r>
      <w:r>
        <w:t xml:space="preserve">. The definition of Tribunal in </w:t>
      </w:r>
      <w:r w:rsidR="000F4B80">
        <w:t>the Migration Act</w:t>
      </w:r>
      <w:r>
        <w:t xml:space="preserve"> applies to the </w:t>
      </w:r>
      <w:r w:rsidR="002A6BE0">
        <w:t xml:space="preserve">Migration </w:t>
      </w:r>
      <w:r>
        <w:t xml:space="preserve">Regulations pursuant to paragraph 13(1)(b) of the </w:t>
      </w:r>
      <w:r w:rsidRPr="009A073F">
        <w:rPr>
          <w:i/>
        </w:rPr>
        <w:t>Legislative Instruments Act 2003</w:t>
      </w:r>
      <w:r>
        <w:t>.</w:t>
      </w:r>
    </w:p>
    <w:p w14:paraId="2DF156EA" w14:textId="77777777" w:rsidR="003C1A50" w:rsidRDefault="003C1A50" w:rsidP="003C1A50">
      <w:pPr>
        <w:spacing w:before="0"/>
        <w:ind w:right="91"/>
      </w:pPr>
    </w:p>
    <w:p w14:paraId="1EA00D93" w14:textId="77777777" w:rsidR="003C1A50" w:rsidRPr="00A67C6A" w:rsidRDefault="003C1A50" w:rsidP="003C1A50">
      <w:pPr>
        <w:spacing w:before="0"/>
        <w:ind w:right="91"/>
        <w:rPr>
          <w:u w:val="single"/>
        </w:rPr>
      </w:pPr>
      <w:r>
        <w:rPr>
          <w:u w:val="single"/>
        </w:rPr>
        <w:t xml:space="preserve">Item 7 </w:t>
      </w:r>
      <w:r w:rsidRPr="00A67C6A">
        <w:rPr>
          <w:u w:val="single"/>
        </w:rPr>
        <w:t>– Division 4.1 (note</w:t>
      </w:r>
      <w:r>
        <w:rPr>
          <w:u w:val="single"/>
        </w:rPr>
        <w:t xml:space="preserve"> to Division heading</w:t>
      </w:r>
      <w:r w:rsidRPr="00A67C6A">
        <w:rPr>
          <w:u w:val="single"/>
        </w:rPr>
        <w:t>)</w:t>
      </w:r>
    </w:p>
    <w:p w14:paraId="7D358D93" w14:textId="77777777" w:rsidR="003C1A50" w:rsidRDefault="003C1A50" w:rsidP="003C1A50">
      <w:pPr>
        <w:spacing w:before="0"/>
        <w:ind w:right="91"/>
      </w:pPr>
    </w:p>
    <w:p w14:paraId="0A85440E" w14:textId="21A1E2D6" w:rsidR="003C1A50" w:rsidRDefault="003C1A50" w:rsidP="003C1A50">
      <w:pPr>
        <w:spacing w:before="0"/>
        <w:ind w:right="91"/>
      </w:pPr>
      <w:r>
        <w:t xml:space="preserve">This item substitutes the note below the heading of Division 4.1 of Part 4 of the </w:t>
      </w:r>
      <w:r w:rsidR="002A6BE0">
        <w:t xml:space="preserve">Migration </w:t>
      </w:r>
      <w:r>
        <w:t>Regulations. The note previously stated: “</w:t>
      </w:r>
      <w:r w:rsidRPr="00B3020D">
        <w:rPr>
          <w:i/>
        </w:rPr>
        <w:t xml:space="preserve">This Division of Part 4 deals with review of visa decisions. It refers to the definition of </w:t>
      </w:r>
      <w:r w:rsidRPr="00B3020D">
        <w:rPr>
          <w:b/>
          <w:i/>
        </w:rPr>
        <w:t xml:space="preserve">MRT-reviewable decision </w:t>
      </w:r>
      <w:r w:rsidRPr="00B3020D">
        <w:rPr>
          <w:i/>
        </w:rPr>
        <w:t>in Division 2 of Part 5 of the Act. Review of decisions relating to protection visas is dealt with in Division 4.2</w:t>
      </w:r>
      <w:r>
        <w:t xml:space="preserve">”. As amended, the note omits the reference to “MRT-reviewable decision”. That term is no longer used, because the MRT ceases to exist on 1 July 2015. The replacement term used from 1 July 2015, is “Part 5-reviewable decision” which, from 1 July 2015, is defined in subsection 5(1) and section 338 of </w:t>
      </w:r>
      <w:r w:rsidR="000F4B80">
        <w:t>the Migration Act</w:t>
      </w:r>
      <w:r>
        <w:t>. However, in this item, an editorial decision was taken to omit the reference. The meaning of the note is unchanged.</w:t>
      </w:r>
    </w:p>
    <w:p w14:paraId="3590861B" w14:textId="77777777" w:rsidR="003C1A50" w:rsidRDefault="003C1A50" w:rsidP="003C1A50">
      <w:pPr>
        <w:spacing w:before="0"/>
        <w:ind w:right="91"/>
      </w:pPr>
    </w:p>
    <w:p w14:paraId="04759C6B" w14:textId="77777777" w:rsidR="003C1A50" w:rsidRDefault="003C1A50" w:rsidP="003C1A50">
      <w:pPr>
        <w:spacing w:before="0"/>
        <w:ind w:right="91"/>
        <w:rPr>
          <w:u w:val="single"/>
        </w:rPr>
      </w:pPr>
      <w:r>
        <w:rPr>
          <w:u w:val="single"/>
        </w:rPr>
        <w:t xml:space="preserve">Item 8 </w:t>
      </w:r>
      <w:r w:rsidRPr="00A67C6A">
        <w:rPr>
          <w:u w:val="single"/>
        </w:rPr>
        <w:t xml:space="preserve">– </w:t>
      </w:r>
      <w:r>
        <w:rPr>
          <w:u w:val="single"/>
        </w:rPr>
        <w:t>Regulation 4.02 (heading)</w:t>
      </w:r>
    </w:p>
    <w:p w14:paraId="2EFE69D9" w14:textId="77777777" w:rsidR="003C1A50" w:rsidRDefault="003C1A50" w:rsidP="003C1A50">
      <w:pPr>
        <w:spacing w:before="0"/>
        <w:ind w:right="91"/>
      </w:pPr>
    </w:p>
    <w:p w14:paraId="712F6D6A" w14:textId="1C1F5835" w:rsidR="003C1A50" w:rsidRDefault="003C1A50" w:rsidP="003C1A50">
      <w:pPr>
        <w:spacing w:before="0"/>
        <w:ind w:right="91"/>
      </w:pPr>
      <w:r>
        <w:t xml:space="preserve">This item substitutes the heading of regulation 4.02 in Division 4.1 of Part 4 of the </w:t>
      </w:r>
      <w:r w:rsidR="00FD1C85">
        <w:t xml:space="preserve">Migration </w:t>
      </w:r>
      <w:r>
        <w:t>Regulations. As amended, the heading replaces the reference to “MRT-reviewable decisions” with a reference to “Part 5-reviewable decisions”.</w:t>
      </w:r>
      <w:r w:rsidRPr="006402C0">
        <w:t xml:space="preserve"> </w:t>
      </w:r>
      <w:r>
        <w:t>The term “MRT-reviewable decision” is no longer used, because the MRT ceases to exist on 1 July 2015. The replacement term used from 1 July 2015, is “Part 5-reviewable decision” which, from 1 July 2015, is defined in subsection 5(1) and section 338 of the</w:t>
      </w:r>
      <w:r w:rsidR="00FD1C85">
        <w:t xml:space="preserve"> Migration</w:t>
      </w:r>
      <w:r>
        <w:t xml:space="preserve"> Act.</w:t>
      </w:r>
    </w:p>
    <w:p w14:paraId="43857591" w14:textId="77777777" w:rsidR="003C1A50" w:rsidRDefault="003C1A50" w:rsidP="003C1A50">
      <w:pPr>
        <w:spacing w:before="0"/>
        <w:ind w:right="91"/>
        <w:rPr>
          <w:u w:val="single"/>
        </w:rPr>
      </w:pPr>
    </w:p>
    <w:p w14:paraId="71FC1177" w14:textId="77777777" w:rsidR="003C1A50" w:rsidRDefault="003C1A50" w:rsidP="003C1A50">
      <w:pPr>
        <w:spacing w:before="0"/>
        <w:ind w:right="91"/>
        <w:rPr>
          <w:u w:val="single"/>
        </w:rPr>
      </w:pPr>
      <w:r>
        <w:rPr>
          <w:u w:val="single"/>
        </w:rPr>
        <w:t xml:space="preserve">Item 9 </w:t>
      </w:r>
      <w:r w:rsidRPr="00A67C6A">
        <w:rPr>
          <w:u w:val="single"/>
        </w:rPr>
        <w:t xml:space="preserve">– </w:t>
      </w:r>
      <w:r w:rsidRPr="00576B2F">
        <w:rPr>
          <w:u w:val="single"/>
        </w:rPr>
        <w:t>Paragraphs 4.11(1)(a), (c), (d) and (e</w:t>
      </w:r>
      <w:r>
        <w:rPr>
          <w:u w:val="single"/>
        </w:rPr>
        <w:t>)</w:t>
      </w:r>
    </w:p>
    <w:p w14:paraId="6E37019B" w14:textId="77777777" w:rsidR="003C1A50" w:rsidRDefault="003C1A50" w:rsidP="003C1A50">
      <w:pPr>
        <w:spacing w:before="0"/>
        <w:ind w:right="91"/>
      </w:pPr>
    </w:p>
    <w:p w14:paraId="4F458F6B" w14:textId="2AA82805" w:rsidR="003C1A50" w:rsidRDefault="003C1A50" w:rsidP="003C1A50">
      <w:pPr>
        <w:spacing w:before="0"/>
        <w:ind w:right="91"/>
        <w:rPr>
          <w:u w:val="single"/>
        </w:rPr>
      </w:pPr>
      <w:r>
        <w:t xml:space="preserve">This item </w:t>
      </w:r>
      <w:r w:rsidRPr="00A74477">
        <w:t xml:space="preserve">amends </w:t>
      </w:r>
      <w:r>
        <w:t>p</w:t>
      </w:r>
      <w:r w:rsidRPr="00A74477">
        <w:t xml:space="preserve">aragraphs 4.11(1)(a), (c), (d) and (e) </w:t>
      </w:r>
      <w:r>
        <w:t xml:space="preserve">in Division 4.1 of Part 4 of the </w:t>
      </w:r>
      <w:r w:rsidR="00FD1C85">
        <w:t xml:space="preserve">Migration </w:t>
      </w:r>
      <w:r>
        <w:t xml:space="preserve">Regulations by replacing references to the Principal Member of the MRT with references to the President of the AAT. The amendment is consequential to Schedule 2 to the </w:t>
      </w:r>
      <w:r>
        <w:rPr>
          <w:i/>
        </w:rPr>
        <w:t>Amalgamation Act</w:t>
      </w:r>
      <w:r>
        <w:t>.</w:t>
      </w:r>
    </w:p>
    <w:p w14:paraId="3A9BDC4E" w14:textId="77777777" w:rsidR="003C1A50" w:rsidRDefault="003C1A50" w:rsidP="003C1A50">
      <w:pPr>
        <w:spacing w:before="0"/>
        <w:ind w:right="91"/>
        <w:rPr>
          <w:u w:val="single"/>
        </w:rPr>
      </w:pPr>
    </w:p>
    <w:p w14:paraId="67F79E1A" w14:textId="77777777" w:rsidR="009B689A" w:rsidRDefault="009B689A">
      <w:pPr>
        <w:spacing w:before="0"/>
        <w:rPr>
          <w:u w:val="single"/>
        </w:rPr>
      </w:pPr>
      <w:r>
        <w:rPr>
          <w:u w:val="single"/>
        </w:rPr>
        <w:br w:type="page"/>
      </w:r>
    </w:p>
    <w:p w14:paraId="085F6D69" w14:textId="4D198B08" w:rsidR="003C1A50" w:rsidRDefault="003C1A50" w:rsidP="003C1A50">
      <w:pPr>
        <w:spacing w:before="0"/>
        <w:ind w:right="91"/>
        <w:rPr>
          <w:u w:val="single"/>
        </w:rPr>
      </w:pPr>
      <w:r>
        <w:rPr>
          <w:u w:val="single"/>
        </w:rPr>
        <w:lastRenderedPageBreak/>
        <w:t xml:space="preserve">Items 10, 11and 12 </w:t>
      </w:r>
      <w:r w:rsidRPr="00A67C6A">
        <w:rPr>
          <w:u w:val="single"/>
        </w:rPr>
        <w:t>–</w:t>
      </w:r>
      <w:r>
        <w:rPr>
          <w:u w:val="single"/>
        </w:rPr>
        <w:t xml:space="preserve"> Subregulation 4.13(4); Subregulation 4.14(1) (cell at table item 1, column headed “If …”)</w:t>
      </w:r>
    </w:p>
    <w:p w14:paraId="4FF51D26" w14:textId="77777777" w:rsidR="003C1A50" w:rsidRDefault="003C1A50" w:rsidP="003C1A50">
      <w:pPr>
        <w:spacing w:before="0"/>
        <w:ind w:right="91"/>
      </w:pPr>
    </w:p>
    <w:p w14:paraId="096C2A00" w14:textId="6A993289" w:rsidR="003C1A50" w:rsidRDefault="003C1A50" w:rsidP="003C1A50">
      <w:pPr>
        <w:spacing w:before="0"/>
        <w:ind w:right="91"/>
      </w:pPr>
      <w:r>
        <w:t xml:space="preserve">These items </w:t>
      </w:r>
      <w:r w:rsidRPr="00A74477">
        <w:t xml:space="preserve">amend </w:t>
      </w:r>
      <w:r>
        <w:t xml:space="preserve">subregulations 4.13(4) and 4.14(1) in Division 4.1 of Part 4 of the </w:t>
      </w:r>
      <w:r w:rsidR="00FD1C85">
        <w:t xml:space="preserve">Migration </w:t>
      </w:r>
      <w:r>
        <w:t xml:space="preserve">Regulations to provide that the Registrar of the AAT can exercise the power to waive part of the application fee for review of a Part 5-reviewable decision. Prior to amendment, the power was conferred on the Registrar of the MRT, the Deputy Registrar of the MRT, and any officer authorised in writing by the Registrar. The amendments are consequential to the transfer of the MRT’s jurisdiction to the AAT on 1 July 2015. The amendments also simplify the provision by vesting the power to grant a fee waiver in one position, i.e. the Registrar. The Registrar may delegate this function pursuant to subsection 10A(2) of the </w:t>
      </w:r>
      <w:r w:rsidRPr="00A724AC">
        <w:rPr>
          <w:i/>
        </w:rPr>
        <w:t>Administrative Appeals Tribunal Act 1975</w:t>
      </w:r>
      <w:r>
        <w:t xml:space="preserve">, as amended by the </w:t>
      </w:r>
      <w:r w:rsidRPr="001B6B68">
        <w:t>Amalgamation Act</w:t>
      </w:r>
      <w:r>
        <w:t>.</w:t>
      </w:r>
    </w:p>
    <w:p w14:paraId="15940AC2" w14:textId="77777777" w:rsidR="003C1A50" w:rsidRDefault="003C1A50" w:rsidP="003C1A50">
      <w:pPr>
        <w:spacing w:before="0"/>
        <w:ind w:right="91"/>
        <w:rPr>
          <w:u w:val="single"/>
        </w:rPr>
      </w:pPr>
    </w:p>
    <w:p w14:paraId="6B6D7643" w14:textId="77777777" w:rsidR="003C1A50" w:rsidRDefault="003C1A50" w:rsidP="003C1A50">
      <w:pPr>
        <w:spacing w:before="0"/>
        <w:ind w:right="91"/>
        <w:rPr>
          <w:u w:val="single"/>
        </w:rPr>
      </w:pPr>
      <w:r>
        <w:rPr>
          <w:u w:val="single"/>
        </w:rPr>
        <w:t xml:space="preserve">Item 13 </w:t>
      </w:r>
      <w:r w:rsidRPr="00A67C6A">
        <w:rPr>
          <w:u w:val="single"/>
        </w:rPr>
        <w:t xml:space="preserve">– </w:t>
      </w:r>
      <w:r>
        <w:rPr>
          <w:u w:val="single"/>
        </w:rPr>
        <w:t>Subregulations 4.15(3) and 4.15(4)</w:t>
      </w:r>
    </w:p>
    <w:p w14:paraId="615ED49C" w14:textId="77777777" w:rsidR="003C1A50" w:rsidRDefault="003C1A50" w:rsidP="003C1A50">
      <w:pPr>
        <w:spacing w:before="0"/>
        <w:ind w:right="91"/>
        <w:rPr>
          <w:u w:val="single"/>
        </w:rPr>
      </w:pPr>
    </w:p>
    <w:p w14:paraId="0E0F50A6" w14:textId="1234A024" w:rsidR="003C1A50" w:rsidRDefault="003C1A50" w:rsidP="003C1A50">
      <w:pPr>
        <w:spacing w:before="0"/>
        <w:ind w:right="91"/>
      </w:pPr>
      <w:r>
        <w:t xml:space="preserve">These items </w:t>
      </w:r>
      <w:r w:rsidRPr="00A74477">
        <w:t xml:space="preserve">amend </w:t>
      </w:r>
      <w:r>
        <w:t xml:space="preserve">subregulations 4.15(3) and 4.15(4) in Division 4.1 of Part 4 of the </w:t>
      </w:r>
      <w:r w:rsidR="00FD1C85">
        <w:t xml:space="preserve">Migration </w:t>
      </w:r>
      <w:r>
        <w:t xml:space="preserve">Regulations to replace reference to the “MRT” with reference to the “Tribunal”. From 1 July 2015, “Tribunal” is defined in subsection 5(1) of the </w:t>
      </w:r>
      <w:r w:rsidR="00FD1C85">
        <w:t xml:space="preserve">Migration </w:t>
      </w:r>
      <w:r>
        <w:t>Act as “</w:t>
      </w:r>
      <w:r w:rsidRPr="00894C2E">
        <w:rPr>
          <w:b/>
          <w:i/>
        </w:rPr>
        <w:t xml:space="preserve">Tribunal </w:t>
      </w:r>
      <w:r>
        <w:t xml:space="preserve">means the Administrative Appeals Tribunal”. This change is made by item 8 of Part 1 of Schedule 2 to the </w:t>
      </w:r>
      <w:r>
        <w:rPr>
          <w:i/>
        </w:rPr>
        <w:t>Amalgamation Act</w:t>
      </w:r>
      <w:r>
        <w:t>.</w:t>
      </w:r>
    </w:p>
    <w:p w14:paraId="7C9599F6" w14:textId="77777777" w:rsidR="003C1A50" w:rsidRDefault="003C1A50" w:rsidP="003C1A50">
      <w:pPr>
        <w:spacing w:before="0"/>
        <w:ind w:right="91"/>
        <w:rPr>
          <w:u w:val="single"/>
        </w:rPr>
      </w:pPr>
    </w:p>
    <w:p w14:paraId="12407246" w14:textId="77777777" w:rsidR="003C1A50" w:rsidRDefault="003C1A50" w:rsidP="003C1A50">
      <w:pPr>
        <w:spacing w:before="0"/>
        <w:ind w:right="91"/>
        <w:rPr>
          <w:u w:val="single"/>
        </w:rPr>
      </w:pPr>
      <w:r>
        <w:rPr>
          <w:u w:val="single"/>
        </w:rPr>
        <w:t xml:space="preserve">Item 14 </w:t>
      </w:r>
      <w:r w:rsidRPr="00A67C6A">
        <w:rPr>
          <w:u w:val="single"/>
        </w:rPr>
        <w:t xml:space="preserve">– </w:t>
      </w:r>
      <w:r>
        <w:rPr>
          <w:u w:val="single"/>
        </w:rPr>
        <w:t>Division 4.2 (heading)</w:t>
      </w:r>
    </w:p>
    <w:p w14:paraId="4D6C9D4D" w14:textId="77777777" w:rsidR="003C1A50" w:rsidRDefault="003C1A50" w:rsidP="003C1A50">
      <w:pPr>
        <w:spacing w:before="0"/>
        <w:ind w:right="91"/>
      </w:pPr>
    </w:p>
    <w:p w14:paraId="5ADB83D0" w14:textId="7228A26B" w:rsidR="003C1A50" w:rsidRDefault="003C1A50" w:rsidP="003C1A50">
      <w:pPr>
        <w:spacing w:before="0"/>
        <w:ind w:right="91"/>
      </w:pPr>
      <w:r>
        <w:t xml:space="preserve">This item substitutes the heading of Division 4.2 in Part 4 of the </w:t>
      </w:r>
      <w:r w:rsidR="00FD1C85">
        <w:t xml:space="preserve">Migration </w:t>
      </w:r>
      <w:r>
        <w:t>Regulations. The amended heading omits reference to the RRT. The amendment is consequential to Schedule 2 to the</w:t>
      </w:r>
      <w:r w:rsidRPr="00FD1C85">
        <w:t xml:space="preserve"> </w:t>
      </w:r>
      <w:r w:rsidRPr="001B6B68">
        <w:t>Amalgamation Act</w:t>
      </w:r>
      <w:r>
        <w:t xml:space="preserve"> which repeals the provisions establishing the</w:t>
      </w:r>
      <w:r w:rsidR="009B689A">
        <w:t> </w:t>
      </w:r>
      <w:r>
        <w:t>RRT.</w:t>
      </w:r>
    </w:p>
    <w:p w14:paraId="325CB188" w14:textId="77777777" w:rsidR="003C1A50" w:rsidRDefault="003C1A50" w:rsidP="003C1A50">
      <w:pPr>
        <w:spacing w:before="0"/>
        <w:ind w:right="91"/>
        <w:rPr>
          <w:u w:val="single"/>
        </w:rPr>
      </w:pPr>
    </w:p>
    <w:p w14:paraId="2913889F" w14:textId="77777777" w:rsidR="003C1A50" w:rsidRDefault="003C1A50" w:rsidP="003C1A50">
      <w:pPr>
        <w:spacing w:before="0"/>
        <w:ind w:right="91"/>
        <w:rPr>
          <w:u w:val="single"/>
        </w:rPr>
      </w:pPr>
      <w:r>
        <w:rPr>
          <w:u w:val="single"/>
        </w:rPr>
        <w:t xml:space="preserve">Item 15 </w:t>
      </w:r>
      <w:r w:rsidRPr="00A67C6A">
        <w:rPr>
          <w:u w:val="single"/>
        </w:rPr>
        <w:t xml:space="preserve">– </w:t>
      </w:r>
      <w:r>
        <w:rPr>
          <w:u w:val="single"/>
        </w:rPr>
        <w:t>Paragraphs 4.31AA(1)(a), (c), (d), and (e)</w:t>
      </w:r>
    </w:p>
    <w:p w14:paraId="6D6D09E9" w14:textId="77777777" w:rsidR="003C1A50" w:rsidRPr="00A74477" w:rsidRDefault="003C1A50" w:rsidP="003C1A50">
      <w:pPr>
        <w:spacing w:before="0"/>
        <w:ind w:right="91"/>
      </w:pPr>
    </w:p>
    <w:p w14:paraId="0B221ACC" w14:textId="28E9AC67" w:rsidR="003C1A50" w:rsidRDefault="003C1A50" w:rsidP="003C1A50">
      <w:pPr>
        <w:spacing w:before="0"/>
        <w:ind w:right="91"/>
        <w:rPr>
          <w:u w:val="single"/>
        </w:rPr>
      </w:pPr>
      <w:r>
        <w:t xml:space="preserve">This item </w:t>
      </w:r>
      <w:r w:rsidRPr="00A74477">
        <w:t xml:space="preserve">amends </w:t>
      </w:r>
      <w:r>
        <w:t>p</w:t>
      </w:r>
      <w:r w:rsidRPr="00A74477">
        <w:t>aragraphs 4.</w:t>
      </w:r>
      <w:r>
        <w:t>3</w:t>
      </w:r>
      <w:r w:rsidRPr="00A74477">
        <w:t>1</w:t>
      </w:r>
      <w:r>
        <w:t>AA</w:t>
      </w:r>
      <w:r w:rsidRPr="00A74477">
        <w:t xml:space="preserve">(1)(a), (c), (d) and (e) </w:t>
      </w:r>
      <w:r>
        <w:t xml:space="preserve">in Division 4.2 of Part 4 of the </w:t>
      </w:r>
      <w:r w:rsidR="00FD1C85">
        <w:t xml:space="preserve">Migration </w:t>
      </w:r>
      <w:r>
        <w:t xml:space="preserve">Regulations by replacing references to the Principal Member of the RRT with references to the President of the AAT. The amendment is consequential to Schedule 2 to the </w:t>
      </w:r>
      <w:r w:rsidRPr="001B6B68">
        <w:t xml:space="preserve">Amalgamation Act </w:t>
      </w:r>
      <w:r>
        <w:t>which repeals the provisions establishing the RRT.</w:t>
      </w:r>
    </w:p>
    <w:p w14:paraId="366AADD8" w14:textId="77777777" w:rsidR="003C1A50" w:rsidRDefault="003C1A50" w:rsidP="003C1A50">
      <w:pPr>
        <w:spacing w:before="0"/>
        <w:ind w:right="91"/>
      </w:pPr>
    </w:p>
    <w:p w14:paraId="359C17FA" w14:textId="77777777" w:rsidR="003C1A50" w:rsidRPr="00807167" w:rsidRDefault="003C1A50" w:rsidP="003C1A50">
      <w:pPr>
        <w:spacing w:before="0"/>
        <w:ind w:right="91"/>
        <w:rPr>
          <w:u w:val="single"/>
        </w:rPr>
      </w:pPr>
      <w:r w:rsidRPr="00807167">
        <w:rPr>
          <w:u w:val="single"/>
        </w:rPr>
        <w:t>Item</w:t>
      </w:r>
      <w:r>
        <w:rPr>
          <w:u w:val="single"/>
        </w:rPr>
        <w:t>s</w:t>
      </w:r>
      <w:r w:rsidRPr="00807167">
        <w:rPr>
          <w:u w:val="single"/>
        </w:rPr>
        <w:t xml:space="preserve"> </w:t>
      </w:r>
      <w:r>
        <w:rPr>
          <w:u w:val="single"/>
        </w:rPr>
        <w:t xml:space="preserve">16 and 17 </w:t>
      </w:r>
      <w:r w:rsidRPr="00A67C6A">
        <w:rPr>
          <w:u w:val="single"/>
        </w:rPr>
        <w:t xml:space="preserve">– </w:t>
      </w:r>
      <w:r w:rsidRPr="00807167">
        <w:rPr>
          <w:u w:val="single"/>
        </w:rPr>
        <w:t xml:space="preserve"> Subregulation 4.33(2)</w:t>
      </w:r>
      <w:r>
        <w:rPr>
          <w:u w:val="single"/>
        </w:rPr>
        <w:t>;</w:t>
      </w:r>
      <w:r w:rsidRPr="00807167">
        <w:rPr>
          <w:u w:val="single"/>
        </w:rPr>
        <w:t xml:space="preserve"> </w:t>
      </w:r>
      <w:r>
        <w:rPr>
          <w:u w:val="single"/>
        </w:rPr>
        <w:t>S</w:t>
      </w:r>
      <w:r w:rsidRPr="00807167">
        <w:rPr>
          <w:u w:val="single"/>
        </w:rPr>
        <w:t>ubregulations 4.33(3), (4) and (5)</w:t>
      </w:r>
    </w:p>
    <w:p w14:paraId="4050A9DD" w14:textId="77777777" w:rsidR="003C1A50" w:rsidRDefault="003C1A50" w:rsidP="003C1A50">
      <w:pPr>
        <w:spacing w:before="0"/>
        <w:ind w:right="91"/>
      </w:pPr>
    </w:p>
    <w:p w14:paraId="7191472B" w14:textId="2787AD35" w:rsidR="003C1A50" w:rsidRDefault="003C1A50" w:rsidP="003C1A50">
      <w:pPr>
        <w:spacing w:before="0"/>
        <w:ind w:right="91"/>
        <w:rPr>
          <w:u w:val="single"/>
        </w:rPr>
      </w:pPr>
      <w:r>
        <w:t>These items amend subregulation 4</w:t>
      </w:r>
      <w:r w:rsidRPr="00C526FD">
        <w:t xml:space="preserve">.33(2) </w:t>
      </w:r>
      <w:r>
        <w:t>and subregulations 4.33(</w:t>
      </w:r>
      <w:r w:rsidRPr="00C526FD">
        <w:t>3), (4) and (5)</w:t>
      </w:r>
      <w:r>
        <w:t xml:space="preserve"> in Division 4.2 of Part 4 of the </w:t>
      </w:r>
      <w:r w:rsidR="00FD1C85">
        <w:t xml:space="preserve">Migration </w:t>
      </w:r>
      <w:r>
        <w:t xml:space="preserve">Regulations to remove references to AAT decision-making in matters referred to the AAT by the RRT. The amendment is consequential to Schedule 2 to the </w:t>
      </w:r>
      <w:r>
        <w:rPr>
          <w:i/>
        </w:rPr>
        <w:t>Amalgamation Act</w:t>
      </w:r>
      <w:r>
        <w:t xml:space="preserve"> which repeals the referral provisions on 1 July 2015.</w:t>
      </w:r>
    </w:p>
    <w:p w14:paraId="6D642C30" w14:textId="77777777" w:rsidR="003C1A50" w:rsidRPr="0096564E" w:rsidRDefault="003C1A50" w:rsidP="003C1A50">
      <w:pPr>
        <w:pStyle w:val="notedraft"/>
        <w:ind w:left="0" w:firstLine="0"/>
        <w:rPr>
          <w:i w:val="0"/>
          <w:u w:val="single"/>
        </w:rPr>
      </w:pPr>
      <w:r w:rsidRPr="0096564E">
        <w:rPr>
          <w:i w:val="0"/>
          <w:u w:val="single"/>
        </w:rPr>
        <w:t>Item 1</w:t>
      </w:r>
      <w:r>
        <w:rPr>
          <w:i w:val="0"/>
          <w:u w:val="single"/>
        </w:rPr>
        <w:t>8</w:t>
      </w:r>
      <w:r w:rsidRPr="0096564E">
        <w:rPr>
          <w:i w:val="0"/>
          <w:u w:val="single"/>
        </w:rPr>
        <w:t xml:space="preserve"> - Subregulation 4.39(2)</w:t>
      </w:r>
    </w:p>
    <w:p w14:paraId="3700191C" w14:textId="77777777" w:rsidR="003C1A50" w:rsidRDefault="003C1A50" w:rsidP="003C1A50">
      <w:pPr>
        <w:spacing w:before="0"/>
        <w:ind w:right="91"/>
        <w:rPr>
          <w:i/>
        </w:rPr>
      </w:pPr>
    </w:p>
    <w:p w14:paraId="19D021C3" w14:textId="1B0C902A" w:rsidR="003C1A50" w:rsidRDefault="003C1A50" w:rsidP="003C1A50">
      <w:pPr>
        <w:spacing w:before="0"/>
        <w:ind w:right="91"/>
        <w:rPr>
          <w:u w:val="single"/>
        </w:rPr>
      </w:pPr>
      <w:r w:rsidRPr="0096564E">
        <w:t xml:space="preserve">This item amends subregulation 4.39(2) </w:t>
      </w:r>
      <w:r>
        <w:t xml:space="preserve">in Division 4.2 of Part 4 of the </w:t>
      </w:r>
      <w:r w:rsidR="00FD1C85">
        <w:t xml:space="preserve">Migration </w:t>
      </w:r>
      <w:r>
        <w:t xml:space="preserve">Regulations </w:t>
      </w:r>
      <w:r w:rsidRPr="0096564E">
        <w:t xml:space="preserve">to </w:t>
      </w:r>
      <w:r>
        <w:t>provide that an applicant may lodge an address for service with the AAT in relation to an application for review of a Part 5-reviewable decision or a Part 7-</w:t>
      </w:r>
      <w:r>
        <w:lastRenderedPageBreak/>
        <w:t xml:space="preserve">reviewable decision. The amendment is consequential to Schedule 2 to the </w:t>
      </w:r>
      <w:r w:rsidRPr="001B6B68">
        <w:t>Amalgamation Act.</w:t>
      </w:r>
    </w:p>
    <w:p w14:paraId="60AC0077" w14:textId="77777777" w:rsidR="003C1A50" w:rsidRPr="0096564E" w:rsidRDefault="003C1A50" w:rsidP="003C1A50">
      <w:pPr>
        <w:pStyle w:val="notedraft"/>
        <w:ind w:left="0" w:firstLine="0"/>
        <w:rPr>
          <w:i w:val="0"/>
          <w:u w:val="single"/>
        </w:rPr>
      </w:pPr>
      <w:r w:rsidRPr="0096564E">
        <w:rPr>
          <w:i w:val="0"/>
          <w:u w:val="single"/>
        </w:rPr>
        <w:t>Item 1</w:t>
      </w:r>
      <w:r>
        <w:rPr>
          <w:i w:val="0"/>
          <w:u w:val="single"/>
        </w:rPr>
        <w:t>9</w:t>
      </w:r>
      <w:r w:rsidRPr="0096564E">
        <w:rPr>
          <w:i w:val="0"/>
          <w:u w:val="single"/>
        </w:rPr>
        <w:t xml:space="preserve"> - Subregulation </w:t>
      </w:r>
      <w:r>
        <w:rPr>
          <w:i w:val="0"/>
          <w:u w:val="single"/>
        </w:rPr>
        <w:t>5.19(6) (note)</w:t>
      </w:r>
    </w:p>
    <w:p w14:paraId="419AD223" w14:textId="77777777" w:rsidR="003C1A50" w:rsidRDefault="003C1A50" w:rsidP="003C1A50">
      <w:pPr>
        <w:spacing w:before="0"/>
        <w:ind w:right="91"/>
        <w:rPr>
          <w:u w:val="single"/>
        </w:rPr>
      </w:pPr>
    </w:p>
    <w:p w14:paraId="6B7C5AAF" w14:textId="2DB2E02B" w:rsidR="003C1A50" w:rsidRDefault="003C1A50" w:rsidP="003C1A50">
      <w:pPr>
        <w:spacing w:before="0"/>
        <w:ind w:right="91"/>
        <w:rPr>
          <w:u w:val="single"/>
        </w:rPr>
      </w:pPr>
      <w:r>
        <w:t xml:space="preserve">This item amends the note under subregulation 5.19(6) of Division 5.3 of Part 5 of the </w:t>
      </w:r>
      <w:r w:rsidR="001B6B68">
        <w:t>Migration Regulations</w:t>
      </w:r>
      <w:r>
        <w:t xml:space="preserve"> to replace the reference to an “MRT-reviewable decision” with a reference to a “Part 5-reviewable decision”. The term “MRT-reviewable decision” is no longer used, because the MRT ceases to exist on 1 July 2015. The replacement term used from 1 July 2015, is “Part 5-reviewable decision” which, from 1 July 2015, is defined in subsection 5(1) and section 338 of </w:t>
      </w:r>
      <w:r w:rsidR="000F4B80">
        <w:t>the Migration Act</w:t>
      </w:r>
      <w:r>
        <w:t>.</w:t>
      </w:r>
      <w:r w:rsidRPr="00152956">
        <w:t xml:space="preserve"> </w:t>
      </w:r>
      <w:r>
        <w:t xml:space="preserve">The amendment is consequential to Schedule 2 to the </w:t>
      </w:r>
      <w:r>
        <w:rPr>
          <w:i/>
        </w:rPr>
        <w:t>Amalgamation Act</w:t>
      </w:r>
      <w:r>
        <w:t xml:space="preserve">. </w:t>
      </w:r>
    </w:p>
    <w:p w14:paraId="1CAFE0D7" w14:textId="77777777" w:rsidR="003C1A50" w:rsidRDefault="003C1A50" w:rsidP="003C1A50">
      <w:pPr>
        <w:spacing w:before="0"/>
        <w:ind w:right="91"/>
        <w:rPr>
          <w:u w:val="single"/>
        </w:rPr>
      </w:pPr>
    </w:p>
    <w:p w14:paraId="225155EC" w14:textId="77777777" w:rsidR="003C1A50" w:rsidRPr="0096564E" w:rsidRDefault="003C1A50" w:rsidP="003C1A50">
      <w:pPr>
        <w:pStyle w:val="notedraft"/>
        <w:ind w:left="0" w:firstLine="0"/>
        <w:rPr>
          <w:i w:val="0"/>
          <w:u w:val="single"/>
        </w:rPr>
      </w:pPr>
      <w:r w:rsidRPr="0096564E">
        <w:rPr>
          <w:i w:val="0"/>
          <w:u w:val="single"/>
        </w:rPr>
        <w:t xml:space="preserve">Item </w:t>
      </w:r>
      <w:r>
        <w:rPr>
          <w:i w:val="0"/>
          <w:u w:val="single"/>
        </w:rPr>
        <w:t>20 –</w:t>
      </w:r>
      <w:r w:rsidRPr="0096564E">
        <w:rPr>
          <w:i w:val="0"/>
          <w:u w:val="single"/>
        </w:rPr>
        <w:t xml:space="preserve"> </w:t>
      </w:r>
      <w:r>
        <w:rPr>
          <w:i w:val="0"/>
          <w:u w:val="single"/>
        </w:rPr>
        <w:t>Subparagraphs 1128(3)(e)(ii) and 1216(3)(d)(ii) of Schedule 1</w:t>
      </w:r>
    </w:p>
    <w:p w14:paraId="255A12F5" w14:textId="77777777" w:rsidR="003C1A50" w:rsidRDefault="003C1A50" w:rsidP="003C1A50">
      <w:pPr>
        <w:spacing w:before="0"/>
        <w:ind w:right="91"/>
        <w:rPr>
          <w:u w:val="single"/>
        </w:rPr>
      </w:pPr>
    </w:p>
    <w:p w14:paraId="0B95FAC7" w14:textId="5F1D3F26" w:rsidR="003C1A50" w:rsidRPr="00152956" w:rsidRDefault="003C1A50" w:rsidP="003C1A50">
      <w:pPr>
        <w:spacing w:before="0"/>
        <w:ind w:right="91"/>
      </w:pPr>
      <w:r>
        <w:t xml:space="preserve">This item </w:t>
      </w:r>
      <w:r w:rsidRPr="00152956">
        <w:t xml:space="preserve">amends </w:t>
      </w:r>
      <w:r>
        <w:t>s</w:t>
      </w:r>
      <w:r w:rsidRPr="00152956">
        <w:t>ubparagraphs 1128(3)(e)(ii) and 1216(3)(d)(ii) of Schedule 1</w:t>
      </w:r>
      <w:r>
        <w:t xml:space="preserve"> to the </w:t>
      </w:r>
      <w:r w:rsidR="001B6B68">
        <w:t>Migration Regulations</w:t>
      </w:r>
      <w:r>
        <w:t xml:space="preserve"> to replace references to “AAT” with references to “Tribunal”.  This is a technical amendment to reflect the fact that, from 1 July 2015, “Tribunal” is defined in subsection 5(1) of </w:t>
      </w:r>
      <w:r w:rsidR="000F4B80">
        <w:t>the Migration Act</w:t>
      </w:r>
      <w:r>
        <w:t xml:space="preserve"> as “</w:t>
      </w:r>
      <w:r w:rsidRPr="00894C2E">
        <w:rPr>
          <w:b/>
          <w:i/>
        </w:rPr>
        <w:t xml:space="preserve">Tribunal </w:t>
      </w:r>
      <w:r>
        <w:t>means the Administrative Appeals Tribunal”.</w:t>
      </w:r>
    </w:p>
    <w:p w14:paraId="13C2597F" w14:textId="77777777" w:rsidR="003C1A50" w:rsidRDefault="003C1A50" w:rsidP="003C1A50">
      <w:pPr>
        <w:spacing w:before="0"/>
        <w:ind w:right="91"/>
        <w:rPr>
          <w:u w:val="single"/>
        </w:rPr>
      </w:pPr>
    </w:p>
    <w:p w14:paraId="21F00F44" w14:textId="77777777" w:rsidR="003C1A50" w:rsidRPr="00283FC2" w:rsidRDefault="003C1A50" w:rsidP="003C1A50">
      <w:pPr>
        <w:spacing w:before="0"/>
        <w:ind w:right="91"/>
        <w:rPr>
          <w:u w:val="single"/>
        </w:rPr>
      </w:pPr>
      <w:r w:rsidRPr="00283FC2">
        <w:rPr>
          <w:u w:val="single"/>
        </w:rPr>
        <w:t>Items 2</w:t>
      </w:r>
      <w:r>
        <w:rPr>
          <w:u w:val="single"/>
        </w:rPr>
        <w:t>1</w:t>
      </w:r>
      <w:r w:rsidRPr="00283FC2">
        <w:rPr>
          <w:u w:val="single"/>
        </w:rPr>
        <w:t xml:space="preserve"> to 3</w:t>
      </w:r>
      <w:r>
        <w:rPr>
          <w:u w:val="single"/>
        </w:rPr>
        <w:t>2</w:t>
      </w:r>
      <w:r w:rsidRPr="00283FC2">
        <w:rPr>
          <w:u w:val="single"/>
        </w:rPr>
        <w:t xml:space="preserve"> - Division 010.1 of Schedule 2; Subparagraph 010.511(b)(iii) of Schedule 2</w:t>
      </w:r>
      <w:r>
        <w:rPr>
          <w:u w:val="single"/>
        </w:rPr>
        <w:t>;</w:t>
      </w:r>
      <w:r w:rsidRPr="00283FC2">
        <w:rPr>
          <w:u w:val="single"/>
        </w:rPr>
        <w:t xml:space="preserve"> </w:t>
      </w:r>
      <w:r>
        <w:rPr>
          <w:u w:val="single"/>
        </w:rPr>
        <w:t>Subclass</w:t>
      </w:r>
      <w:r w:rsidRPr="00283FC2">
        <w:rPr>
          <w:u w:val="single"/>
        </w:rPr>
        <w:t xml:space="preserve"> 020 of Schedule 2; </w:t>
      </w:r>
      <w:r>
        <w:rPr>
          <w:u w:val="single"/>
        </w:rPr>
        <w:t xml:space="preserve">Clause 020.111 of Schedule 2; </w:t>
      </w:r>
      <w:r w:rsidRPr="00283FC2">
        <w:rPr>
          <w:u w:val="single"/>
        </w:rPr>
        <w:t xml:space="preserve">Subparagraph 020.511(b)(iii) of Schedule 2; Division 030.1 of Schedule 2; Subparagraph 030.511(b)(iii) of Schedule 2; Division 050.1 of Schedule 2; </w:t>
      </w:r>
      <w:r>
        <w:rPr>
          <w:u w:val="single"/>
        </w:rPr>
        <w:t>Subp</w:t>
      </w:r>
      <w:r w:rsidRPr="00283FC2">
        <w:rPr>
          <w:u w:val="single"/>
        </w:rPr>
        <w:t>aragraph</w:t>
      </w:r>
      <w:r>
        <w:rPr>
          <w:u w:val="single"/>
        </w:rPr>
        <w:t xml:space="preserve">s </w:t>
      </w:r>
      <w:r w:rsidRPr="00283FC2">
        <w:rPr>
          <w:u w:val="single"/>
        </w:rPr>
        <w:t>050.511(b)</w:t>
      </w:r>
      <w:r>
        <w:rPr>
          <w:u w:val="single"/>
        </w:rPr>
        <w:t>(iii) and (</w:t>
      </w:r>
      <w:proofErr w:type="spellStart"/>
      <w:r>
        <w:rPr>
          <w:u w:val="single"/>
        </w:rPr>
        <w:t>iiia</w:t>
      </w:r>
      <w:proofErr w:type="spellEnd"/>
      <w:r>
        <w:rPr>
          <w:u w:val="single"/>
        </w:rPr>
        <w:t>)</w:t>
      </w:r>
      <w:r w:rsidRPr="00283FC2">
        <w:rPr>
          <w:u w:val="single"/>
        </w:rPr>
        <w:t xml:space="preserve"> of Schedule 2; </w:t>
      </w:r>
      <w:r>
        <w:rPr>
          <w:u w:val="single"/>
        </w:rPr>
        <w:t>Division</w:t>
      </w:r>
      <w:r w:rsidRPr="00283FC2">
        <w:rPr>
          <w:u w:val="single"/>
        </w:rPr>
        <w:t xml:space="preserve"> 051.1 of Schedule 2; Paragraph 051.511(b) of Schedule 2; Paragraph 051.513(1)(b) of Schedule 2 </w:t>
      </w:r>
    </w:p>
    <w:p w14:paraId="11866B0A" w14:textId="77777777" w:rsidR="003C1A50" w:rsidRDefault="003C1A50" w:rsidP="003C1A50">
      <w:pPr>
        <w:spacing w:before="0"/>
        <w:ind w:right="91"/>
      </w:pPr>
    </w:p>
    <w:p w14:paraId="6CC50F1C" w14:textId="7BD1B583" w:rsidR="003C1A50" w:rsidRPr="00152956" w:rsidRDefault="003C1A50" w:rsidP="003C1A50">
      <w:pPr>
        <w:spacing w:before="0"/>
        <w:ind w:right="91"/>
      </w:pPr>
      <w:r>
        <w:t xml:space="preserve">These items amend the identified provisions in Schedule 2 to the </w:t>
      </w:r>
      <w:r w:rsidR="001B6B68">
        <w:t>Migration Regulations</w:t>
      </w:r>
      <w:r>
        <w:t xml:space="preserve"> to remove redundant definitions of “review authority” and to make other consequential changes which reflect the position from 1 July 2015, when the only tribunal reviewing visa decisions will be the AAT. Accordingly, references to “review authority” are replaced by references to “the Tribunal”. From 1 July 2015, “Tribunal” is defined in subsection 5(1) of </w:t>
      </w:r>
      <w:r w:rsidR="000F4B80">
        <w:t>the Migration Act</w:t>
      </w:r>
      <w:r>
        <w:t xml:space="preserve"> as “</w:t>
      </w:r>
      <w:r w:rsidRPr="00894C2E">
        <w:rPr>
          <w:b/>
          <w:i/>
        </w:rPr>
        <w:t xml:space="preserve">Tribunal </w:t>
      </w:r>
      <w:r>
        <w:t>means the Administrative Appeals Tribunal”.</w:t>
      </w:r>
    </w:p>
    <w:p w14:paraId="5EE19304" w14:textId="77777777" w:rsidR="003C1A50" w:rsidRDefault="003C1A50" w:rsidP="003C1A50">
      <w:pPr>
        <w:spacing w:before="0"/>
        <w:ind w:right="91"/>
      </w:pPr>
    </w:p>
    <w:p w14:paraId="2553EE0A" w14:textId="1BEBCAE0" w:rsidR="003C1A50" w:rsidRPr="00E66441" w:rsidRDefault="003C1A50" w:rsidP="002A6BE0">
      <w:pPr>
        <w:spacing w:before="0"/>
        <w:rPr>
          <w:u w:val="single"/>
        </w:rPr>
      </w:pPr>
      <w:r w:rsidRPr="00E66441">
        <w:rPr>
          <w:u w:val="single"/>
        </w:rPr>
        <w:t>Items 3</w:t>
      </w:r>
      <w:r>
        <w:rPr>
          <w:u w:val="single"/>
        </w:rPr>
        <w:t>3</w:t>
      </w:r>
      <w:r w:rsidRPr="00E66441">
        <w:rPr>
          <w:u w:val="single"/>
        </w:rPr>
        <w:t xml:space="preserve"> to </w:t>
      </w:r>
      <w:r>
        <w:rPr>
          <w:u w:val="single"/>
        </w:rPr>
        <w:t>50</w:t>
      </w:r>
      <w:r w:rsidRPr="00E66441">
        <w:rPr>
          <w:u w:val="single"/>
        </w:rPr>
        <w:t xml:space="preserve"> – </w:t>
      </w:r>
      <w:r>
        <w:rPr>
          <w:u w:val="single"/>
        </w:rPr>
        <w:t xml:space="preserve">Division 103.1 of Schedule 2 (note); </w:t>
      </w:r>
      <w:r w:rsidRPr="00E66441">
        <w:rPr>
          <w:u w:val="single"/>
        </w:rPr>
        <w:t xml:space="preserve">Clause 103.229 of Schedule 2; Clause 103.327 of Schedule 2; </w:t>
      </w:r>
      <w:r>
        <w:rPr>
          <w:u w:val="single"/>
        </w:rPr>
        <w:t xml:space="preserve">Clause 143.111 of Schedule 2 (note); </w:t>
      </w:r>
      <w:r w:rsidRPr="00E66441">
        <w:rPr>
          <w:u w:val="single"/>
        </w:rPr>
        <w:t xml:space="preserve">Clause 143.232 of Schedule 2; Clause 143.329 of Schedule 2; </w:t>
      </w:r>
      <w:r>
        <w:rPr>
          <w:u w:val="single"/>
        </w:rPr>
        <w:t xml:space="preserve">Division 173.1 of Schedule 2 (note); </w:t>
      </w:r>
      <w:r w:rsidRPr="00E66441">
        <w:rPr>
          <w:u w:val="single"/>
        </w:rPr>
        <w:t xml:space="preserve">Clause 173.229 of Schedule 2; Clause 173.326 of Schedule 2; </w:t>
      </w:r>
      <w:r>
        <w:rPr>
          <w:u w:val="single"/>
        </w:rPr>
        <w:t xml:space="preserve">Clause 804.111 of Schedule 2 (note); </w:t>
      </w:r>
      <w:r w:rsidRPr="00E66441">
        <w:rPr>
          <w:u w:val="single"/>
        </w:rPr>
        <w:t xml:space="preserve">Clause 804.228 of Schedule 2; Clause 804.326 of Schedule 2; </w:t>
      </w:r>
      <w:r>
        <w:rPr>
          <w:u w:val="single"/>
        </w:rPr>
        <w:t xml:space="preserve">Clause 864.111 of Schedule 2 (note); </w:t>
      </w:r>
      <w:r w:rsidRPr="00E66441">
        <w:rPr>
          <w:u w:val="single"/>
        </w:rPr>
        <w:t xml:space="preserve">Clause 864.230 of Schedule 2; Clause 864.329 of Schedule 2; </w:t>
      </w:r>
      <w:r>
        <w:rPr>
          <w:u w:val="single"/>
        </w:rPr>
        <w:t xml:space="preserve">Division 884.1 of Schedule 2 (note); </w:t>
      </w:r>
      <w:r w:rsidRPr="00E66441">
        <w:rPr>
          <w:u w:val="single"/>
        </w:rPr>
        <w:t>Clause 884.229 of Schedule 2; Clause 884.325 of Schedule 2</w:t>
      </w:r>
    </w:p>
    <w:p w14:paraId="1FDFB4CD" w14:textId="77777777" w:rsidR="003C1A50" w:rsidRDefault="003C1A50" w:rsidP="003C1A50">
      <w:pPr>
        <w:spacing w:before="0"/>
        <w:ind w:right="91"/>
      </w:pPr>
    </w:p>
    <w:p w14:paraId="6427D4AB" w14:textId="378C2624" w:rsidR="003C1A50" w:rsidRPr="00E66441" w:rsidRDefault="003C1A50" w:rsidP="003C1A50">
      <w:pPr>
        <w:spacing w:before="0"/>
        <w:ind w:right="91"/>
      </w:pPr>
      <w:r>
        <w:t xml:space="preserve">These items, apart from the changes to the notes, substitute the identified provisions in Schedule 2 to the </w:t>
      </w:r>
      <w:r w:rsidR="001B6B68">
        <w:t>Migration Regulations</w:t>
      </w:r>
      <w:r>
        <w:t xml:space="preserve"> to give effect to the new definition of “outstanding” in regulation 1.03 (see item 5 above). The new provisions have been redrafted to remove references to the MRT, which ceases to exist on 1 July 2015 </w:t>
      </w:r>
      <w:r>
        <w:lastRenderedPageBreak/>
        <w:t>pursuant to Schedule 2 to the</w:t>
      </w:r>
      <w:r w:rsidRPr="0012298A">
        <w:t xml:space="preserve"> </w:t>
      </w:r>
      <w:r w:rsidRPr="002A6BE0">
        <w:t>Amalgamation Act</w:t>
      </w:r>
      <w:r>
        <w:t>. The legal effect of the clauses is unchanged. The clauses continue to specify, as a criterion for the grant of a parent visa, that any previous application for another parent visa has been finalised, meaning that it has been withdrawn by the applicant or is no longer subject to merits review or judicial review. The amendments to the notes are to clarify that “outstanding” is defined in regulation 1.03.</w:t>
      </w:r>
    </w:p>
    <w:p w14:paraId="671686CD" w14:textId="77777777" w:rsidR="003C1A50" w:rsidRDefault="003C1A50" w:rsidP="003C1A50">
      <w:pPr>
        <w:spacing w:before="0"/>
        <w:ind w:right="91"/>
      </w:pPr>
    </w:p>
    <w:p w14:paraId="663E48C7" w14:textId="3FD2AB59" w:rsidR="003C1A50" w:rsidRPr="00E646DD" w:rsidRDefault="003C1A50" w:rsidP="003C1A50">
      <w:pPr>
        <w:spacing w:before="0"/>
        <w:ind w:right="91"/>
        <w:rPr>
          <w:u w:val="single"/>
        </w:rPr>
      </w:pPr>
      <w:r w:rsidRPr="00E646DD">
        <w:rPr>
          <w:u w:val="single"/>
        </w:rPr>
        <w:t xml:space="preserve">Item </w:t>
      </w:r>
      <w:r>
        <w:rPr>
          <w:u w:val="single"/>
        </w:rPr>
        <w:t>51</w:t>
      </w:r>
      <w:r w:rsidRPr="00E646DD">
        <w:rPr>
          <w:u w:val="single"/>
        </w:rPr>
        <w:t xml:space="preserve"> – Subclause 4020(1) of Schedule 4</w:t>
      </w:r>
    </w:p>
    <w:p w14:paraId="7E7AE01E" w14:textId="77777777" w:rsidR="003C1A50" w:rsidRDefault="003C1A50" w:rsidP="003C1A50">
      <w:pPr>
        <w:spacing w:before="0"/>
        <w:ind w:right="91"/>
      </w:pPr>
    </w:p>
    <w:p w14:paraId="4AF4D955" w14:textId="4E192FE8" w:rsidR="003C1A50" w:rsidRDefault="003C1A50" w:rsidP="003C1A50">
      <w:pPr>
        <w:spacing w:before="0"/>
        <w:ind w:right="91"/>
      </w:pPr>
      <w:r>
        <w:t xml:space="preserve">This item </w:t>
      </w:r>
      <w:r w:rsidRPr="002C1302">
        <w:t xml:space="preserve">amends </w:t>
      </w:r>
      <w:r>
        <w:t xml:space="preserve">subclause </w:t>
      </w:r>
      <w:r w:rsidRPr="002C1302">
        <w:t xml:space="preserve">4020(1) </w:t>
      </w:r>
      <w:r>
        <w:t xml:space="preserve">in Part 1 of </w:t>
      </w:r>
      <w:r w:rsidRPr="002C1302">
        <w:t>Schedule 4</w:t>
      </w:r>
      <w:r>
        <w:t xml:space="preserve"> to the </w:t>
      </w:r>
      <w:r w:rsidR="001B6B68">
        <w:t>Migration Regulations</w:t>
      </w:r>
      <w:r>
        <w:t xml:space="preserve"> to replace the reference to “Migration Review Tribunal” with a reference to “Tribunal during the review of a Part 5-reviewable decision”. “Tribunal” is defined, from 1 July 2015, in subsection 5(1) of the </w:t>
      </w:r>
      <w:r w:rsidR="001B6B68">
        <w:t xml:space="preserve">Migration </w:t>
      </w:r>
      <w:r>
        <w:t>Act, to mean the AAT.</w:t>
      </w:r>
    </w:p>
    <w:p w14:paraId="2E426414" w14:textId="77777777" w:rsidR="003C1A50" w:rsidRDefault="003C1A50" w:rsidP="003C1A50">
      <w:pPr>
        <w:spacing w:before="0"/>
        <w:ind w:right="91"/>
      </w:pPr>
    </w:p>
    <w:p w14:paraId="440610B5" w14:textId="77777777" w:rsidR="003C1A50" w:rsidRDefault="003C1A50" w:rsidP="003C1A50">
      <w:pPr>
        <w:spacing w:before="0"/>
        <w:ind w:right="91"/>
      </w:pPr>
      <w:r>
        <w:t>The purpose of the amendment is to replace the reference to the MRT, which ceases to exist on 1 July 2015, with a reference to the AAT, but without changing the meaning of subclause 4020(1). Prior to amendment, the subclause provided a basis for visa refusal if the applicant provided a bogus document or false or misleading information to the MRT. To mirror this provision, it is necessary to refer to bogus documents or false or misleading information given to the AAT “during the review of a Part 5-reviewable decision”. This identifies the jurisdiction of the former MRT which is transferred to the AAT from 1 July 2015. The amendment ensures that there is no change to the scope or operation of subclause 4020(1) as a result of the Tribunals amalgamation.</w:t>
      </w:r>
    </w:p>
    <w:p w14:paraId="37BBC77F" w14:textId="77777777" w:rsidR="003C1A50" w:rsidRDefault="003C1A50" w:rsidP="003C1A50">
      <w:pPr>
        <w:spacing w:before="0"/>
        <w:ind w:right="91"/>
      </w:pPr>
    </w:p>
    <w:p w14:paraId="39E12183" w14:textId="77777777" w:rsidR="003C1A50" w:rsidRPr="001626DE" w:rsidRDefault="003C1A50" w:rsidP="003C1A50">
      <w:pPr>
        <w:spacing w:before="0"/>
        <w:ind w:right="91"/>
        <w:rPr>
          <w:b/>
        </w:rPr>
      </w:pPr>
      <w:r w:rsidRPr="001626DE">
        <w:rPr>
          <w:b/>
        </w:rPr>
        <w:t>Part 2 – Multiple amendments</w:t>
      </w:r>
    </w:p>
    <w:p w14:paraId="0CCF7848" w14:textId="77777777" w:rsidR="003C1A50" w:rsidRPr="001626DE" w:rsidRDefault="003C1A50" w:rsidP="003C1A50">
      <w:pPr>
        <w:spacing w:before="0"/>
        <w:ind w:right="91"/>
        <w:rPr>
          <w:b/>
        </w:rPr>
      </w:pPr>
    </w:p>
    <w:p w14:paraId="0E4625E5" w14:textId="77777777" w:rsidR="003C1A50" w:rsidRPr="001626DE" w:rsidRDefault="003C1A50" w:rsidP="003C1A50">
      <w:pPr>
        <w:spacing w:before="0"/>
        <w:ind w:right="91"/>
        <w:rPr>
          <w:b/>
        </w:rPr>
      </w:pPr>
      <w:r w:rsidRPr="001626DE">
        <w:rPr>
          <w:b/>
        </w:rPr>
        <w:t>Division</w:t>
      </w:r>
      <w:r>
        <w:rPr>
          <w:b/>
        </w:rPr>
        <w:t xml:space="preserve"> 1</w:t>
      </w:r>
      <w:r w:rsidRPr="001626DE">
        <w:rPr>
          <w:b/>
        </w:rPr>
        <w:t xml:space="preserve"> – References to </w:t>
      </w:r>
      <w:r>
        <w:rPr>
          <w:b/>
        </w:rPr>
        <w:t>Migration Review</w:t>
      </w:r>
      <w:r w:rsidRPr="001626DE">
        <w:rPr>
          <w:b/>
        </w:rPr>
        <w:t xml:space="preserve"> Tribunal</w:t>
      </w:r>
    </w:p>
    <w:p w14:paraId="34287D76" w14:textId="77777777" w:rsidR="003C1A50" w:rsidRPr="001626DE" w:rsidRDefault="003C1A50" w:rsidP="003C1A50">
      <w:pPr>
        <w:spacing w:before="0"/>
        <w:ind w:right="91"/>
        <w:rPr>
          <w:b/>
        </w:rPr>
      </w:pPr>
    </w:p>
    <w:p w14:paraId="1061E559" w14:textId="77777777" w:rsidR="003C1A50" w:rsidRPr="001626DE" w:rsidRDefault="003C1A50" w:rsidP="003C1A50">
      <w:pPr>
        <w:spacing w:before="0"/>
        <w:ind w:right="91"/>
        <w:rPr>
          <w:b/>
          <w:i/>
        </w:rPr>
      </w:pPr>
      <w:r w:rsidRPr="001626DE">
        <w:rPr>
          <w:b/>
          <w:i/>
        </w:rPr>
        <w:t>Migration Regulations 1994</w:t>
      </w:r>
    </w:p>
    <w:p w14:paraId="16A833C4" w14:textId="77777777" w:rsidR="003C1A50" w:rsidRDefault="003C1A50" w:rsidP="003C1A50">
      <w:pPr>
        <w:spacing w:before="0"/>
        <w:ind w:right="91"/>
        <w:rPr>
          <w:u w:val="single"/>
        </w:rPr>
      </w:pPr>
    </w:p>
    <w:p w14:paraId="4DD6B507" w14:textId="77777777" w:rsidR="003C1A50" w:rsidRDefault="003C1A50" w:rsidP="003C1A50">
      <w:pPr>
        <w:spacing w:before="0"/>
        <w:ind w:right="91"/>
        <w:rPr>
          <w:u w:val="single"/>
        </w:rPr>
      </w:pPr>
      <w:r w:rsidRPr="00E646DD">
        <w:rPr>
          <w:u w:val="single"/>
        </w:rPr>
        <w:t xml:space="preserve">Item </w:t>
      </w:r>
      <w:r>
        <w:rPr>
          <w:u w:val="single"/>
        </w:rPr>
        <w:t>52</w:t>
      </w:r>
      <w:r w:rsidRPr="00E646DD">
        <w:rPr>
          <w:u w:val="single"/>
        </w:rPr>
        <w:t xml:space="preserve"> – </w:t>
      </w:r>
      <w:r>
        <w:rPr>
          <w:u w:val="single"/>
        </w:rPr>
        <w:t>Amendments of listed provisions</w:t>
      </w:r>
    </w:p>
    <w:p w14:paraId="40EBAAAE" w14:textId="77777777" w:rsidR="003C1A50" w:rsidRDefault="003C1A50" w:rsidP="003C1A50">
      <w:pPr>
        <w:spacing w:before="0"/>
        <w:ind w:right="91"/>
      </w:pPr>
    </w:p>
    <w:p w14:paraId="2BFFA696" w14:textId="798BF6F4" w:rsidR="003C1A50" w:rsidRPr="00152956" w:rsidRDefault="003C1A50" w:rsidP="003C1A50">
      <w:pPr>
        <w:spacing w:before="0"/>
        <w:ind w:right="91"/>
      </w:pPr>
      <w:r w:rsidRPr="009A073F">
        <w:t>This item</w:t>
      </w:r>
      <w:r>
        <w:t xml:space="preserve"> amends various provisions in the </w:t>
      </w:r>
      <w:r w:rsidR="001B6B68">
        <w:t xml:space="preserve">Migration </w:t>
      </w:r>
      <w:r>
        <w:t>Regulations to replace references to the “Migration Review Tribunal” with references to “Tribunal”.</w:t>
      </w:r>
      <w:r w:rsidRPr="001626DE">
        <w:t xml:space="preserve"> </w:t>
      </w:r>
      <w:r>
        <w:t xml:space="preserve">Pursuant to the </w:t>
      </w:r>
      <w:r w:rsidRPr="002A6BE0">
        <w:t>Amalgamation Act</w:t>
      </w:r>
      <w:r>
        <w:t xml:space="preserve">, the MRT ceases to exist on 1 July 2015. From 1 July 2015, “Tribunal” is defined in subsection 5(1) of </w:t>
      </w:r>
      <w:r w:rsidR="000F4B80">
        <w:t>the Migration Act</w:t>
      </w:r>
      <w:r>
        <w:t xml:space="preserve"> as “</w:t>
      </w:r>
      <w:r w:rsidRPr="00894C2E">
        <w:rPr>
          <w:b/>
          <w:i/>
        </w:rPr>
        <w:t xml:space="preserve">Tribunal </w:t>
      </w:r>
      <w:r>
        <w:t xml:space="preserve">means the Administrative Appeals Tribunal”. This change is made by item 8 of Part 1 of Schedule 2 to the </w:t>
      </w:r>
      <w:r w:rsidRPr="002A6BE0">
        <w:t>Amalgamation Act</w:t>
      </w:r>
      <w:r>
        <w:t xml:space="preserve">. The definition of Tribunal in </w:t>
      </w:r>
      <w:r w:rsidR="000F4B80">
        <w:t>the Migration Act</w:t>
      </w:r>
      <w:r>
        <w:t xml:space="preserve"> applies to the </w:t>
      </w:r>
      <w:r w:rsidR="002A6BE0">
        <w:t xml:space="preserve">Migration </w:t>
      </w:r>
      <w:r>
        <w:t xml:space="preserve">Regulations pursuant to paragraph 13(1)(b) of the </w:t>
      </w:r>
      <w:r w:rsidRPr="009A073F">
        <w:rPr>
          <w:i/>
        </w:rPr>
        <w:t>Legislative Instruments Act 2003</w:t>
      </w:r>
      <w:r>
        <w:t>.</w:t>
      </w:r>
    </w:p>
    <w:p w14:paraId="09A68603" w14:textId="77777777" w:rsidR="003C1A50" w:rsidRDefault="003C1A50" w:rsidP="003C1A50">
      <w:pPr>
        <w:spacing w:before="0"/>
        <w:ind w:right="91"/>
      </w:pPr>
    </w:p>
    <w:p w14:paraId="546FD96F" w14:textId="77777777" w:rsidR="003C1A50" w:rsidRPr="001626DE" w:rsidRDefault="003C1A50" w:rsidP="003C1A50">
      <w:pPr>
        <w:spacing w:before="0"/>
        <w:ind w:right="91"/>
        <w:rPr>
          <w:b/>
        </w:rPr>
      </w:pPr>
      <w:r w:rsidRPr="001626DE">
        <w:rPr>
          <w:b/>
        </w:rPr>
        <w:t>Division</w:t>
      </w:r>
      <w:r>
        <w:rPr>
          <w:b/>
        </w:rPr>
        <w:t xml:space="preserve"> 2</w:t>
      </w:r>
      <w:r w:rsidRPr="001626DE">
        <w:rPr>
          <w:b/>
        </w:rPr>
        <w:t xml:space="preserve"> – References to </w:t>
      </w:r>
      <w:r>
        <w:rPr>
          <w:b/>
        </w:rPr>
        <w:t>MR</w:t>
      </w:r>
      <w:r w:rsidRPr="001626DE">
        <w:rPr>
          <w:b/>
        </w:rPr>
        <w:t>T</w:t>
      </w:r>
      <w:r>
        <w:rPr>
          <w:b/>
        </w:rPr>
        <w:t>-reviewable decisions</w:t>
      </w:r>
    </w:p>
    <w:p w14:paraId="61F567F1" w14:textId="77777777" w:rsidR="003C1A50" w:rsidRPr="001626DE" w:rsidRDefault="003C1A50" w:rsidP="003C1A50">
      <w:pPr>
        <w:spacing w:before="0"/>
        <w:ind w:right="91"/>
        <w:rPr>
          <w:b/>
        </w:rPr>
      </w:pPr>
    </w:p>
    <w:p w14:paraId="1EA1629E" w14:textId="77777777" w:rsidR="003C1A50" w:rsidRPr="001626DE" w:rsidRDefault="003C1A50" w:rsidP="003C1A50">
      <w:pPr>
        <w:spacing w:before="0"/>
        <w:ind w:right="91"/>
        <w:rPr>
          <w:b/>
          <w:i/>
        </w:rPr>
      </w:pPr>
      <w:r w:rsidRPr="001626DE">
        <w:rPr>
          <w:b/>
          <w:i/>
        </w:rPr>
        <w:t>Migration Regulations 1994</w:t>
      </w:r>
    </w:p>
    <w:p w14:paraId="3051079D" w14:textId="77777777" w:rsidR="003C1A50" w:rsidRDefault="003C1A50" w:rsidP="003C1A50">
      <w:pPr>
        <w:spacing w:before="0"/>
        <w:ind w:right="91"/>
        <w:rPr>
          <w:u w:val="single"/>
        </w:rPr>
      </w:pPr>
    </w:p>
    <w:p w14:paraId="2F9DDF10" w14:textId="77777777" w:rsidR="003C1A50" w:rsidRDefault="003C1A50" w:rsidP="003C1A50">
      <w:pPr>
        <w:spacing w:before="0"/>
        <w:ind w:right="91"/>
        <w:rPr>
          <w:u w:val="single"/>
        </w:rPr>
      </w:pPr>
      <w:r w:rsidRPr="00E646DD">
        <w:rPr>
          <w:u w:val="single"/>
        </w:rPr>
        <w:t xml:space="preserve">Item </w:t>
      </w:r>
      <w:r>
        <w:rPr>
          <w:u w:val="single"/>
        </w:rPr>
        <w:t>53</w:t>
      </w:r>
      <w:r w:rsidRPr="00E646DD">
        <w:rPr>
          <w:u w:val="single"/>
        </w:rPr>
        <w:t xml:space="preserve"> – </w:t>
      </w:r>
      <w:r>
        <w:rPr>
          <w:u w:val="single"/>
        </w:rPr>
        <w:t>Amendments of listed provisions</w:t>
      </w:r>
    </w:p>
    <w:p w14:paraId="56833829" w14:textId="77777777" w:rsidR="003C1A50" w:rsidRDefault="003C1A50" w:rsidP="003C1A50">
      <w:pPr>
        <w:spacing w:before="0"/>
        <w:ind w:right="91"/>
      </w:pPr>
    </w:p>
    <w:p w14:paraId="030E6473" w14:textId="73E739A3" w:rsidR="003C1A50" w:rsidRDefault="003C1A50" w:rsidP="003C1A50">
      <w:pPr>
        <w:spacing w:before="0"/>
        <w:ind w:right="91"/>
        <w:rPr>
          <w:u w:val="single"/>
        </w:rPr>
      </w:pPr>
      <w:r w:rsidRPr="009A073F">
        <w:t>This item</w:t>
      </w:r>
      <w:r>
        <w:t xml:space="preserve"> amends various provisions in the </w:t>
      </w:r>
      <w:r w:rsidR="001B6B68">
        <w:t xml:space="preserve">Migration </w:t>
      </w:r>
      <w:r>
        <w:t>Regulations to replace references to “MRT-reviewable decision” with references to “Part 5-reviewable decision”.</w:t>
      </w:r>
      <w:r w:rsidRPr="001626DE">
        <w:t xml:space="preserve"> </w:t>
      </w:r>
      <w:r>
        <w:t xml:space="preserve">Pursuant to the </w:t>
      </w:r>
      <w:r>
        <w:rPr>
          <w:i/>
        </w:rPr>
        <w:t>Amalgamation Act</w:t>
      </w:r>
      <w:r>
        <w:t xml:space="preserve">, the MRT ceases to exist on 1 July 2015 and its </w:t>
      </w:r>
      <w:r>
        <w:lastRenderedPageBreak/>
        <w:t>jurisdiction is transferred to the AAT.</w:t>
      </w:r>
      <w:r w:rsidRPr="00801CF0">
        <w:t xml:space="preserve"> </w:t>
      </w:r>
      <w:r>
        <w:t>Accordingly, the term “MRT-reviewable decision” is no longer appropriate. The replacement term used from 1 July 2015, is “Part 5-reviewable decision” which, from 1 July 2015, is defined in subsection 5(1) and section 338 of the</w:t>
      </w:r>
      <w:r w:rsidR="001B6B68">
        <w:t xml:space="preserve"> Migration</w:t>
      </w:r>
      <w:r>
        <w:t xml:space="preserve"> Act.</w:t>
      </w:r>
      <w:r w:rsidRPr="00152956">
        <w:t xml:space="preserve"> </w:t>
      </w:r>
      <w:r>
        <w:t xml:space="preserve">The amendments are consequential to Schedule 2 to the </w:t>
      </w:r>
      <w:r>
        <w:rPr>
          <w:i/>
        </w:rPr>
        <w:t>Amalgamation Act</w:t>
      </w:r>
      <w:r>
        <w:t>.</w:t>
      </w:r>
    </w:p>
    <w:p w14:paraId="5A30444D" w14:textId="77777777" w:rsidR="003C1A50" w:rsidRDefault="003C1A50" w:rsidP="003C1A50">
      <w:pPr>
        <w:spacing w:before="0"/>
        <w:ind w:right="91"/>
        <w:rPr>
          <w:u w:val="single"/>
        </w:rPr>
      </w:pPr>
    </w:p>
    <w:p w14:paraId="08B9247B" w14:textId="0E8F517B" w:rsidR="003C1A50" w:rsidRPr="001626DE" w:rsidRDefault="003C1A50" w:rsidP="003C1A50">
      <w:pPr>
        <w:spacing w:before="0"/>
        <w:ind w:right="91"/>
        <w:rPr>
          <w:b/>
        </w:rPr>
      </w:pPr>
      <w:r w:rsidRPr="001626DE">
        <w:rPr>
          <w:b/>
        </w:rPr>
        <w:t>Division</w:t>
      </w:r>
      <w:r>
        <w:rPr>
          <w:b/>
        </w:rPr>
        <w:t xml:space="preserve"> 3</w:t>
      </w:r>
      <w:r w:rsidRPr="001626DE">
        <w:rPr>
          <w:b/>
        </w:rPr>
        <w:t xml:space="preserve"> – References to </w:t>
      </w:r>
      <w:r>
        <w:rPr>
          <w:b/>
        </w:rPr>
        <w:t>review authority</w:t>
      </w:r>
    </w:p>
    <w:p w14:paraId="41B93962" w14:textId="77777777" w:rsidR="003C1A50" w:rsidRPr="001626DE" w:rsidRDefault="003C1A50" w:rsidP="003C1A50">
      <w:pPr>
        <w:spacing w:before="0"/>
        <w:ind w:right="91"/>
        <w:rPr>
          <w:b/>
        </w:rPr>
      </w:pPr>
    </w:p>
    <w:p w14:paraId="79DB2F01" w14:textId="77777777" w:rsidR="003C1A50" w:rsidRPr="001626DE" w:rsidRDefault="003C1A50" w:rsidP="003C1A50">
      <w:pPr>
        <w:spacing w:before="0"/>
        <w:ind w:right="91"/>
        <w:rPr>
          <w:b/>
          <w:i/>
        </w:rPr>
      </w:pPr>
      <w:r w:rsidRPr="001626DE">
        <w:rPr>
          <w:b/>
          <w:i/>
        </w:rPr>
        <w:t>Migration Regulations 1994</w:t>
      </w:r>
    </w:p>
    <w:p w14:paraId="68A7215D" w14:textId="77777777" w:rsidR="003C1A50" w:rsidRDefault="003C1A50" w:rsidP="003C1A50">
      <w:pPr>
        <w:spacing w:before="0"/>
        <w:ind w:right="91"/>
        <w:rPr>
          <w:u w:val="single"/>
        </w:rPr>
      </w:pPr>
    </w:p>
    <w:p w14:paraId="6EB7CB1E" w14:textId="77777777" w:rsidR="003C1A50" w:rsidRDefault="003C1A50" w:rsidP="003C1A50">
      <w:pPr>
        <w:spacing w:before="0"/>
        <w:ind w:right="91"/>
        <w:rPr>
          <w:u w:val="single"/>
        </w:rPr>
      </w:pPr>
      <w:r w:rsidRPr="00E646DD">
        <w:rPr>
          <w:u w:val="single"/>
        </w:rPr>
        <w:t xml:space="preserve">Item </w:t>
      </w:r>
      <w:r>
        <w:rPr>
          <w:u w:val="single"/>
        </w:rPr>
        <w:t>54</w:t>
      </w:r>
      <w:r w:rsidRPr="00E646DD">
        <w:rPr>
          <w:u w:val="single"/>
        </w:rPr>
        <w:t xml:space="preserve"> – </w:t>
      </w:r>
      <w:r>
        <w:rPr>
          <w:u w:val="single"/>
        </w:rPr>
        <w:t>Amendments of listed provisions</w:t>
      </w:r>
    </w:p>
    <w:p w14:paraId="1BF8320A" w14:textId="77777777" w:rsidR="003C1A50" w:rsidRDefault="003C1A50" w:rsidP="003C1A50">
      <w:pPr>
        <w:spacing w:before="0"/>
        <w:ind w:right="91"/>
      </w:pPr>
    </w:p>
    <w:p w14:paraId="1BA471F1" w14:textId="089B17A2" w:rsidR="003C1A50" w:rsidRPr="00152956" w:rsidRDefault="003C1A50" w:rsidP="003C1A50">
      <w:pPr>
        <w:spacing w:before="0"/>
        <w:ind w:right="91"/>
      </w:pPr>
      <w:r w:rsidRPr="009A073F">
        <w:t>This item</w:t>
      </w:r>
      <w:r>
        <w:t xml:space="preserve"> amends various provisions in the </w:t>
      </w:r>
      <w:r w:rsidR="001B6B68">
        <w:t xml:space="preserve">Migration </w:t>
      </w:r>
      <w:r>
        <w:t>Regulations to replace references to “a review authority” with references to “the Tribunal”. The amendments reflect the fact that, from 1 July 2015, the only tribunal reviewing visa decisions will be the AAT. Accordingly, references to “review authority” are replaced by references to “the Tribunal”. From 1 July 2015, “Tribunal” is defined in subsection 5(1) of the</w:t>
      </w:r>
      <w:r w:rsidR="001B6B68">
        <w:t xml:space="preserve"> Migration</w:t>
      </w:r>
      <w:r>
        <w:t xml:space="preserve"> Act as “</w:t>
      </w:r>
      <w:r w:rsidRPr="00894C2E">
        <w:rPr>
          <w:b/>
          <w:i/>
        </w:rPr>
        <w:t xml:space="preserve">Tribunal </w:t>
      </w:r>
      <w:r>
        <w:t>means the Administrative Appeals Tribunal”.</w:t>
      </w:r>
    </w:p>
    <w:p w14:paraId="0EB3E8E5" w14:textId="77777777" w:rsidR="003C1A50" w:rsidRDefault="003C1A50" w:rsidP="003C1A50">
      <w:pPr>
        <w:spacing w:before="0"/>
        <w:ind w:right="91"/>
        <w:rPr>
          <w:b/>
        </w:rPr>
      </w:pPr>
    </w:p>
    <w:p w14:paraId="26FA5177" w14:textId="77777777" w:rsidR="003C1A50" w:rsidRPr="001626DE" w:rsidRDefault="003C1A50" w:rsidP="003C1A50">
      <w:pPr>
        <w:spacing w:before="0"/>
        <w:ind w:right="91"/>
        <w:rPr>
          <w:b/>
        </w:rPr>
      </w:pPr>
      <w:r w:rsidRPr="001626DE">
        <w:rPr>
          <w:b/>
        </w:rPr>
        <w:t>Division</w:t>
      </w:r>
      <w:r>
        <w:rPr>
          <w:b/>
        </w:rPr>
        <w:t xml:space="preserve"> 4</w:t>
      </w:r>
      <w:r w:rsidRPr="001626DE">
        <w:rPr>
          <w:b/>
        </w:rPr>
        <w:t xml:space="preserve"> – References to </w:t>
      </w:r>
      <w:r>
        <w:rPr>
          <w:b/>
        </w:rPr>
        <w:t>redundant provisions</w:t>
      </w:r>
    </w:p>
    <w:p w14:paraId="6C140584" w14:textId="77777777" w:rsidR="003C1A50" w:rsidRPr="001626DE" w:rsidRDefault="003C1A50" w:rsidP="003C1A50">
      <w:pPr>
        <w:spacing w:before="0"/>
        <w:ind w:right="91"/>
        <w:rPr>
          <w:b/>
        </w:rPr>
      </w:pPr>
    </w:p>
    <w:p w14:paraId="57247723" w14:textId="77777777" w:rsidR="003C1A50" w:rsidRPr="001626DE" w:rsidRDefault="003C1A50" w:rsidP="003C1A50">
      <w:pPr>
        <w:spacing w:before="0"/>
        <w:ind w:right="91"/>
        <w:rPr>
          <w:b/>
          <w:i/>
        </w:rPr>
      </w:pPr>
      <w:r w:rsidRPr="001626DE">
        <w:rPr>
          <w:b/>
          <w:i/>
        </w:rPr>
        <w:t>Migration Regulations 1994</w:t>
      </w:r>
    </w:p>
    <w:p w14:paraId="2CFB5FFE" w14:textId="77777777" w:rsidR="003C1A50" w:rsidRDefault="003C1A50" w:rsidP="003C1A50">
      <w:pPr>
        <w:spacing w:before="0"/>
        <w:ind w:right="91"/>
        <w:rPr>
          <w:u w:val="single"/>
        </w:rPr>
      </w:pPr>
    </w:p>
    <w:p w14:paraId="429E6ACA" w14:textId="77777777" w:rsidR="003C1A50" w:rsidRDefault="003C1A50" w:rsidP="003C1A50">
      <w:pPr>
        <w:spacing w:before="0"/>
        <w:ind w:right="91"/>
        <w:rPr>
          <w:u w:val="single"/>
        </w:rPr>
      </w:pPr>
      <w:r w:rsidRPr="00E646DD">
        <w:rPr>
          <w:u w:val="single"/>
        </w:rPr>
        <w:t xml:space="preserve">Item </w:t>
      </w:r>
      <w:r>
        <w:rPr>
          <w:u w:val="single"/>
        </w:rPr>
        <w:t>55</w:t>
      </w:r>
      <w:r w:rsidRPr="00E646DD">
        <w:rPr>
          <w:u w:val="single"/>
        </w:rPr>
        <w:t xml:space="preserve"> – </w:t>
      </w:r>
      <w:r>
        <w:rPr>
          <w:u w:val="single"/>
        </w:rPr>
        <w:t>Amendments of listed provisions</w:t>
      </w:r>
    </w:p>
    <w:p w14:paraId="5273A737" w14:textId="77777777" w:rsidR="003C1A50" w:rsidRDefault="003C1A50" w:rsidP="003C1A50">
      <w:pPr>
        <w:spacing w:before="0"/>
        <w:ind w:right="91"/>
      </w:pPr>
    </w:p>
    <w:p w14:paraId="39E2CF09" w14:textId="40E6473E" w:rsidR="003C1A50" w:rsidRDefault="003C1A50" w:rsidP="003C1A50">
      <w:pPr>
        <w:spacing w:before="0"/>
        <w:ind w:right="91"/>
        <w:rPr>
          <w:u w:val="single"/>
        </w:rPr>
      </w:pPr>
      <w:r w:rsidRPr="009A073F">
        <w:t>This item</w:t>
      </w:r>
      <w:r>
        <w:t xml:space="preserve"> amends various provisions in the </w:t>
      </w:r>
      <w:r w:rsidR="001B6B68">
        <w:t xml:space="preserve">Migration </w:t>
      </w:r>
      <w:r>
        <w:t>Regulations to remove references to sections 391 and 454 of the</w:t>
      </w:r>
      <w:r w:rsidR="001B6B68">
        <w:t xml:space="preserve"> Migration</w:t>
      </w:r>
      <w:r>
        <w:t xml:space="preserve"> Act. The sections provide the Minister with a power to substitute a different decision for a decision of the AAT in a matter which has been referred to the AAT from the MRT or RRT. The referral provisions, including sections 391 and 454, are repealed on 1 July 2015 by Schedule 2 to the </w:t>
      </w:r>
      <w:r>
        <w:rPr>
          <w:i/>
        </w:rPr>
        <w:t>Amalgamation Act</w:t>
      </w:r>
      <w:r>
        <w:t>.</w:t>
      </w:r>
    </w:p>
    <w:p w14:paraId="4D2D4EE1" w14:textId="77777777" w:rsidR="003C1A50" w:rsidRDefault="003C1A50" w:rsidP="003C1A50">
      <w:pPr>
        <w:spacing w:before="0"/>
        <w:ind w:right="91"/>
        <w:rPr>
          <w:b/>
        </w:rPr>
      </w:pPr>
    </w:p>
    <w:p w14:paraId="247C2AC1" w14:textId="77777777" w:rsidR="003C1A50" w:rsidRPr="001626DE" w:rsidRDefault="003C1A50" w:rsidP="003C1A50">
      <w:pPr>
        <w:spacing w:before="0"/>
        <w:ind w:right="91"/>
        <w:rPr>
          <w:b/>
        </w:rPr>
      </w:pPr>
      <w:r w:rsidRPr="001626DE">
        <w:rPr>
          <w:b/>
        </w:rPr>
        <w:t>Division</w:t>
      </w:r>
      <w:r>
        <w:rPr>
          <w:b/>
        </w:rPr>
        <w:t xml:space="preserve"> 5</w:t>
      </w:r>
      <w:r w:rsidRPr="001626DE">
        <w:rPr>
          <w:b/>
        </w:rPr>
        <w:t xml:space="preserve"> – References to </w:t>
      </w:r>
      <w:r>
        <w:rPr>
          <w:b/>
        </w:rPr>
        <w:t>RR</w:t>
      </w:r>
      <w:r w:rsidRPr="001626DE">
        <w:rPr>
          <w:b/>
        </w:rPr>
        <w:t>T</w:t>
      </w:r>
      <w:r>
        <w:rPr>
          <w:b/>
        </w:rPr>
        <w:t>-reviewable decisions</w:t>
      </w:r>
    </w:p>
    <w:p w14:paraId="4A80FB4A" w14:textId="77777777" w:rsidR="003C1A50" w:rsidRPr="001626DE" w:rsidRDefault="003C1A50" w:rsidP="003C1A50">
      <w:pPr>
        <w:spacing w:before="0"/>
        <w:ind w:right="91"/>
        <w:rPr>
          <w:b/>
        </w:rPr>
      </w:pPr>
    </w:p>
    <w:p w14:paraId="5135232B" w14:textId="77777777" w:rsidR="003C1A50" w:rsidRPr="001626DE" w:rsidRDefault="003C1A50" w:rsidP="003C1A50">
      <w:pPr>
        <w:spacing w:before="0"/>
        <w:ind w:right="91"/>
        <w:rPr>
          <w:b/>
          <w:i/>
        </w:rPr>
      </w:pPr>
      <w:r w:rsidRPr="001626DE">
        <w:rPr>
          <w:b/>
          <w:i/>
        </w:rPr>
        <w:t>Migration Regulations 1994</w:t>
      </w:r>
    </w:p>
    <w:p w14:paraId="7E9307ED" w14:textId="77777777" w:rsidR="003C1A50" w:rsidRDefault="003C1A50" w:rsidP="003C1A50">
      <w:pPr>
        <w:spacing w:before="0"/>
        <w:ind w:right="91"/>
        <w:rPr>
          <w:u w:val="single"/>
        </w:rPr>
      </w:pPr>
    </w:p>
    <w:p w14:paraId="69A41119" w14:textId="77777777" w:rsidR="003C1A50" w:rsidRDefault="003C1A50" w:rsidP="003C1A50">
      <w:pPr>
        <w:spacing w:before="0"/>
        <w:ind w:right="91"/>
        <w:rPr>
          <w:u w:val="single"/>
        </w:rPr>
      </w:pPr>
      <w:r w:rsidRPr="00E646DD">
        <w:rPr>
          <w:u w:val="single"/>
        </w:rPr>
        <w:t xml:space="preserve">Item </w:t>
      </w:r>
      <w:r>
        <w:rPr>
          <w:u w:val="single"/>
        </w:rPr>
        <w:t>56</w:t>
      </w:r>
      <w:r w:rsidRPr="00E646DD">
        <w:rPr>
          <w:u w:val="single"/>
        </w:rPr>
        <w:t xml:space="preserve"> – </w:t>
      </w:r>
      <w:r>
        <w:rPr>
          <w:u w:val="single"/>
        </w:rPr>
        <w:t>Amendments of listed provisions</w:t>
      </w:r>
    </w:p>
    <w:p w14:paraId="5630CB9D" w14:textId="77777777" w:rsidR="003C1A50" w:rsidRDefault="003C1A50" w:rsidP="003C1A50">
      <w:pPr>
        <w:spacing w:before="0"/>
        <w:ind w:right="91"/>
      </w:pPr>
    </w:p>
    <w:p w14:paraId="29003694" w14:textId="5D47E180" w:rsidR="003C1A50" w:rsidRDefault="003C1A50" w:rsidP="003C1A50">
      <w:pPr>
        <w:spacing w:before="0"/>
        <w:ind w:right="91"/>
        <w:rPr>
          <w:u w:val="single"/>
        </w:rPr>
      </w:pPr>
      <w:r w:rsidRPr="009A073F">
        <w:t>This item</w:t>
      </w:r>
      <w:r>
        <w:t xml:space="preserve"> amends various provisions in the </w:t>
      </w:r>
      <w:r w:rsidR="001B6B68">
        <w:t xml:space="preserve">Migration </w:t>
      </w:r>
      <w:r>
        <w:t>Regulations to replace references to “MRT-reviewable decision” with references to “Part 7-reviewable decision”.</w:t>
      </w:r>
      <w:r w:rsidRPr="001626DE">
        <w:t xml:space="preserve"> </w:t>
      </w:r>
      <w:r>
        <w:t xml:space="preserve">Pursuant to the </w:t>
      </w:r>
      <w:r>
        <w:rPr>
          <w:i/>
        </w:rPr>
        <w:t>Amalgamation Act</w:t>
      </w:r>
      <w:r>
        <w:t>, the RRT ceases to exist on 1 July 2015 and its jurisdiction is transferred to the AAT.</w:t>
      </w:r>
      <w:r w:rsidRPr="00801CF0">
        <w:t xml:space="preserve"> </w:t>
      </w:r>
      <w:r>
        <w:t xml:space="preserve">Accordingly, the term “RRT-reviewable decision” is no longer appropriate. The replacement term used from 1 July 2015, is “Part 7-reviewable decision” which, from 1 July 2015, is defined in subsection 5(1) and section 411 of the </w:t>
      </w:r>
      <w:r w:rsidR="001B6B68">
        <w:t xml:space="preserve">Migration </w:t>
      </w:r>
      <w:r>
        <w:t>Act.</w:t>
      </w:r>
      <w:r w:rsidRPr="00152956">
        <w:t xml:space="preserve"> </w:t>
      </w:r>
      <w:r>
        <w:t xml:space="preserve">The amendments are consequential to Schedule 2 to the </w:t>
      </w:r>
      <w:r>
        <w:rPr>
          <w:i/>
        </w:rPr>
        <w:t>Amalgamation Act</w:t>
      </w:r>
      <w:r>
        <w:t>.</w:t>
      </w:r>
    </w:p>
    <w:p w14:paraId="083A9EDD" w14:textId="77777777" w:rsidR="003C1A50" w:rsidRDefault="003C1A50" w:rsidP="003C1A50">
      <w:pPr>
        <w:spacing w:before="0"/>
        <w:ind w:right="91"/>
        <w:rPr>
          <w:b/>
        </w:rPr>
      </w:pPr>
    </w:p>
    <w:p w14:paraId="010FA1C4" w14:textId="77777777" w:rsidR="009B689A" w:rsidRDefault="009B689A">
      <w:pPr>
        <w:spacing w:before="0"/>
        <w:rPr>
          <w:b/>
        </w:rPr>
      </w:pPr>
      <w:r>
        <w:rPr>
          <w:b/>
        </w:rPr>
        <w:br w:type="page"/>
      </w:r>
    </w:p>
    <w:p w14:paraId="4BED489F" w14:textId="700B6ADD" w:rsidR="003C1A50" w:rsidRPr="001626DE" w:rsidRDefault="003C1A50" w:rsidP="003C1A50">
      <w:pPr>
        <w:spacing w:before="0"/>
        <w:ind w:right="91"/>
        <w:rPr>
          <w:b/>
        </w:rPr>
      </w:pPr>
      <w:r w:rsidRPr="001626DE">
        <w:rPr>
          <w:b/>
        </w:rPr>
        <w:lastRenderedPageBreak/>
        <w:t>Division</w:t>
      </w:r>
      <w:r>
        <w:rPr>
          <w:b/>
        </w:rPr>
        <w:t xml:space="preserve"> 6</w:t>
      </w:r>
      <w:r w:rsidRPr="001626DE">
        <w:rPr>
          <w:b/>
        </w:rPr>
        <w:t xml:space="preserve"> – Re</w:t>
      </w:r>
      <w:r>
        <w:rPr>
          <w:b/>
        </w:rPr>
        <w:t>peals</w:t>
      </w:r>
    </w:p>
    <w:p w14:paraId="6907C869" w14:textId="77777777" w:rsidR="003C1A50" w:rsidRPr="001626DE" w:rsidRDefault="003C1A50" w:rsidP="003C1A50">
      <w:pPr>
        <w:spacing w:before="0"/>
        <w:ind w:right="91"/>
        <w:rPr>
          <w:b/>
        </w:rPr>
      </w:pPr>
    </w:p>
    <w:p w14:paraId="6AA05D60" w14:textId="77777777" w:rsidR="003C1A50" w:rsidRPr="001626DE" w:rsidRDefault="003C1A50" w:rsidP="003C1A50">
      <w:pPr>
        <w:spacing w:before="0"/>
        <w:ind w:right="91"/>
        <w:rPr>
          <w:b/>
          <w:i/>
        </w:rPr>
      </w:pPr>
      <w:r w:rsidRPr="001626DE">
        <w:rPr>
          <w:b/>
          <w:i/>
        </w:rPr>
        <w:t>Migration Regulations 1994</w:t>
      </w:r>
    </w:p>
    <w:p w14:paraId="252B2808" w14:textId="77777777" w:rsidR="003C1A50" w:rsidRDefault="003C1A50" w:rsidP="003C1A50">
      <w:pPr>
        <w:spacing w:before="0"/>
        <w:ind w:right="91"/>
        <w:rPr>
          <w:u w:val="single"/>
        </w:rPr>
      </w:pPr>
    </w:p>
    <w:p w14:paraId="03AB93ED" w14:textId="77777777" w:rsidR="003C1A50" w:rsidRDefault="003C1A50" w:rsidP="003C1A50">
      <w:pPr>
        <w:spacing w:before="0"/>
        <w:ind w:right="91"/>
        <w:rPr>
          <w:u w:val="single"/>
        </w:rPr>
      </w:pPr>
      <w:r w:rsidRPr="00E646DD">
        <w:rPr>
          <w:u w:val="single"/>
        </w:rPr>
        <w:t xml:space="preserve">Item </w:t>
      </w:r>
      <w:r>
        <w:rPr>
          <w:u w:val="single"/>
        </w:rPr>
        <w:t>57</w:t>
      </w:r>
      <w:r w:rsidRPr="00E646DD">
        <w:rPr>
          <w:u w:val="single"/>
        </w:rPr>
        <w:t xml:space="preserve"> – </w:t>
      </w:r>
      <w:r>
        <w:rPr>
          <w:u w:val="single"/>
        </w:rPr>
        <w:t>Amendments of listed provisions</w:t>
      </w:r>
    </w:p>
    <w:p w14:paraId="6856967B" w14:textId="77777777" w:rsidR="003C1A50" w:rsidRDefault="003C1A50" w:rsidP="003C1A50">
      <w:pPr>
        <w:spacing w:before="0"/>
        <w:ind w:right="91"/>
      </w:pPr>
    </w:p>
    <w:p w14:paraId="5CD7CD0A" w14:textId="29A2CC62" w:rsidR="003C1A50" w:rsidRDefault="003C1A50" w:rsidP="003C1A50">
      <w:pPr>
        <w:spacing w:before="0"/>
        <w:ind w:right="91"/>
      </w:pPr>
      <w:r>
        <w:t xml:space="preserve">This item omits various provisions from the </w:t>
      </w:r>
      <w:r w:rsidR="001B6B68">
        <w:t xml:space="preserve">Migration </w:t>
      </w:r>
      <w:r>
        <w:t xml:space="preserve">Regulations. The omitted provisions are redundant following the amalgamation of the MRT and RRT with the AAT on 1 July 2015. The amendments are consequential to Schedule 2 to the </w:t>
      </w:r>
      <w:r w:rsidRPr="002A6BE0">
        <w:t>Amalgamation Act</w:t>
      </w:r>
      <w:r w:rsidRPr="001B6B68">
        <w:t>.</w:t>
      </w:r>
    </w:p>
    <w:p w14:paraId="42327A5E" w14:textId="77777777" w:rsidR="00745D8E" w:rsidRPr="00B6180D" w:rsidRDefault="00745D8E" w:rsidP="000E3C74">
      <w:pPr>
        <w:pStyle w:val="Default"/>
        <w:ind w:right="91"/>
        <w:rPr>
          <w:b/>
          <w:bCs/>
          <w:u w:val="single"/>
        </w:rPr>
      </w:pPr>
    </w:p>
    <w:p w14:paraId="258D3EB1" w14:textId="77777777" w:rsidR="00745D8E" w:rsidRDefault="00745D8E" w:rsidP="000E3C74">
      <w:pPr>
        <w:pStyle w:val="Default"/>
        <w:ind w:right="91"/>
        <w:rPr>
          <w:b/>
          <w:bCs/>
          <w:u w:val="single"/>
        </w:rPr>
      </w:pPr>
      <w:r w:rsidRPr="00B6180D">
        <w:rPr>
          <w:b/>
          <w:bCs/>
          <w:u w:val="single"/>
        </w:rPr>
        <w:t xml:space="preserve">Schedule 7 – </w:t>
      </w:r>
      <w:r w:rsidR="0019466D">
        <w:rPr>
          <w:b/>
          <w:bCs/>
          <w:u w:val="single"/>
        </w:rPr>
        <w:t>Amendments related to v</w:t>
      </w:r>
      <w:r w:rsidR="00E12B82">
        <w:rPr>
          <w:b/>
          <w:bCs/>
          <w:u w:val="single"/>
        </w:rPr>
        <w:t>isa application charges</w:t>
      </w:r>
    </w:p>
    <w:p w14:paraId="36AADE46" w14:textId="77777777" w:rsidR="00E12B82" w:rsidRDefault="00E12B82" w:rsidP="000E3C74">
      <w:pPr>
        <w:pStyle w:val="Default"/>
        <w:ind w:right="91"/>
        <w:rPr>
          <w:b/>
          <w:bCs/>
          <w:u w:val="single"/>
        </w:rPr>
      </w:pPr>
    </w:p>
    <w:p w14:paraId="541DF254" w14:textId="77777777" w:rsidR="00E12B82" w:rsidRPr="00E12B82" w:rsidRDefault="00E12B82" w:rsidP="000E3C74">
      <w:pPr>
        <w:spacing w:before="0"/>
        <w:ind w:right="42"/>
        <w:rPr>
          <w:szCs w:val="24"/>
        </w:rPr>
      </w:pPr>
      <w:r w:rsidRPr="00E12B82">
        <w:rPr>
          <w:szCs w:val="24"/>
        </w:rPr>
        <w:t>This Schedule gives effect to the Government’s decision as part of the 2015-16 Budget to adjust the price of a number of Visa Application Charges (‘VAC’) as follows:</w:t>
      </w:r>
    </w:p>
    <w:p w14:paraId="1BE6649F" w14:textId="77777777" w:rsidR="00E12B82" w:rsidRPr="00E12B82" w:rsidRDefault="00E12B82" w:rsidP="000E3C74">
      <w:pPr>
        <w:numPr>
          <w:ilvl w:val="0"/>
          <w:numId w:val="12"/>
        </w:numPr>
        <w:spacing w:before="0"/>
        <w:ind w:right="662"/>
        <w:jc w:val="both"/>
        <w:rPr>
          <w:szCs w:val="24"/>
        </w:rPr>
      </w:pPr>
      <w:r w:rsidRPr="00E12B82">
        <w:rPr>
          <w:szCs w:val="24"/>
        </w:rPr>
        <w:t>a broad range of visas, including Permanent Migration Skill Stream, Skilled Graduate, Temporary Long Stay Business (Subclass 457), Visitor and Student visas, has increased by inflation (2.3 per cent);</w:t>
      </w:r>
    </w:p>
    <w:p w14:paraId="70AEF503" w14:textId="77777777" w:rsidR="00E12B82" w:rsidRPr="00E12B82" w:rsidRDefault="00E12B82" w:rsidP="000E3C74">
      <w:pPr>
        <w:numPr>
          <w:ilvl w:val="0"/>
          <w:numId w:val="12"/>
        </w:numPr>
        <w:spacing w:before="0"/>
        <w:ind w:right="662"/>
        <w:jc w:val="both"/>
        <w:rPr>
          <w:szCs w:val="24"/>
        </w:rPr>
      </w:pPr>
      <w:r w:rsidRPr="00E12B82">
        <w:rPr>
          <w:szCs w:val="24"/>
        </w:rPr>
        <w:t>Temporary Resident Short Term Business and Entertainment visas, Working Holiday visas, Resident Return and Retirement Investor visas, and Contributory Parent visas has increased by 5 per cent;</w:t>
      </w:r>
    </w:p>
    <w:p w14:paraId="02FA5859" w14:textId="77777777" w:rsidR="00E12B82" w:rsidRPr="00E12B82" w:rsidRDefault="00E12B82" w:rsidP="000E3C74">
      <w:pPr>
        <w:numPr>
          <w:ilvl w:val="0"/>
          <w:numId w:val="12"/>
        </w:numPr>
        <w:spacing w:before="0"/>
        <w:ind w:right="662"/>
        <w:jc w:val="both"/>
        <w:rPr>
          <w:szCs w:val="24"/>
        </w:rPr>
      </w:pPr>
      <w:r w:rsidRPr="00E12B82">
        <w:rPr>
          <w:szCs w:val="24"/>
        </w:rPr>
        <w:t>Other Family (Remaining Relative, Carer and Aged Dependent Relative) visas, and (non-contributory) Parent visas has increased by 10 per cent;</w:t>
      </w:r>
    </w:p>
    <w:p w14:paraId="591C034E" w14:textId="77777777" w:rsidR="00E12B82" w:rsidRPr="00E12B82" w:rsidRDefault="00E12B82" w:rsidP="000E3C74">
      <w:pPr>
        <w:numPr>
          <w:ilvl w:val="0"/>
          <w:numId w:val="12"/>
        </w:numPr>
        <w:spacing w:before="0"/>
        <w:ind w:right="662"/>
        <w:jc w:val="both"/>
        <w:rPr>
          <w:szCs w:val="24"/>
        </w:rPr>
      </w:pPr>
      <w:r w:rsidRPr="00E12B82">
        <w:rPr>
          <w:szCs w:val="24"/>
        </w:rPr>
        <w:t>Significant Investor stream in the Subclass 188 (Business Innovation and Investment (Provisional)) visa has increased 50 per cent; and</w:t>
      </w:r>
    </w:p>
    <w:p w14:paraId="22B7B14A" w14:textId="77777777" w:rsidR="00E12B82" w:rsidRPr="00E12B82" w:rsidRDefault="00E12B82" w:rsidP="000E3C74">
      <w:pPr>
        <w:numPr>
          <w:ilvl w:val="0"/>
          <w:numId w:val="12"/>
        </w:numPr>
        <w:spacing w:before="0"/>
        <w:ind w:right="662"/>
        <w:jc w:val="both"/>
        <w:rPr>
          <w:szCs w:val="24"/>
        </w:rPr>
      </w:pPr>
      <w:r w:rsidRPr="00E12B82">
        <w:rPr>
          <w:szCs w:val="24"/>
        </w:rPr>
        <w:t>align VAC prices where a difference exists between onshore and offshore applications for a visa subclass after the above increases are applied.</w:t>
      </w:r>
    </w:p>
    <w:p w14:paraId="7C192837" w14:textId="77777777" w:rsidR="00E12B82" w:rsidRPr="00E043FD" w:rsidRDefault="00E12B82" w:rsidP="000E3C74">
      <w:pPr>
        <w:spacing w:before="0"/>
        <w:ind w:right="662"/>
        <w:jc w:val="both"/>
        <w:rPr>
          <w:szCs w:val="24"/>
        </w:rPr>
      </w:pPr>
    </w:p>
    <w:p w14:paraId="6C28B8FE" w14:textId="77777777" w:rsidR="00E12B82" w:rsidRPr="00E043FD" w:rsidRDefault="00E12B82" w:rsidP="000E3C74">
      <w:pPr>
        <w:spacing w:before="0"/>
        <w:ind w:right="662"/>
        <w:jc w:val="both"/>
        <w:rPr>
          <w:szCs w:val="24"/>
        </w:rPr>
      </w:pPr>
      <w:r w:rsidRPr="00E043FD">
        <w:rPr>
          <w:szCs w:val="24"/>
        </w:rPr>
        <w:t xml:space="preserve">These changes are </w:t>
      </w:r>
      <w:r>
        <w:rPr>
          <w:szCs w:val="24"/>
        </w:rPr>
        <w:t>made</w:t>
      </w:r>
      <w:r w:rsidRPr="00E043FD">
        <w:rPr>
          <w:szCs w:val="24"/>
        </w:rPr>
        <w:t xml:space="preserve"> in lieu of indexation of all VACs for 2015.</w:t>
      </w:r>
    </w:p>
    <w:p w14:paraId="714DE194" w14:textId="77777777" w:rsidR="00E12B82" w:rsidRPr="00DC19F1" w:rsidRDefault="00E12B82" w:rsidP="000E3C74">
      <w:pPr>
        <w:spacing w:before="0"/>
        <w:ind w:right="662"/>
        <w:jc w:val="both"/>
        <w:rPr>
          <w:szCs w:val="24"/>
        </w:rPr>
      </w:pPr>
    </w:p>
    <w:p w14:paraId="53D3EDF7" w14:textId="77777777" w:rsidR="00E12B82" w:rsidRPr="00DC19F1" w:rsidRDefault="00E12B82" w:rsidP="000E3C74">
      <w:pPr>
        <w:spacing w:before="0"/>
        <w:ind w:right="662"/>
        <w:jc w:val="both"/>
        <w:rPr>
          <w:szCs w:val="24"/>
        </w:rPr>
      </w:pPr>
      <w:r w:rsidRPr="00DC19F1">
        <w:rPr>
          <w:szCs w:val="24"/>
        </w:rPr>
        <w:t>All increases are rounded to a multiple of $5.00 according to the following methodology:</w:t>
      </w:r>
    </w:p>
    <w:p w14:paraId="045CF8AC" w14:textId="77777777" w:rsidR="00E12B82" w:rsidRPr="00DC19F1" w:rsidRDefault="00E12B82" w:rsidP="000E3C74">
      <w:pPr>
        <w:numPr>
          <w:ilvl w:val="0"/>
          <w:numId w:val="12"/>
        </w:numPr>
        <w:spacing w:before="0"/>
        <w:ind w:right="662"/>
        <w:jc w:val="both"/>
        <w:rPr>
          <w:szCs w:val="24"/>
        </w:rPr>
      </w:pPr>
      <w:r w:rsidRPr="00DC19F1">
        <w:rPr>
          <w:szCs w:val="24"/>
        </w:rPr>
        <w:t>if the amount of the charge calculated under this formula is not a multiple of $5.00, and if the amount exceeds the nearest lower multiple of $5.00 by $2.50 or more, the amount is rounded up to the nearest $5.00;</w:t>
      </w:r>
    </w:p>
    <w:p w14:paraId="7DBC8D16" w14:textId="77777777" w:rsidR="00E12B82" w:rsidRPr="00DC19F1" w:rsidRDefault="00E12B82" w:rsidP="000E3C74">
      <w:pPr>
        <w:numPr>
          <w:ilvl w:val="0"/>
          <w:numId w:val="12"/>
        </w:numPr>
        <w:spacing w:before="0"/>
        <w:ind w:right="662"/>
        <w:jc w:val="both"/>
        <w:rPr>
          <w:szCs w:val="24"/>
        </w:rPr>
      </w:pPr>
      <w:r w:rsidRPr="00DC19F1">
        <w:rPr>
          <w:szCs w:val="24"/>
        </w:rPr>
        <w:t>in any other case, where the charge calculated under the formula is not a</w:t>
      </w:r>
      <w:r>
        <w:rPr>
          <w:szCs w:val="24"/>
        </w:rPr>
        <w:t> </w:t>
      </w:r>
      <w:r w:rsidRPr="00DC19F1">
        <w:rPr>
          <w:szCs w:val="24"/>
        </w:rPr>
        <w:t>multiple of $5.00, the amount is rounded down to the nearest lower multiple of $5.00.</w:t>
      </w:r>
    </w:p>
    <w:p w14:paraId="457D8472" w14:textId="77777777" w:rsidR="00E12B82" w:rsidRPr="00DC19F1" w:rsidRDefault="00E12B82" w:rsidP="000E3C74">
      <w:pPr>
        <w:spacing w:before="0"/>
        <w:ind w:right="662"/>
        <w:jc w:val="both"/>
        <w:rPr>
          <w:szCs w:val="24"/>
        </w:rPr>
      </w:pPr>
    </w:p>
    <w:p w14:paraId="7B4EE233" w14:textId="77777777" w:rsidR="00E12B82" w:rsidRPr="00DC19F1" w:rsidRDefault="00E12B82" w:rsidP="000E3C74">
      <w:pPr>
        <w:spacing w:before="0"/>
        <w:ind w:right="662"/>
        <w:jc w:val="both"/>
        <w:rPr>
          <w:szCs w:val="24"/>
        </w:rPr>
      </w:pPr>
      <w:r w:rsidRPr="00DC19F1">
        <w:rPr>
          <w:szCs w:val="24"/>
        </w:rPr>
        <w:t xml:space="preserve">The amount of the increase in these items does not exceed the applicable charge limit set out in the </w:t>
      </w:r>
      <w:r w:rsidRPr="00DC19F1">
        <w:rPr>
          <w:i/>
          <w:iCs/>
          <w:szCs w:val="24"/>
        </w:rPr>
        <w:t>Migration (Visa Application) Charge Act 1997.</w:t>
      </w:r>
    </w:p>
    <w:p w14:paraId="1C48C819" w14:textId="77777777" w:rsidR="00E12B82" w:rsidRPr="002303F2" w:rsidRDefault="00E12B82" w:rsidP="000E3C74">
      <w:pPr>
        <w:keepNext/>
        <w:keepLines/>
        <w:spacing w:before="0"/>
        <w:ind w:right="-57"/>
        <w:rPr>
          <w:szCs w:val="24"/>
          <w:highlight w:val="yellow"/>
        </w:rPr>
      </w:pPr>
    </w:p>
    <w:p w14:paraId="2F312D71" w14:textId="36E09A8B" w:rsidR="00E12B82" w:rsidRDefault="00745D8E" w:rsidP="000E3C74">
      <w:pPr>
        <w:tabs>
          <w:tab w:val="left" w:pos="345"/>
        </w:tabs>
        <w:spacing w:before="0"/>
        <w:ind w:right="662"/>
        <w:rPr>
          <w:szCs w:val="24"/>
          <w:u w:val="single"/>
        </w:rPr>
      </w:pPr>
      <w:r w:rsidRPr="00B6180D">
        <w:rPr>
          <w:szCs w:val="24"/>
          <w:u w:val="single"/>
        </w:rPr>
        <w:t xml:space="preserve">Item 1 </w:t>
      </w:r>
      <w:r w:rsidR="00975108">
        <w:rPr>
          <w:szCs w:val="24"/>
          <w:u w:val="single"/>
        </w:rPr>
        <w:t xml:space="preserve">and </w:t>
      </w:r>
      <w:r w:rsidR="00E12B82">
        <w:rPr>
          <w:szCs w:val="24"/>
          <w:u w:val="single"/>
        </w:rPr>
        <w:t>2 – Amendments of listed provisions – changes to visa application charges</w:t>
      </w:r>
    </w:p>
    <w:p w14:paraId="0CA91109" w14:textId="77777777" w:rsidR="00E12B82" w:rsidRDefault="00E12B82" w:rsidP="000E3C74">
      <w:pPr>
        <w:tabs>
          <w:tab w:val="left" w:pos="345"/>
        </w:tabs>
        <w:spacing w:before="0"/>
        <w:ind w:right="662"/>
        <w:rPr>
          <w:szCs w:val="24"/>
          <w:u w:val="single"/>
        </w:rPr>
      </w:pPr>
    </w:p>
    <w:p w14:paraId="4CFF3699" w14:textId="77777777" w:rsidR="00E12B82" w:rsidRDefault="00975108" w:rsidP="000E3C74">
      <w:pPr>
        <w:tabs>
          <w:tab w:val="left" w:pos="345"/>
        </w:tabs>
        <w:spacing w:before="0"/>
        <w:ind w:right="662"/>
        <w:rPr>
          <w:szCs w:val="24"/>
        </w:rPr>
      </w:pPr>
      <w:r>
        <w:rPr>
          <w:szCs w:val="24"/>
        </w:rPr>
        <w:t>These items</w:t>
      </w:r>
      <w:r w:rsidR="00E12B82">
        <w:rPr>
          <w:szCs w:val="24"/>
        </w:rPr>
        <w:t xml:space="preserve"> amend the provisions in Part 1 of Schedule 1 to the Migration Regulations to increase the first instalment of the visa application charge (VAC). </w:t>
      </w:r>
    </w:p>
    <w:p w14:paraId="6060FE85" w14:textId="77777777" w:rsidR="00975108" w:rsidRDefault="00975108" w:rsidP="000E3C74">
      <w:pPr>
        <w:spacing w:before="0"/>
        <w:ind w:right="43"/>
        <w:rPr>
          <w:szCs w:val="24"/>
          <w:highlight w:val="yellow"/>
        </w:rPr>
      </w:pPr>
    </w:p>
    <w:p w14:paraId="04110F82" w14:textId="6587A01E" w:rsidR="00975108" w:rsidRDefault="00975108" w:rsidP="000E3C74">
      <w:pPr>
        <w:spacing w:before="0"/>
      </w:pPr>
      <w:r>
        <w:lastRenderedPageBreak/>
        <w:t>Columns 1 and 2 of the tables below list the visa classes and the names of th</w:t>
      </w:r>
      <w:r w:rsidR="00305732">
        <w:t>e</w:t>
      </w:r>
      <w:r>
        <w:t xml:space="preserve"> visa </w:t>
      </w:r>
      <w:r w:rsidR="000E1CEF">
        <w:t xml:space="preserve">subclasses </w:t>
      </w:r>
      <w:r>
        <w:t>that are amended.  The intention is to only impact the visa subclasses listed in Column 2, even if other visa subclasses fall within the visa class listed in column 1.</w:t>
      </w:r>
      <w:r w:rsidR="00305732">
        <w:t xml:space="preserve"> </w:t>
      </w:r>
    </w:p>
    <w:p w14:paraId="45A7EA1B" w14:textId="77777777" w:rsidR="00305732" w:rsidRDefault="00305732" w:rsidP="00305732">
      <w:pPr>
        <w:spacing w:before="0"/>
        <w:ind w:right="662"/>
        <w:jc w:val="both"/>
        <w:rPr>
          <w:szCs w:val="24"/>
        </w:rPr>
      </w:pPr>
    </w:p>
    <w:p w14:paraId="2E1ABA36" w14:textId="1751C8FE" w:rsidR="00305732" w:rsidRPr="00DC19F1" w:rsidRDefault="00305732" w:rsidP="00305732">
      <w:pPr>
        <w:spacing w:before="0"/>
        <w:ind w:right="662"/>
        <w:jc w:val="both"/>
        <w:rPr>
          <w:szCs w:val="24"/>
        </w:rPr>
      </w:pPr>
      <w:r>
        <w:rPr>
          <w:szCs w:val="24"/>
        </w:rPr>
        <w:t>Column </w:t>
      </w:r>
      <w:r w:rsidRPr="00DC19F1">
        <w:rPr>
          <w:szCs w:val="24"/>
        </w:rPr>
        <w:t>3 of the table below lists the provisions that</w:t>
      </w:r>
      <w:r>
        <w:rPr>
          <w:szCs w:val="24"/>
        </w:rPr>
        <w:t xml:space="preserve"> are</w:t>
      </w:r>
      <w:r w:rsidRPr="00DC19F1">
        <w:rPr>
          <w:szCs w:val="24"/>
        </w:rPr>
        <w:t xml:space="preserve"> amended by this Regulation to increase the VAC.  </w:t>
      </w:r>
      <w:r>
        <w:rPr>
          <w:szCs w:val="24"/>
        </w:rPr>
        <w:t>Columns 4 and </w:t>
      </w:r>
      <w:r w:rsidRPr="00DC19F1">
        <w:rPr>
          <w:szCs w:val="24"/>
        </w:rPr>
        <w:t xml:space="preserve">5 of the table list the </w:t>
      </w:r>
      <w:r>
        <w:rPr>
          <w:szCs w:val="24"/>
        </w:rPr>
        <w:t>previous</w:t>
      </w:r>
      <w:r w:rsidRPr="00DC19F1">
        <w:rPr>
          <w:szCs w:val="24"/>
        </w:rPr>
        <w:t xml:space="preserve"> VAC and the new VAC.</w:t>
      </w:r>
    </w:p>
    <w:p w14:paraId="793A460A" w14:textId="77777777" w:rsidR="00305732" w:rsidRDefault="00305732" w:rsidP="000E3C74">
      <w:pPr>
        <w:spacing w:before="0"/>
      </w:pPr>
    </w:p>
    <w:p w14:paraId="3CB2F174" w14:textId="77777777" w:rsidR="009B689A" w:rsidRDefault="009B689A" w:rsidP="009B689A">
      <w:pPr>
        <w:tabs>
          <w:tab w:val="left" w:pos="345"/>
        </w:tabs>
        <w:spacing w:before="0"/>
        <w:ind w:right="662"/>
        <w:rPr>
          <w:szCs w:val="24"/>
          <w:u w:val="single"/>
        </w:rPr>
      </w:pPr>
      <w:r>
        <w:rPr>
          <w:szCs w:val="24"/>
          <w:u w:val="single"/>
        </w:rPr>
        <w:t>Amendments of listed provisions – changes to visa application charges</w:t>
      </w:r>
    </w:p>
    <w:p w14:paraId="58E74E47" w14:textId="77777777" w:rsidR="009B689A" w:rsidRDefault="009B689A" w:rsidP="000E3C74">
      <w:pPr>
        <w:spacing w:before="0"/>
      </w:pPr>
    </w:p>
    <w:tbl>
      <w:tblPr>
        <w:tblStyle w:val="TableGrid"/>
        <w:tblW w:w="10632" w:type="dxa"/>
        <w:tblInd w:w="-743" w:type="dxa"/>
        <w:tblLook w:val="04A0" w:firstRow="1" w:lastRow="0" w:firstColumn="1" w:lastColumn="0" w:noHBand="0" w:noVBand="1"/>
      </w:tblPr>
      <w:tblGrid>
        <w:gridCol w:w="2411"/>
        <w:gridCol w:w="2409"/>
        <w:gridCol w:w="2410"/>
        <w:gridCol w:w="1843"/>
        <w:gridCol w:w="1559"/>
      </w:tblGrid>
      <w:tr w:rsidR="00975108" w:rsidRPr="00DC19F1" w14:paraId="35CED74E" w14:textId="77777777" w:rsidTr="009B689A">
        <w:trPr>
          <w:tblHeader/>
        </w:trPr>
        <w:tc>
          <w:tcPr>
            <w:tcW w:w="2411" w:type="dxa"/>
          </w:tcPr>
          <w:p w14:paraId="3777A450" w14:textId="77777777" w:rsidR="00975108" w:rsidRPr="00DC19F1" w:rsidRDefault="00975108" w:rsidP="000E3C74">
            <w:pPr>
              <w:pStyle w:val="NoSpacing"/>
              <w:jc w:val="center"/>
              <w:rPr>
                <w:b/>
              </w:rPr>
            </w:pPr>
            <w:r w:rsidRPr="00DC19F1">
              <w:rPr>
                <w:b/>
              </w:rPr>
              <w:t>Column 1</w:t>
            </w:r>
          </w:p>
        </w:tc>
        <w:tc>
          <w:tcPr>
            <w:tcW w:w="2409" w:type="dxa"/>
          </w:tcPr>
          <w:p w14:paraId="03E76609" w14:textId="77777777" w:rsidR="00975108" w:rsidRPr="00DC19F1" w:rsidRDefault="00975108" w:rsidP="000E3C74">
            <w:pPr>
              <w:pStyle w:val="NoSpacing"/>
              <w:jc w:val="center"/>
              <w:rPr>
                <w:b/>
              </w:rPr>
            </w:pPr>
            <w:r w:rsidRPr="00DC19F1">
              <w:rPr>
                <w:b/>
              </w:rPr>
              <w:t>Column 2</w:t>
            </w:r>
          </w:p>
        </w:tc>
        <w:tc>
          <w:tcPr>
            <w:tcW w:w="2410" w:type="dxa"/>
          </w:tcPr>
          <w:p w14:paraId="5F4219FF" w14:textId="77777777" w:rsidR="00975108" w:rsidRPr="00DC19F1" w:rsidRDefault="00975108" w:rsidP="000E3C74">
            <w:pPr>
              <w:pStyle w:val="NoSpacing"/>
              <w:jc w:val="center"/>
              <w:rPr>
                <w:b/>
              </w:rPr>
            </w:pPr>
            <w:r w:rsidRPr="00DC19F1">
              <w:rPr>
                <w:b/>
              </w:rPr>
              <w:t>Column 3</w:t>
            </w:r>
          </w:p>
        </w:tc>
        <w:tc>
          <w:tcPr>
            <w:tcW w:w="1843" w:type="dxa"/>
          </w:tcPr>
          <w:p w14:paraId="05EC245B" w14:textId="77777777" w:rsidR="00975108" w:rsidRPr="00DC19F1" w:rsidRDefault="00975108" w:rsidP="000E3C74">
            <w:pPr>
              <w:pStyle w:val="NoSpacing"/>
              <w:jc w:val="center"/>
              <w:rPr>
                <w:b/>
              </w:rPr>
            </w:pPr>
            <w:r w:rsidRPr="00DC19F1">
              <w:rPr>
                <w:b/>
              </w:rPr>
              <w:t>Column 4</w:t>
            </w:r>
          </w:p>
        </w:tc>
        <w:tc>
          <w:tcPr>
            <w:tcW w:w="1559" w:type="dxa"/>
          </w:tcPr>
          <w:p w14:paraId="4F3B6CEE" w14:textId="77777777" w:rsidR="00975108" w:rsidRPr="00DC19F1" w:rsidRDefault="00975108" w:rsidP="000E3C74">
            <w:pPr>
              <w:pStyle w:val="NoSpacing"/>
              <w:rPr>
                <w:b/>
              </w:rPr>
            </w:pPr>
            <w:r w:rsidRPr="00DC19F1">
              <w:rPr>
                <w:b/>
              </w:rPr>
              <w:t>Column 5</w:t>
            </w:r>
          </w:p>
        </w:tc>
      </w:tr>
      <w:tr w:rsidR="00975108" w:rsidRPr="00DC19F1" w14:paraId="356F18F2" w14:textId="77777777" w:rsidTr="00D40FE0">
        <w:tc>
          <w:tcPr>
            <w:tcW w:w="2411" w:type="dxa"/>
          </w:tcPr>
          <w:p w14:paraId="5B2693F1" w14:textId="77777777" w:rsidR="00975108" w:rsidRPr="00DC19F1" w:rsidRDefault="00975108" w:rsidP="000E3C74">
            <w:pPr>
              <w:pStyle w:val="NoSpacing"/>
              <w:jc w:val="center"/>
              <w:rPr>
                <w:b/>
              </w:rPr>
            </w:pPr>
            <w:r w:rsidRPr="00DC19F1">
              <w:rPr>
                <w:b/>
              </w:rPr>
              <w:t>Visa Class</w:t>
            </w:r>
          </w:p>
        </w:tc>
        <w:tc>
          <w:tcPr>
            <w:tcW w:w="2409" w:type="dxa"/>
          </w:tcPr>
          <w:p w14:paraId="72065EC3" w14:textId="77777777" w:rsidR="00975108" w:rsidRPr="00DC19F1" w:rsidRDefault="00975108" w:rsidP="000E3C74">
            <w:pPr>
              <w:pStyle w:val="NoSpacing"/>
              <w:jc w:val="center"/>
              <w:rPr>
                <w:b/>
              </w:rPr>
            </w:pPr>
            <w:r w:rsidRPr="00DC19F1">
              <w:rPr>
                <w:b/>
              </w:rPr>
              <w:t xml:space="preserve">Visa </w:t>
            </w:r>
            <w:r>
              <w:rPr>
                <w:b/>
              </w:rPr>
              <w:t>Subclasses impacted</w:t>
            </w:r>
          </w:p>
        </w:tc>
        <w:tc>
          <w:tcPr>
            <w:tcW w:w="2410" w:type="dxa"/>
          </w:tcPr>
          <w:p w14:paraId="796E535A" w14:textId="77777777" w:rsidR="00975108" w:rsidRPr="00DC19F1" w:rsidRDefault="00975108" w:rsidP="000E3C74">
            <w:pPr>
              <w:pStyle w:val="NoSpacing"/>
              <w:jc w:val="center"/>
              <w:rPr>
                <w:b/>
              </w:rPr>
            </w:pPr>
            <w:r w:rsidRPr="00DC19F1">
              <w:rPr>
                <w:b/>
              </w:rPr>
              <w:t>Provision</w:t>
            </w:r>
            <w:r>
              <w:rPr>
                <w:b/>
              </w:rPr>
              <w:t xml:space="preserve"> in Part 1 of Schedule </w:t>
            </w:r>
            <w:r w:rsidRPr="0086235F">
              <w:rPr>
                <w:b/>
              </w:rPr>
              <w:t>1</w:t>
            </w:r>
            <w:r>
              <w:rPr>
                <w:b/>
              </w:rPr>
              <w:t xml:space="preserve"> to the</w:t>
            </w:r>
            <w:r w:rsidR="0019466D">
              <w:rPr>
                <w:b/>
              </w:rPr>
              <w:t xml:space="preserve"> Migration</w:t>
            </w:r>
            <w:r>
              <w:rPr>
                <w:b/>
              </w:rPr>
              <w:t xml:space="preserve"> Regulation</w:t>
            </w:r>
            <w:r w:rsidR="00D1602A">
              <w:rPr>
                <w:b/>
              </w:rPr>
              <w:t>s</w:t>
            </w:r>
          </w:p>
        </w:tc>
        <w:tc>
          <w:tcPr>
            <w:tcW w:w="1843" w:type="dxa"/>
          </w:tcPr>
          <w:p w14:paraId="18808EEC" w14:textId="77777777" w:rsidR="00975108" w:rsidRPr="00DC19F1" w:rsidRDefault="00975108" w:rsidP="000E3C74">
            <w:pPr>
              <w:pStyle w:val="NoSpacing"/>
              <w:jc w:val="center"/>
              <w:rPr>
                <w:b/>
              </w:rPr>
            </w:pPr>
            <w:r>
              <w:rPr>
                <w:b/>
              </w:rPr>
              <w:t>Previous</w:t>
            </w:r>
            <w:r w:rsidRPr="00DC19F1">
              <w:rPr>
                <w:b/>
              </w:rPr>
              <w:t xml:space="preserve"> VAC</w:t>
            </w:r>
          </w:p>
        </w:tc>
        <w:tc>
          <w:tcPr>
            <w:tcW w:w="1559" w:type="dxa"/>
          </w:tcPr>
          <w:p w14:paraId="16F7A484" w14:textId="77777777" w:rsidR="00975108" w:rsidRPr="00DC19F1" w:rsidRDefault="00975108" w:rsidP="000E3C74">
            <w:pPr>
              <w:pStyle w:val="NoSpacing"/>
              <w:jc w:val="center"/>
              <w:rPr>
                <w:b/>
              </w:rPr>
            </w:pPr>
            <w:r w:rsidRPr="00DC19F1">
              <w:rPr>
                <w:b/>
              </w:rPr>
              <w:t>New VAC</w:t>
            </w:r>
          </w:p>
        </w:tc>
      </w:tr>
      <w:tr w:rsidR="00975108" w:rsidRPr="00DC19F1" w14:paraId="1A173A0A" w14:textId="77777777" w:rsidTr="00D40FE0">
        <w:tc>
          <w:tcPr>
            <w:tcW w:w="2411" w:type="dxa"/>
            <w:vMerge w:val="restart"/>
          </w:tcPr>
          <w:p w14:paraId="021CD036" w14:textId="77777777" w:rsidR="00975108" w:rsidRPr="00DC19F1" w:rsidRDefault="00975108" w:rsidP="000E3C74">
            <w:pPr>
              <w:pStyle w:val="NoSpacing"/>
            </w:pPr>
            <w:r w:rsidRPr="00DC19F1">
              <w:t xml:space="preserve">Business Skills – Business Talent (Permanent) </w:t>
            </w:r>
            <w:r>
              <w:t>(Class </w:t>
            </w:r>
            <w:r w:rsidRPr="00DC19F1">
              <w:t>EA</w:t>
            </w:r>
            <w:r>
              <w:t>)</w:t>
            </w:r>
          </w:p>
        </w:tc>
        <w:tc>
          <w:tcPr>
            <w:tcW w:w="2409" w:type="dxa"/>
            <w:vMerge w:val="restart"/>
          </w:tcPr>
          <w:p w14:paraId="266C685B" w14:textId="77777777" w:rsidR="00975108" w:rsidRPr="00DC19F1" w:rsidRDefault="00975108" w:rsidP="000E3C74">
            <w:pPr>
              <w:pStyle w:val="NoSpacing"/>
            </w:pPr>
            <w:r w:rsidRPr="0086235F">
              <w:t xml:space="preserve">Subclass 132 </w:t>
            </w:r>
            <w:r>
              <w:t>(</w:t>
            </w:r>
            <w:r w:rsidRPr="0086235F">
              <w:t>Business Talent</w:t>
            </w:r>
            <w:r>
              <w:t>) visa</w:t>
            </w:r>
          </w:p>
        </w:tc>
        <w:tc>
          <w:tcPr>
            <w:tcW w:w="2410" w:type="dxa"/>
          </w:tcPr>
          <w:p w14:paraId="27EC4281" w14:textId="77777777" w:rsidR="00975108" w:rsidRPr="00DC19F1" w:rsidRDefault="00975108" w:rsidP="000E3C74">
            <w:pPr>
              <w:pStyle w:val="NoSpacing"/>
            </w:pPr>
            <w:r w:rsidRPr="00FE7C5D">
              <w:t xml:space="preserve">Paragraph </w:t>
            </w:r>
            <w:r w:rsidRPr="00DC19F1">
              <w:t>1104AA</w:t>
            </w:r>
            <w:r>
              <w:t xml:space="preserve"> </w:t>
            </w:r>
            <w:r w:rsidRPr="00DC19F1">
              <w:t>(2)</w:t>
            </w:r>
            <w:r>
              <w:t xml:space="preserve"> (a), table</w:t>
            </w:r>
            <w:r w:rsidRPr="00DC19F1">
              <w:t xml:space="preserve"> item 1</w:t>
            </w:r>
          </w:p>
        </w:tc>
        <w:tc>
          <w:tcPr>
            <w:tcW w:w="1843" w:type="dxa"/>
          </w:tcPr>
          <w:p w14:paraId="2DC0185F" w14:textId="77777777" w:rsidR="00975108" w:rsidRPr="00DC19F1" w:rsidRDefault="00975108" w:rsidP="000E3C74">
            <w:pPr>
              <w:pStyle w:val="NoSpacing"/>
              <w:jc w:val="center"/>
            </w:pPr>
            <w:r w:rsidRPr="00FE7C5D">
              <w:t>$</w:t>
            </w:r>
            <w:r>
              <w:t>6 830</w:t>
            </w:r>
          </w:p>
        </w:tc>
        <w:tc>
          <w:tcPr>
            <w:tcW w:w="1559" w:type="dxa"/>
          </w:tcPr>
          <w:p w14:paraId="3D73AF42" w14:textId="77777777" w:rsidR="00975108" w:rsidRPr="00DC19F1" w:rsidRDefault="00975108" w:rsidP="000E3C74">
            <w:pPr>
              <w:pStyle w:val="NoSpacing"/>
              <w:jc w:val="center"/>
            </w:pPr>
            <w:r>
              <w:t>$6 990</w:t>
            </w:r>
          </w:p>
        </w:tc>
      </w:tr>
      <w:tr w:rsidR="00975108" w:rsidRPr="00DC19F1" w14:paraId="09B48DB4" w14:textId="77777777" w:rsidTr="00D40FE0">
        <w:tc>
          <w:tcPr>
            <w:tcW w:w="2411" w:type="dxa"/>
            <w:vMerge/>
          </w:tcPr>
          <w:p w14:paraId="081A5AEB" w14:textId="77777777" w:rsidR="00975108" w:rsidRPr="00DC19F1" w:rsidRDefault="00975108" w:rsidP="000E3C74">
            <w:pPr>
              <w:pStyle w:val="NoSpacing"/>
            </w:pPr>
          </w:p>
        </w:tc>
        <w:tc>
          <w:tcPr>
            <w:tcW w:w="2409" w:type="dxa"/>
            <w:vMerge/>
          </w:tcPr>
          <w:p w14:paraId="761E8F35" w14:textId="77777777" w:rsidR="00975108" w:rsidRPr="00DC19F1" w:rsidRDefault="00975108" w:rsidP="000E3C74">
            <w:pPr>
              <w:pStyle w:val="NoSpacing"/>
            </w:pPr>
          </w:p>
        </w:tc>
        <w:tc>
          <w:tcPr>
            <w:tcW w:w="2410" w:type="dxa"/>
          </w:tcPr>
          <w:p w14:paraId="0D68DA0B" w14:textId="77777777" w:rsidR="00975108" w:rsidRPr="00DC19F1" w:rsidRDefault="00975108" w:rsidP="000E3C74">
            <w:pPr>
              <w:pStyle w:val="NoSpacing"/>
            </w:pPr>
            <w:r w:rsidRPr="00FE7C5D">
              <w:t xml:space="preserve">Paragraph </w:t>
            </w:r>
            <w:r w:rsidRPr="00DC19F1">
              <w:t>1104AA</w:t>
            </w:r>
            <w:r>
              <w:t xml:space="preserve"> </w:t>
            </w:r>
            <w:r w:rsidRPr="00DC19F1">
              <w:t>(2)</w:t>
            </w:r>
            <w:r>
              <w:t xml:space="preserve"> (a), table</w:t>
            </w:r>
            <w:r w:rsidRPr="00DC19F1">
              <w:t xml:space="preserve"> item 2</w:t>
            </w:r>
          </w:p>
        </w:tc>
        <w:tc>
          <w:tcPr>
            <w:tcW w:w="1843" w:type="dxa"/>
          </w:tcPr>
          <w:p w14:paraId="0A81A028" w14:textId="77777777" w:rsidR="00975108" w:rsidRPr="00DC19F1" w:rsidRDefault="00975108" w:rsidP="000E3C74">
            <w:pPr>
              <w:pStyle w:val="NoSpacing"/>
              <w:jc w:val="center"/>
            </w:pPr>
            <w:r w:rsidRPr="00FE7C5D">
              <w:t>$</w:t>
            </w:r>
            <w:r>
              <w:t>3 415</w:t>
            </w:r>
          </w:p>
        </w:tc>
        <w:tc>
          <w:tcPr>
            <w:tcW w:w="1559" w:type="dxa"/>
          </w:tcPr>
          <w:p w14:paraId="29E9CEF0" w14:textId="77777777" w:rsidR="00975108" w:rsidRPr="00DC19F1" w:rsidRDefault="00975108" w:rsidP="000E3C74">
            <w:pPr>
              <w:pStyle w:val="NoSpacing"/>
              <w:jc w:val="center"/>
            </w:pPr>
            <w:r w:rsidRPr="00FE7C5D">
              <w:t>$</w:t>
            </w:r>
            <w:r>
              <w:t>3 495</w:t>
            </w:r>
          </w:p>
        </w:tc>
      </w:tr>
      <w:tr w:rsidR="00975108" w:rsidRPr="00DC19F1" w14:paraId="30FD0DD1" w14:textId="77777777" w:rsidTr="00D40FE0">
        <w:tc>
          <w:tcPr>
            <w:tcW w:w="2411" w:type="dxa"/>
            <w:vMerge/>
          </w:tcPr>
          <w:p w14:paraId="6EACF4ED" w14:textId="77777777" w:rsidR="00975108" w:rsidRPr="00DC19F1" w:rsidRDefault="00975108" w:rsidP="000E3C74">
            <w:pPr>
              <w:pStyle w:val="NoSpacing"/>
            </w:pPr>
          </w:p>
        </w:tc>
        <w:tc>
          <w:tcPr>
            <w:tcW w:w="2409" w:type="dxa"/>
            <w:vMerge/>
          </w:tcPr>
          <w:p w14:paraId="7C3D0D53" w14:textId="77777777" w:rsidR="00975108" w:rsidRPr="00DC19F1" w:rsidRDefault="00975108" w:rsidP="000E3C74">
            <w:pPr>
              <w:pStyle w:val="NoSpacing"/>
            </w:pPr>
          </w:p>
        </w:tc>
        <w:tc>
          <w:tcPr>
            <w:tcW w:w="2410" w:type="dxa"/>
          </w:tcPr>
          <w:p w14:paraId="4D351247" w14:textId="77777777" w:rsidR="00975108" w:rsidRPr="00DC19F1" w:rsidRDefault="00975108" w:rsidP="000E3C74">
            <w:pPr>
              <w:pStyle w:val="NoSpacing"/>
            </w:pPr>
            <w:r w:rsidRPr="00FE7C5D">
              <w:t xml:space="preserve">Paragraph </w:t>
            </w:r>
            <w:r w:rsidRPr="00DC19F1">
              <w:t>1104AA</w:t>
            </w:r>
            <w:r>
              <w:t xml:space="preserve"> </w:t>
            </w:r>
            <w:r w:rsidRPr="00DC19F1">
              <w:t>(2)</w:t>
            </w:r>
            <w:r>
              <w:t xml:space="preserve"> </w:t>
            </w:r>
            <w:r w:rsidRPr="00DC19F1">
              <w:t>(a), table, item 3</w:t>
            </w:r>
          </w:p>
        </w:tc>
        <w:tc>
          <w:tcPr>
            <w:tcW w:w="1843" w:type="dxa"/>
          </w:tcPr>
          <w:p w14:paraId="080B01A4" w14:textId="77777777" w:rsidR="00975108" w:rsidRPr="00DC19F1" w:rsidRDefault="00975108" w:rsidP="000E3C74">
            <w:pPr>
              <w:pStyle w:val="NoSpacing"/>
              <w:jc w:val="center"/>
            </w:pPr>
            <w:r w:rsidRPr="00FE7C5D">
              <w:t>$</w:t>
            </w:r>
            <w:r>
              <w:t>1 710</w:t>
            </w:r>
          </w:p>
        </w:tc>
        <w:tc>
          <w:tcPr>
            <w:tcW w:w="1559" w:type="dxa"/>
          </w:tcPr>
          <w:p w14:paraId="294AADDF" w14:textId="77777777" w:rsidR="00975108" w:rsidRPr="00DC19F1" w:rsidRDefault="00975108" w:rsidP="000E3C74">
            <w:pPr>
              <w:pStyle w:val="NoSpacing"/>
              <w:jc w:val="center"/>
            </w:pPr>
            <w:r w:rsidRPr="00FE7C5D">
              <w:t>$</w:t>
            </w:r>
            <w:r>
              <w:t>1 745</w:t>
            </w:r>
          </w:p>
        </w:tc>
      </w:tr>
      <w:tr w:rsidR="00975108" w:rsidRPr="00DC19F1" w14:paraId="1AA80A69" w14:textId="77777777" w:rsidTr="00D40FE0">
        <w:tc>
          <w:tcPr>
            <w:tcW w:w="2411" w:type="dxa"/>
            <w:vMerge w:val="restart"/>
          </w:tcPr>
          <w:p w14:paraId="7707E18A" w14:textId="77777777" w:rsidR="00975108" w:rsidRPr="00DC19F1" w:rsidRDefault="00975108" w:rsidP="000E3C74">
            <w:pPr>
              <w:pStyle w:val="NoSpacing"/>
            </w:pPr>
            <w:r w:rsidRPr="00B13284">
              <w:t>Bus</w:t>
            </w:r>
            <w:r>
              <w:t>iness Skills (Permanent) (Class </w:t>
            </w:r>
            <w:r w:rsidRPr="00B13284">
              <w:t>EC)</w:t>
            </w:r>
          </w:p>
        </w:tc>
        <w:tc>
          <w:tcPr>
            <w:tcW w:w="2409" w:type="dxa"/>
            <w:vMerge w:val="restart"/>
          </w:tcPr>
          <w:p w14:paraId="26932BBD" w14:textId="37E5CC0D" w:rsidR="00975108" w:rsidRPr="00DC19F1" w:rsidRDefault="00975108" w:rsidP="000E3C74">
            <w:pPr>
              <w:pStyle w:val="NoSpacing"/>
            </w:pPr>
            <w:r>
              <w:t xml:space="preserve">Subclass 888 </w:t>
            </w:r>
            <w:r w:rsidRPr="00B13284">
              <w:t>(Business Innovation and Investment (Permanent))</w:t>
            </w:r>
            <w:r>
              <w:t xml:space="preserve"> visa</w:t>
            </w:r>
          </w:p>
        </w:tc>
        <w:tc>
          <w:tcPr>
            <w:tcW w:w="2410" w:type="dxa"/>
          </w:tcPr>
          <w:p w14:paraId="7701C1AE" w14:textId="77777777" w:rsidR="00975108" w:rsidRPr="00DC19F1" w:rsidRDefault="00975108" w:rsidP="000E3C74">
            <w:pPr>
              <w:pStyle w:val="NoSpacing"/>
            </w:pPr>
            <w:r w:rsidRPr="00C335E2">
              <w:t>Paragraph 1104BA (2) (a)</w:t>
            </w:r>
            <w:r>
              <w:t xml:space="preserve"> table item 1</w:t>
            </w:r>
          </w:p>
        </w:tc>
        <w:tc>
          <w:tcPr>
            <w:tcW w:w="1843" w:type="dxa"/>
          </w:tcPr>
          <w:p w14:paraId="1970301E" w14:textId="77777777" w:rsidR="00975108" w:rsidRPr="00DC19F1" w:rsidRDefault="00975108" w:rsidP="000E3C74">
            <w:pPr>
              <w:pStyle w:val="NoSpacing"/>
              <w:jc w:val="center"/>
            </w:pPr>
            <w:r w:rsidRPr="00C335E2">
              <w:rPr>
                <w:color w:val="000000"/>
              </w:rPr>
              <w:t>$2 255</w:t>
            </w:r>
          </w:p>
        </w:tc>
        <w:tc>
          <w:tcPr>
            <w:tcW w:w="1559" w:type="dxa"/>
          </w:tcPr>
          <w:p w14:paraId="7FF2A4C5" w14:textId="77777777" w:rsidR="00975108" w:rsidRPr="00DC19F1" w:rsidRDefault="00975108" w:rsidP="000E3C74">
            <w:pPr>
              <w:pStyle w:val="NoSpacing"/>
              <w:jc w:val="center"/>
            </w:pPr>
            <w:r w:rsidRPr="00C335E2">
              <w:t>$</w:t>
            </w:r>
            <w:r>
              <w:t>2 305</w:t>
            </w:r>
          </w:p>
        </w:tc>
      </w:tr>
      <w:tr w:rsidR="00975108" w:rsidRPr="00DC19F1" w14:paraId="3BB542A2" w14:textId="77777777" w:rsidTr="00D40FE0">
        <w:tc>
          <w:tcPr>
            <w:tcW w:w="2411" w:type="dxa"/>
            <w:vMerge/>
          </w:tcPr>
          <w:p w14:paraId="3BA426E7" w14:textId="77777777" w:rsidR="00975108" w:rsidRPr="00DC19F1" w:rsidRDefault="00975108" w:rsidP="000E3C74">
            <w:pPr>
              <w:pStyle w:val="NoSpacing"/>
            </w:pPr>
          </w:p>
        </w:tc>
        <w:tc>
          <w:tcPr>
            <w:tcW w:w="2409" w:type="dxa"/>
            <w:vMerge/>
          </w:tcPr>
          <w:p w14:paraId="23752DB5" w14:textId="77777777" w:rsidR="00975108" w:rsidRPr="00DC19F1" w:rsidRDefault="00975108" w:rsidP="000E3C74">
            <w:pPr>
              <w:pStyle w:val="NoSpacing"/>
            </w:pPr>
          </w:p>
        </w:tc>
        <w:tc>
          <w:tcPr>
            <w:tcW w:w="2410" w:type="dxa"/>
          </w:tcPr>
          <w:p w14:paraId="61673EA9" w14:textId="77777777" w:rsidR="00975108" w:rsidRPr="00DC19F1" w:rsidRDefault="00975108" w:rsidP="000E3C74">
            <w:pPr>
              <w:pStyle w:val="NoSpacing"/>
            </w:pPr>
            <w:r w:rsidRPr="00C335E2">
              <w:t>Paragraph 1104BA (2) (a)</w:t>
            </w:r>
            <w:r>
              <w:t xml:space="preserve"> table item 2</w:t>
            </w:r>
          </w:p>
        </w:tc>
        <w:tc>
          <w:tcPr>
            <w:tcW w:w="1843" w:type="dxa"/>
          </w:tcPr>
          <w:p w14:paraId="50DBC54A" w14:textId="77777777" w:rsidR="00975108" w:rsidRPr="00DC19F1" w:rsidRDefault="00975108" w:rsidP="000E3C74">
            <w:pPr>
              <w:pStyle w:val="NoSpacing"/>
              <w:jc w:val="center"/>
            </w:pPr>
            <w:r w:rsidRPr="00C335E2">
              <w:t>$1 130</w:t>
            </w:r>
          </w:p>
        </w:tc>
        <w:tc>
          <w:tcPr>
            <w:tcW w:w="1559" w:type="dxa"/>
          </w:tcPr>
          <w:p w14:paraId="1A2C974E" w14:textId="77777777" w:rsidR="00975108" w:rsidRPr="00DC19F1" w:rsidRDefault="00975108" w:rsidP="000E3C74">
            <w:pPr>
              <w:pStyle w:val="NoSpacing"/>
              <w:jc w:val="center"/>
            </w:pPr>
            <w:r w:rsidRPr="00C335E2">
              <w:t>$</w:t>
            </w:r>
            <w:r>
              <w:t>1 155</w:t>
            </w:r>
          </w:p>
        </w:tc>
      </w:tr>
      <w:tr w:rsidR="00975108" w:rsidRPr="00DC19F1" w14:paraId="1907DC54" w14:textId="77777777" w:rsidTr="00D40FE0">
        <w:tc>
          <w:tcPr>
            <w:tcW w:w="2411" w:type="dxa"/>
            <w:vMerge/>
          </w:tcPr>
          <w:p w14:paraId="33CA1CA4" w14:textId="77777777" w:rsidR="00975108" w:rsidRPr="00DC19F1" w:rsidRDefault="00975108" w:rsidP="000E3C74">
            <w:pPr>
              <w:pStyle w:val="NoSpacing"/>
            </w:pPr>
          </w:p>
        </w:tc>
        <w:tc>
          <w:tcPr>
            <w:tcW w:w="2409" w:type="dxa"/>
            <w:vMerge/>
          </w:tcPr>
          <w:p w14:paraId="6BB9869C" w14:textId="77777777" w:rsidR="00975108" w:rsidRPr="00DC19F1" w:rsidRDefault="00975108" w:rsidP="000E3C74">
            <w:pPr>
              <w:pStyle w:val="NoSpacing"/>
            </w:pPr>
          </w:p>
        </w:tc>
        <w:tc>
          <w:tcPr>
            <w:tcW w:w="2410" w:type="dxa"/>
          </w:tcPr>
          <w:p w14:paraId="476DF001" w14:textId="77777777" w:rsidR="00975108" w:rsidRPr="00DC19F1" w:rsidRDefault="00975108" w:rsidP="000E3C74">
            <w:pPr>
              <w:pStyle w:val="NoSpacing"/>
            </w:pPr>
            <w:r w:rsidRPr="00C335E2">
              <w:t>Paragraph 1104BA (2) (a)</w:t>
            </w:r>
            <w:r>
              <w:t xml:space="preserve"> table item 3</w:t>
            </w:r>
          </w:p>
        </w:tc>
        <w:tc>
          <w:tcPr>
            <w:tcW w:w="1843" w:type="dxa"/>
          </w:tcPr>
          <w:p w14:paraId="5F9D2E67" w14:textId="77777777" w:rsidR="00975108" w:rsidRPr="00DC19F1" w:rsidRDefault="00975108" w:rsidP="000E3C74">
            <w:pPr>
              <w:pStyle w:val="NoSpacing"/>
              <w:jc w:val="center"/>
            </w:pPr>
            <w:r w:rsidRPr="00C335E2">
              <w:t>$565</w:t>
            </w:r>
          </w:p>
        </w:tc>
        <w:tc>
          <w:tcPr>
            <w:tcW w:w="1559" w:type="dxa"/>
          </w:tcPr>
          <w:p w14:paraId="2C0A0FAB" w14:textId="77777777" w:rsidR="00975108" w:rsidRPr="00DC19F1" w:rsidRDefault="00975108" w:rsidP="000E3C74">
            <w:pPr>
              <w:pStyle w:val="NoSpacing"/>
              <w:jc w:val="center"/>
            </w:pPr>
            <w:r w:rsidRPr="00C335E2">
              <w:t>$</w:t>
            </w:r>
            <w:r>
              <w:t>575</w:t>
            </w:r>
          </w:p>
        </w:tc>
      </w:tr>
      <w:tr w:rsidR="00975108" w:rsidRPr="00DC19F1" w14:paraId="75F349D9" w14:textId="77777777" w:rsidTr="00D40FE0">
        <w:tc>
          <w:tcPr>
            <w:tcW w:w="2411" w:type="dxa"/>
            <w:vMerge w:val="restart"/>
          </w:tcPr>
          <w:p w14:paraId="5D9C47BF" w14:textId="77777777" w:rsidR="00975108" w:rsidRPr="00E043FD" w:rsidRDefault="00975108" w:rsidP="000E3C74">
            <w:pPr>
              <w:pStyle w:val="NoSpacing"/>
            </w:pPr>
            <w:r w:rsidRPr="00B13284">
              <w:t>Child (Residence) (Class BT)</w:t>
            </w:r>
          </w:p>
        </w:tc>
        <w:tc>
          <w:tcPr>
            <w:tcW w:w="2409" w:type="dxa"/>
            <w:vMerge w:val="restart"/>
          </w:tcPr>
          <w:p w14:paraId="4F79644B" w14:textId="77777777" w:rsidR="00975108" w:rsidRPr="00DC19F1" w:rsidRDefault="00975108" w:rsidP="000E3C74">
            <w:pPr>
              <w:pStyle w:val="NoSpacing"/>
            </w:pPr>
            <w:r>
              <w:t xml:space="preserve">Subclass 802 </w:t>
            </w:r>
            <w:r w:rsidRPr="00B13284">
              <w:t>(Child)</w:t>
            </w:r>
            <w:r>
              <w:t xml:space="preserve"> visa</w:t>
            </w:r>
          </w:p>
        </w:tc>
        <w:tc>
          <w:tcPr>
            <w:tcW w:w="2410" w:type="dxa"/>
          </w:tcPr>
          <w:p w14:paraId="7F097F63" w14:textId="77777777" w:rsidR="00975108" w:rsidRPr="00DC19F1" w:rsidRDefault="00975108" w:rsidP="000E3C74">
            <w:pPr>
              <w:pStyle w:val="NoSpacing"/>
            </w:pPr>
            <w:r w:rsidRPr="00537CE0">
              <w:t>Subparagraph 1108A (2) (a) (iv)</w:t>
            </w:r>
            <w:r>
              <w:t xml:space="preserve"> table item </w:t>
            </w:r>
            <w:r w:rsidRPr="00537CE0">
              <w:t>1</w:t>
            </w:r>
          </w:p>
        </w:tc>
        <w:tc>
          <w:tcPr>
            <w:tcW w:w="1843" w:type="dxa"/>
          </w:tcPr>
          <w:p w14:paraId="2A68F99E" w14:textId="77777777" w:rsidR="00975108" w:rsidRPr="00DC19F1" w:rsidRDefault="00975108" w:rsidP="000E3C74">
            <w:pPr>
              <w:pStyle w:val="NoSpacing"/>
              <w:jc w:val="center"/>
            </w:pPr>
            <w:r w:rsidRPr="00537CE0">
              <w:t>$</w:t>
            </w:r>
            <w:r>
              <w:t>3 52</w:t>
            </w:r>
            <w:r w:rsidRPr="00537CE0">
              <w:t>0</w:t>
            </w:r>
          </w:p>
        </w:tc>
        <w:tc>
          <w:tcPr>
            <w:tcW w:w="1559" w:type="dxa"/>
          </w:tcPr>
          <w:p w14:paraId="183CF798" w14:textId="77777777" w:rsidR="00975108" w:rsidRPr="00DC19F1" w:rsidRDefault="00975108" w:rsidP="000E3C74">
            <w:pPr>
              <w:pStyle w:val="NoSpacing"/>
              <w:jc w:val="center"/>
            </w:pPr>
            <w:r w:rsidRPr="00537CE0">
              <w:t>$</w:t>
            </w:r>
            <w:r>
              <w:t>2 370</w:t>
            </w:r>
          </w:p>
        </w:tc>
      </w:tr>
      <w:tr w:rsidR="00975108" w:rsidRPr="00DC19F1" w14:paraId="651CA78B" w14:textId="77777777" w:rsidTr="00D40FE0">
        <w:tc>
          <w:tcPr>
            <w:tcW w:w="2411" w:type="dxa"/>
            <w:vMerge/>
          </w:tcPr>
          <w:p w14:paraId="1164FC8D" w14:textId="77777777" w:rsidR="00975108" w:rsidRPr="00DC19F1" w:rsidRDefault="00975108" w:rsidP="000E3C74">
            <w:pPr>
              <w:pStyle w:val="NoSpacing"/>
            </w:pPr>
          </w:p>
        </w:tc>
        <w:tc>
          <w:tcPr>
            <w:tcW w:w="2409" w:type="dxa"/>
            <w:vMerge/>
          </w:tcPr>
          <w:p w14:paraId="6A39644B" w14:textId="77777777" w:rsidR="00975108" w:rsidRPr="00DC19F1" w:rsidRDefault="00975108" w:rsidP="000E3C74">
            <w:pPr>
              <w:pStyle w:val="NoSpacing"/>
            </w:pPr>
          </w:p>
        </w:tc>
        <w:tc>
          <w:tcPr>
            <w:tcW w:w="2410" w:type="dxa"/>
          </w:tcPr>
          <w:p w14:paraId="36C97E7E" w14:textId="77777777" w:rsidR="00975108" w:rsidRPr="00DC19F1" w:rsidRDefault="00975108" w:rsidP="000E3C74">
            <w:pPr>
              <w:pStyle w:val="NoSpacing"/>
            </w:pPr>
            <w:r w:rsidRPr="00537CE0">
              <w:t>Subparagrap</w:t>
            </w:r>
            <w:r>
              <w:t>h 1108A (2) (a) (iv) table item </w:t>
            </w:r>
            <w:r w:rsidRPr="00537CE0">
              <w:t>2</w:t>
            </w:r>
          </w:p>
        </w:tc>
        <w:tc>
          <w:tcPr>
            <w:tcW w:w="1843" w:type="dxa"/>
          </w:tcPr>
          <w:p w14:paraId="6B067B2B" w14:textId="77777777" w:rsidR="00975108" w:rsidRPr="00DC19F1" w:rsidRDefault="00975108" w:rsidP="000E3C74">
            <w:pPr>
              <w:pStyle w:val="NoSpacing"/>
              <w:jc w:val="center"/>
            </w:pPr>
            <w:r>
              <w:t>$1 760</w:t>
            </w:r>
          </w:p>
        </w:tc>
        <w:tc>
          <w:tcPr>
            <w:tcW w:w="1559" w:type="dxa"/>
          </w:tcPr>
          <w:p w14:paraId="72B000D4" w14:textId="77777777" w:rsidR="00975108" w:rsidRPr="00DC19F1" w:rsidRDefault="00975108" w:rsidP="000E3C74">
            <w:pPr>
              <w:pStyle w:val="NoSpacing"/>
              <w:jc w:val="center"/>
            </w:pPr>
            <w:r>
              <w:t>$1 185</w:t>
            </w:r>
          </w:p>
        </w:tc>
      </w:tr>
      <w:tr w:rsidR="00975108" w:rsidRPr="00DC19F1" w14:paraId="6644D074" w14:textId="77777777" w:rsidTr="00D40FE0">
        <w:tc>
          <w:tcPr>
            <w:tcW w:w="2411" w:type="dxa"/>
            <w:vMerge/>
          </w:tcPr>
          <w:p w14:paraId="17547A4E" w14:textId="77777777" w:rsidR="00975108" w:rsidRPr="00DC19F1" w:rsidRDefault="00975108" w:rsidP="000E3C74">
            <w:pPr>
              <w:pStyle w:val="NoSpacing"/>
            </w:pPr>
          </w:p>
        </w:tc>
        <w:tc>
          <w:tcPr>
            <w:tcW w:w="2409" w:type="dxa"/>
            <w:vMerge/>
          </w:tcPr>
          <w:p w14:paraId="1EE4D103" w14:textId="77777777" w:rsidR="00975108" w:rsidRPr="00DC19F1" w:rsidRDefault="00975108" w:rsidP="000E3C74">
            <w:pPr>
              <w:pStyle w:val="NoSpacing"/>
            </w:pPr>
          </w:p>
        </w:tc>
        <w:tc>
          <w:tcPr>
            <w:tcW w:w="2410" w:type="dxa"/>
          </w:tcPr>
          <w:p w14:paraId="4B332F4A" w14:textId="77777777" w:rsidR="00975108" w:rsidRPr="00DC19F1" w:rsidRDefault="00975108" w:rsidP="000E3C74">
            <w:pPr>
              <w:pStyle w:val="NoSpacing"/>
            </w:pPr>
            <w:r w:rsidRPr="00537CE0">
              <w:t>Subparagrap</w:t>
            </w:r>
            <w:r>
              <w:t>h 1108A (2) (a) (iv) table item </w:t>
            </w:r>
            <w:r w:rsidRPr="00537CE0">
              <w:t>3</w:t>
            </w:r>
          </w:p>
        </w:tc>
        <w:tc>
          <w:tcPr>
            <w:tcW w:w="1843" w:type="dxa"/>
          </w:tcPr>
          <w:p w14:paraId="05AA0380" w14:textId="77777777" w:rsidR="00975108" w:rsidRPr="00DC19F1" w:rsidRDefault="00975108" w:rsidP="000E3C74">
            <w:pPr>
              <w:pStyle w:val="NoSpacing"/>
              <w:jc w:val="center"/>
            </w:pPr>
            <w:r>
              <w:t>$88</w:t>
            </w:r>
            <w:r w:rsidRPr="00537CE0">
              <w:t>0</w:t>
            </w:r>
          </w:p>
        </w:tc>
        <w:tc>
          <w:tcPr>
            <w:tcW w:w="1559" w:type="dxa"/>
          </w:tcPr>
          <w:p w14:paraId="66550244" w14:textId="77777777" w:rsidR="00975108" w:rsidRPr="00DC19F1" w:rsidRDefault="00975108" w:rsidP="000E3C74">
            <w:pPr>
              <w:pStyle w:val="NoSpacing"/>
              <w:jc w:val="center"/>
            </w:pPr>
            <w:r>
              <w:t>$595</w:t>
            </w:r>
          </w:p>
        </w:tc>
      </w:tr>
      <w:tr w:rsidR="00975108" w:rsidRPr="00DC19F1" w14:paraId="5A558261" w14:textId="77777777" w:rsidTr="00D40FE0">
        <w:tc>
          <w:tcPr>
            <w:tcW w:w="2411" w:type="dxa"/>
            <w:vMerge w:val="restart"/>
          </w:tcPr>
          <w:p w14:paraId="78FDE59A" w14:textId="77777777" w:rsidR="00975108" w:rsidRPr="00DC19F1" w:rsidRDefault="00975108" w:rsidP="000E3C74">
            <w:pPr>
              <w:pStyle w:val="NoSpacing"/>
            </w:pPr>
            <w:r w:rsidRPr="00B13284">
              <w:t>Distinguished Talent (Migrant) (Class AL)</w:t>
            </w:r>
          </w:p>
        </w:tc>
        <w:tc>
          <w:tcPr>
            <w:tcW w:w="2409" w:type="dxa"/>
            <w:vMerge w:val="restart"/>
          </w:tcPr>
          <w:p w14:paraId="3F5E41A0" w14:textId="77777777" w:rsidR="00975108" w:rsidRPr="00DC19F1" w:rsidRDefault="00975108" w:rsidP="000E3C74">
            <w:pPr>
              <w:pStyle w:val="NoSpacing"/>
            </w:pPr>
            <w:r>
              <w:t xml:space="preserve">Subclass </w:t>
            </w:r>
            <w:r w:rsidRPr="00B13284">
              <w:t>124 (Distinguished Talent)</w:t>
            </w:r>
            <w:r>
              <w:t xml:space="preserve"> visa</w:t>
            </w:r>
          </w:p>
        </w:tc>
        <w:tc>
          <w:tcPr>
            <w:tcW w:w="2410" w:type="dxa"/>
          </w:tcPr>
          <w:p w14:paraId="1E087A8F" w14:textId="77777777" w:rsidR="00975108" w:rsidRPr="00DC19F1" w:rsidRDefault="00975108" w:rsidP="000E3C74">
            <w:pPr>
              <w:pStyle w:val="NoSpacing"/>
            </w:pPr>
            <w:r w:rsidRPr="000C4426">
              <w:t>Paragraph 1112 (2) (a) table item 1</w:t>
            </w:r>
          </w:p>
        </w:tc>
        <w:tc>
          <w:tcPr>
            <w:tcW w:w="1843" w:type="dxa"/>
          </w:tcPr>
          <w:p w14:paraId="465274D9" w14:textId="77777777" w:rsidR="00975108" w:rsidRPr="00DC19F1" w:rsidRDefault="00975108" w:rsidP="000E3C74">
            <w:pPr>
              <w:pStyle w:val="NoSpacing"/>
              <w:jc w:val="center"/>
            </w:pPr>
            <w:r w:rsidRPr="000C4426">
              <w:rPr>
                <w:color w:val="000000"/>
              </w:rPr>
              <w:t xml:space="preserve">$2 </w:t>
            </w:r>
            <w:r>
              <w:rPr>
                <w:color w:val="000000"/>
              </w:rPr>
              <w:t>410</w:t>
            </w:r>
          </w:p>
        </w:tc>
        <w:tc>
          <w:tcPr>
            <w:tcW w:w="1559" w:type="dxa"/>
          </w:tcPr>
          <w:p w14:paraId="64598BCF" w14:textId="77777777" w:rsidR="00975108" w:rsidRPr="00DC19F1" w:rsidRDefault="00975108" w:rsidP="000E3C74">
            <w:pPr>
              <w:pStyle w:val="NoSpacing"/>
              <w:jc w:val="center"/>
            </w:pPr>
            <w:r w:rsidRPr="000C4426">
              <w:t>$</w:t>
            </w:r>
            <w:r>
              <w:t>3 655</w:t>
            </w:r>
          </w:p>
        </w:tc>
      </w:tr>
      <w:tr w:rsidR="00975108" w:rsidRPr="00DC19F1" w14:paraId="5C136235" w14:textId="77777777" w:rsidTr="00D40FE0">
        <w:tc>
          <w:tcPr>
            <w:tcW w:w="2411" w:type="dxa"/>
            <w:vMerge/>
          </w:tcPr>
          <w:p w14:paraId="1D779896" w14:textId="77777777" w:rsidR="00975108" w:rsidRPr="00DC19F1" w:rsidRDefault="00975108" w:rsidP="000E3C74">
            <w:pPr>
              <w:pStyle w:val="NoSpacing"/>
            </w:pPr>
          </w:p>
        </w:tc>
        <w:tc>
          <w:tcPr>
            <w:tcW w:w="2409" w:type="dxa"/>
            <w:vMerge/>
          </w:tcPr>
          <w:p w14:paraId="102561B3" w14:textId="77777777" w:rsidR="00975108" w:rsidRPr="00DC19F1" w:rsidRDefault="00975108" w:rsidP="000E3C74">
            <w:pPr>
              <w:pStyle w:val="NoSpacing"/>
            </w:pPr>
          </w:p>
        </w:tc>
        <w:tc>
          <w:tcPr>
            <w:tcW w:w="2410" w:type="dxa"/>
          </w:tcPr>
          <w:p w14:paraId="0521D424" w14:textId="77777777" w:rsidR="00975108" w:rsidRPr="00DC19F1" w:rsidRDefault="00975108" w:rsidP="000E3C74">
            <w:pPr>
              <w:pStyle w:val="NoSpacing"/>
            </w:pPr>
            <w:r w:rsidRPr="000C4426">
              <w:t>Paragraph 1112 (2) (a) table item 2</w:t>
            </w:r>
          </w:p>
        </w:tc>
        <w:tc>
          <w:tcPr>
            <w:tcW w:w="1843" w:type="dxa"/>
          </w:tcPr>
          <w:p w14:paraId="7DD420D2" w14:textId="77777777" w:rsidR="00975108" w:rsidRPr="00DC19F1" w:rsidRDefault="00975108" w:rsidP="000E3C74">
            <w:pPr>
              <w:pStyle w:val="NoSpacing"/>
              <w:jc w:val="center"/>
            </w:pPr>
            <w:r w:rsidRPr="000C4426">
              <w:t>$</w:t>
            </w:r>
            <w:r>
              <w:t>1 205</w:t>
            </w:r>
          </w:p>
        </w:tc>
        <w:tc>
          <w:tcPr>
            <w:tcW w:w="1559" w:type="dxa"/>
          </w:tcPr>
          <w:p w14:paraId="4DFC1DE3" w14:textId="77777777" w:rsidR="00975108" w:rsidRPr="00DC19F1" w:rsidRDefault="00975108" w:rsidP="000E3C74">
            <w:pPr>
              <w:pStyle w:val="NoSpacing"/>
              <w:jc w:val="center"/>
            </w:pPr>
            <w:r w:rsidRPr="000C4426">
              <w:t>$</w:t>
            </w:r>
            <w:r>
              <w:t>1 830</w:t>
            </w:r>
          </w:p>
        </w:tc>
      </w:tr>
      <w:tr w:rsidR="00975108" w:rsidRPr="00DC19F1" w14:paraId="12F6C491" w14:textId="77777777" w:rsidTr="00D40FE0">
        <w:tc>
          <w:tcPr>
            <w:tcW w:w="2411" w:type="dxa"/>
            <w:vMerge/>
          </w:tcPr>
          <w:p w14:paraId="6EAB75CD" w14:textId="77777777" w:rsidR="00975108" w:rsidRPr="00DC19F1" w:rsidRDefault="00975108" w:rsidP="000E3C74">
            <w:pPr>
              <w:pStyle w:val="NoSpacing"/>
            </w:pPr>
          </w:p>
        </w:tc>
        <w:tc>
          <w:tcPr>
            <w:tcW w:w="2409" w:type="dxa"/>
            <w:vMerge/>
          </w:tcPr>
          <w:p w14:paraId="42D31E8D" w14:textId="77777777" w:rsidR="00975108" w:rsidRPr="00DC19F1" w:rsidRDefault="00975108" w:rsidP="000E3C74">
            <w:pPr>
              <w:pStyle w:val="NoSpacing"/>
            </w:pPr>
          </w:p>
        </w:tc>
        <w:tc>
          <w:tcPr>
            <w:tcW w:w="2410" w:type="dxa"/>
          </w:tcPr>
          <w:p w14:paraId="3847E269" w14:textId="77777777" w:rsidR="00975108" w:rsidRPr="00DC19F1" w:rsidRDefault="00975108" w:rsidP="000E3C74">
            <w:pPr>
              <w:pStyle w:val="NoSpacing"/>
            </w:pPr>
            <w:r w:rsidRPr="000C4426">
              <w:t>Paragraph 1112 (2) (a) table item 3</w:t>
            </w:r>
          </w:p>
        </w:tc>
        <w:tc>
          <w:tcPr>
            <w:tcW w:w="1843" w:type="dxa"/>
          </w:tcPr>
          <w:p w14:paraId="38C5B228" w14:textId="77777777" w:rsidR="00975108" w:rsidRPr="00DC19F1" w:rsidRDefault="00975108" w:rsidP="000E3C74">
            <w:pPr>
              <w:pStyle w:val="NoSpacing"/>
              <w:jc w:val="center"/>
            </w:pPr>
            <w:r>
              <w:t>$605</w:t>
            </w:r>
          </w:p>
        </w:tc>
        <w:tc>
          <w:tcPr>
            <w:tcW w:w="1559" w:type="dxa"/>
          </w:tcPr>
          <w:p w14:paraId="13508479" w14:textId="77777777" w:rsidR="00975108" w:rsidRPr="00DC19F1" w:rsidRDefault="00975108" w:rsidP="000E3C74">
            <w:pPr>
              <w:pStyle w:val="NoSpacing"/>
              <w:jc w:val="center"/>
            </w:pPr>
            <w:r>
              <w:t>$915</w:t>
            </w:r>
          </w:p>
        </w:tc>
      </w:tr>
      <w:tr w:rsidR="00975108" w:rsidRPr="00DC19F1" w14:paraId="63FD1A0B" w14:textId="77777777" w:rsidTr="00D40FE0">
        <w:tc>
          <w:tcPr>
            <w:tcW w:w="2411" w:type="dxa"/>
            <w:vMerge w:val="restart"/>
          </w:tcPr>
          <w:p w14:paraId="1FDFA168" w14:textId="77777777" w:rsidR="00975108" w:rsidRPr="00DC19F1" w:rsidRDefault="00975108" w:rsidP="000E3C74">
            <w:pPr>
              <w:pStyle w:val="NoSpacing"/>
              <w:keepNext/>
              <w:keepLines/>
            </w:pPr>
            <w:r w:rsidRPr="00DA39B1">
              <w:t xml:space="preserve">Distinguished Talent </w:t>
            </w:r>
            <w:r>
              <w:t>(Residence) (Class </w:t>
            </w:r>
            <w:r w:rsidRPr="00DA39B1">
              <w:t>BX)</w:t>
            </w:r>
          </w:p>
        </w:tc>
        <w:tc>
          <w:tcPr>
            <w:tcW w:w="2409" w:type="dxa"/>
            <w:vMerge w:val="restart"/>
          </w:tcPr>
          <w:p w14:paraId="613FC522" w14:textId="77777777" w:rsidR="00975108" w:rsidRPr="00DC19F1" w:rsidRDefault="00975108" w:rsidP="000E3C74">
            <w:pPr>
              <w:pStyle w:val="NoSpacing"/>
            </w:pPr>
            <w:r>
              <w:t xml:space="preserve">Subclass </w:t>
            </w:r>
            <w:r w:rsidRPr="00DA39B1">
              <w:t>858 (Distinguished Talent)</w:t>
            </w:r>
            <w:r>
              <w:t xml:space="preserve"> visa</w:t>
            </w:r>
          </w:p>
        </w:tc>
        <w:tc>
          <w:tcPr>
            <w:tcW w:w="2410" w:type="dxa"/>
          </w:tcPr>
          <w:p w14:paraId="667A8596" w14:textId="77777777" w:rsidR="00975108" w:rsidRPr="00DC19F1" w:rsidRDefault="00975108" w:rsidP="000E3C74">
            <w:pPr>
              <w:pStyle w:val="NoSpacing"/>
            </w:pPr>
            <w:r w:rsidRPr="00BB2325">
              <w:t>Paragraph 1113 (2) (a) table item 1</w:t>
            </w:r>
          </w:p>
        </w:tc>
        <w:tc>
          <w:tcPr>
            <w:tcW w:w="1843" w:type="dxa"/>
          </w:tcPr>
          <w:p w14:paraId="0563BC57" w14:textId="77777777" w:rsidR="00975108" w:rsidRPr="00DC19F1" w:rsidRDefault="00975108" w:rsidP="000E3C74">
            <w:pPr>
              <w:pStyle w:val="NoSpacing"/>
              <w:jc w:val="center"/>
            </w:pPr>
            <w:r w:rsidRPr="00BB2325">
              <w:rPr>
                <w:color w:val="000000"/>
              </w:rPr>
              <w:t>$3 575</w:t>
            </w:r>
          </w:p>
        </w:tc>
        <w:tc>
          <w:tcPr>
            <w:tcW w:w="1559" w:type="dxa"/>
          </w:tcPr>
          <w:p w14:paraId="5E3CF7D9" w14:textId="77777777" w:rsidR="00975108" w:rsidRPr="00DC19F1" w:rsidRDefault="00975108" w:rsidP="000E3C74">
            <w:pPr>
              <w:pStyle w:val="NoSpacing"/>
              <w:jc w:val="center"/>
            </w:pPr>
            <w:r w:rsidRPr="00BB2325">
              <w:t>$3 655</w:t>
            </w:r>
          </w:p>
        </w:tc>
      </w:tr>
      <w:tr w:rsidR="00975108" w:rsidRPr="00DC19F1" w14:paraId="68C2AB38" w14:textId="77777777" w:rsidTr="00D40FE0">
        <w:tc>
          <w:tcPr>
            <w:tcW w:w="2411" w:type="dxa"/>
            <w:vMerge/>
          </w:tcPr>
          <w:p w14:paraId="7FDD0C82" w14:textId="77777777" w:rsidR="00975108" w:rsidRPr="00DC19F1" w:rsidRDefault="00975108" w:rsidP="000E3C74">
            <w:pPr>
              <w:pStyle w:val="NoSpacing"/>
            </w:pPr>
          </w:p>
        </w:tc>
        <w:tc>
          <w:tcPr>
            <w:tcW w:w="2409" w:type="dxa"/>
            <w:vMerge/>
          </w:tcPr>
          <w:p w14:paraId="5E35C25F" w14:textId="77777777" w:rsidR="00975108" w:rsidRPr="00DC19F1" w:rsidRDefault="00975108" w:rsidP="000E3C74">
            <w:pPr>
              <w:pStyle w:val="NoSpacing"/>
            </w:pPr>
          </w:p>
        </w:tc>
        <w:tc>
          <w:tcPr>
            <w:tcW w:w="2410" w:type="dxa"/>
          </w:tcPr>
          <w:p w14:paraId="4F6EAD1F" w14:textId="77777777" w:rsidR="00975108" w:rsidRPr="00DC19F1" w:rsidRDefault="00975108" w:rsidP="000E3C74">
            <w:pPr>
              <w:pStyle w:val="NoSpacing"/>
            </w:pPr>
            <w:r w:rsidRPr="00BB2325">
              <w:t>Paragraph 1113 (2) (a) table item 2</w:t>
            </w:r>
          </w:p>
        </w:tc>
        <w:tc>
          <w:tcPr>
            <w:tcW w:w="1843" w:type="dxa"/>
          </w:tcPr>
          <w:p w14:paraId="63F46CB4" w14:textId="77777777" w:rsidR="00975108" w:rsidRPr="00DC19F1" w:rsidRDefault="00975108" w:rsidP="000E3C74">
            <w:pPr>
              <w:pStyle w:val="NoSpacing"/>
              <w:jc w:val="center"/>
            </w:pPr>
            <w:r w:rsidRPr="00BB2325">
              <w:t>$1 790</w:t>
            </w:r>
          </w:p>
        </w:tc>
        <w:tc>
          <w:tcPr>
            <w:tcW w:w="1559" w:type="dxa"/>
          </w:tcPr>
          <w:p w14:paraId="32FB2B8E" w14:textId="77777777" w:rsidR="00975108" w:rsidRPr="00DC19F1" w:rsidRDefault="00975108" w:rsidP="000E3C74">
            <w:pPr>
              <w:pStyle w:val="NoSpacing"/>
              <w:jc w:val="center"/>
            </w:pPr>
            <w:r w:rsidRPr="00BB2325">
              <w:t>$1 830</w:t>
            </w:r>
          </w:p>
        </w:tc>
      </w:tr>
      <w:tr w:rsidR="00975108" w:rsidRPr="00DC19F1" w14:paraId="67E0F72D" w14:textId="77777777" w:rsidTr="00D40FE0">
        <w:tc>
          <w:tcPr>
            <w:tcW w:w="2411" w:type="dxa"/>
            <w:vMerge/>
          </w:tcPr>
          <w:p w14:paraId="0F2F6BDF" w14:textId="77777777" w:rsidR="00975108" w:rsidRPr="00DC19F1" w:rsidRDefault="00975108" w:rsidP="000E3C74">
            <w:pPr>
              <w:pStyle w:val="NoSpacing"/>
            </w:pPr>
          </w:p>
        </w:tc>
        <w:tc>
          <w:tcPr>
            <w:tcW w:w="2409" w:type="dxa"/>
            <w:vMerge/>
          </w:tcPr>
          <w:p w14:paraId="294A0C66" w14:textId="77777777" w:rsidR="00975108" w:rsidRPr="00DC19F1" w:rsidRDefault="00975108" w:rsidP="000E3C74">
            <w:pPr>
              <w:pStyle w:val="NoSpacing"/>
            </w:pPr>
          </w:p>
        </w:tc>
        <w:tc>
          <w:tcPr>
            <w:tcW w:w="2410" w:type="dxa"/>
          </w:tcPr>
          <w:p w14:paraId="18CA7C59" w14:textId="77777777" w:rsidR="00975108" w:rsidRPr="00DC19F1" w:rsidRDefault="00975108" w:rsidP="000E3C74">
            <w:pPr>
              <w:pStyle w:val="NoSpacing"/>
            </w:pPr>
            <w:r w:rsidRPr="00BB2325">
              <w:t>Paragraph 1113 (2) (a) table item 3</w:t>
            </w:r>
          </w:p>
        </w:tc>
        <w:tc>
          <w:tcPr>
            <w:tcW w:w="1843" w:type="dxa"/>
          </w:tcPr>
          <w:p w14:paraId="2B112D43" w14:textId="77777777" w:rsidR="00975108" w:rsidRPr="00DC19F1" w:rsidRDefault="00975108" w:rsidP="000E3C74">
            <w:pPr>
              <w:pStyle w:val="NoSpacing"/>
              <w:jc w:val="center"/>
            </w:pPr>
            <w:r w:rsidRPr="00BB2325">
              <w:t>$895</w:t>
            </w:r>
          </w:p>
        </w:tc>
        <w:tc>
          <w:tcPr>
            <w:tcW w:w="1559" w:type="dxa"/>
          </w:tcPr>
          <w:p w14:paraId="4D022F64" w14:textId="77777777" w:rsidR="00975108" w:rsidRPr="00DC19F1" w:rsidRDefault="00975108" w:rsidP="000E3C74">
            <w:pPr>
              <w:pStyle w:val="NoSpacing"/>
              <w:jc w:val="center"/>
            </w:pPr>
            <w:r w:rsidRPr="00BB2325">
              <w:t>$915</w:t>
            </w:r>
          </w:p>
        </w:tc>
      </w:tr>
      <w:tr w:rsidR="00975108" w:rsidRPr="00DC19F1" w14:paraId="5DBC1A54" w14:textId="77777777" w:rsidTr="00D40FE0">
        <w:tc>
          <w:tcPr>
            <w:tcW w:w="2411" w:type="dxa"/>
            <w:vMerge w:val="restart"/>
          </w:tcPr>
          <w:p w14:paraId="3C77701C" w14:textId="77777777" w:rsidR="00975108" w:rsidRPr="00DC19F1" w:rsidRDefault="00975108" w:rsidP="000E3C74">
            <w:pPr>
              <w:pStyle w:val="NoSpacing"/>
            </w:pPr>
            <w:r w:rsidRPr="00DA39B1">
              <w:t>Employe</w:t>
            </w:r>
            <w:r>
              <w:t>r Nomination (Permanent) (Class </w:t>
            </w:r>
            <w:r w:rsidRPr="00DA39B1">
              <w:t>EN)</w:t>
            </w:r>
          </w:p>
        </w:tc>
        <w:tc>
          <w:tcPr>
            <w:tcW w:w="2409" w:type="dxa"/>
            <w:vMerge w:val="restart"/>
          </w:tcPr>
          <w:p w14:paraId="4D14B830" w14:textId="77777777" w:rsidR="00975108" w:rsidRPr="00DC19F1" w:rsidRDefault="00975108" w:rsidP="000E3C74">
            <w:pPr>
              <w:pStyle w:val="NoSpacing"/>
            </w:pPr>
            <w:r>
              <w:t xml:space="preserve">Subclass 186 </w:t>
            </w:r>
            <w:r w:rsidRPr="00DA39B1">
              <w:t>(Employer Nomination Scheme)</w:t>
            </w:r>
            <w:r>
              <w:t xml:space="preserve"> visa</w:t>
            </w:r>
          </w:p>
        </w:tc>
        <w:tc>
          <w:tcPr>
            <w:tcW w:w="2410" w:type="dxa"/>
          </w:tcPr>
          <w:p w14:paraId="2EEAF75C" w14:textId="77777777" w:rsidR="00975108" w:rsidRPr="00DC19F1" w:rsidRDefault="00975108" w:rsidP="000E3C74">
            <w:pPr>
              <w:pStyle w:val="NoSpacing"/>
            </w:pPr>
            <w:r>
              <w:t>Paragraph 1114B (2) (a</w:t>
            </w:r>
            <w:r w:rsidRPr="00927D49">
              <w:t xml:space="preserve">) </w:t>
            </w:r>
            <w:r>
              <w:t>table item 1</w:t>
            </w:r>
          </w:p>
        </w:tc>
        <w:tc>
          <w:tcPr>
            <w:tcW w:w="1843" w:type="dxa"/>
          </w:tcPr>
          <w:p w14:paraId="072049CF" w14:textId="77777777" w:rsidR="00975108" w:rsidRPr="00DC19F1" w:rsidRDefault="00975108" w:rsidP="000E3C74">
            <w:pPr>
              <w:pStyle w:val="NoSpacing"/>
              <w:jc w:val="center"/>
            </w:pPr>
            <w:r>
              <w:t>$3 52</w:t>
            </w:r>
            <w:r w:rsidRPr="00927D49">
              <w:t>0</w:t>
            </w:r>
          </w:p>
        </w:tc>
        <w:tc>
          <w:tcPr>
            <w:tcW w:w="1559" w:type="dxa"/>
          </w:tcPr>
          <w:p w14:paraId="7CBC4550" w14:textId="77777777" w:rsidR="00975108" w:rsidRPr="00DC19F1" w:rsidRDefault="00975108" w:rsidP="000E3C74">
            <w:pPr>
              <w:pStyle w:val="NoSpacing"/>
              <w:jc w:val="center"/>
            </w:pPr>
            <w:r>
              <w:t>$3 60</w:t>
            </w:r>
            <w:r w:rsidRPr="00927D49">
              <w:t>0</w:t>
            </w:r>
          </w:p>
        </w:tc>
      </w:tr>
      <w:tr w:rsidR="00975108" w:rsidRPr="00DC19F1" w14:paraId="202885C2" w14:textId="77777777" w:rsidTr="00D40FE0">
        <w:tc>
          <w:tcPr>
            <w:tcW w:w="2411" w:type="dxa"/>
            <w:vMerge/>
          </w:tcPr>
          <w:p w14:paraId="144AE38E" w14:textId="77777777" w:rsidR="00975108" w:rsidRPr="00DC19F1" w:rsidRDefault="00975108" w:rsidP="000E3C74">
            <w:pPr>
              <w:pStyle w:val="NoSpacing"/>
            </w:pPr>
          </w:p>
        </w:tc>
        <w:tc>
          <w:tcPr>
            <w:tcW w:w="2409" w:type="dxa"/>
            <w:vMerge/>
          </w:tcPr>
          <w:p w14:paraId="18088CAA" w14:textId="77777777" w:rsidR="00975108" w:rsidRPr="00DC19F1" w:rsidRDefault="00975108" w:rsidP="000E3C74">
            <w:pPr>
              <w:pStyle w:val="NoSpacing"/>
            </w:pPr>
          </w:p>
        </w:tc>
        <w:tc>
          <w:tcPr>
            <w:tcW w:w="2410" w:type="dxa"/>
          </w:tcPr>
          <w:p w14:paraId="1B091394" w14:textId="77777777" w:rsidR="00975108" w:rsidRPr="00DC19F1" w:rsidRDefault="00975108" w:rsidP="000E3C74">
            <w:pPr>
              <w:pStyle w:val="NoSpacing"/>
            </w:pPr>
            <w:r>
              <w:t>Paragraph 1114B (2) (a</w:t>
            </w:r>
            <w:r w:rsidRPr="00927D49">
              <w:t xml:space="preserve">) </w:t>
            </w:r>
            <w:r>
              <w:t>table item 2</w:t>
            </w:r>
          </w:p>
        </w:tc>
        <w:tc>
          <w:tcPr>
            <w:tcW w:w="1843" w:type="dxa"/>
          </w:tcPr>
          <w:p w14:paraId="4640C29F" w14:textId="77777777" w:rsidR="00975108" w:rsidRPr="00DC19F1" w:rsidRDefault="00975108" w:rsidP="000E3C74">
            <w:pPr>
              <w:pStyle w:val="NoSpacing"/>
              <w:jc w:val="center"/>
            </w:pPr>
            <w:r>
              <w:t>$1 76</w:t>
            </w:r>
            <w:r w:rsidRPr="00927D49">
              <w:t>0</w:t>
            </w:r>
          </w:p>
        </w:tc>
        <w:tc>
          <w:tcPr>
            <w:tcW w:w="1559" w:type="dxa"/>
          </w:tcPr>
          <w:p w14:paraId="3D772DE5" w14:textId="77777777" w:rsidR="00975108" w:rsidRPr="00DC19F1" w:rsidRDefault="00975108" w:rsidP="000E3C74">
            <w:pPr>
              <w:pStyle w:val="NoSpacing"/>
              <w:jc w:val="center"/>
            </w:pPr>
            <w:r>
              <w:t>$1 80</w:t>
            </w:r>
            <w:r w:rsidRPr="00927D49">
              <w:t>0</w:t>
            </w:r>
          </w:p>
        </w:tc>
      </w:tr>
      <w:tr w:rsidR="00975108" w:rsidRPr="00DC19F1" w14:paraId="4213B094" w14:textId="77777777" w:rsidTr="00D40FE0">
        <w:tc>
          <w:tcPr>
            <w:tcW w:w="2411" w:type="dxa"/>
            <w:vMerge/>
          </w:tcPr>
          <w:p w14:paraId="4DA0159A" w14:textId="77777777" w:rsidR="00975108" w:rsidRPr="00DC19F1" w:rsidRDefault="00975108" w:rsidP="000E3C74">
            <w:pPr>
              <w:pStyle w:val="NoSpacing"/>
            </w:pPr>
          </w:p>
        </w:tc>
        <w:tc>
          <w:tcPr>
            <w:tcW w:w="2409" w:type="dxa"/>
            <w:vMerge/>
          </w:tcPr>
          <w:p w14:paraId="1169A2A5" w14:textId="77777777" w:rsidR="00975108" w:rsidRPr="00DC19F1" w:rsidRDefault="00975108" w:rsidP="000E3C74">
            <w:pPr>
              <w:pStyle w:val="NoSpacing"/>
            </w:pPr>
          </w:p>
        </w:tc>
        <w:tc>
          <w:tcPr>
            <w:tcW w:w="2410" w:type="dxa"/>
          </w:tcPr>
          <w:p w14:paraId="1C91446C" w14:textId="77777777" w:rsidR="00975108" w:rsidRPr="00DC19F1" w:rsidRDefault="00975108" w:rsidP="000E3C74">
            <w:pPr>
              <w:pStyle w:val="NoSpacing"/>
            </w:pPr>
            <w:r>
              <w:t>Paragraph 1114B (2) (a</w:t>
            </w:r>
            <w:r w:rsidRPr="00927D49">
              <w:t xml:space="preserve">) </w:t>
            </w:r>
            <w:r>
              <w:t>table item 3</w:t>
            </w:r>
          </w:p>
        </w:tc>
        <w:tc>
          <w:tcPr>
            <w:tcW w:w="1843" w:type="dxa"/>
          </w:tcPr>
          <w:p w14:paraId="0BFAAAB8" w14:textId="77777777" w:rsidR="00975108" w:rsidRPr="00DC19F1" w:rsidRDefault="00975108" w:rsidP="000E3C74">
            <w:pPr>
              <w:pStyle w:val="NoSpacing"/>
              <w:jc w:val="center"/>
            </w:pPr>
            <w:r>
              <w:t>$88</w:t>
            </w:r>
            <w:r w:rsidRPr="00927D49">
              <w:t>0</w:t>
            </w:r>
          </w:p>
        </w:tc>
        <w:tc>
          <w:tcPr>
            <w:tcW w:w="1559" w:type="dxa"/>
          </w:tcPr>
          <w:p w14:paraId="2A741343" w14:textId="77777777" w:rsidR="00975108" w:rsidRPr="00DC19F1" w:rsidRDefault="00975108" w:rsidP="000E3C74">
            <w:pPr>
              <w:pStyle w:val="NoSpacing"/>
              <w:jc w:val="center"/>
            </w:pPr>
            <w:r>
              <w:t>$90</w:t>
            </w:r>
            <w:r w:rsidRPr="00927D49">
              <w:t>0</w:t>
            </w:r>
          </w:p>
        </w:tc>
      </w:tr>
      <w:tr w:rsidR="00975108" w:rsidRPr="00DC19F1" w14:paraId="3DF6C8E8" w14:textId="77777777" w:rsidTr="00D40FE0">
        <w:tc>
          <w:tcPr>
            <w:tcW w:w="2411" w:type="dxa"/>
            <w:vMerge w:val="restart"/>
          </w:tcPr>
          <w:p w14:paraId="086A034C" w14:textId="77777777" w:rsidR="00975108" w:rsidRPr="00DC19F1" w:rsidRDefault="00975108" w:rsidP="000E3C74">
            <w:pPr>
              <w:pStyle w:val="NoSpacing"/>
            </w:pPr>
            <w:r w:rsidRPr="00DA39B1">
              <w:lastRenderedPageBreak/>
              <w:t>Regional Employer</w:t>
            </w:r>
            <w:r>
              <w:t xml:space="preserve"> Nomination (Permanent) (Class </w:t>
            </w:r>
            <w:r w:rsidRPr="00DA39B1">
              <w:t>RN)</w:t>
            </w:r>
          </w:p>
        </w:tc>
        <w:tc>
          <w:tcPr>
            <w:tcW w:w="2409" w:type="dxa"/>
            <w:vMerge w:val="restart"/>
          </w:tcPr>
          <w:p w14:paraId="660D32CE" w14:textId="77777777" w:rsidR="00975108" w:rsidRPr="00DC19F1" w:rsidRDefault="00975108" w:rsidP="000E3C74">
            <w:pPr>
              <w:pStyle w:val="NoSpacing"/>
            </w:pPr>
            <w:r>
              <w:t xml:space="preserve">Subclass 187 </w:t>
            </w:r>
            <w:r w:rsidRPr="00DA39B1">
              <w:t>(Regional Sponsored Migration Scheme)</w:t>
            </w:r>
            <w:r>
              <w:t xml:space="preserve"> visa</w:t>
            </w:r>
          </w:p>
        </w:tc>
        <w:tc>
          <w:tcPr>
            <w:tcW w:w="2410" w:type="dxa"/>
          </w:tcPr>
          <w:p w14:paraId="2362EB85" w14:textId="77777777" w:rsidR="00975108" w:rsidRPr="00DC19F1" w:rsidRDefault="00975108" w:rsidP="000E3C74">
            <w:pPr>
              <w:pStyle w:val="NoSpacing"/>
            </w:pPr>
            <w:r>
              <w:t>Paragraph 1114C (2) (a</w:t>
            </w:r>
            <w:r w:rsidRPr="00927D49">
              <w:t xml:space="preserve">) </w:t>
            </w:r>
            <w:r>
              <w:t>table item 1</w:t>
            </w:r>
          </w:p>
        </w:tc>
        <w:tc>
          <w:tcPr>
            <w:tcW w:w="1843" w:type="dxa"/>
          </w:tcPr>
          <w:p w14:paraId="24F20943" w14:textId="77777777" w:rsidR="00975108" w:rsidRPr="00DC19F1" w:rsidRDefault="00975108" w:rsidP="000E3C74">
            <w:pPr>
              <w:pStyle w:val="NoSpacing"/>
              <w:jc w:val="center"/>
            </w:pPr>
            <w:r>
              <w:t>$3 52</w:t>
            </w:r>
            <w:r w:rsidRPr="00927D49">
              <w:t>0</w:t>
            </w:r>
          </w:p>
        </w:tc>
        <w:tc>
          <w:tcPr>
            <w:tcW w:w="1559" w:type="dxa"/>
          </w:tcPr>
          <w:p w14:paraId="745A0ECD" w14:textId="77777777" w:rsidR="00975108" w:rsidRPr="00DC19F1" w:rsidRDefault="00975108" w:rsidP="000E3C74">
            <w:pPr>
              <w:pStyle w:val="NoSpacing"/>
              <w:jc w:val="center"/>
            </w:pPr>
            <w:r>
              <w:t>$3 60</w:t>
            </w:r>
            <w:r w:rsidRPr="00927D49">
              <w:t>0</w:t>
            </w:r>
          </w:p>
        </w:tc>
      </w:tr>
      <w:tr w:rsidR="00975108" w:rsidRPr="00DC19F1" w14:paraId="08498123" w14:textId="77777777" w:rsidTr="00D40FE0">
        <w:tc>
          <w:tcPr>
            <w:tcW w:w="2411" w:type="dxa"/>
            <w:vMerge/>
          </w:tcPr>
          <w:p w14:paraId="3F863EA1" w14:textId="77777777" w:rsidR="00975108" w:rsidRPr="00DC19F1" w:rsidRDefault="00975108" w:rsidP="000E3C74">
            <w:pPr>
              <w:pStyle w:val="NoSpacing"/>
            </w:pPr>
          </w:p>
        </w:tc>
        <w:tc>
          <w:tcPr>
            <w:tcW w:w="2409" w:type="dxa"/>
            <w:vMerge/>
          </w:tcPr>
          <w:p w14:paraId="1C1D71DE" w14:textId="77777777" w:rsidR="00975108" w:rsidRPr="00DC19F1" w:rsidRDefault="00975108" w:rsidP="000E3C74">
            <w:pPr>
              <w:pStyle w:val="NoSpacing"/>
            </w:pPr>
          </w:p>
        </w:tc>
        <w:tc>
          <w:tcPr>
            <w:tcW w:w="2410" w:type="dxa"/>
          </w:tcPr>
          <w:p w14:paraId="30A62126" w14:textId="77777777" w:rsidR="00975108" w:rsidRPr="00DC19F1" w:rsidRDefault="00975108" w:rsidP="000E3C74">
            <w:pPr>
              <w:pStyle w:val="NoSpacing"/>
            </w:pPr>
            <w:r>
              <w:t>Paragraph 1114C (2) (a</w:t>
            </w:r>
            <w:r w:rsidRPr="00927D49">
              <w:t xml:space="preserve">) </w:t>
            </w:r>
            <w:r>
              <w:t>table item 2</w:t>
            </w:r>
          </w:p>
        </w:tc>
        <w:tc>
          <w:tcPr>
            <w:tcW w:w="1843" w:type="dxa"/>
          </w:tcPr>
          <w:p w14:paraId="70527DED" w14:textId="77777777" w:rsidR="00975108" w:rsidRPr="00DC19F1" w:rsidRDefault="00975108" w:rsidP="000E3C74">
            <w:pPr>
              <w:pStyle w:val="NoSpacing"/>
              <w:jc w:val="center"/>
            </w:pPr>
            <w:r>
              <w:t>$1 76</w:t>
            </w:r>
            <w:r w:rsidRPr="00927D49">
              <w:t>0</w:t>
            </w:r>
          </w:p>
        </w:tc>
        <w:tc>
          <w:tcPr>
            <w:tcW w:w="1559" w:type="dxa"/>
          </w:tcPr>
          <w:p w14:paraId="27B5E61C" w14:textId="77777777" w:rsidR="00975108" w:rsidRPr="00DC19F1" w:rsidRDefault="00975108" w:rsidP="000E3C74">
            <w:pPr>
              <w:pStyle w:val="NoSpacing"/>
              <w:jc w:val="center"/>
            </w:pPr>
            <w:r>
              <w:t>$1 80</w:t>
            </w:r>
            <w:r w:rsidRPr="00927D49">
              <w:t>0</w:t>
            </w:r>
          </w:p>
        </w:tc>
      </w:tr>
      <w:tr w:rsidR="00975108" w:rsidRPr="00DC19F1" w14:paraId="10CB4F69" w14:textId="77777777" w:rsidTr="00D40FE0">
        <w:tc>
          <w:tcPr>
            <w:tcW w:w="2411" w:type="dxa"/>
            <w:vMerge/>
          </w:tcPr>
          <w:p w14:paraId="06EBE1B4" w14:textId="77777777" w:rsidR="00975108" w:rsidRPr="00DC19F1" w:rsidRDefault="00975108" w:rsidP="000E3C74">
            <w:pPr>
              <w:pStyle w:val="NoSpacing"/>
            </w:pPr>
          </w:p>
        </w:tc>
        <w:tc>
          <w:tcPr>
            <w:tcW w:w="2409" w:type="dxa"/>
            <w:vMerge/>
          </w:tcPr>
          <w:p w14:paraId="223E5C88" w14:textId="77777777" w:rsidR="00975108" w:rsidRPr="00DC19F1" w:rsidRDefault="00975108" w:rsidP="000E3C74">
            <w:pPr>
              <w:pStyle w:val="NoSpacing"/>
            </w:pPr>
          </w:p>
        </w:tc>
        <w:tc>
          <w:tcPr>
            <w:tcW w:w="2410" w:type="dxa"/>
          </w:tcPr>
          <w:p w14:paraId="4D709257" w14:textId="77777777" w:rsidR="00975108" w:rsidRPr="00DC19F1" w:rsidRDefault="00975108" w:rsidP="000E3C74">
            <w:pPr>
              <w:pStyle w:val="NoSpacing"/>
            </w:pPr>
            <w:r>
              <w:t>Paragraph 1114C (2) (a</w:t>
            </w:r>
            <w:r w:rsidRPr="00927D49">
              <w:t xml:space="preserve">) </w:t>
            </w:r>
            <w:r>
              <w:t>table item 3</w:t>
            </w:r>
          </w:p>
        </w:tc>
        <w:tc>
          <w:tcPr>
            <w:tcW w:w="1843" w:type="dxa"/>
          </w:tcPr>
          <w:p w14:paraId="72AAF1A3" w14:textId="77777777" w:rsidR="00975108" w:rsidRPr="00DC19F1" w:rsidRDefault="00975108" w:rsidP="000E3C74">
            <w:pPr>
              <w:pStyle w:val="NoSpacing"/>
              <w:jc w:val="center"/>
            </w:pPr>
            <w:r>
              <w:t>$88</w:t>
            </w:r>
            <w:r w:rsidRPr="00927D49">
              <w:t>0</w:t>
            </w:r>
          </w:p>
        </w:tc>
        <w:tc>
          <w:tcPr>
            <w:tcW w:w="1559" w:type="dxa"/>
          </w:tcPr>
          <w:p w14:paraId="2304F8D9" w14:textId="77777777" w:rsidR="00975108" w:rsidRPr="00DC19F1" w:rsidRDefault="00975108" w:rsidP="000E3C74">
            <w:pPr>
              <w:pStyle w:val="NoSpacing"/>
              <w:jc w:val="center"/>
            </w:pPr>
            <w:r>
              <w:t>$90</w:t>
            </w:r>
            <w:r w:rsidRPr="00927D49">
              <w:t>0</w:t>
            </w:r>
          </w:p>
        </w:tc>
      </w:tr>
      <w:tr w:rsidR="00975108" w:rsidRPr="00DC19F1" w14:paraId="69000E41" w14:textId="77777777" w:rsidTr="00D40FE0">
        <w:tc>
          <w:tcPr>
            <w:tcW w:w="2411" w:type="dxa"/>
            <w:vMerge w:val="restart"/>
          </w:tcPr>
          <w:p w14:paraId="62B239EC" w14:textId="77777777" w:rsidR="00975108" w:rsidRPr="00DC19F1" w:rsidRDefault="00975108" w:rsidP="000E3C74">
            <w:pPr>
              <w:pStyle w:val="NoSpacing"/>
            </w:pPr>
            <w:r w:rsidRPr="00DA39B1">
              <w:t>Special Eligibility (Class CB)</w:t>
            </w:r>
          </w:p>
        </w:tc>
        <w:tc>
          <w:tcPr>
            <w:tcW w:w="2409" w:type="dxa"/>
            <w:vMerge w:val="restart"/>
          </w:tcPr>
          <w:p w14:paraId="6A64F736" w14:textId="77777777" w:rsidR="00975108" w:rsidRPr="00DC19F1" w:rsidRDefault="00975108" w:rsidP="000E3C74">
            <w:pPr>
              <w:pStyle w:val="NoSpacing"/>
            </w:pPr>
            <w:r>
              <w:t xml:space="preserve">Subclass </w:t>
            </w:r>
            <w:r w:rsidRPr="00DA39B1">
              <w:t>151 (Former Resident)</w:t>
            </w:r>
            <w:r>
              <w:t xml:space="preserve"> visa (Offshore)</w:t>
            </w:r>
          </w:p>
        </w:tc>
        <w:tc>
          <w:tcPr>
            <w:tcW w:w="2410" w:type="dxa"/>
          </w:tcPr>
          <w:p w14:paraId="3E6CC2B6" w14:textId="77777777" w:rsidR="00975108" w:rsidRPr="00DC19F1" w:rsidRDefault="00975108" w:rsidP="000E3C74">
            <w:pPr>
              <w:pStyle w:val="NoSpacing"/>
            </w:pPr>
            <w:r>
              <w:t>Sub</w:t>
            </w:r>
            <w:r w:rsidRPr="007218AE">
              <w:t>paragraph 1118A (2) (a) (</w:t>
            </w:r>
            <w:r>
              <w:t>i</w:t>
            </w:r>
            <w:r w:rsidRPr="007218AE">
              <w:t>i)</w:t>
            </w:r>
            <w:r>
              <w:t xml:space="preserve"> table item 1</w:t>
            </w:r>
          </w:p>
        </w:tc>
        <w:tc>
          <w:tcPr>
            <w:tcW w:w="1843" w:type="dxa"/>
          </w:tcPr>
          <w:p w14:paraId="6D768FC3" w14:textId="77777777" w:rsidR="00975108" w:rsidRPr="00DC19F1" w:rsidRDefault="00975108" w:rsidP="000E3C74">
            <w:pPr>
              <w:pStyle w:val="NoSpacing"/>
              <w:jc w:val="center"/>
            </w:pPr>
            <w:r w:rsidRPr="007218AE">
              <w:t>$2</w:t>
            </w:r>
            <w:r>
              <w:t xml:space="preserve"> 37</w:t>
            </w:r>
            <w:r w:rsidRPr="007218AE">
              <w:t>0</w:t>
            </w:r>
          </w:p>
        </w:tc>
        <w:tc>
          <w:tcPr>
            <w:tcW w:w="1559" w:type="dxa"/>
          </w:tcPr>
          <w:p w14:paraId="78762F43" w14:textId="77777777" w:rsidR="00975108" w:rsidRPr="00DC19F1" w:rsidRDefault="00975108" w:rsidP="000E3C74">
            <w:pPr>
              <w:pStyle w:val="NoSpacing"/>
              <w:jc w:val="center"/>
            </w:pPr>
            <w:r>
              <w:t>$3 52</w:t>
            </w:r>
            <w:r w:rsidRPr="007218AE">
              <w:t>0</w:t>
            </w:r>
          </w:p>
        </w:tc>
      </w:tr>
      <w:tr w:rsidR="00975108" w:rsidRPr="00DC19F1" w14:paraId="55EAFE37" w14:textId="77777777" w:rsidTr="00D40FE0">
        <w:tc>
          <w:tcPr>
            <w:tcW w:w="2411" w:type="dxa"/>
            <w:vMerge/>
          </w:tcPr>
          <w:p w14:paraId="422FC9A0" w14:textId="77777777" w:rsidR="00975108" w:rsidRPr="00DC19F1" w:rsidRDefault="00975108" w:rsidP="000E3C74">
            <w:pPr>
              <w:pStyle w:val="NoSpacing"/>
            </w:pPr>
          </w:p>
        </w:tc>
        <w:tc>
          <w:tcPr>
            <w:tcW w:w="2409" w:type="dxa"/>
            <w:vMerge/>
          </w:tcPr>
          <w:p w14:paraId="3E56DC30" w14:textId="77777777" w:rsidR="00975108" w:rsidRPr="00DC19F1" w:rsidRDefault="00975108" w:rsidP="000E3C74">
            <w:pPr>
              <w:pStyle w:val="NoSpacing"/>
            </w:pPr>
          </w:p>
        </w:tc>
        <w:tc>
          <w:tcPr>
            <w:tcW w:w="2410" w:type="dxa"/>
          </w:tcPr>
          <w:p w14:paraId="2549E7D8" w14:textId="77777777" w:rsidR="00975108" w:rsidRPr="00DC19F1" w:rsidRDefault="00975108" w:rsidP="000E3C74">
            <w:pPr>
              <w:pStyle w:val="NoSpacing"/>
            </w:pPr>
            <w:r w:rsidRPr="007218AE">
              <w:t>S</w:t>
            </w:r>
            <w:r>
              <w:t>ub</w:t>
            </w:r>
            <w:r w:rsidRPr="007218AE">
              <w:t>paragraph 1118A (2) (a) (i</w:t>
            </w:r>
            <w:r>
              <w:t>i</w:t>
            </w:r>
            <w:r w:rsidRPr="007218AE">
              <w:t>)</w:t>
            </w:r>
            <w:r>
              <w:t xml:space="preserve"> table item 2</w:t>
            </w:r>
          </w:p>
        </w:tc>
        <w:tc>
          <w:tcPr>
            <w:tcW w:w="1843" w:type="dxa"/>
          </w:tcPr>
          <w:p w14:paraId="1F500B1C" w14:textId="77777777" w:rsidR="00975108" w:rsidRPr="00DC19F1" w:rsidRDefault="00975108" w:rsidP="000E3C74">
            <w:pPr>
              <w:pStyle w:val="NoSpacing"/>
              <w:jc w:val="center"/>
            </w:pPr>
            <w:r>
              <w:t>$1 185</w:t>
            </w:r>
          </w:p>
        </w:tc>
        <w:tc>
          <w:tcPr>
            <w:tcW w:w="1559" w:type="dxa"/>
          </w:tcPr>
          <w:p w14:paraId="5CC6E924" w14:textId="77777777" w:rsidR="00975108" w:rsidRPr="00DC19F1" w:rsidRDefault="00975108" w:rsidP="000E3C74">
            <w:pPr>
              <w:pStyle w:val="NoSpacing"/>
              <w:jc w:val="center"/>
            </w:pPr>
            <w:r>
              <w:t>$1 760</w:t>
            </w:r>
          </w:p>
        </w:tc>
      </w:tr>
      <w:tr w:rsidR="00975108" w:rsidRPr="00DC19F1" w14:paraId="577CB068" w14:textId="77777777" w:rsidTr="00D40FE0">
        <w:tc>
          <w:tcPr>
            <w:tcW w:w="2411" w:type="dxa"/>
            <w:vMerge/>
          </w:tcPr>
          <w:p w14:paraId="332772A7" w14:textId="77777777" w:rsidR="00975108" w:rsidRPr="00DC19F1" w:rsidRDefault="00975108" w:rsidP="000E3C74">
            <w:pPr>
              <w:pStyle w:val="NoSpacing"/>
            </w:pPr>
          </w:p>
        </w:tc>
        <w:tc>
          <w:tcPr>
            <w:tcW w:w="2409" w:type="dxa"/>
            <w:vMerge/>
          </w:tcPr>
          <w:p w14:paraId="0B662F03" w14:textId="77777777" w:rsidR="00975108" w:rsidRPr="00DC19F1" w:rsidRDefault="00975108" w:rsidP="000E3C74">
            <w:pPr>
              <w:pStyle w:val="NoSpacing"/>
            </w:pPr>
          </w:p>
        </w:tc>
        <w:tc>
          <w:tcPr>
            <w:tcW w:w="2410" w:type="dxa"/>
          </w:tcPr>
          <w:p w14:paraId="6A263E5C" w14:textId="77777777" w:rsidR="00975108" w:rsidRPr="00DC19F1" w:rsidRDefault="00975108" w:rsidP="000E3C74">
            <w:pPr>
              <w:pStyle w:val="NoSpacing"/>
            </w:pPr>
            <w:r w:rsidRPr="007218AE">
              <w:t>S</w:t>
            </w:r>
            <w:r>
              <w:t>ub</w:t>
            </w:r>
            <w:r w:rsidRPr="007218AE">
              <w:t>paragraph 1118A (2) (a) (</w:t>
            </w:r>
            <w:r>
              <w:t>i</w:t>
            </w:r>
            <w:r w:rsidRPr="007218AE">
              <w:t>i)</w:t>
            </w:r>
            <w:r>
              <w:t xml:space="preserve"> table item 3</w:t>
            </w:r>
          </w:p>
        </w:tc>
        <w:tc>
          <w:tcPr>
            <w:tcW w:w="1843" w:type="dxa"/>
          </w:tcPr>
          <w:p w14:paraId="58333912" w14:textId="77777777" w:rsidR="00975108" w:rsidRPr="00DC19F1" w:rsidRDefault="00975108" w:rsidP="000E3C74">
            <w:pPr>
              <w:pStyle w:val="NoSpacing"/>
              <w:jc w:val="center"/>
            </w:pPr>
            <w:r>
              <w:t>$5</w:t>
            </w:r>
            <w:r w:rsidRPr="007218AE">
              <w:t>95</w:t>
            </w:r>
          </w:p>
        </w:tc>
        <w:tc>
          <w:tcPr>
            <w:tcW w:w="1559" w:type="dxa"/>
          </w:tcPr>
          <w:p w14:paraId="402145B9" w14:textId="77777777" w:rsidR="00975108" w:rsidRPr="00DC19F1" w:rsidRDefault="00975108" w:rsidP="000E3C74">
            <w:pPr>
              <w:pStyle w:val="NoSpacing"/>
              <w:jc w:val="center"/>
            </w:pPr>
            <w:r>
              <w:t>$880</w:t>
            </w:r>
          </w:p>
        </w:tc>
      </w:tr>
      <w:tr w:rsidR="00975108" w:rsidRPr="00DC19F1" w14:paraId="1AE4A6E8" w14:textId="77777777" w:rsidTr="00D40FE0">
        <w:tc>
          <w:tcPr>
            <w:tcW w:w="2411" w:type="dxa"/>
            <w:vMerge w:val="restart"/>
          </w:tcPr>
          <w:p w14:paraId="65887CB1" w14:textId="77777777" w:rsidR="00975108" w:rsidRPr="00DC19F1" w:rsidRDefault="00975108" w:rsidP="000E3C74">
            <w:pPr>
              <w:pStyle w:val="NoSpacing"/>
            </w:pPr>
            <w:r w:rsidRPr="007D1F38">
              <w:t>Other Family (Migrant) (Class BO)</w:t>
            </w:r>
          </w:p>
        </w:tc>
        <w:tc>
          <w:tcPr>
            <w:tcW w:w="2409" w:type="dxa"/>
            <w:vMerge w:val="restart"/>
          </w:tcPr>
          <w:p w14:paraId="40247641" w14:textId="77777777" w:rsidR="00975108" w:rsidRPr="00DC19F1" w:rsidRDefault="00975108" w:rsidP="000E3C74">
            <w:pPr>
              <w:pStyle w:val="NoSpacing"/>
            </w:pPr>
            <w:r>
              <w:t>Subclass 116 (Carer) visa</w:t>
            </w:r>
          </w:p>
        </w:tc>
        <w:tc>
          <w:tcPr>
            <w:tcW w:w="2410" w:type="dxa"/>
          </w:tcPr>
          <w:p w14:paraId="51D9814A" w14:textId="77777777" w:rsidR="00975108" w:rsidRPr="0051694F" w:rsidRDefault="00975108" w:rsidP="000E3C74">
            <w:pPr>
              <w:pStyle w:val="NoSpacing"/>
            </w:pPr>
            <w:r w:rsidRPr="0051694F">
              <w:t>Sub</w:t>
            </w:r>
            <w:r w:rsidRPr="00E043FD">
              <w:t>paragraph 1123A (2) (a) (</w:t>
            </w:r>
            <w:proofErr w:type="spellStart"/>
            <w:r w:rsidRPr="00E043FD">
              <w:t>i</w:t>
            </w:r>
            <w:proofErr w:type="spellEnd"/>
            <w:r w:rsidRPr="00E043FD">
              <w:t xml:space="preserve">) </w:t>
            </w:r>
            <w:r w:rsidRPr="0051694F">
              <w:t>table item 1</w:t>
            </w:r>
          </w:p>
        </w:tc>
        <w:tc>
          <w:tcPr>
            <w:tcW w:w="1843" w:type="dxa"/>
          </w:tcPr>
          <w:p w14:paraId="2041E062" w14:textId="77777777" w:rsidR="00975108" w:rsidRPr="00DC19F1" w:rsidRDefault="00975108" w:rsidP="000E3C74">
            <w:pPr>
              <w:pStyle w:val="NoSpacing"/>
              <w:jc w:val="center"/>
            </w:pPr>
            <w:r>
              <w:t>$1 45</w:t>
            </w:r>
            <w:r w:rsidRPr="00016652">
              <w:t>0</w:t>
            </w:r>
          </w:p>
        </w:tc>
        <w:tc>
          <w:tcPr>
            <w:tcW w:w="1559" w:type="dxa"/>
          </w:tcPr>
          <w:p w14:paraId="1A49C3AE" w14:textId="77777777" w:rsidR="00975108" w:rsidRPr="00DC19F1" w:rsidRDefault="00975108" w:rsidP="000E3C74">
            <w:pPr>
              <w:pStyle w:val="NoSpacing"/>
              <w:jc w:val="center"/>
            </w:pPr>
            <w:r>
              <w:t>$1 595</w:t>
            </w:r>
          </w:p>
        </w:tc>
      </w:tr>
      <w:tr w:rsidR="00975108" w:rsidRPr="00DC19F1" w14:paraId="5BADC16E" w14:textId="77777777" w:rsidTr="00D40FE0">
        <w:tc>
          <w:tcPr>
            <w:tcW w:w="2411" w:type="dxa"/>
            <w:vMerge/>
          </w:tcPr>
          <w:p w14:paraId="50E3CAB4" w14:textId="77777777" w:rsidR="00975108" w:rsidRPr="00DC19F1" w:rsidRDefault="00975108" w:rsidP="000E3C74">
            <w:pPr>
              <w:pStyle w:val="NoSpacing"/>
            </w:pPr>
          </w:p>
        </w:tc>
        <w:tc>
          <w:tcPr>
            <w:tcW w:w="2409" w:type="dxa"/>
            <w:vMerge/>
          </w:tcPr>
          <w:p w14:paraId="4DE42C9D" w14:textId="77777777" w:rsidR="00975108" w:rsidRPr="00DC19F1" w:rsidRDefault="00975108" w:rsidP="000E3C74">
            <w:pPr>
              <w:pStyle w:val="NoSpacing"/>
            </w:pPr>
          </w:p>
        </w:tc>
        <w:tc>
          <w:tcPr>
            <w:tcW w:w="2410" w:type="dxa"/>
          </w:tcPr>
          <w:p w14:paraId="459058FA" w14:textId="77777777" w:rsidR="00975108" w:rsidRPr="0051694F" w:rsidRDefault="00975108" w:rsidP="000E3C74">
            <w:pPr>
              <w:pStyle w:val="NoSpacing"/>
            </w:pPr>
            <w:r w:rsidRPr="0051694F">
              <w:t>Sub</w:t>
            </w:r>
            <w:r w:rsidRPr="00E043FD">
              <w:t>paragraph 1123A (2) (a) (</w:t>
            </w:r>
            <w:proofErr w:type="spellStart"/>
            <w:r w:rsidRPr="00E043FD">
              <w:t>i</w:t>
            </w:r>
            <w:proofErr w:type="spellEnd"/>
            <w:r w:rsidRPr="00E043FD">
              <w:t xml:space="preserve">) </w:t>
            </w:r>
            <w:r w:rsidRPr="0051694F">
              <w:t>table item 2</w:t>
            </w:r>
          </w:p>
        </w:tc>
        <w:tc>
          <w:tcPr>
            <w:tcW w:w="1843" w:type="dxa"/>
          </w:tcPr>
          <w:p w14:paraId="4DB255C5" w14:textId="77777777" w:rsidR="00975108" w:rsidRPr="00DC19F1" w:rsidRDefault="00975108" w:rsidP="000E3C74">
            <w:pPr>
              <w:pStyle w:val="NoSpacing"/>
              <w:jc w:val="center"/>
            </w:pPr>
            <w:r w:rsidRPr="00016652">
              <w:t>$</w:t>
            </w:r>
            <w:r>
              <w:t>725</w:t>
            </w:r>
          </w:p>
        </w:tc>
        <w:tc>
          <w:tcPr>
            <w:tcW w:w="1559" w:type="dxa"/>
          </w:tcPr>
          <w:p w14:paraId="4D91566F" w14:textId="77777777" w:rsidR="00975108" w:rsidRPr="00DC19F1" w:rsidRDefault="00975108" w:rsidP="000E3C74">
            <w:pPr>
              <w:pStyle w:val="NoSpacing"/>
              <w:jc w:val="center"/>
            </w:pPr>
            <w:r>
              <w:t>$80</w:t>
            </w:r>
            <w:r w:rsidRPr="00016652">
              <w:t>0</w:t>
            </w:r>
          </w:p>
        </w:tc>
      </w:tr>
      <w:tr w:rsidR="00975108" w:rsidRPr="00DC19F1" w14:paraId="19BB3C56" w14:textId="77777777" w:rsidTr="00D40FE0">
        <w:tc>
          <w:tcPr>
            <w:tcW w:w="2411" w:type="dxa"/>
            <w:vMerge/>
          </w:tcPr>
          <w:p w14:paraId="33E28263" w14:textId="77777777" w:rsidR="00975108" w:rsidRPr="00DC19F1" w:rsidRDefault="00975108" w:rsidP="000E3C74">
            <w:pPr>
              <w:pStyle w:val="NoSpacing"/>
            </w:pPr>
          </w:p>
        </w:tc>
        <w:tc>
          <w:tcPr>
            <w:tcW w:w="2409" w:type="dxa"/>
            <w:vMerge/>
          </w:tcPr>
          <w:p w14:paraId="13B0D93F" w14:textId="77777777" w:rsidR="00975108" w:rsidRPr="00DC19F1" w:rsidRDefault="00975108" w:rsidP="000E3C74">
            <w:pPr>
              <w:pStyle w:val="NoSpacing"/>
            </w:pPr>
          </w:p>
        </w:tc>
        <w:tc>
          <w:tcPr>
            <w:tcW w:w="2410" w:type="dxa"/>
          </w:tcPr>
          <w:p w14:paraId="028B1218" w14:textId="77777777" w:rsidR="00975108" w:rsidRPr="0051694F" w:rsidRDefault="00975108" w:rsidP="000E3C74">
            <w:pPr>
              <w:pStyle w:val="NoSpacing"/>
            </w:pPr>
            <w:r w:rsidRPr="0051694F">
              <w:t>Sub</w:t>
            </w:r>
            <w:r w:rsidRPr="00E043FD">
              <w:t>paragraph 1123A (2) (a) (</w:t>
            </w:r>
            <w:proofErr w:type="spellStart"/>
            <w:r w:rsidRPr="00E043FD">
              <w:t>i</w:t>
            </w:r>
            <w:proofErr w:type="spellEnd"/>
            <w:r w:rsidRPr="00E043FD">
              <w:t xml:space="preserve">) </w:t>
            </w:r>
            <w:r w:rsidRPr="0051694F">
              <w:t>table item 3</w:t>
            </w:r>
          </w:p>
        </w:tc>
        <w:tc>
          <w:tcPr>
            <w:tcW w:w="1843" w:type="dxa"/>
          </w:tcPr>
          <w:p w14:paraId="2C41CBC8" w14:textId="77777777" w:rsidR="00975108" w:rsidRPr="00DC19F1" w:rsidRDefault="00975108" w:rsidP="000E3C74">
            <w:pPr>
              <w:pStyle w:val="NoSpacing"/>
              <w:jc w:val="center"/>
            </w:pPr>
            <w:r>
              <w:t>$</w:t>
            </w:r>
            <w:r w:rsidRPr="00016652">
              <w:t>3</w:t>
            </w:r>
            <w:r>
              <w:t>6</w:t>
            </w:r>
            <w:r w:rsidRPr="00016652">
              <w:t>5</w:t>
            </w:r>
          </w:p>
        </w:tc>
        <w:tc>
          <w:tcPr>
            <w:tcW w:w="1559" w:type="dxa"/>
          </w:tcPr>
          <w:p w14:paraId="73337FD0" w14:textId="77777777" w:rsidR="00975108" w:rsidRPr="00DC19F1" w:rsidRDefault="00975108" w:rsidP="000E3C74">
            <w:pPr>
              <w:pStyle w:val="NoSpacing"/>
              <w:jc w:val="center"/>
            </w:pPr>
            <w:r>
              <w:t>$400</w:t>
            </w:r>
          </w:p>
        </w:tc>
      </w:tr>
      <w:tr w:rsidR="00975108" w:rsidRPr="00DC19F1" w14:paraId="7BC66470" w14:textId="77777777" w:rsidTr="00D40FE0">
        <w:tc>
          <w:tcPr>
            <w:tcW w:w="2411" w:type="dxa"/>
            <w:vMerge/>
          </w:tcPr>
          <w:p w14:paraId="3F0666C4" w14:textId="77777777" w:rsidR="00975108" w:rsidRPr="00DC19F1" w:rsidRDefault="00975108" w:rsidP="000E3C74">
            <w:pPr>
              <w:pStyle w:val="NoSpacing"/>
            </w:pPr>
          </w:p>
        </w:tc>
        <w:tc>
          <w:tcPr>
            <w:tcW w:w="2409" w:type="dxa"/>
            <w:vMerge w:val="restart"/>
          </w:tcPr>
          <w:p w14:paraId="6BAD002F" w14:textId="6B6CDEBE" w:rsidR="00975108" w:rsidRPr="00DC19F1" w:rsidRDefault="00975108" w:rsidP="009B689A">
            <w:pPr>
              <w:pStyle w:val="NoSpacing"/>
            </w:pPr>
            <w:r>
              <w:t>Subclass 114 (Aged Dependent Relative) and Subclass  115 (Remaining Relative) visa</w:t>
            </w:r>
          </w:p>
        </w:tc>
        <w:tc>
          <w:tcPr>
            <w:tcW w:w="2410" w:type="dxa"/>
          </w:tcPr>
          <w:p w14:paraId="66ED04D5" w14:textId="77777777" w:rsidR="00975108" w:rsidRPr="00DC19F1" w:rsidRDefault="00975108" w:rsidP="000E3C74">
            <w:pPr>
              <w:pStyle w:val="NoSpacing"/>
            </w:pPr>
            <w:r w:rsidRPr="00016652">
              <w:t>Subparagraph 1123A (2) (a) (i</w:t>
            </w:r>
            <w:r>
              <w:t>i</w:t>
            </w:r>
            <w:r w:rsidRPr="00016652">
              <w:t>) table item 1</w:t>
            </w:r>
          </w:p>
        </w:tc>
        <w:tc>
          <w:tcPr>
            <w:tcW w:w="1843" w:type="dxa"/>
          </w:tcPr>
          <w:p w14:paraId="2DDF3FAA" w14:textId="77777777" w:rsidR="00975108" w:rsidRPr="00DC19F1" w:rsidRDefault="00975108" w:rsidP="000E3C74">
            <w:pPr>
              <w:pStyle w:val="NoSpacing"/>
              <w:jc w:val="center"/>
            </w:pPr>
            <w:r>
              <w:t>$2 370</w:t>
            </w:r>
          </w:p>
        </w:tc>
        <w:tc>
          <w:tcPr>
            <w:tcW w:w="1559" w:type="dxa"/>
          </w:tcPr>
          <w:p w14:paraId="689A1FE4" w14:textId="77777777" w:rsidR="00975108" w:rsidRPr="00DC19F1" w:rsidRDefault="00975108" w:rsidP="000E3C74">
            <w:pPr>
              <w:pStyle w:val="NoSpacing"/>
              <w:jc w:val="center"/>
            </w:pPr>
            <w:r>
              <w:t>$3 870</w:t>
            </w:r>
          </w:p>
        </w:tc>
      </w:tr>
      <w:tr w:rsidR="00975108" w:rsidRPr="00DC19F1" w14:paraId="08A3E1FF" w14:textId="77777777" w:rsidTr="00D40FE0">
        <w:tc>
          <w:tcPr>
            <w:tcW w:w="2411" w:type="dxa"/>
            <w:vMerge/>
          </w:tcPr>
          <w:p w14:paraId="05080B23" w14:textId="77777777" w:rsidR="00975108" w:rsidRPr="00DC19F1" w:rsidRDefault="00975108" w:rsidP="000E3C74">
            <w:pPr>
              <w:pStyle w:val="NoSpacing"/>
            </w:pPr>
          </w:p>
        </w:tc>
        <w:tc>
          <w:tcPr>
            <w:tcW w:w="2409" w:type="dxa"/>
            <w:vMerge/>
          </w:tcPr>
          <w:p w14:paraId="209FE74D" w14:textId="77777777" w:rsidR="00975108" w:rsidRPr="00DC19F1" w:rsidRDefault="00975108" w:rsidP="000E3C74">
            <w:pPr>
              <w:pStyle w:val="NoSpacing"/>
            </w:pPr>
          </w:p>
        </w:tc>
        <w:tc>
          <w:tcPr>
            <w:tcW w:w="2410" w:type="dxa"/>
          </w:tcPr>
          <w:p w14:paraId="3179478B" w14:textId="77777777" w:rsidR="00975108" w:rsidRPr="00DC19F1" w:rsidRDefault="00975108" w:rsidP="000E3C74">
            <w:pPr>
              <w:pStyle w:val="NoSpacing"/>
            </w:pPr>
            <w:r w:rsidRPr="00016652">
              <w:t>Subparagraph 1123A (2) (a) (i</w:t>
            </w:r>
            <w:r>
              <w:t>i</w:t>
            </w:r>
            <w:r w:rsidRPr="00016652">
              <w:t>) table item 2</w:t>
            </w:r>
          </w:p>
        </w:tc>
        <w:tc>
          <w:tcPr>
            <w:tcW w:w="1843" w:type="dxa"/>
          </w:tcPr>
          <w:p w14:paraId="14BA7FC8" w14:textId="77777777" w:rsidR="00975108" w:rsidRPr="00DC19F1" w:rsidRDefault="00975108" w:rsidP="000E3C74">
            <w:pPr>
              <w:pStyle w:val="NoSpacing"/>
              <w:jc w:val="center"/>
            </w:pPr>
            <w:r w:rsidRPr="00016652">
              <w:t>$</w:t>
            </w:r>
            <w:r>
              <w:t>1 185</w:t>
            </w:r>
          </w:p>
        </w:tc>
        <w:tc>
          <w:tcPr>
            <w:tcW w:w="1559" w:type="dxa"/>
          </w:tcPr>
          <w:p w14:paraId="51C4DECB" w14:textId="77777777" w:rsidR="00975108" w:rsidRPr="00DC19F1" w:rsidRDefault="00975108" w:rsidP="000E3C74">
            <w:pPr>
              <w:pStyle w:val="NoSpacing"/>
              <w:jc w:val="center"/>
            </w:pPr>
            <w:r>
              <w:t>$1 935</w:t>
            </w:r>
          </w:p>
        </w:tc>
      </w:tr>
      <w:tr w:rsidR="00975108" w:rsidRPr="00DC19F1" w14:paraId="15CCD620" w14:textId="77777777" w:rsidTr="00D40FE0">
        <w:tc>
          <w:tcPr>
            <w:tcW w:w="2411" w:type="dxa"/>
            <w:vMerge/>
          </w:tcPr>
          <w:p w14:paraId="1221BBB9" w14:textId="77777777" w:rsidR="00975108" w:rsidRPr="00DC19F1" w:rsidRDefault="00975108" w:rsidP="000E3C74">
            <w:pPr>
              <w:pStyle w:val="NoSpacing"/>
            </w:pPr>
          </w:p>
        </w:tc>
        <w:tc>
          <w:tcPr>
            <w:tcW w:w="2409" w:type="dxa"/>
            <w:vMerge/>
          </w:tcPr>
          <w:p w14:paraId="332B51A5" w14:textId="77777777" w:rsidR="00975108" w:rsidRPr="00DC19F1" w:rsidRDefault="00975108" w:rsidP="000E3C74">
            <w:pPr>
              <w:pStyle w:val="NoSpacing"/>
            </w:pPr>
          </w:p>
        </w:tc>
        <w:tc>
          <w:tcPr>
            <w:tcW w:w="2410" w:type="dxa"/>
          </w:tcPr>
          <w:p w14:paraId="1FE7EB94" w14:textId="77777777" w:rsidR="00975108" w:rsidRPr="00DC19F1" w:rsidRDefault="00975108" w:rsidP="000E3C74">
            <w:pPr>
              <w:pStyle w:val="NoSpacing"/>
            </w:pPr>
            <w:r w:rsidRPr="00016652">
              <w:t>Subparagraph 1123A (2) (a) (</w:t>
            </w:r>
            <w:r>
              <w:t>i</w:t>
            </w:r>
            <w:r w:rsidRPr="00016652">
              <w:t>i)</w:t>
            </w:r>
            <w:r>
              <w:t xml:space="preserve"> </w:t>
            </w:r>
            <w:r w:rsidRPr="00016652">
              <w:t>table item 3</w:t>
            </w:r>
          </w:p>
        </w:tc>
        <w:tc>
          <w:tcPr>
            <w:tcW w:w="1843" w:type="dxa"/>
          </w:tcPr>
          <w:p w14:paraId="1F454EEE" w14:textId="77777777" w:rsidR="00975108" w:rsidRPr="00DC19F1" w:rsidRDefault="00975108" w:rsidP="000E3C74">
            <w:pPr>
              <w:pStyle w:val="NoSpacing"/>
              <w:jc w:val="center"/>
            </w:pPr>
            <w:r>
              <w:t>$595</w:t>
            </w:r>
          </w:p>
        </w:tc>
        <w:tc>
          <w:tcPr>
            <w:tcW w:w="1559" w:type="dxa"/>
          </w:tcPr>
          <w:p w14:paraId="40F1C2D9" w14:textId="77777777" w:rsidR="00975108" w:rsidRPr="00DC19F1" w:rsidRDefault="00975108" w:rsidP="000E3C74">
            <w:pPr>
              <w:pStyle w:val="NoSpacing"/>
              <w:jc w:val="center"/>
            </w:pPr>
            <w:r>
              <w:t>$970</w:t>
            </w:r>
          </w:p>
        </w:tc>
      </w:tr>
      <w:tr w:rsidR="00975108" w:rsidRPr="00DC19F1" w14:paraId="08C6D2FF" w14:textId="77777777" w:rsidTr="00D40FE0">
        <w:tc>
          <w:tcPr>
            <w:tcW w:w="2411" w:type="dxa"/>
            <w:vMerge w:val="restart"/>
          </w:tcPr>
          <w:p w14:paraId="6E3F548D" w14:textId="77777777" w:rsidR="00975108" w:rsidRPr="00DC19F1" w:rsidRDefault="00975108" w:rsidP="000E3C74">
            <w:pPr>
              <w:pStyle w:val="NoSpacing"/>
            </w:pPr>
            <w:r>
              <w:t>Other Family (Residence) (Class </w:t>
            </w:r>
            <w:r w:rsidRPr="00240AC3">
              <w:t>BU)</w:t>
            </w:r>
          </w:p>
        </w:tc>
        <w:tc>
          <w:tcPr>
            <w:tcW w:w="2409" w:type="dxa"/>
            <w:vMerge w:val="restart"/>
          </w:tcPr>
          <w:p w14:paraId="0E9B97A4" w14:textId="77777777" w:rsidR="00975108" w:rsidRPr="00DC19F1" w:rsidRDefault="00975108" w:rsidP="000E3C74">
            <w:pPr>
              <w:pStyle w:val="NoSpacing"/>
            </w:pPr>
            <w:r>
              <w:t>Subclass 836 (Carer) visa</w:t>
            </w:r>
          </w:p>
        </w:tc>
        <w:tc>
          <w:tcPr>
            <w:tcW w:w="2410" w:type="dxa"/>
          </w:tcPr>
          <w:p w14:paraId="02153025" w14:textId="77777777" w:rsidR="00975108" w:rsidRPr="00DC19F1" w:rsidRDefault="00975108" w:rsidP="000E3C74">
            <w:pPr>
              <w:pStyle w:val="NoSpacing"/>
            </w:pPr>
            <w:r w:rsidRPr="000D5861">
              <w:t>Subparagraph 1123B (2) (a) (</w:t>
            </w:r>
            <w:proofErr w:type="spellStart"/>
            <w:r w:rsidRPr="000D5861">
              <w:t>i</w:t>
            </w:r>
            <w:proofErr w:type="spellEnd"/>
            <w:r w:rsidRPr="000D5861">
              <w:t>)</w:t>
            </w:r>
            <w:r>
              <w:t xml:space="preserve"> table item 1</w:t>
            </w:r>
          </w:p>
        </w:tc>
        <w:tc>
          <w:tcPr>
            <w:tcW w:w="1843" w:type="dxa"/>
          </w:tcPr>
          <w:p w14:paraId="01E4AC73" w14:textId="77777777" w:rsidR="00975108" w:rsidRPr="00DC19F1" w:rsidRDefault="00975108" w:rsidP="000E3C74">
            <w:pPr>
              <w:pStyle w:val="NoSpacing"/>
              <w:jc w:val="center"/>
            </w:pPr>
            <w:r w:rsidRPr="000D5861">
              <w:t>$1</w:t>
            </w:r>
            <w:r>
              <w:t xml:space="preserve"> 45</w:t>
            </w:r>
            <w:r w:rsidRPr="000D5861">
              <w:t>0</w:t>
            </w:r>
          </w:p>
        </w:tc>
        <w:tc>
          <w:tcPr>
            <w:tcW w:w="1559" w:type="dxa"/>
          </w:tcPr>
          <w:p w14:paraId="3CB86350" w14:textId="77777777" w:rsidR="00975108" w:rsidRPr="00DC19F1" w:rsidRDefault="00975108" w:rsidP="000E3C74">
            <w:pPr>
              <w:pStyle w:val="NoSpacing"/>
              <w:jc w:val="center"/>
            </w:pPr>
            <w:r>
              <w:t>$1 595</w:t>
            </w:r>
          </w:p>
        </w:tc>
      </w:tr>
      <w:tr w:rsidR="00975108" w:rsidRPr="00DC19F1" w14:paraId="27CA65C1" w14:textId="77777777" w:rsidTr="00D40FE0">
        <w:tc>
          <w:tcPr>
            <w:tcW w:w="2411" w:type="dxa"/>
            <w:vMerge/>
          </w:tcPr>
          <w:p w14:paraId="4E9931CA" w14:textId="77777777" w:rsidR="00975108" w:rsidRPr="00DC19F1" w:rsidRDefault="00975108" w:rsidP="000E3C74">
            <w:pPr>
              <w:pStyle w:val="NoSpacing"/>
            </w:pPr>
          </w:p>
        </w:tc>
        <w:tc>
          <w:tcPr>
            <w:tcW w:w="2409" w:type="dxa"/>
            <w:vMerge/>
          </w:tcPr>
          <w:p w14:paraId="6617F237" w14:textId="77777777" w:rsidR="00975108" w:rsidRPr="00DC19F1" w:rsidRDefault="00975108" w:rsidP="000E3C74">
            <w:pPr>
              <w:pStyle w:val="NoSpacing"/>
            </w:pPr>
          </w:p>
        </w:tc>
        <w:tc>
          <w:tcPr>
            <w:tcW w:w="2410" w:type="dxa"/>
          </w:tcPr>
          <w:p w14:paraId="3FB40E08" w14:textId="77777777" w:rsidR="00975108" w:rsidRPr="00DC19F1" w:rsidRDefault="00975108" w:rsidP="000E3C74">
            <w:pPr>
              <w:pStyle w:val="NoSpacing"/>
            </w:pPr>
            <w:r w:rsidRPr="000D5861">
              <w:t>Subparagraph 1123B (2) (a) (</w:t>
            </w:r>
            <w:proofErr w:type="spellStart"/>
            <w:r w:rsidRPr="000D5861">
              <w:t>i</w:t>
            </w:r>
            <w:proofErr w:type="spellEnd"/>
            <w:r w:rsidRPr="000D5861">
              <w:t>)</w:t>
            </w:r>
            <w:r>
              <w:t xml:space="preserve"> table item 2</w:t>
            </w:r>
          </w:p>
        </w:tc>
        <w:tc>
          <w:tcPr>
            <w:tcW w:w="1843" w:type="dxa"/>
          </w:tcPr>
          <w:p w14:paraId="798B31E1" w14:textId="77777777" w:rsidR="00975108" w:rsidRPr="00DC19F1" w:rsidRDefault="00975108" w:rsidP="000E3C74">
            <w:pPr>
              <w:pStyle w:val="NoSpacing"/>
              <w:jc w:val="center"/>
            </w:pPr>
            <w:r>
              <w:t>$725</w:t>
            </w:r>
          </w:p>
        </w:tc>
        <w:tc>
          <w:tcPr>
            <w:tcW w:w="1559" w:type="dxa"/>
          </w:tcPr>
          <w:p w14:paraId="6C0570EF" w14:textId="77777777" w:rsidR="00975108" w:rsidRPr="00DC19F1" w:rsidRDefault="00975108" w:rsidP="000E3C74">
            <w:pPr>
              <w:pStyle w:val="NoSpacing"/>
              <w:jc w:val="center"/>
            </w:pPr>
            <w:r>
              <w:t>$80</w:t>
            </w:r>
            <w:r w:rsidRPr="000D5861">
              <w:t>0</w:t>
            </w:r>
          </w:p>
        </w:tc>
      </w:tr>
      <w:tr w:rsidR="00975108" w:rsidRPr="00DC19F1" w14:paraId="7AF75CAF" w14:textId="77777777" w:rsidTr="00D40FE0">
        <w:tc>
          <w:tcPr>
            <w:tcW w:w="2411" w:type="dxa"/>
            <w:vMerge/>
          </w:tcPr>
          <w:p w14:paraId="1AAE6A5E" w14:textId="77777777" w:rsidR="00975108" w:rsidRPr="00DC19F1" w:rsidRDefault="00975108" w:rsidP="000E3C74">
            <w:pPr>
              <w:pStyle w:val="NoSpacing"/>
            </w:pPr>
          </w:p>
        </w:tc>
        <w:tc>
          <w:tcPr>
            <w:tcW w:w="2409" w:type="dxa"/>
            <w:vMerge/>
          </w:tcPr>
          <w:p w14:paraId="3033560A" w14:textId="77777777" w:rsidR="00975108" w:rsidRPr="00DC19F1" w:rsidRDefault="00975108" w:rsidP="000E3C74">
            <w:pPr>
              <w:pStyle w:val="NoSpacing"/>
            </w:pPr>
          </w:p>
        </w:tc>
        <w:tc>
          <w:tcPr>
            <w:tcW w:w="2410" w:type="dxa"/>
          </w:tcPr>
          <w:p w14:paraId="3C7898D2" w14:textId="77777777" w:rsidR="00975108" w:rsidRPr="00DC19F1" w:rsidRDefault="00975108" w:rsidP="000E3C74">
            <w:pPr>
              <w:pStyle w:val="NoSpacing"/>
            </w:pPr>
            <w:r w:rsidRPr="000D5861">
              <w:t>Subparagraph 1123B (2) (a) (</w:t>
            </w:r>
            <w:proofErr w:type="spellStart"/>
            <w:r w:rsidRPr="000D5861">
              <w:t>i</w:t>
            </w:r>
            <w:proofErr w:type="spellEnd"/>
            <w:r w:rsidRPr="000D5861">
              <w:t>)</w:t>
            </w:r>
            <w:r>
              <w:t xml:space="preserve"> table item 3</w:t>
            </w:r>
          </w:p>
        </w:tc>
        <w:tc>
          <w:tcPr>
            <w:tcW w:w="1843" w:type="dxa"/>
          </w:tcPr>
          <w:p w14:paraId="798B8C4C" w14:textId="77777777" w:rsidR="00975108" w:rsidRPr="00DC19F1" w:rsidRDefault="00975108" w:rsidP="000E3C74">
            <w:pPr>
              <w:pStyle w:val="NoSpacing"/>
              <w:jc w:val="center"/>
            </w:pPr>
            <w:r>
              <w:t>$</w:t>
            </w:r>
            <w:r w:rsidRPr="000D5861">
              <w:t>3</w:t>
            </w:r>
            <w:r>
              <w:t>6</w:t>
            </w:r>
            <w:r w:rsidRPr="000D5861">
              <w:t>5</w:t>
            </w:r>
          </w:p>
        </w:tc>
        <w:tc>
          <w:tcPr>
            <w:tcW w:w="1559" w:type="dxa"/>
          </w:tcPr>
          <w:p w14:paraId="799241E8" w14:textId="77777777" w:rsidR="00975108" w:rsidRPr="00DC19F1" w:rsidRDefault="00975108" w:rsidP="000E3C74">
            <w:pPr>
              <w:pStyle w:val="NoSpacing"/>
              <w:jc w:val="center"/>
            </w:pPr>
            <w:r w:rsidRPr="000D5861">
              <w:t>$</w:t>
            </w:r>
            <w:r>
              <w:t>400</w:t>
            </w:r>
          </w:p>
        </w:tc>
      </w:tr>
      <w:tr w:rsidR="00975108" w:rsidRPr="00DC19F1" w14:paraId="2FBFADF3" w14:textId="77777777" w:rsidTr="00D40FE0">
        <w:tc>
          <w:tcPr>
            <w:tcW w:w="2411" w:type="dxa"/>
            <w:vMerge/>
          </w:tcPr>
          <w:p w14:paraId="7EABAC11" w14:textId="77777777" w:rsidR="00975108" w:rsidRPr="00DC19F1" w:rsidRDefault="00975108" w:rsidP="000E3C74">
            <w:pPr>
              <w:pStyle w:val="NoSpacing"/>
            </w:pPr>
          </w:p>
        </w:tc>
        <w:tc>
          <w:tcPr>
            <w:tcW w:w="2409" w:type="dxa"/>
            <w:vMerge w:val="restart"/>
          </w:tcPr>
          <w:p w14:paraId="1AF50A2E" w14:textId="77777777" w:rsidR="00975108" w:rsidRPr="00DC19F1" w:rsidRDefault="00975108" w:rsidP="000E3C74">
            <w:pPr>
              <w:pStyle w:val="NoSpacing"/>
            </w:pPr>
            <w:r>
              <w:t>Subclass 835 (Remaining Relative) visa and Subclass 838 (Aged Dependent Relative) visa</w:t>
            </w:r>
          </w:p>
        </w:tc>
        <w:tc>
          <w:tcPr>
            <w:tcW w:w="2410" w:type="dxa"/>
          </w:tcPr>
          <w:p w14:paraId="45943FE2" w14:textId="77777777" w:rsidR="00975108" w:rsidRPr="00DC19F1" w:rsidRDefault="00975108" w:rsidP="000E3C74">
            <w:pPr>
              <w:pStyle w:val="NoSpacing"/>
            </w:pPr>
            <w:r w:rsidRPr="000D5861">
              <w:t>Subparagraph 1123B (2) (a) (i</w:t>
            </w:r>
            <w:r>
              <w:t>i</w:t>
            </w:r>
            <w:r w:rsidRPr="000D5861">
              <w:t xml:space="preserve">) </w:t>
            </w:r>
            <w:r>
              <w:t>table item 1</w:t>
            </w:r>
          </w:p>
        </w:tc>
        <w:tc>
          <w:tcPr>
            <w:tcW w:w="1843" w:type="dxa"/>
          </w:tcPr>
          <w:p w14:paraId="63638B47" w14:textId="77777777" w:rsidR="00975108" w:rsidRPr="00DC19F1" w:rsidRDefault="00975108" w:rsidP="000E3C74">
            <w:pPr>
              <w:pStyle w:val="NoSpacing"/>
              <w:jc w:val="center"/>
            </w:pPr>
            <w:r>
              <w:t>$3 520</w:t>
            </w:r>
          </w:p>
        </w:tc>
        <w:tc>
          <w:tcPr>
            <w:tcW w:w="1559" w:type="dxa"/>
          </w:tcPr>
          <w:p w14:paraId="7CE31C40" w14:textId="77777777" w:rsidR="00975108" w:rsidRPr="00DC19F1" w:rsidRDefault="00975108" w:rsidP="000E3C74">
            <w:pPr>
              <w:pStyle w:val="NoSpacing"/>
              <w:jc w:val="center"/>
            </w:pPr>
            <w:r>
              <w:t>$3 870</w:t>
            </w:r>
          </w:p>
        </w:tc>
      </w:tr>
      <w:tr w:rsidR="00975108" w:rsidRPr="00DC19F1" w14:paraId="235BF23F" w14:textId="77777777" w:rsidTr="00D40FE0">
        <w:tc>
          <w:tcPr>
            <w:tcW w:w="2411" w:type="dxa"/>
            <w:vMerge/>
          </w:tcPr>
          <w:p w14:paraId="67810FED" w14:textId="77777777" w:rsidR="00975108" w:rsidRPr="00DC19F1" w:rsidRDefault="00975108" w:rsidP="000E3C74">
            <w:pPr>
              <w:pStyle w:val="NoSpacing"/>
            </w:pPr>
          </w:p>
        </w:tc>
        <w:tc>
          <w:tcPr>
            <w:tcW w:w="2409" w:type="dxa"/>
            <w:vMerge/>
          </w:tcPr>
          <w:p w14:paraId="5D4CF055" w14:textId="77777777" w:rsidR="00975108" w:rsidRPr="00DC19F1" w:rsidRDefault="00975108" w:rsidP="000E3C74">
            <w:pPr>
              <w:pStyle w:val="NoSpacing"/>
            </w:pPr>
          </w:p>
        </w:tc>
        <w:tc>
          <w:tcPr>
            <w:tcW w:w="2410" w:type="dxa"/>
          </w:tcPr>
          <w:p w14:paraId="6BACC2AB" w14:textId="77777777" w:rsidR="00975108" w:rsidRPr="00DC19F1" w:rsidRDefault="00975108" w:rsidP="000E3C74">
            <w:pPr>
              <w:pStyle w:val="NoSpacing"/>
            </w:pPr>
            <w:r w:rsidRPr="000D5861">
              <w:t>Subparagraph 1123B (2) (a) (i</w:t>
            </w:r>
            <w:r>
              <w:t>i</w:t>
            </w:r>
            <w:r w:rsidRPr="000D5861">
              <w:t xml:space="preserve">) </w:t>
            </w:r>
            <w:r>
              <w:t>table item 2</w:t>
            </w:r>
          </w:p>
        </w:tc>
        <w:tc>
          <w:tcPr>
            <w:tcW w:w="1843" w:type="dxa"/>
          </w:tcPr>
          <w:p w14:paraId="5DB5197F" w14:textId="77777777" w:rsidR="00975108" w:rsidRPr="00DC19F1" w:rsidRDefault="00975108" w:rsidP="000E3C74">
            <w:pPr>
              <w:pStyle w:val="NoSpacing"/>
              <w:jc w:val="center"/>
            </w:pPr>
            <w:r w:rsidRPr="000D5861">
              <w:t>$</w:t>
            </w:r>
            <w:r>
              <w:t>1 760</w:t>
            </w:r>
          </w:p>
        </w:tc>
        <w:tc>
          <w:tcPr>
            <w:tcW w:w="1559" w:type="dxa"/>
          </w:tcPr>
          <w:p w14:paraId="07A01540" w14:textId="77777777" w:rsidR="00975108" w:rsidRPr="00DC19F1" w:rsidRDefault="00975108" w:rsidP="000E3C74">
            <w:pPr>
              <w:pStyle w:val="NoSpacing"/>
              <w:jc w:val="center"/>
            </w:pPr>
            <w:r w:rsidRPr="000D5861">
              <w:t>$</w:t>
            </w:r>
            <w:r>
              <w:t>1 935</w:t>
            </w:r>
          </w:p>
        </w:tc>
      </w:tr>
      <w:tr w:rsidR="00975108" w:rsidRPr="00DC19F1" w14:paraId="414CC4AF" w14:textId="77777777" w:rsidTr="00D40FE0">
        <w:tc>
          <w:tcPr>
            <w:tcW w:w="2411" w:type="dxa"/>
            <w:vMerge/>
          </w:tcPr>
          <w:p w14:paraId="196924FE" w14:textId="77777777" w:rsidR="00975108" w:rsidRPr="00DC19F1" w:rsidRDefault="00975108" w:rsidP="000E3C74">
            <w:pPr>
              <w:pStyle w:val="NoSpacing"/>
            </w:pPr>
          </w:p>
        </w:tc>
        <w:tc>
          <w:tcPr>
            <w:tcW w:w="2409" w:type="dxa"/>
            <w:vMerge/>
          </w:tcPr>
          <w:p w14:paraId="71BCF066" w14:textId="77777777" w:rsidR="00975108" w:rsidRPr="00DC19F1" w:rsidRDefault="00975108" w:rsidP="000E3C74">
            <w:pPr>
              <w:pStyle w:val="NoSpacing"/>
            </w:pPr>
          </w:p>
        </w:tc>
        <w:tc>
          <w:tcPr>
            <w:tcW w:w="2410" w:type="dxa"/>
          </w:tcPr>
          <w:p w14:paraId="785F67DF" w14:textId="77777777" w:rsidR="00975108" w:rsidRPr="00DC19F1" w:rsidRDefault="00975108" w:rsidP="000E3C74">
            <w:pPr>
              <w:pStyle w:val="NoSpacing"/>
            </w:pPr>
            <w:r w:rsidRPr="000D5861">
              <w:t>Subparagraph 1123B (2) (a) (i</w:t>
            </w:r>
            <w:r>
              <w:t>i</w:t>
            </w:r>
            <w:r w:rsidRPr="000D5861">
              <w:t xml:space="preserve">) </w:t>
            </w:r>
            <w:r>
              <w:t>table item 3</w:t>
            </w:r>
          </w:p>
        </w:tc>
        <w:tc>
          <w:tcPr>
            <w:tcW w:w="1843" w:type="dxa"/>
          </w:tcPr>
          <w:p w14:paraId="7F20C8B9" w14:textId="77777777" w:rsidR="00975108" w:rsidRPr="00DC19F1" w:rsidRDefault="00975108" w:rsidP="000E3C74">
            <w:pPr>
              <w:pStyle w:val="NoSpacing"/>
              <w:jc w:val="center"/>
            </w:pPr>
            <w:r>
              <w:t>$880</w:t>
            </w:r>
          </w:p>
        </w:tc>
        <w:tc>
          <w:tcPr>
            <w:tcW w:w="1559" w:type="dxa"/>
          </w:tcPr>
          <w:p w14:paraId="27C16502" w14:textId="77777777" w:rsidR="00975108" w:rsidRPr="00DC19F1" w:rsidRDefault="00975108" w:rsidP="000E3C74">
            <w:pPr>
              <w:pStyle w:val="NoSpacing"/>
              <w:jc w:val="center"/>
            </w:pPr>
            <w:r>
              <w:t>$970</w:t>
            </w:r>
          </w:p>
        </w:tc>
      </w:tr>
      <w:tr w:rsidR="00975108" w:rsidRPr="00DC19F1" w14:paraId="5D61BE7B" w14:textId="77777777" w:rsidTr="00D40FE0">
        <w:tc>
          <w:tcPr>
            <w:tcW w:w="2411" w:type="dxa"/>
            <w:vMerge w:val="restart"/>
          </w:tcPr>
          <w:p w14:paraId="392247F0" w14:textId="77777777" w:rsidR="00975108" w:rsidRPr="00DC19F1" w:rsidRDefault="00975108" w:rsidP="000E3C74">
            <w:pPr>
              <w:pStyle w:val="NoSpacing"/>
            </w:pPr>
            <w:r w:rsidRPr="00066012">
              <w:t>Parent (Migrant) (Class AX)</w:t>
            </w:r>
          </w:p>
        </w:tc>
        <w:tc>
          <w:tcPr>
            <w:tcW w:w="2409" w:type="dxa"/>
            <w:vMerge w:val="restart"/>
          </w:tcPr>
          <w:p w14:paraId="732E9E46" w14:textId="77777777" w:rsidR="00975108" w:rsidRPr="00DC19F1" w:rsidRDefault="00975108" w:rsidP="000E3C74">
            <w:pPr>
              <w:pStyle w:val="NoSpacing"/>
            </w:pPr>
            <w:r>
              <w:t xml:space="preserve">Subclass </w:t>
            </w:r>
            <w:r w:rsidRPr="00066012">
              <w:t>103 (Parent)</w:t>
            </w:r>
            <w:r>
              <w:t xml:space="preserve"> visa</w:t>
            </w:r>
          </w:p>
        </w:tc>
        <w:tc>
          <w:tcPr>
            <w:tcW w:w="2410" w:type="dxa"/>
          </w:tcPr>
          <w:p w14:paraId="5E7AC655" w14:textId="77777777" w:rsidR="00975108" w:rsidRPr="00DC19F1" w:rsidRDefault="00975108" w:rsidP="000E3C74">
            <w:pPr>
              <w:pStyle w:val="NoSpacing"/>
            </w:pPr>
            <w:r w:rsidRPr="0087203D">
              <w:t>Paragraph 1124 (2) (a) table item 1</w:t>
            </w:r>
          </w:p>
        </w:tc>
        <w:tc>
          <w:tcPr>
            <w:tcW w:w="1843" w:type="dxa"/>
          </w:tcPr>
          <w:p w14:paraId="2717A217" w14:textId="77777777" w:rsidR="00975108" w:rsidRPr="00DC19F1" w:rsidRDefault="00975108" w:rsidP="000E3C74">
            <w:pPr>
              <w:pStyle w:val="NoSpacing"/>
              <w:jc w:val="center"/>
            </w:pPr>
            <w:r w:rsidRPr="0087203D">
              <w:t>$</w:t>
            </w:r>
            <w:r>
              <w:t>2 370</w:t>
            </w:r>
          </w:p>
        </w:tc>
        <w:tc>
          <w:tcPr>
            <w:tcW w:w="1559" w:type="dxa"/>
          </w:tcPr>
          <w:p w14:paraId="50B225D2" w14:textId="77777777" w:rsidR="00975108" w:rsidRPr="00DC19F1" w:rsidRDefault="00975108" w:rsidP="000E3C74">
            <w:pPr>
              <w:pStyle w:val="NoSpacing"/>
              <w:jc w:val="center"/>
            </w:pPr>
            <w:r w:rsidRPr="0087203D">
              <w:t>$</w:t>
            </w:r>
            <w:r>
              <w:t>3 87</w:t>
            </w:r>
            <w:r w:rsidRPr="0087203D">
              <w:t>0</w:t>
            </w:r>
          </w:p>
        </w:tc>
      </w:tr>
      <w:tr w:rsidR="00975108" w:rsidRPr="00DC19F1" w14:paraId="16085CE5" w14:textId="77777777" w:rsidTr="00D40FE0">
        <w:tc>
          <w:tcPr>
            <w:tcW w:w="2411" w:type="dxa"/>
            <w:vMerge/>
          </w:tcPr>
          <w:p w14:paraId="09D562AF" w14:textId="77777777" w:rsidR="00975108" w:rsidRPr="00DC19F1" w:rsidRDefault="00975108" w:rsidP="000E3C74">
            <w:pPr>
              <w:pStyle w:val="NoSpacing"/>
            </w:pPr>
          </w:p>
        </w:tc>
        <w:tc>
          <w:tcPr>
            <w:tcW w:w="2409" w:type="dxa"/>
            <w:vMerge/>
          </w:tcPr>
          <w:p w14:paraId="5A377990" w14:textId="77777777" w:rsidR="00975108" w:rsidRPr="00DC19F1" w:rsidRDefault="00975108" w:rsidP="000E3C74">
            <w:pPr>
              <w:pStyle w:val="NoSpacing"/>
            </w:pPr>
          </w:p>
        </w:tc>
        <w:tc>
          <w:tcPr>
            <w:tcW w:w="2410" w:type="dxa"/>
          </w:tcPr>
          <w:p w14:paraId="1D3F66AD" w14:textId="77777777" w:rsidR="00975108" w:rsidRPr="00DC19F1" w:rsidRDefault="00975108" w:rsidP="000E3C74">
            <w:pPr>
              <w:pStyle w:val="NoSpacing"/>
            </w:pPr>
            <w:r w:rsidRPr="0087203D">
              <w:t>Paragraph 1124 (2) (a) table item 2</w:t>
            </w:r>
          </w:p>
        </w:tc>
        <w:tc>
          <w:tcPr>
            <w:tcW w:w="1843" w:type="dxa"/>
          </w:tcPr>
          <w:p w14:paraId="2452BAC3" w14:textId="77777777" w:rsidR="00975108" w:rsidRPr="00DC19F1" w:rsidRDefault="00975108" w:rsidP="000E3C74">
            <w:pPr>
              <w:pStyle w:val="NoSpacing"/>
              <w:jc w:val="center"/>
            </w:pPr>
            <w:r>
              <w:t>$1 185</w:t>
            </w:r>
          </w:p>
        </w:tc>
        <w:tc>
          <w:tcPr>
            <w:tcW w:w="1559" w:type="dxa"/>
          </w:tcPr>
          <w:p w14:paraId="14D3A25C" w14:textId="77777777" w:rsidR="00975108" w:rsidRPr="00DC19F1" w:rsidRDefault="00975108" w:rsidP="000E3C74">
            <w:pPr>
              <w:pStyle w:val="NoSpacing"/>
              <w:jc w:val="center"/>
            </w:pPr>
            <w:r>
              <w:t>$1 935</w:t>
            </w:r>
          </w:p>
        </w:tc>
      </w:tr>
      <w:tr w:rsidR="00975108" w:rsidRPr="00DC19F1" w14:paraId="7D38710F" w14:textId="77777777" w:rsidTr="00D40FE0">
        <w:tc>
          <w:tcPr>
            <w:tcW w:w="2411" w:type="dxa"/>
            <w:vMerge/>
          </w:tcPr>
          <w:p w14:paraId="59E07CE1" w14:textId="77777777" w:rsidR="00975108" w:rsidRPr="00DC19F1" w:rsidRDefault="00975108" w:rsidP="000E3C74">
            <w:pPr>
              <w:pStyle w:val="NoSpacing"/>
            </w:pPr>
          </w:p>
        </w:tc>
        <w:tc>
          <w:tcPr>
            <w:tcW w:w="2409" w:type="dxa"/>
            <w:vMerge/>
          </w:tcPr>
          <w:p w14:paraId="1423ACB7" w14:textId="77777777" w:rsidR="00975108" w:rsidRPr="00DC19F1" w:rsidRDefault="00975108" w:rsidP="000E3C74">
            <w:pPr>
              <w:pStyle w:val="NoSpacing"/>
            </w:pPr>
          </w:p>
        </w:tc>
        <w:tc>
          <w:tcPr>
            <w:tcW w:w="2410" w:type="dxa"/>
          </w:tcPr>
          <w:p w14:paraId="37A5AE51" w14:textId="77777777" w:rsidR="00975108" w:rsidRPr="00DC19F1" w:rsidRDefault="00975108" w:rsidP="000E3C74">
            <w:pPr>
              <w:pStyle w:val="NoSpacing"/>
            </w:pPr>
            <w:r w:rsidRPr="0087203D">
              <w:t xml:space="preserve">Paragraph 1124 (2) (a) table item </w:t>
            </w:r>
            <w:r>
              <w:t>3</w:t>
            </w:r>
          </w:p>
        </w:tc>
        <w:tc>
          <w:tcPr>
            <w:tcW w:w="1843" w:type="dxa"/>
          </w:tcPr>
          <w:p w14:paraId="6A1D17FD" w14:textId="77777777" w:rsidR="00975108" w:rsidRPr="00DC19F1" w:rsidRDefault="00975108" w:rsidP="000E3C74">
            <w:pPr>
              <w:pStyle w:val="NoSpacing"/>
              <w:jc w:val="center"/>
            </w:pPr>
            <w:r>
              <w:t>$595</w:t>
            </w:r>
          </w:p>
        </w:tc>
        <w:tc>
          <w:tcPr>
            <w:tcW w:w="1559" w:type="dxa"/>
          </w:tcPr>
          <w:p w14:paraId="792E3872" w14:textId="77777777" w:rsidR="00975108" w:rsidRPr="00DC19F1" w:rsidRDefault="00975108" w:rsidP="000E3C74">
            <w:pPr>
              <w:pStyle w:val="NoSpacing"/>
              <w:jc w:val="center"/>
            </w:pPr>
            <w:r>
              <w:t>$970</w:t>
            </w:r>
          </w:p>
        </w:tc>
      </w:tr>
      <w:tr w:rsidR="00975108" w:rsidRPr="00DC19F1" w14:paraId="78D07825" w14:textId="77777777" w:rsidTr="00D40FE0">
        <w:tc>
          <w:tcPr>
            <w:tcW w:w="2411" w:type="dxa"/>
            <w:vMerge w:val="restart"/>
          </w:tcPr>
          <w:p w14:paraId="79565231" w14:textId="77777777" w:rsidR="00975108" w:rsidRPr="00DC19F1" w:rsidRDefault="00975108" w:rsidP="000E3C74">
            <w:pPr>
              <w:pStyle w:val="NoSpacing"/>
            </w:pPr>
            <w:r>
              <w:t>Aged Parent (Residence) (Class </w:t>
            </w:r>
            <w:r w:rsidRPr="00066012">
              <w:t>BP)</w:t>
            </w:r>
          </w:p>
        </w:tc>
        <w:tc>
          <w:tcPr>
            <w:tcW w:w="2409" w:type="dxa"/>
            <w:vMerge w:val="restart"/>
          </w:tcPr>
          <w:p w14:paraId="7F9C2AD7" w14:textId="77777777" w:rsidR="00975108" w:rsidRPr="00DC19F1" w:rsidRDefault="00975108" w:rsidP="000E3C74">
            <w:pPr>
              <w:pStyle w:val="NoSpacing"/>
            </w:pPr>
            <w:r>
              <w:t xml:space="preserve">Subclass 804 </w:t>
            </w:r>
            <w:r w:rsidRPr="00066012">
              <w:t>(Aged Parent)</w:t>
            </w:r>
            <w:r>
              <w:t xml:space="preserve"> visa</w:t>
            </w:r>
          </w:p>
        </w:tc>
        <w:tc>
          <w:tcPr>
            <w:tcW w:w="2410" w:type="dxa"/>
          </w:tcPr>
          <w:p w14:paraId="252482DA" w14:textId="77777777" w:rsidR="00975108" w:rsidRPr="00DC19F1" w:rsidRDefault="00975108" w:rsidP="000E3C74">
            <w:pPr>
              <w:pStyle w:val="NoSpacing"/>
            </w:pPr>
            <w:r w:rsidRPr="0087203D">
              <w:t>Paragraph 1124</w:t>
            </w:r>
            <w:r>
              <w:t>A</w:t>
            </w:r>
            <w:r w:rsidRPr="0087203D">
              <w:t xml:space="preserve"> (2) (a) table item 1</w:t>
            </w:r>
          </w:p>
        </w:tc>
        <w:tc>
          <w:tcPr>
            <w:tcW w:w="1843" w:type="dxa"/>
          </w:tcPr>
          <w:p w14:paraId="04BCABB5" w14:textId="77777777" w:rsidR="00975108" w:rsidRPr="00DC19F1" w:rsidRDefault="00975108" w:rsidP="000E3C74">
            <w:pPr>
              <w:pStyle w:val="NoSpacing"/>
              <w:jc w:val="center"/>
            </w:pPr>
            <w:r w:rsidRPr="0087203D">
              <w:t>$</w:t>
            </w:r>
            <w:r>
              <w:t>3 520</w:t>
            </w:r>
          </w:p>
        </w:tc>
        <w:tc>
          <w:tcPr>
            <w:tcW w:w="1559" w:type="dxa"/>
          </w:tcPr>
          <w:p w14:paraId="5513EF4E" w14:textId="77777777" w:rsidR="00975108" w:rsidRPr="00DC19F1" w:rsidRDefault="00975108" w:rsidP="000E3C74">
            <w:pPr>
              <w:pStyle w:val="NoSpacing"/>
              <w:jc w:val="center"/>
            </w:pPr>
            <w:r w:rsidRPr="0087203D">
              <w:t>$</w:t>
            </w:r>
            <w:r>
              <w:t>3 87</w:t>
            </w:r>
            <w:r w:rsidRPr="0087203D">
              <w:t>0</w:t>
            </w:r>
          </w:p>
        </w:tc>
      </w:tr>
      <w:tr w:rsidR="00975108" w:rsidRPr="00DC19F1" w14:paraId="1C445214" w14:textId="77777777" w:rsidTr="00D40FE0">
        <w:tc>
          <w:tcPr>
            <w:tcW w:w="2411" w:type="dxa"/>
            <w:vMerge/>
          </w:tcPr>
          <w:p w14:paraId="709E2A76" w14:textId="77777777" w:rsidR="00975108" w:rsidRPr="00DC19F1" w:rsidRDefault="00975108" w:rsidP="000E3C74">
            <w:pPr>
              <w:pStyle w:val="NoSpacing"/>
            </w:pPr>
          </w:p>
        </w:tc>
        <w:tc>
          <w:tcPr>
            <w:tcW w:w="2409" w:type="dxa"/>
            <w:vMerge/>
          </w:tcPr>
          <w:p w14:paraId="7ECFD6FE" w14:textId="77777777" w:rsidR="00975108" w:rsidRPr="00DC19F1" w:rsidRDefault="00975108" w:rsidP="000E3C74">
            <w:pPr>
              <w:pStyle w:val="NoSpacing"/>
            </w:pPr>
          </w:p>
        </w:tc>
        <w:tc>
          <w:tcPr>
            <w:tcW w:w="2410" w:type="dxa"/>
          </w:tcPr>
          <w:p w14:paraId="0677BE4C" w14:textId="77777777" w:rsidR="00975108" w:rsidRPr="00DC19F1" w:rsidRDefault="00975108" w:rsidP="000E3C74">
            <w:pPr>
              <w:pStyle w:val="NoSpacing"/>
            </w:pPr>
            <w:r w:rsidRPr="0087203D">
              <w:t>Paragraph 1124</w:t>
            </w:r>
            <w:r>
              <w:t>A</w:t>
            </w:r>
            <w:r w:rsidRPr="0087203D">
              <w:t xml:space="preserve"> (2) (a) table item 2</w:t>
            </w:r>
          </w:p>
        </w:tc>
        <w:tc>
          <w:tcPr>
            <w:tcW w:w="1843" w:type="dxa"/>
          </w:tcPr>
          <w:p w14:paraId="3ACC0C01" w14:textId="77777777" w:rsidR="00975108" w:rsidRPr="00DC19F1" w:rsidRDefault="00975108" w:rsidP="000E3C74">
            <w:pPr>
              <w:pStyle w:val="NoSpacing"/>
              <w:jc w:val="center"/>
            </w:pPr>
            <w:r>
              <w:t>$1 760</w:t>
            </w:r>
          </w:p>
        </w:tc>
        <w:tc>
          <w:tcPr>
            <w:tcW w:w="1559" w:type="dxa"/>
          </w:tcPr>
          <w:p w14:paraId="40F54427" w14:textId="77777777" w:rsidR="00975108" w:rsidRPr="00DC19F1" w:rsidRDefault="00975108" w:rsidP="000E3C74">
            <w:pPr>
              <w:pStyle w:val="NoSpacing"/>
              <w:jc w:val="center"/>
            </w:pPr>
            <w:r>
              <w:t>$1 935</w:t>
            </w:r>
          </w:p>
        </w:tc>
      </w:tr>
      <w:tr w:rsidR="00975108" w:rsidRPr="00DC19F1" w14:paraId="34DCF55B" w14:textId="77777777" w:rsidTr="00D40FE0">
        <w:tc>
          <w:tcPr>
            <w:tcW w:w="2411" w:type="dxa"/>
            <w:vMerge/>
          </w:tcPr>
          <w:p w14:paraId="040D8ECE" w14:textId="77777777" w:rsidR="00975108" w:rsidRPr="00DC19F1" w:rsidRDefault="00975108" w:rsidP="000E3C74">
            <w:pPr>
              <w:pStyle w:val="NoSpacing"/>
            </w:pPr>
          </w:p>
        </w:tc>
        <w:tc>
          <w:tcPr>
            <w:tcW w:w="2409" w:type="dxa"/>
            <w:vMerge/>
          </w:tcPr>
          <w:p w14:paraId="172C1788" w14:textId="77777777" w:rsidR="00975108" w:rsidRPr="00DC19F1" w:rsidRDefault="00975108" w:rsidP="000E3C74">
            <w:pPr>
              <w:pStyle w:val="NoSpacing"/>
            </w:pPr>
          </w:p>
        </w:tc>
        <w:tc>
          <w:tcPr>
            <w:tcW w:w="2410" w:type="dxa"/>
          </w:tcPr>
          <w:p w14:paraId="118F73B5" w14:textId="77777777" w:rsidR="00975108" w:rsidRPr="00DC19F1" w:rsidRDefault="00975108" w:rsidP="000E3C74">
            <w:pPr>
              <w:pStyle w:val="NoSpacing"/>
            </w:pPr>
            <w:r w:rsidRPr="0087203D">
              <w:t>Paragraph 1124</w:t>
            </w:r>
            <w:r>
              <w:t>A</w:t>
            </w:r>
            <w:r w:rsidRPr="0087203D">
              <w:t xml:space="preserve"> (2) (a) table item </w:t>
            </w:r>
            <w:r>
              <w:t>3</w:t>
            </w:r>
          </w:p>
        </w:tc>
        <w:tc>
          <w:tcPr>
            <w:tcW w:w="1843" w:type="dxa"/>
          </w:tcPr>
          <w:p w14:paraId="47569C2D" w14:textId="77777777" w:rsidR="00975108" w:rsidRPr="00DC19F1" w:rsidRDefault="00975108" w:rsidP="000E3C74">
            <w:pPr>
              <w:pStyle w:val="NoSpacing"/>
              <w:jc w:val="center"/>
            </w:pPr>
            <w:r>
              <w:t>$880</w:t>
            </w:r>
          </w:p>
        </w:tc>
        <w:tc>
          <w:tcPr>
            <w:tcW w:w="1559" w:type="dxa"/>
          </w:tcPr>
          <w:p w14:paraId="60B257BE" w14:textId="77777777" w:rsidR="00975108" w:rsidRPr="00DC19F1" w:rsidRDefault="00975108" w:rsidP="000E3C74">
            <w:pPr>
              <w:pStyle w:val="NoSpacing"/>
              <w:jc w:val="center"/>
            </w:pPr>
            <w:r>
              <w:t>$970</w:t>
            </w:r>
          </w:p>
        </w:tc>
      </w:tr>
      <w:tr w:rsidR="00975108" w:rsidRPr="00DC19F1" w14:paraId="1A95E247" w14:textId="77777777" w:rsidTr="00D40FE0">
        <w:trPr>
          <w:trHeight w:val="848"/>
        </w:trPr>
        <w:tc>
          <w:tcPr>
            <w:tcW w:w="2411" w:type="dxa"/>
          </w:tcPr>
          <w:p w14:paraId="1BBD7C07" w14:textId="77777777" w:rsidR="00975108" w:rsidRPr="00DC19F1" w:rsidRDefault="00975108" w:rsidP="000E3C74">
            <w:pPr>
              <w:pStyle w:val="NoSpacing"/>
            </w:pPr>
            <w:r w:rsidRPr="00066012">
              <w:lastRenderedPageBreak/>
              <w:t>Return (Residence) (Class BB)</w:t>
            </w:r>
          </w:p>
        </w:tc>
        <w:tc>
          <w:tcPr>
            <w:tcW w:w="2409" w:type="dxa"/>
          </w:tcPr>
          <w:p w14:paraId="4F4BD576" w14:textId="77777777" w:rsidR="00975108" w:rsidRPr="00DC19F1" w:rsidRDefault="00975108" w:rsidP="000E3C74">
            <w:pPr>
              <w:pStyle w:val="NoSpacing"/>
            </w:pPr>
            <w:r>
              <w:t>Subclass 155 (Five Year Resident Return) visa and Subclass 157 (Three Month Resident Return) visa</w:t>
            </w:r>
          </w:p>
        </w:tc>
        <w:tc>
          <w:tcPr>
            <w:tcW w:w="2410" w:type="dxa"/>
          </w:tcPr>
          <w:p w14:paraId="2B48DD32" w14:textId="77777777" w:rsidR="00975108" w:rsidRPr="00DC19F1" w:rsidRDefault="00975108" w:rsidP="000E3C74">
            <w:pPr>
              <w:pStyle w:val="NoSpacing"/>
            </w:pPr>
            <w:r w:rsidRPr="006A4DD5">
              <w:t>Paragraph 1128 (2) (a)</w:t>
            </w:r>
          </w:p>
        </w:tc>
        <w:tc>
          <w:tcPr>
            <w:tcW w:w="1843" w:type="dxa"/>
          </w:tcPr>
          <w:p w14:paraId="255A8C06" w14:textId="77777777" w:rsidR="00975108" w:rsidRPr="00DC19F1" w:rsidRDefault="00975108" w:rsidP="000E3C74">
            <w:pPr>
              <w:pStyle w:val="NoSpacing"/>
              <w:jc w:val="center"/>
            </w:pPr>
            <w:r w:rsidRPr="006A4DD5">
              <w:t>$345</w:t>
            </w:r>
          </w:p>
        </w:tc>
        <w:tc>
          <w:tcPr>
            <w:tcW w:w="1559" w:type="dxa"/>
          </w:tcPr>
          <w:p w14:paraId="1DBA9940" w14:textId="77777777" w:rsidR="00975108" w:rsidRPr="00DC19F1" w:rsidRDefault="00975108" w:rsidP="000E3C74">
            <w:pPr>
              <w:pStyle w:val="NoSpacing"/>
              <w:jc w:val="center"/>
            </w:pPr>
            <w:r>
              <w:t>360</w:t>
            </w:r>
          </w:p>
        </w:tc>
      </w:tr>
      <w:tr w:rsidR="00975108" w:rsidRPr="00DC19F1" w14:paraId="1511917C" w14:textId="77777777" w:rsidTr="00D40FE0">
        <w:tc>
          <w:tcPr>
            <w:tcW w:w="2411" w:type="dxa"/>
            <w:vMerge w:val="restart"/>
          </w:tcPr>
          <w:p w14:paraId="03166FD9" w14:textId="77777777" w:rsidR="00975108" w:rsidRPr="00DC19F1" w:rsidRDefault="00975108" w:rsidP="000E3C74">
            <w:pPr>
              <w:pStyle w:val="NoSpacing"/>
            </w:pPr>
            <w:r w:rsidRPr="00066012">
              <w:t>Partner (Migrant) (Class BC)</w:t>
            </w:r>
          </w:p>
        </w:tc>
        <w:tc>
          <w:tcPr>
            <w:tcW w:w="2409" w:type="dxa"/>
            <w:vMerge w:val="restart"/>
          </w:tcPr>
          <w:p w14:paraId="0ECD9833" w14:textId="77777777" w:rsidR="00975108" w:rsidRPr="00DC19F1" w:rsidRDefault="00975108" w:rsidP="000E3C74">
            <w:pPr>
              <w:pStyle w:val="NoSpacing"/>
            </w:pPr>
            <w:r>
              <w:t>Subclass 1</w:t>
            </w:r>
            <w:r w:rsidRPr="00066012">
              <w:t>00 (Partner)</w:t>
            </w:r>
            <w:r>
              <w:t xml:space="preserve"> visa</w:t>
            </w:r>
          </w:p>
        </w:tc>
        <w:tc>
          <w:tcPr>
            <w:tcW w:w="2410" w:type="dxa"/>
          </w:tcPr>
          <w:p w14:paraId="00549122" w14:textId="77777777" w:rsidR="00975108" w:rsidRPr="00DC19F1" w:rsidRDefault="00975108" w:rsidP="000E3C74">
            <w:pPr>
              <w:pStyle w:val="NoSpacing"/>
            </w:pPr>
            <w:r w:rsidRPr="00FF00A6">
              <w:t>Subparagraph 1129 (2) (a) (ii) table item 1</w:t>
            </w:r>
          </w:p>
        </w:tc>
        <w:tc>
          <w:tcPr>
            <w:tcW w:w="1843" w:type="dxa"/>
          </w:tcPr>
          <w:p w14:paraId="47507D19" w14:textId="77777777" w:rsidR="00975108" w:rsidRPr="00DC19F1" w:rsidRDefault="00975108" w:rsidP="000E3C74">
            <w:pPr>
              <w:pStyle w:val="NoSpacing"/>
              <w:jc w:val="center"/>
            </w:pPr>
            <w:r w:rsidRPr="00FF00A6">
              <w:t>$4 630</w:t>
            </w:r>
          </w:p>
        </w:tc>
        <w:tc>
          <w:tcPr>
            <w:tcW w:w="1559" w:type="dxa"/>
          </w:tcPr>
          <w:p w14:paraId="75DC0750" w14:textId="77777777" w:rsidR="00975108" w:rsidRPr="00DC19F1" w:rsidRDefault="00975108" w:rsidP="000E3C74">
            <w:pPr>
              <w:pStyle w:val="NoSpacing"/>
              <w:jc w:val="center"/>
            </w:pPr>
            <w:r w:rsidRPr="00FF00A6">
              <w:t>$6 865</w:t>
            </w:r>
          </w:p>
        </w:tc>
      </w:tr>
      <w:tr w:rsidR="00975108" w:rsidRPr="00DC19F1" w14:paraId="28596FB3" w14:textId="77777777" w:rsidTr="00D40FE0">
        <w:tc>
          <w:tcPr>
            <w:tcW w:w="2411" w:type="dxa"/>
            <w:vMerge/>
          </w:tcPr>
          <w:p w14:paraId="5E06FA9E" w14:textId="77777777" w:rsidR="00975108" w:rsidRPr="00DC19F1" w:rsidRDefault="00975108" w:rsidP="000E3C74">
            <w:pPr>
              <w:pStyle w:val="NoSpacing"/>
            </w:pPr>
          </w:p>
        </w:tc>
        <w:tc>
          <w:tcPr>
            <w:tcW w:w="2409" w:type="dxa"/>
            <w:vMerge/>
          </w:tcPr>
          <w:p w14:paraId="4CC95E8F" w14:textId="77777777" w:rsidR="00975108" w:rsidRPr="00DC19F1" w:rsidRDefault="00975108" w:rsidP="000E3C74">
            <w:pPr>
              <w:pStyle w:val="NoSpacing"/>
            </w:pPr>
          </w:p>
        </w:tc>
        <w:tc>
          <w:tcPr>
            <w:tcW w:w="2410" w:type="dxa"/>
          </w:tcPr>
          <w:p w14:paraId="643D61A6" w14:textId="77777777" w:rsidR="00975108" w:rsidRPr="00DC19F1" w:rsidRDefault="00975108" w:rsidP="000E3C74">
            <w:pPr>
              <w:pStyle w:val="NoSpacing"/>
            </w:pPr>
            <w:r w:rsidRPr="00FF00A6">
              <w:t>Subparagraph 1129 (2) (a) (ii) table item 2</w:t>
            </w:r>
          </w:p>
        </w:tc>
        <w:tc>
          <w:tcPr>
            <w:tcW w:w="1843" w:type="dxa"/>
          </w:tcPr>
          <w:p w14:paraId="21D80502" w14:textId="77777777" w:rsidR="00975108" w:rsidRPr="00DC19F1" w:rsidRDefault="00975108" w:rsidP="000E3C74">
            <w:pPr>
              <w:pStyle w:val="NoSpacing"/>
              <w:jc w:val="center"/>
            </w:pPr>
            <w:r w:rsidRPr="00FF00A6">
              <w:t>$2 320</w:t>
            </w:r>
          </w:p>
        </w:tc>
        <w:tc>
          <w:tcPr>
            <w:tcW w:w="1559" w:type="dxa"/>
          </w:tcPr>
          <w:p w14:paraId="7744E02F" w14:textId="77777777" w:rsidR="00975108" w:rsidRPr="00DC19F1" w:rsidRDefault="00975108" w:rsidP="000E3C74">
            <w:pPr>
              <w:pStyle w:val="NoSpacing"/>
              <w:jc w:val="center"/>
            </w:pPr>
            <w:r w:rsidRPr="00FF00A6">
              <w:t>$3 435</w:t>
            </w:r>
          </w:p>
        </w:tc>
      </w:tr>
      <w:tr w:rsidR="00975108" w:rsidRPr="00DC19F1" w14:paraId="0230011C" w14:textId="77777777" w:rsidTr="00D40FE0">
        <w:tc>
          <w:tcPr>
            <w:tcW w:w="2411" w:type="dxa"/>
            <w:vMerge/>
          </w:tcPr>
          <w:p w14:paraId="0A1EECFD" w14:textId="77777777" w:rsidR="00975108" w:rsidRPr="00DC19F1" w:rsidRDefault="00975108" w:rsidP="000E3C74">
            <w:pPr>
              <w:pStyle w:val="NoSpacing"/>
            </w:pPr>
          </w:p>
        </w:tc>
        <w:tc>
          <w:tcPr>
            <w:tcW w:w="2409" w:type="dxa"/>
            <w:vMerge/>
          </w:tcPr>
          <w:p w14:paraId="5F7659E9" w14:textId="77777777" w:rsidR="00975108" w:rsidRPr="00DC19F1" w:rsidRDefault="00975108" w:rsidP="000E3C74">
            <w:pPr>
              <w:pStyle w:val="NoSpacing"/>
            </w:pPr>
          </w:p>
        </w:tc>
        <w:tc>
          <w:tcPr>
            <w:tcW w:w="2410" w:type="dxa"/>
          </w:tcPr>
          <w:p w14:paraId="5A641BBB" w14:textId="77777777" w:rsidR="00975108" w:rsidRPr="00DC19F1" w:rsidRDefault="00975108" w:rsidP="000E3C74">
            <w:pPr>
              <w:pStyle w:val="NoSpacing"/>
            </w:pPr>
            <w:r w:rsidRPr="00FF00A6">
              <w:t>Subparagraph 1129 (2) (a) (ii) table item 3</w:t>
            </w:r>
          </w:p>
        </w:tc>
        <w:tc>
          <w:tcPr>
            <w:tcW w:w="1843" w:type="dxa"/>
          </w:tcPr>
          <w:p w14:paraId="4D88B7D7" w14:textId="77777777" w:rsidR="00975108" w:rsidRPr="00DC19F1" w:rsidRDefault="00975108" w:rsidP="000E3C74">
            <w:pPr>
              <w:pStyle w:val="NoSpacing"/>
              <w:jc w:val="center"/>
            </w:pPr>
            <w:r w:rsidRPr="00FF00A6">
              <w:t>$1 155</w:t>
            </w:r>
          </w:p>
        </w:tc>
        <w:tc>
          <w:tcPr>
            <w:tcW w:w="1559" w:type="dxa"/>
          </w:tcPr>
          <w:p w14:paraId="110183F5" w14:textId="77777777" w:rsidR="00975108" w:rsidRPr="00DC19F1" w:rsidRDefault="00975108" w:rsidP="000E3C74">
            <w:pPr>
              <w:pStyle w:val="NoSpacing"/>
              <w:jc w:val="center"/>
            </w:pPr>
            <w:r w:rsidRPr="00FF00A6">
              <w:t>$1 720</w:t>
            </w:r>
          </w:p>
        </w:tc>
      </w:tr>
      <w:tr w:rsidR="00975108" w:rsidRPr="00DC19F1" w14:paraId="2C7A55A4" w14:textId="77777777" w:rsidTr="00D40FE0">
        <w:tc>
          <w:tcPr>
            <w:tcW w:w="2411" w:type="dxa"/>
            <w:vMerge w:val="restart"/>
          </w:tcPr>
          <w:p w14:paraId="06A73E02" w14:textId="77777777" w:rsidR="00975108" w:rsidRPr="00DC19F1" w:rsidRDefault="00975108" w:rsidP="000E3C74">
            <w:pPr>
              <w:pStyle w:val="NoSpacing"/>
            </w:pPr>
            <w:r w:rsidRPr="00796CD4">
              <w:t>Contributory Parent (Migrant) (Class CA)</w:t>
            </w:r>
          </w:p>
        </w:tc>
        <w:tc>
          <w:tcPr>
            <w:tcW w:w="2409" w:type="dxa"/>
            <w:vMerge w:val="restart"/>
          </w:tcPr>
          <w:p w14:paraId="2A09DDD1" w14:textId="5ACFF6DB" w:rsidR="00975108" w:rsidRPr="00DC19F1" w:rsidRDefault="00975108" w:rsidP="009B689A">
            <w:pPr>
              <w:pStyle w:val="NoSpacing"/>
            </w:pPr>
            <w:r>
              <w:t xml:space="preserve">Subclass </w:t>
            </w:r>
            <w:r w:rsidRPr="00796CD4">
              <w:t>143 (Contributory Parent)</w:t>
            </w:r>
            <w:r>
              <w:t xml:space="preserve"> visa</w:t>
            </w:r>
          </w:p>
        </w:tc>
        <w:tc>
          <w:tcPr>
            <w:tcW w:w="2410" w:type="dxa"/>
          </w:tcPr>
          <w:p w14:paraId="578F6FAB" w14:textId="77777777" w:rsidR="00975108" w:rsidRPr="00DC19F1" w:rsidRDefault="00975108" w:rsidP="000E3C74">
            <w:pPr>
              <w:pStyle w:val="NoSpacing"/>
            </w:pPr>
            <w:r w:rsidRPr="00586814">
              <w:t>Subparagraph 1130 (2) (a) (</w:t>
            </w:r>
            <w:r>
              <w:t>v</w:t>
            </w:r>
            <w:r w:rsidRPr="00586814">
              <w:t>i)</w:t>
            </w:r>
            <w:r>
              <w:t xml:space="preserve"> table item 1</w:t>
            </w:r>
          </w:p>
        </w:tc>
        <w:tc>
          <w:tcPr>
            <w:tcW w:w="1843" w:type="dxa"/>
          </w:tcPr>
          <w:p w14:paraId="34BBDDAC" w14:textId="77777777" w:rsidR="00975108" w:rsidRPr="00DC19F1" w:rsidRDefault="00975108" w:rsidP="000E3C74">
            <w:pPr>
              <w:pStyle w:val="NoSpacing"/>
              <w:jc w:val="center"/>
            </w:pPr>
            <w:r>
              <w:t>$3 52</w:t>
            </w:r>
            <w:r w:rsidRPr="00586814">
              <w:t>0</w:t>
            </w:r>
          </w:p>
        </w:tc>
        <w:tc>
          <w:tcPr>
            <w:tcW w:w="1559" w:type="dxa"/>
          </w:tcPr>
          <w:p w14:paraId="2633CE34" w14:textId="77777777" w:rsidR="00975108" w:rsidRPr="00DC19F1" w:rsidRDefault="00975108" w:rsidP="000E3C74">
            <w:pPr>
              <w:pStyle w:val="NoSpacing"/>
              <w:jc w:val="center"/>
            </w:pPr>
            <w:r w:rsidRPr="00586814">
              <w:t>$</w:t>
            </w:r>
            <w:r>
              <w:t>3 695</w:t>
            </w:r>
          </w:p>
        </w:tc>
      </w:tr>
      <w:tr w:rsidR="00975108" w:rsidRPr="00DC19F1" w14:paraId="5826C832" w14:textId="77777777" w:rsidTr="00D40FE0">
        <w:tc>
          <w:tcPr>
            <w:tcW w:w="2411" w:type="dxa"/>
            <w:vMerge/>
          </w:tcPr>
          <w:p w14:paraId="6C34499F" w14:textId="77777777" w:rsidR="00975108" w:rsidRPr="00DC19F1" w:rsidRDefault="00975108" w:rsidP="000E3C74">
            <w:pPr>
              <w:pStyle w:val="NoSpacing"/>
            </w:pPr>
          </w:p>
        </w:tc>
        <w:tc>
          <w:tcPr>
            <w:tcW w:w="2409" w:type="dxa"/>
            <w:vMerge/>
          </w:tcPr>
          <w:p w14:paraId="2CF938D2" w14:textId="77777777" w:rsidR="00975108" w:rsidRPr="00DC19F1" w:rsidRDefault="00975108" w:rsidP="000E3C74">
            <w:pPr>
              <w:pStyle w:val="NoSpacing"/>
            </w:pPr>
          </w:p>
        </w:tc>
        <w:tc>
          <w:tcPr>
            <w:tcW w:w="2410" w:type="dxa"/>
          </w:tcPr>
          <w:p w14:paraId="7005A508" w14:textId="77777777" w:rsidR="00975108" w:rsidRPr="00DC19F1" w:rsidRDefault="00975108" w:rsidP="000E3C74">
            <w:pPr>
              <w:pStyle w:val="NoSpacing"/>
            </w:pPr>
            <w:r>
              <w:t>Subparagraph 1130 (2) (a) (vi</w:t>
            </w:r>
            <w:r w:rsidRPr="00586814">
              <w:t>)</w:t>
            </w:r>
            <w:r>
              <w:t xml:space="preserve"> table item 2</w:t>
            </w:r>
          </w:p>
        </w:tc>
        <w:tc>
          <w:tcPr>
            <w:tcW w:w="1843" w:type="dxa"/>
          </w:tcPr>
          <w:p w14:paraId="23990E75" w14:textId="77777777" w:rsidR="00975108" w:rsidRPr="00DC19F1" w:rsidRDefault="00975108" w:rsidP="000E3C74">
            <w:pPr>
              <w:pStyle w:val="NoSpacing"/>
              <w:jc w:val="center"/>
            </w:pPr>
            <w:r w:rsidRPr="00586814">
              <w:t>$</w:t>
            </w:r>
            <w:r>
              <w:t>1 185</w:t>
            </w:r>
          </w:p>
        </w:tc>
        <w:tc>
          <w:tcPr>
            <w:tcW w:w="1559" w:type="dxa"/>
          </w:tcPr>
          <w:p w14:paraId="41CC5D5E" w14:textId="77777777" w:rsidR="00975108" w:rsidRPr="00DC19F1" w:rsidRDefault="00975108" w:rsidP="000E3C74">
            <w:pPr>
              <w:pStyle w:val="NoSpacing"/>
              <w:jc w:val="center"/>
            </w:pPr>
            <w:r w:rsidRPr="00586814">
              <w:t>$</w:t>
            </w:r>
            <w:r>
              <w:t>1 245</w:t>
            </w:r>
          </w:p>
        </w:tc>
      </w:tr>
      <w:tr w:rsidR="00975108" w:rsidRPr="00DC19F1" w14:paraId="0ECE0850" w14:textId="77777777" w:rsidTr="00D40FE0">
        <w:tc>
          <w:tcPr>
            <w:tcW w:w="2411" w:type="dxa"/>
            <w:vMerge/>
            <w:tcBorders>
              <w:bottom w:val="single" w:sz="4" w:space="0" w:color="auto"/>
            </w:tcBorders>
          </w:tcPr>
          <w:p w14:paraId="62DB1954" w14:textId="77777777" w:rsidR="00975108" w:rsidRPr="00DC19F1" w:rsidRDefault="00975108" w:rsidP="000E3C74">
            <w:pPr>
              <w:pStyle w:val="NoSpacing"/>
            </w:pPr>
          </w:p>
        </w:tc>
        <w:tc>
          <w:tcPr>
            <w:tcW w:w="2409" w:type="dxa"/>
            <w:vMerge/>
            <w:tcBorders>
              <w:bottom w:val="single" w:sz="4" w:space="0" w:color="auto"/>
            </w:tcBorders>
          </w:tcPr>
          <w:p w14:paraId="0A678C54" w14:textId="77777777" w:rsidR="00975108" w:rsidRPr="00DC19F1" w:rsidRDefault="00975108" w:rsidP="000E3C74">
            <w:pPr>
              <w:pStyle w:val="NoSpacing"/>
            </w:pPr>
          </w:p>
        </w:tc>
        <w:tc>
          <w:tcPr>
            <w:tcW w:w="2410" w:type="dxa"/>
            <w:tcBorders>
              <w:bottom w:val="single" w:sz="4" w:space="0" w:color="auto"/>
            </w:tcBorders>
          </w:tcPr>
          <w:p w14:paraId="417F19B4" w14:textId="77777777" w:rsidR="00975108" w:rsidRPr="00DC19F1" w:rsidRDefault="00975108" w:rsidP="000E3C74">
            <w:pPr>
              <w:pStyle w:val="NoSpacing"/>
            </w:pPr>
            <w:r w:rsidRPr="00586814">
              <w:t>Subparagraph 113</w:t>
            </w:r>
            <w:r>
              <w:t>0 (2) (a) (vi</w:t>
            </w:r>
            <w:r w:rsidRPr="00586814">
              <w:t>)</w:t>
            </w:r>
            <w:r>
              <w:t xml:space="preserve"> table item 3</w:t>
            </w:r>
          </w:p>
        </w:tc>
        <w:tc>
          <w:tcPr>
            <w:tcW w:w="1843" w:type="dxa"/>
            <w:tcBorders>
              <w:bottom w:val="single" w:sz="4" w:space="0" w:color="auto"/>
            </w:tcBorders>
          </w:tcPr>
          <w:p w14:paraId="4409E828" w14:textId="77777777" w:rsidR="00975108" w:rsidRPr="00DC19F1" w:rsidRDefault="00975108" w:rsidP="000E3C74">
            <w:pPr>
              <w:pStyle w:val="NoSpacing"/>
              <w:jc w:val="center"/>
            </w:pPr>
            <w:r w:rsidRPr="00586814">
              <w:t>$</w:t>
            </w:r>
            <w:r>
              <w:t>595</w:t>
            </w:r>
          </w:p>
        </w:tc>
        <w:tc>
          <w:tcPr>
            <w:tcW w:w="1559" w:type="dxa"/>
            <w:tcBorders>
              <w:bottom w:val="single" w:sz="4" w:space="0" w:color="auto"/>
            </w:tcBorders>
          </w:tcPr>
          <w:p w14:paraId="4B1C113C" w14:textId="77777777" w:rsidR="00975108" w:rsidRPr="00DC19F1" w:rsidRDefault="00975108" w:rsidP="000E3C74">
            <w:pPr>
              <w:pStyle w:val="NoSpacing"/>
              <w:jc w:val="center"/>
            </w:pPr>
            <w:r>
              <w:t>$</w:t>
            </w:r>
            <w:r w:rsidRPr="00586814">
              <w:t>6</w:t>
            </w:r>
            <w:r>
              <w:t>25</w:t>
            </w:r>
          </w:p>
        </w:tc>
      </w:tr>
      <w:tr w:rsidR="00975108" w:rsidRPr="00DC19F1" w14:paraId="5D5DB3BB" w14:textId="77777777" w:rsidTr="00D40FE0">
        <w:tc>
          <w:tcPr>
            <w:tcW w:w="2411" w:type="dxa"/>
            <w:vMerge w:val="restart"/>
          </w:tcPr>
          <w:p w14:paraId="11218C8E" w14:textId="77777777" w:rsidR="00975108" w:rsidRPr="00DC19F1" w:rsidRDefault="00975108" w:rsidP="000E3C74">
            <w:pPr>
              <w:pStyle w:val="NoSpacing"/>
            </w:pPr>
            <w:r w:rsidRPr="00796CD4">
              <w:t>Contributory Aged Parent (Residence) (Class DG)</w:t>
            </w:r>
          </w:p>
        </w:tc>
        <w:tc>
          <w:tcPr>
            <w:tcW w:w="2409" w:type="dxa"/>
            <w:vMerge w:val="restart"/>
          </w:tcPr>
          <w:p w14:paraId="4F19CC7F" w14:textId="77777777" w:rsidR="00975108" w:rsidRPr="00DC19F1" w:rsidRDefault="00975108" w:rsidP="000E3C74">
            <w:pPr>
              <w:pStyle w:val="NoSpacing"/>
            </w:pPr>
            <w:r>
              <w:t xml:space="preserve">Subclass </w:t>
            </w:r>
            <w:r w:rsidRPr="00796CD4">
              <w:t>864 (Contributory Aged Parent)</w:t>
            </w:r>
            <w:r>
              <w:t xml:space="preserve"> visa</w:t>
            </w:r>
          </w:p>
        </w:tc>
        <w:tc>
          <w:tcPr>
            <w:tcW w:w="2410" w:type="dxa"/>
          </w:tcPr>
          <w:p w14:paraId="2BC704B9" w14:textId="77777777" w:rsidR="00975108" w:rsidRPr="00DC19F1" w:rsidRDefault="00975108" w:rsidP="000E3C74">
            <w:pPr>
              <w:pStyle w:val="NoSpacing"/>
            </w:pPr>
            <w:r w:rsidRPr="00F334F6">
              <w:t>Subparagraph 1130A (2) (a) (v) table item 1</w:t>
            </w:r>
          </w:p>
        </w:tc>
        <w:tc>
          <w:tcPr>
            <w:tcW w:w="1843" w:type="dxa"/>
          </w:tcPr>
          <w:p w14:paraId="0D0CE5DB" w14:textId="77777777" w:rsidR="00975108" w:rsidRPr="00DC19F1" w:rsidRDefault="00975108" w:rsidP="000E3C74">
            <w:pPr>
              <w:pStyle w:val="NoSpacing"/>
              <w:jc w:val="center"/>
            </w:pPr>
            <w:r w:rsidRPr="00F334F6">
              <w:t>$3 520</w:t>
            </w:r>
          </w:p>
        </w:tc>
        <w:tc>
          <w:tcPr>
            <w:tcW w:w="1559" w:type="dxa"/>
          </w:tcPr>
          <w:p w14:paraId="42DAC253" w14:textId="77777777" w:rsidR="00975108" w:rsidRPr="00DC19F1" w:rsidRDefault="00975108" w:rsidP="000E3C74">
            <w:pPr>
              <w:pStyle w:val="NoSpacing"/>
              <w:jc w:val="center"/>
            </w:pPr>
            <w:r w:rsidRPr="00F334F6">
              <w:t>$3 695</w:t>
            </w:r>
          </w:p>
        </w:tc>
      </w:tr>
      <w:tr w:rsidR="00975108" w:rsidRPr="00DC19F1" w14:paraId="5F98AA88" w14:textId="77777777" w:rsidTr="00D40FE0">
        <w:tc>
          <w:tcPr>
            <w:tcW w:w="2411" w:type="dxa"/>
            <w:vMerge/>
          </w:tcPr>
          <w:p w14:paraId="6EC4F502" w14:textId="77777777" w:rsidR="00975108" w:rsidRPr="00DC19F1" w:rsidRDefault="00975108" w:rsidP="000E3C74">
            <w:pPr>
              <w:pStyle w:val="NoSpacing"/>
            </w:pPr>
          </w:p>
        </w:tc>
        <w:tc>
          <w:tcPr>
            <w:tcW w:w="2409" w:type="dxa"/>
            <w:vMerge/>
          </w:tcPr>
          <w:p w14:paraId="14F83308" w14:textId="77777777" w:rsidR="00975108" w:rsidRPr="00DC19F1" w:rsidRDefault="00975108" w:rsidP="000E3C74">
            <w:pPr>
              <w:pStyle w:val="NoSpacing"/>
            </w:pPr>
          </w:p>
        </w:tc>
        <w:tc>
          <w:tcPr>
            <w:tcW w:w="2410" w:type="dxa"/>
          </w:tcPr>
          <w:p w14:paraId="10CA8390" w14:textId="77777777" w:rsidR="00975108" w:rsidRPr="00DC19F1" w:rsidRDefault="00975108" w:rsidP="000E3C74">
            <w:pPr>
              <w:pStyle w:val="NoSpacing"/>
            </w:pPr>
            <w:r w:rsidRPr="00F334F6">
              <w:t>Subparagraph 1130A (2) (a) (v) table item 2</w:t>
            </w:r>
          </w:p>
        </w:tc>
        <w:tc>
          <w:tcPr>
            <w:tcW w:w="1843" w:type="dxa"/>
          </w:tcPr>
          <w:p w14:paraId="4425F3FE" w14:textId="77777777" w:rsidR="00975108" w:rsidRPr="00DC19F1" w:rsidRDefault="00975108" w:rsidP="000E3C74">
            <w:pPr>
              <w:pStyle w:val="NoSpacing"/>
              <w:jc w:val="center"/>
            </w:pPr>
            <w:r w:rsidRPr="00F334F6">
              <w:t>$1 760</w:t>
            </w:r>
          </w:p>
        </w:tc>
        <w:tc>
          <w:tcPr>
            <w:tcW w:w="1559" w:type="dxa"/>
          </w:tcPr>
          <w:p w14:paraId="7F0E3874" w14:textId="77777777" w:rsidR="00975108" w:rsidRPr="00DC19F1" w:rsidRDefault="00975108" w:rsidP="000E3C74">
            <w:pPr>
              <w:pStyle w:val="NoSpacing"/>
              <w:jc w:val="center"/>
            </w:pPr>
            <w:r w:rsidRPr="00F334F6">
              <w:t>$1 845</w:t>
            </w:r>
          </w:p>
        </w:tc>
      </w:tr>
      <w:tr w:rsidR="00975108" w:rsidRPr="00DC19F1" w14:paraId="20CD16F1" w14:textId="77777777" w:rsidTr="00D40FE0">
        <w:tc>
          <w:tcPr>
            <w:tcW w:w="2411" w:type="dxa"/>
            <w:vMerge/>
          </w:tcPr>
          <w:p w14:paraId="7ED30EED" w14:textId="77777777" w:rsidR="00975108" w:rsidRPr="00DC19F1" w:rsidRDefault="00975108" w:rsidP="000E3C74">
            <w:pPr>
              <w:pStyle w:val="NoSpacing"/>
            </w:pPr>
          </w:p>
        </w:tc>
        <w:tc>
          <w:tcPr>
            <w:tcW w:w="2409" w:type="dxa"/>
            <w:vMerge/>
          </w:tcPr>
          <w:p w14:paraId="01F08D0B" w14:textId="77777777" w:rsidR="00975108" w:rsidRPr="00DC19F1" w:rsidRDefault="00975108" w:rsidP="000E3C74">
            <w:pPr>
              <w:pStyle w:val="NoSpacing"/>
            </w:pPr>
          </w:p>
        </w:tc>
        <w:tc>
          <w:tcPr>
            <w:tcW w:w="2410" w:type="dxa"/>
          </w:tcPr>
          <w:p w14:paraId="045F84B0" w14:textId="77777777" w:rsidR="00975108" w:rsidRPr="00DC19F1" w:rsidRDefault="00975108" w:rsidP="000E3C74">
            <w:pPr>
              <w:pStyle w:val="NoSpacing"/>
            </w:pPr>
            <w:r w:rsidRPr="00F334F6">
              <w:t>Subparagraph 1130A (2) (a) (v) table item 3</w:t>
            </w:r>
          </w:p>
        </w:tc>
        <w:tc>
          <w:tcPr>
            <w:tcW w:w="1843" w:type="dxa"/>
          </w:tcPr>
          <w:p w14:paraId="5F72156D" w14:textId="77777777" w:rsidR="00975108" w:rsidRPr="00DC19F1" w:rsidRDefault="00975108" w:rsidP="000E3C74">
            <w:pPr>
              <w:pStyle w:val="NoSpacing"/>
              <w:jc w:val="center"/>
            </w:pPr>
            <w:r w:rsidRPr="00F334F6">
              <w:t>$880</w:t>
            </w:r>
          </w:p>
        </w:tc>
        <w:tc>
          <w:tcPr>
            <w:tcW w:w="1559" w:type="dxa"/>
          </w:tcPr>
          <w:p w14:paraId="36ACDDFD" w14:textId="77777777" w:rsidR="00975108" w:rsidRPr="00DC19F1" w:rsidRDefault="00975108" w:rsidP="000E3C74">
            <w:pPr>
              <w:pStyle w:val="NoSpacing"/>
              <w:jc w:val="center"/>
            </w:pPr>
            <w:r w:rsidRPr="00F334F6">
              <w:t>$925</w:t>
            </w:r>
          </w:p>
        </w:tc>
      </w:tr>
      <w:tr w:rsidR="00975108" w:rsidRPr="00DC19F1" w14:paraId="0047AC35" w14:textId="77777777" w:rsidTr="00D40FE0">
        <w:tc>
          <w:tcPr>
            <w:tcW w:w="2411" w:type="dxa"/>
            <w:vMerge/>
          </w:tcPr>
          <w:p w14:paraId="76F5E1D5" w14:textId="77777777" w:rsidR="00975108" w:rsidRPr="00DC19F1" w:rsidRDefault="00975108" w:rsidP="000E3C74">
            <w:pPr>
              <w:pStyle w:val="NoSpacing"/>
            </w:pPr>
          </w:p>
        </w:tc>
        <w:tc>
          <w:tcPr>
            <w:tcW w:w="2409" w:type="dxa"/>
            <w:vMerge/>
          </w:tcPr>
          <w:p w14:paraId="51E590C1" w14:textId="77777777" w:rsidR="00975108" w:rsidRPr="00DC19F1" w:rsidRDefault="00975108" w:rsidP="000E3C74">
            <w:pPr>
              <w:pStyle w:val="NoSpacing"/>
            </w:pPr>
          </w:p>
        </w:tc>
        <w:tc>
          <w:tcPr>
            <w:tcW w:w="2410" w:type="dxa"/>
          </w:tcPr>
          <w:p w14:paraId="6EEF1700" w14:textId="77777777" w:rsidR="00975108" w:rsidRPr="00DC19F1" w:rsidRDefault="00975108" w:rsidP="000E3C74">
            <w:pPr>
              <w:pStyle w:val="NoSpacing"/>
            </w:pPr>
            <w:r w:rsidRPr="00F334F6">
              <w:t>Subparagraph 1130A (2) (a) (v</w:t>
            </w:r>
            <w:r>
              <w:t>i) table item </w:t>
            </w:r>
            <w:r w:rsidRPr="00F334F6">
              <w:t>1</w:t>
            </w:r>
          </w:p>
        </w:tc>
        <w:tc>
          <w:tcPr>
            <w:tcW w:w="1843" w:type="dxa"/>
          </w:tcPr>
          <w:p w14:paraId="65524180" w14:textId="77777777" w:rsidR="00975108" w:rsidRPr="00DC19F1" w:rsidRDefault="00975108" w:rsidP="000E3C74">
            <w:pPr>
              <w:pStyle w:val="NoSpacing"/>
              <w:jc w:val="center"/>
            </w:pPr>
            <w:r w:rsidRPr="00F334F6">
              <w:t>$3 520</w:t>
            </w:r>
          </w:p>
        </w:tc>
        <w:tc>
          <w:tcPr>
            <w:tcW w:w="1559" w:type="dxa"/>
          </w:tcPr>
          <w:p w14:paraId="1FA7B7EC" w14:textId="77777777" w:rsidR="00975108" w:rsidRPr="00DC19F1" w:rsidRDefault="00975108" w:rsidP="000E3C74">
            <w:pPr>
              <w:pStyle w:val="NoSpacing"/>
              <w:jc w:val="center"/>
            </w:pPr>
            <w:r w:rsidRPr="00F334F6">
              <w:t>$3 695</w:t>
            </w:r>
          </w:p>
        </w:tc>
      </w:tr>
      <w:tr w:rsidR="00975108" w:rsidRPr="00DC19F1" w14:paraId="67E8AC4B" w14:textId="77777777" w:rsidTr="00D40FE0">
        <w:tc>
          <w:tcPr>
            <w:tcW w:w="2411" w:type="dxa"/>
            <w:vMerge/>
          </w:tcPr>
          <w:p w14:paraId="58A62E11" w14:textId="77777777" w:rsidR="00975108" w:rsidRPr="00DC19F1" w:rsidRDefault="00975108" w:rsidP="000E3C74">
            <w:pPr>
              <w:pStyle w:val="NoSpacing"/>
            </w:pPr>
          </w:p>
        </w:tc>
        <w:tc>
          <w:tcPr>
            <w:tcW w:w="2409" w:type="dxa"/>
            <w:vMerge/>
          </w:tcPr>
          <w:p w14:paraId="7A422095" w14:textId="77777777" w:rsidR="00975108" w:rsidRPr="00DC19F1" w:rsidRDefault="00975108" w:rsidP="000E3C74">
            <w:pPr>
              <w:pStyle w:val="NoSpacing"/>
            </w:pPr>
          </w:p>
        </w:tc>
        <w:tc>
          <w:tcPr>
            <w:tcW w:w="2410" w:type="dxa"/>
          </w:tcPr>
          <w:p w14:paraId="55E8FD9F" w14:textId="77777777" w:rsidR="00975108" w:rsidRPr="00DC19F1" w:rsidRDefault="00975108" w:rsidP="000E3C74">
            <w:pPr>
              <w:pStyle w:val="NoSpacing"/>
            </w:pPr>
            <w:r w:rsidRPr="00F334F6">
              <w:t>Subparagraph 1130A (2) (a) (v</w:t>
            </w:r>
            <w:r>
              <w:t>i) table item </w:t>
            </w:r>
            <w:r w:rsidRPr="00F334F6">
              <w:t>2</w:t>
            </w:r>
          </w:p>
        </w:tc>
        <w:tc>
          <w:tcPr>
            <w:tcW w:w="1843" w:type="dxa"/>
          </w:tcPr>
          <w:p w14:paraId="6656A296" w14:textId="77777777" w:rsidR="00975108" w:rsidRPr="00DC19F1" w:rsidRDefault="00975108" w:rsidP="000E3C74">
            <w:pPr>
              <w:pStyle w:val="NoSpacing"/>
              <w:jc w:val="center"/>
            </w:pPr>
            <w:r w:rsidRPr="00F334F6">
              <w:t>$1 760</w:t>
            </w:r>
          </w:p>
        </w:tc>
        <w:tc>
          <w:tcPr>
            <w:tcW w:w="1559" w:type="dxa"/>
          </w:tcPr>
          <w:p w14:paraId="24A84EED" w14:textId="77777777" w:rsidR="00975108" w:rsidRPr="00DC19F1" w:rsidRDefault="00975108" w:rsidP="000E3C74">
            <w:pPr>
              <w:pStyle w:val="NoSpacing"/>
              <w:jc w:val="center"/>
            </w:pPr>
            <w:r w:rsidRPr="00F334F6">
              <w:t>$1 845</w:t>
            </w:r>
          </w:p>
        </w:tc>
      </w:tr>
      <w:tr w:rsidR="00975108" w:rsidRPr="00DC19F1" w14:paraId="152B0AEE" w14:textId="77777777" w:rsidTr="00D40FE0">
        <w:tc>
          <w:tcPr>
            <w:tcW w:w="2411" w:type="dxa"/>
            <w:vMerge/>
          </w:tcPr>
          <w:p w14:paraId="64269D0C" w14:textId="77777777" w:rsidR="00975108" w:rsidRPr="00DC19F1" w:rsidRDefault="00975108" w:rsidP="000E3C74">
            <w:pPr>
              <w:pStyle w:val="NoSpacing"/>
            </w:pPr>
          </w:p>
        </w:tc>
        <w:tc>
          <w:tcPr>
            <w:tcW w:w="2409" w:type="dxa"/>
            <w:vMerge/>
          </w:tcPr>
          <w:p w14:paraId="3863D377" w14:textId="77777777" w:rsidR="00975108" w:rsidRPr="00DC19F1" w:rsidRDefault="00975108" w:rsidP="000E3C74">
            <w:pPr>
              <w:pStyle w:val="NoSpacing"/>
            </w:pPr>
          </w:p>
        </w:tc>
        <w:tc>
          <w:tcPr>
            <w:tcW w:w="2410" w:type="dxa"/>
          </w:tcPr>
          <w:p w14:paraId="68B44A9A" w14:textId="77777777" w:rsidR="00975108" w:rsidRPr="00DC19F1" w:rsidRDefault="00975108" w:rsidP="000E3C74">
            <w:pPr>
              <w:pStyle w:val="NoSpacing"/>
            </w:pPr>
            <w:r w:rsidRPr="00F334F6">
              <w:t>Subparagraph 1130A (2) (a) (v</w:t>
            </w:r>
            <w:r>
              <w:t>i) table item </w:t>
            </w:r>
            <w:r w:rsidRPr="00F334F6">
              <w:t>3</w:t>
            </w:r>
          </w:p>
        </w:tc>
        <w:tc>
          <w:tcPr>
            <w:tcW w:w="1843" w:type="dxa"/>
          </w:tcPr>
          <w:p w14:paraId="679EF5FF" w14:textId="77777777" w:rsidR="00975108" w:rsidRPr="00DC19F1" w:rsidRDefault="00975108" w:rsidP="000E3C74">
            <w:pPr>
              <w:pStyle w:val="NoSpacing"/>
              <w:jc w:val="center"/>
            </w:pPr>
            <w:r w:rsidRPr="00F334F6">
              <w:t>$880</w:t>
            </w:r>
          </w:p>
        </w:tc>
        <w:tc>
          <w:tcPr>
            <w:tcW w:w="1559" w:type="dxa"/>
          </w:tcPr>
          <w:p w14:paraId="585021BC" w14:textId="77777777" w:rsidR="00975108" w:rsidRPr="00DC19F1" w:rsidRDefault="00975108" w:rsidP="000E3C74">
            <w:pPr>
              <w:pStyle w:val="NoSpacing"/>
              <w:jc w:val="center"/>
            </w:pPr>
            <w:r w:rsidRPr="00F334F6">
              <w:t>$925</w:t>
            </w:r>
          </w:p>
        </w:tc>
      </w:tr>
      <w:tr w:rsidR="00975108" w:rsidRPr="00DC19F1" w14:paraId="3532B699" w14:textId="77777777" w:rsidTr="00D40FE0">
        <w:tc>
          <w:tcPr>
            <w:tcW w:w="2411" w:type="dxa"/>
            <w:vMerge w:val="restart"/>
          </w:tcPr>
          <w:p w14:paraId="2F4F19F0" w14:textId="77777777" w:rsidR="00975108" w:rsidRPr="00DC19F1" w:rsidRDefault="00975108" w:rsidP="000E3C74">
            <w:pPr>
              <w:pStyle w:val="NoSpacing"/>
            </w:pPr>
            <w:r w:rsidRPr="00F53603">
              <w:t>Skilled — Independent (Permanent) (Class</w:t>
            </w:r>
            <w:r>
              <w:t> </w:t>
            </w:r>
            <w:r w:rsidRPr="00F53603">
              <w:t>SI)</w:t>
            </w:r>
          </w:p>
        </w:tc>
        <w:tc>
          <w:tcPr>
            <w:tcW w:w="2409" w:type="dxa"/>
            <w:vMerge w:val="restart"/>
          </w:tcPr>
          <w:p w14:paraId="08A2DEFD" w14:textId="77777777" w:rsidR="00975108" w:rsidRPr="00DC19F1" w:rsidRDefault="00975108" w:rsidP="000E3C74">
            <w:pPr>
              <w:pStyle w:val="NoSpacing"/>
            </w:pPr>
            <w:r>
              <w:t xml:space="preserve">Subclass 189 </w:t>
            </w:r>
            <w:r w:rsidRPr="00F53603">
              <w:t>(Skilled — Independent)</w:t>
            </w:r>
            <w:r>
              <w:t xml:space="preserve"> visa</w:t>
            </w:r>
          </w:p>
        </w:tc>
        <w:tc>
          <w:tcPr>
            <w:tcW w:w="2410" w:type="dxa"/>
          </w:tcPr>
          <w:p w14:paraId="6B51385E" w14:textId="77777777" w:rsidR="00975108" w:rsidRPr="00DC19F1" w:rsidRDefault="00975108" w:rsidP="000E3C74">
            <w:pPr>
              <w:pStyle w:val="NoSpacing"/>
            </w:pPr>
            <w:r w:rsidRPr="007C7818">
              <w:t>Paragraph 1137 (2) (a) table item 1</w:t>
            </w:r>
          </w:p>
        </w:tc>
        <w:tc>
          <w:tcPr>
            <w:tcW w:w="1843" w:type="dxa"/>
          </w:tcPr>
          <w:p w14:paraId="25EC71A6" w14:textId="77777777" w:rsidR="00975108" w:rsidRPr="00DC19F1" w:rsidRDefault="00975108" w:rsidP="000E3C74">
            <w:pPr>
              <w:pStyle w:val="NoSpacing"/>
              <w:jc w:val="center"/>
            </w:pPr>
            <w:r w:rsidRPr="007C7818">
              <w:t>$3 520</w:t>
            </w:r>
          </w:p>
        </w:tc>
        <w:tc>
          <w:tcPr>
            <w:tcW w:w="1559" w:type="dxa"/>
          </w:tcPr>
          <w:p w14:paraId="7AD0BEC0" w14:textId="77777777" w:rsidR="00975108" w:rsidRPr="00DC19F1" w:rsidRDefault="00975108" w:rsidP="000E3C74">
            <w:pPr>
              <w:pStyle w:val="NoSpacing"/>
              <w:jc w:val="center"/>
            </w:pPr>
            <w:r>
              <w:t>$3 600</w:t>
            </w:r>
          </w:p>
        </w:tc>
      </w:tr>
      <w:tr w:rsidR="00975108" w:rsidRPr="00DC19F1" w14:paraId="1A8E6D59" w14:textId="77777777" w:rsidTr="00D40FE0">
        <w:tc>
          <w:tcPr>
            <w:tcW w:w="2411" w:type="dxa"/>
            <w:vMerge/>
          </w:tcPr>
          <w:p w14:paraId="7593E651" w14:textId="77777777" w:rsidR="00975108" w:rsidRPr="00DC19F1" w:rsidRDefault="00975108" w:rsidP="000E3C74">
            <w:pPr>
              <w:pStyle w:val="NoSpacing"/>
            </w:pPr>
          </w:p>
        </w:tc>
        <w:tc>
          <w:tcPr>
            <w:tcW w:w="2409" w:type="dxa"/>
            <w:vMerge/>
          </w:tcPr>
          <w:p w14:paraId="45F7B05B" w14:textId="77777777" w:rsidR="00975108" w:rsidRPr="00DC19F1" w:rsidRDefault="00975108" w:rsidP="000E3C74">
            <w:pPr>
              <w:pStyle w:val="NoSpacing"/>
            </w:pPr>
          </w:p>
        </w:tc>
        <w:tc>
          <w:tcPr>
            <w:tcW w:w="2410" w:type="dxa"/>
          </w:tcPr>
          <w:p w14:paraId="4A356182" w14:textId="77777777" w:rsidR="00975108" w:rsidRPr="00DC19F1" w:rsidRDefault="00975108" w:rsidP="000E3C74">
            <w:pPr>
              <w:pStyle w:val="NoSpacing"/>
            </w:pPr>
            <w:r w:rsidRPr="007C7818">
              <w:t xml:space="preserve">Paragraph 1137 (2) (a) table item </w:t>
            </w:r>
            <w:r>
              <w:t>2</w:t>
            </w:r>
          </w:p>
        </w:tc>
        <w:tc>
          <w:tcPr>
            <w:tcW w:w="1843" w:type="dxa"/>
          </w:tcPr>
          <w:p w14:paraId="7CEA98E1" w14:textId="77777777" w:rsidR="00975108" w:rsidRPr="00DC19F1" w:rsidRDefault="00975108" w:rsidP="000E3C74">
            <w:pPr>
              <w:pStyle w:val="NoSpacing"/>
              <w:jc w:val="center"/>
            </w:pPr>
            <w:r w:rsidRPr="007C7818">
              <w:t>$1 760</w:t>
            </w:r>
          </w:p>
        </w:tc>
        <w:tc>
          <w:tcPr>
            <w:tcW w:w="1559" w:type="dxa"/>
          </w:tcPr>
          <w:p w14:paraId="4EF7FC14" w14:textId="77777777" w:rsidR="00975108" w:rsidRPr="00DC19F1" w:rsidRDefault="00975108" w:rsidP="000E3C74">
            <w:pPr>
              <w:pStyle w:val="NoSpacing"/>
              <w:jc w:val="center"/>
            </w:pPr>
            <w:r>
              <w:t>$1 800</w:t>
            </w:r>
          </w:p>
        </w:tc>
      </w:tr>
      <w:tr w:rsidR="00975108" w:rsidRPr="00DC19F1" w14:paraId="63D268DF" w14:textId="77777777" w:rsidTr="00D40FE0">
        <w:tc>
          <w:tcPr>
            <w:tcW w:w="2411" w:type="dxa"/>
            <w:vMerge/>
          </w:tcPr>
          <w:p w14:paraId="6505C041" w14:textId="77777777" w:rsidR="00975108" w:rsidRPr="00DC19F1" w:rsidRDefault="00975108" w:rsidP="000E3C74">
            <w:pPr>
              <w:pStyle w:val="NoSpacing"/>
            </w:pPr>
          </w:p>
        </w:tc>
        <w:tc>
          <w:tcPr>
            <w:tcW w:w="2409" w:type="dxa"/>
            <w:vMerge/>
          </w:tcPr>
          <w:p w14:paraId="28AD5E0C" w14:textId="77777777" w:rsidR="00975108" w:rsidRPr="00DC19F1" w:rsidRDefault="00975108" w:rsidP="000E3C74">
            <w:pPr>
              <w:pStyle w:val="NoSpacing"/>
            </w:pPr>
          </w:p>
        </w:tc>
        <w:tc>
          <w:tcPr>
            <w:tcW w:w="2410" w:type="dxa"/>
          </w:tcPr>
          <w:p w14:paraId="1DFDC36F" w14:textId="77777777" w:rsidR="00975108" w:rsidRPr="00DC19F1" w:rsidRDefault="00975108" w:rsidP="000E3C74">
            <w:pPr>
              <w:pStyle w:val="NoSpacing"/>
            </w:pPr>
            <w:r w:rsidRPr="007C7818">
              <w:t xml:space="preserve">Paragraph 1137 (2) (a) table item </w:t>
            </w:r>
            <w:r>
              <w:t>3</w:t>
            </w:r>
          </w:p>
        </w:tc>
        <w:tc>
          <w:tcPr>
            <w:tcW w:w="1843" w:type="dxa"/>
          </w:tcPr>
          <w:p w14:paraId="2B3F4155" w14:textId="77777777" w:rsidR="00975108" w:rsidRPr="00DC19F1" w:rsidRDefault="00975108" w:rsidP="000E3C74">
            <w:pPr>
              <w:pStyle w:val="NoSpacing"/>
              <w:jc w:val="center"/>
            </w:pPr>
            <w:r w:rsidRPr="007C7818">
              <w:t>$880</w:t>
            </w:r>
          </w:p>
        </w:tc>
        <w:tc>
          <w:tcPr>
            <w:tcW w:w="1559" w:type="dxa"/>
          </w:tcPr>
          <w:p w14:paraId="34BA22B6" w14:textId="77777777" w:rsidR="00975108" w:rsidRPr="00DC19F1" w:rsidRDefault="00975108" w:rsidP="000E3C74">
            <w:pPr>
              <w:pStyle w:val="NoSpacing"/>
              <w:jc w:val="center"/>
            </w:pPr>
            <w:r>
              <w:t>$900</w:t>
            </w:r>
          </w:p>
        </w:tc>
      </w:tr>
      <w:tr w:rsidR="00975108" w:rsidRPr="00DC19F1" w14:paraId="6845DDF4" w14:textId="77777777" w:rsidTr="00D40FE0">
        <w:tc>
          <w:tcPr>
            <w:tcW w:w="2411" w:type="dxa"/>
            <w:vMerge w:val="restart"/>
          </w:tcPr>
          <w:p w14:paraId="1A0E1B2A" w14:textId="77777777" w:rsidR="00975108" w:rsidRPr="00DC19F1" w:rsidRDefault="00975108" w:rsidP="000E3C74">
            <w:pPr>
              <w:pStyle w:val="NoSpacing"/>
            </w:pPr>
            <w:r w:rsidRPr="00F53603">
              <w:t>Skilled</w:t>
            </w:r>
            <w:r>
              <w:t xml:space="preserve"> — Nominated (Permanent) (Class </w:t>
            </w:r>
            <w:r w:rsidRPr="00F53603">
              <w:t>SN)</w:t>
            </w:r>
          </w:p>
        </w:tc>
        <w:tc>
          <w:tcPr>
            <w:tcW w:w="2409" w:type="dxa"/>
            <w:vMerge w:val="restart"/>
          </w:tcPr>
          <w:p w14:paraId="2A34E02B" w14:textId="77777777" w:rsidR="00975108" w:rsidRPr="00DC19F1" w:rsidRDefault="00975108" w:rsidP="000E3C74">
            <w:pPr>
              <w:pStyle w:val="NoSpacing"/>
            </w:pPr>
            <w:r>
              <w:t xml:space="preserve">Subclass 190 </w:t>
            </w:r>
            <w:r w:rsidRPr="00F53603">
              <w:t>(Skilled — Nominated)</w:t>
            </w:r>
            <w:r>
              <w:t xml:space="preserve"> visa</w:t>
            </w:r>
          </w:p>
        </w:tc>
        <w:tc>
          <w:tcPr>
            <w:tcW w:w="2410" w:type="dxa"/>
          </w:tcPr>
          <w:p w14:paraId="49889727" w14:textId="77777777" w:rsidR="00975108" w:rsidRPr="00DC19F1" w:rsidRDefault="00975108" w:rsidP="000E3C74">
            <w:pPr>
              <w:pStyle w:val="NoSpacing"/>
            </w:pPr>
            <w:r>
              <w:t>Paragraph 1138</w:t>
            </w:r>
            <w:r w:rsidRPr="007C7818">
              <w:t xml:space="preserve"> (2) (a) table item 1</w:t>
            </w:r>
          </w:p>
        </w:tc>
        <w:tc>
          <w:tcPr>
            <w:tcW w:w="1843" w:type="dxa"/>
          </w:tcPr>
          <w:p w14:paraId="181BA297" w14:textId="77777777" w:rsidR="00975108" w:rsidRPr="00DC19F1" w:rsidRDefault="00975108" w:rsidP="000E3C74">
            <w:pPr>
              <w:pStyle w:val="NoSpacing"/>
              <w:jc w:val="center"/>
            </w:pPr>
            <w:r w:rsidRPr="007C7818">
              <w:t>$3 520</w:t>
            </w:r>
          </w:p>
        </w:tc>
        <w:tc>
          <w:tcPr>
            <w:tcW w:w="1559" w:type="dxa"/>
          </w:tcPr>
          <w:p w14:paraId="77393226" w14:textId="77777777" w:rsidR="00975108" w:rsidRPr="00DC19F1" w:rsidRDefault="00975108" w:rsidP="000E3C74">
            <w:pPr>
              <w:pStyle w:val="NoSpacing"/>
              <w:jc w:val="center"/>
            </w:pPr>
            <w:r>
              <w:t>$3 600</w:t>
            </w:r>
          </w:p>
        </w:tc>
      </w:tr>
      <w:tr w:rsidR="00975108" w:rsidRPr="00DC19F1" w14:paraId="4AF2EB5D" w14:textId="77777777" w:rsidTr="00D40FE0">
        <w:tc>
          <w:tcPr>
            <w:tcW w:w="2411" w:type="dxa"/>
            <w:vMerge/>
          </w:tcPr>
          <w:p w14:paraId="5B60C71C" w14:textId="77777777" w:rsidR="00975108" w:rsidRPr="00DC19F1" w:rsidRDefault="00975108" w:rsidP="000E3C74">
            <w:pPr>
              <w:pStyle w:val="NoSpacing"/>
            </w:pPr>
          </w:p>
        </w:tc>
        <w:tc>
          <w:tcPr>
            <w:tcW w:w="2409" w:type="dxa"/>
            <w:vMerge/>
          </w:tcPr>
          <w:p w14:paraId="2AC36579" w14:textId="77777777" w:rsidR="00975108" w:rsidRPr="00DC19F1" w:rsidRDefault="00975108" w:rsidP="000E3C74">
            <w:pPr>
              <w:pStyle w:val="NoSpacing"/>
            </w:pPr>
          </w:p>
        </w:tc>
        <w:tc>
          <w:tcPr>
            <w:tcW w:w="2410" w:type="dxa"/>
          </w:tcPr>
          <w:p w14:paraId="2518A6CE" w14:textId="77777777" w:rsidR="00975108" w:rsidRPr="00DC19F1" w:rsidRDefault="00975108" w:rsidP="000E3C74">
            <w:pPr>
              <w:pStyle w:val="NoSpacing"/>
            </w:pPr>
            <w:r>
              <w:t>Paragraph 1138</w:t>
            </w:r>
            <w:r w:rsidRPr="007C7818">
              <w:t xml:space="preserve"> (2) (a) table item </w:t>
            </w:r>
            <w:r>
              <w:t>2</w:t>
            </w:r>
          </w:p>
        </w:tc>
        <w:tc>
          <w:tcPr>
            <w:tcW w:w="1843" w:type="dxa"/>
          </w:tcPr>
          <w:p w14:paraId="3DC3EA21" w14:textId="77777777" w:rsidR="00975108" w:rsidRPr="00DC19F1" w:rsidRDefault="00975108" w:rsidP="000E3C74">
            <w:pPr>
              <w:pStyle w:val="NoSpacing"/>
              <w:jc w:val="center"/>
            </w:pPr>
            <w:r w:rsidRPr="007C7818">
              <w:t>$1 760</w:t>
            </w:r>
          </w:p>
        </w:tc>
        <w:tc>
          <w:tcPr>
            <w:tcW w:w="1559" w:type="dxa"/>
          </w:tcPr>
          <w:p w14:paraId="1FF9BDCC" w14:textId="77777777" w:rsidR="00975108" w:rsidRPr="00DC19F1" w:rsidRDefault="00975108" w:rsidP="000E3C74">
            <w:pPr>
              <w:pStyle w:val="NoSpacing"/>
              <w:jc w:val="center"/>
            </w:pPr>
            <w:r>
              <w:t>$1 800</w:t>
            </w:r>
          </w:p>
        </w:tc>
      </w:tr>
      <w:tr w:rsidR="00975108" w:rsidRPr="00DC19F1" w14:paraId="1D1E5825" w14:textId="77777777" w:rsidTr="00D40FE0">
        <w:tc>
          <w:tcPr>
            <w:tcW w:w="2411" w:type="dxa"/>
            <w:vMerge/>
          </w:tcPr>
          <w:p w14:paraId="643C27B9" w14:textId="77777777" w:rsidR="00975108" w:rsidRPr="00DC19F1" w:rsidRDefault="00975108" w:rsidP="000E3C74">
            <w:pPr>
              <w:pStyle w:val="NoSpacing"/>
            </w:pPr>
          </w:p>
        </w:tc>
        <w:tc>
          <w:tcPr>
            <w:tcW w:w="2409" w:type="dxa"/>
            <w:vMerge/>
          </w:tcPr>
          <w:p w14:paraId="72CCD559" w14:textId="77777777" w:rsidR="00975108" w:rsidRPr="00DC19F1" w:rsidRDefault="00975108" w:rsidP="000E3C74">
            <w:pPr>
              <w:pStyle w:val="NoSpacing"/>
            </w:pPr>
          </w:p>
        </w:tc>
        <w:tc>
          <w:tcPr>
            <w:tcW w:w="2410" w:type="dxa"/>
          </w:tcPr>
          <w:p w14:paraId="37219BD0" w14:textId="77777777" w:rsidR="00975108" w:rsidRPr="00DC19F1" w:rsidRDefault="00975108" w:rsidP="000E3C74">
            <w:pPr>
              <w:pStyle w:val="NoSpacing"/>
            </w:pPr>
            <w:r w:rsidRPr="007C7818">
              <w:t>P</w:t>
            </w:r>
            <w:r>
              <w:t>aragraph 1138</w:t>
            </w:r>
            <w:r w:rsidRPr="007C7818">
              <w:t xml:space="preserve"> (2) (a) table item </w:t>
            </w:r>
            <w:r>
              <w:t>3</w:t>
            </w:r>
          </w:p>
        </w:tc>
        <w:tc>
          <w:tcPr>
            <w:tcW w:w="1843" w:type="dxa"/>
          </w:tcPr>
          <w:p w14:paraId="1F63445F" w14:textId="77777777" w:rsidR="00975108" w:rsidRPr="00DC19F1" w:rsidRDefault="00975108" w:rsidP="000E3C74">
            <w:pPr>
              <w:pStyle w:val="NoSpacing"/>
              <w:jc w:val="center"/>
            </w:pPr>
            <w:r w:rsidRPr="007C7818">
              <w:t>$880</w:t>
            </w:r>
          </w:p>
        </w:tc>
        <w:tc>
          <w:tcPr>
            <w:tcW w:w="1559" w:type="dxa"/>
          </w:tcPr>
          <w:p w14:paraId="3E42A0C4" w14:textId="77777777" w:rsidR="00975108" w:rsidRPr="00DC19F1" w:rsidRDefault="00975108" w:rsidP="000E3C74">
            <w:pPr>
              <w:pStyle w:val="NoSpacing"/>
              <w:jc w:val="center"/>
            </w:pPr>
            <w:r>
              <w:t>$900</w:t>
            </w:r>
          </w:p>
        </w:tc>
      </w:tr>
      <w:tr w:rsidR="00975108" w:rsidRPr="00DC19F1" w14:paraId="5EB184F9" w14:textId="77777777" w:rsidTr="00D40FE0">
        <w:tc>
          <w:tcPr>
            <w:tcW w:w="2411" w:type="dxa"/>
            <w:vMerge w:val="restart"/>
          </w:tcPr>
          <w:p w14:paraId="30284E39" w14:textId="77777777" w:rsidR="00975108" w:rsidRPr="00E043FD" w:rsidRDefault="00975108" w:rsidP="000E3C74">
            <w:pPr>
              <w:pStyle w:val="NoSpacing"/>
            </w:pPr>
            <w:r w:rsidRPr="008B0972">
              <w:t>Busin</w:t>
            </w:r>
            <w:r>
              <w:t>ess Skills (Provisional) (Class </w:t>
            </w:r>
            <w:r w:rsidRPr="008B0972">
              <w:t>EB)</w:t>
            </w:r>
          </w:p>
        </w:tc>
        <w:tc>
          <w:tcPr>
            <w:tcW w:w="2409" w:type="dxa"/>
            <w:vMerge w:val="restart"/>
          </w:tcPr>
          <w:p w14:paraId="154D9ED3" w14:textId="77777777" w:rsidR="00975108" w:rsidRPr="0051694F" w:rsidRDefault="00975108" w:rsidP="000E3C74">
            <w:pPr>
              <w:pStyle w:val="NoSpacing"/>
            </w:pPr>
            <w:r w:rsidRPr="0051694F">
              <w:t>Subclass 188 (Business Innovation and Investment (Provisional)) visa</w:t>
            </w:r>
          </w:p>
          <w:p w14:paraId="5DD2CE61" w14:textId="77777777" w:rsidR="00975108" w:rsidRPr="0051694F" w:rsidRDefault="00975108" w:rsidP="000E3C74">
            <w:pPr>
              <w:pStyle w:val="NoSpacing"/>
            </w:pPr>
            <w:r w:rsidRPr="0051694F">
              <w:t>(</w:t>
            </w:r>
            <w:r w:rsidRPr="00E043FD">
              <w:t>except</w:t>
            </w:r>
            <w:r w:rsidRPr="0051694F">
              <w:t xml:space="preserve"> for the Significant Investor Stream)</w:t>
            </w:r>
          </w:p>
        </w:tc>
        <w:tc>
          <w:tcPr>
            <w:tcW w:w="2410" w:type="dxa"/>
          </w:tcPr>
          <w:p w14:paraId="7B44553F" w14:textId="77777777" w:rsidR="00975108" w:rsidRPr="00DC19F1" w:rsidRDefault="00975108" w:rsidP="000E3C74">
            <w:pPr>
              <w:pStyle w:val="NoSpacing"/>
            </w:pPr>
            <w:r>
              <w:t>S</w:t>
            </w:r>
            <w:r w:rsidRPr="006B572E">
              <w:t>ubparagraph 1202B (2) (a) (</w:t>
            </w:r>
            <w:r>
              <w:t xml:space="preserve">ii) </w:t>
            </w:r>
            <w:r w:rsidRPr="006B572E">
              <w:t>table item 1</w:t>
            </w:r>
          </w:p>
        </w:tc>
        <w:tc>
          <w:tcPr>
            <w:tcW w:w="1843" w:type="dxa"/>
          </w:tcPr>
          <w:p w14:paraId="07875551" w14:textId="77777777" w:rsidR="00975108" w:rsidRPr="00DC19F1" w:rsidRDefault="00975108" w:rsidP="000E3C74">
            <w:pPr>
              <w:pStyle w:val="NoSpacing"/>
              <w:jc w:val="center"/>
            </w:pPr>
            <w:r>
              <w:t>$4 675</w:t>
            </w:r>
          </w:p>
        </w:tc>
        <w:tc>
          <w:tcPr>
            <w:tcW w:w="1559" w:type="dxa"/>
          </w:tcPr>
          <w:p w14:paraId="6DE0A89D" w14:textId="77777777" w:rsidR="00975108" w:rsidRPr="00DC19F1" w:rsidRDefault="00975108" w:rsidP="000E3C74">
            <w:pPr>
              <w:pStyle w:val="NoSpacing"/>
              <w:jc w:val="center"/>
            </w:pPr>
            <w:r>
              <w:t>$4 780</w:t>
            </w:r>
          </w:p>
        </w:tc>
      </w:tr>
      <w:tr w:rsidR="00975108" w:rsidRPr="00DC19F1" w14:paraId="68EE45DA" w14:textId="77777777" w:rsidTr="00D40FE0">
        <w:tc>
          <w:tcPr>
            <w:tcW w:w="2411" w:type="dxa"/>
            <w:vMerge/>
          </w:tcPr>
          <w:p w14:paraId="5B471AB3" w14:textId="77777777" w:rsidR="00975108" w:rsidRPr="00DC19F1" w:rsidRDefault="00975108" w:rsidP="000E3C74">
            <w:pPr>
              <w:pStyle w:val="NoSpacing"/>
            </w:pPr>
          </w:p>
        </w:tc>
        <w:tc>
          <w:tcPr>
            <w:tcW w:w="2409" w:type="dxa"/>
            <w:vMerge/>
          </w:tcPr>
          <w:p w14:paraId="51D8217D" w14:textId="77777777" w:rsidR="00975108" w:rsidRPr="00E043FD" w:rsidRDefault="00975108" w:rsidP="000E3C74">
            <w:pPr>
              <w:pStyle w:val="NoSpacing"/>
            </w:pPr>
          </w:p>
        </w:tc>
        <w:tc>
          <w:tcPr>
            <w:tcW w:w="2410" w:type="dxa"/>
          </w:tcPr>
          <w:p w14:paraId="6B8997CB" w14:textId="77777777" w:rsidR="00975108" w:rsidRPr="00DC19F1" w:rsidRDefault="00975108" w:rsidP="000E3C74">
            <w:pPr>
              <w:pStyle w:val="NoSpacing"/>
            </w:pPr>
            <w:r>
              <w:t>S</w:t>
            </w:r>
            <w:r w:rsidRPr="006B572E">
              <w:t>ubparagraph 1202B (2) (a) (i</w:t>
            </w:r>
            <w:r>
              <w:t xml:space="preserve">i) </w:t>
            </w:r>
            <w:r w:rsidRPr="006B572E">
              <w:t xml:space="preserve">table item </w:t>
            </w:r>
            <w:r>
              <w:t>2</w:t>
            </w:r>
          </w:p>
        </w:tc>
        <w:tc>
          <w:tcPr>
            <w:tcW w:w="1843" w:type="dxa"/>
          </w:tcPr>
          <w:p w14:paraId="1891295B" w14:textId="77777777" w:rsidR="00975108" w:rsidRPr="00DC19F1" w:rsidRDefault="00975108" w:rsidP="000E3C74">
            <w:pPr>
              <w:pStyle w:val="NoSpacing"/>
              <w:jc w:val="center"/>
            </w:pPr>
            <w:r>
              <w:t>$2 340</w:t>
            </w:r>
          </w:p>
        </w:tc>
        <w:tc>
          <w:tcPr>
            <w:tcW w:w="1559" w:type="dxa"/>
          </w:tcPr>
          <w:p w14:paraId="13EC3D09" w14:textId="77777777" w:rsidR="00975108" w:rsidRPr="00DC19F1" w:rsidRDefault="00975108" w:rsidP="000E3C74">
            <w:pPr>
              <w:pStyle w:val="NoSpacing"/>
              <w:jc w:val="center"/>
            </w:pPr>
            <w:r>
              <w:t>$2 390</w:t>
            </w:r>
          </w:p>
        </w:tc>
      </w:tr>
      <w:tr w:rsidR="00975108" w:rsidRPr="00DC19F1" w14:paraId="7569F01B" w14:textId="77777777" w:rsidTr="00D40FE0">
        <w:tc>
          <w:tcPr>
            <w:tcW w:w="2411" w:type="dxa"/>
            <w:vMerge/>
          </w:tcPr>
          <w:p w14:paraId="17FAB642" w14:textId="77777777" w:rsidR="00975108" w:rsidRPr="00DC19F1" w:rsidRDefault="00975108" w:rsidP="000E3C74">
            <w:pPr>
              <w:pStyle w:val="NoSpacing"/>
            </w:pPr>
          </w:p>
        </w:tc>
        <w:tc>
          <w:tcPr>
            <w:tcW w:w="2409" w:type="dxa"/>
            <w:vMerge/>
          </w:tcPr>
          <w:p w14:paraId="082EB156" w14:textId="77777777" w:rsidR="00975108" w:rsidRPr="00E043FD" w:rsidRDefault="00975108" w:rsidP="000E3C74">
            <w:pPr>
              <w:pStyle w:val="NoSpacing"/>
            </w:pPr>
          </w:p>
        </w:tc>
        <w:tc>
          <w:tcPr>
            <w:tcW w:w="2410" w:type="dxa"/>
          </w:tcPr>
          <w:p w14:paraId="0255DBEE" w14:textId="77777777" w:rsidR="00975108" w:rsidRPr="00DC19F1" w:rsidRDefault="00975108" w:rsidP="000E3C74">
            <w:pPr>
              <w:pStyle w:val="NoSpacing"/>
            </w:pPr>
            <w:r w:rsidRPr="006B572E">
              <w:t>Subparagraph 1202B (2) (a) (</w:t>
            </w:r>
            <w:r>
              <w:t xml:space="preserve">ii) </w:t>
            </w:r>
            <w:r w:rsidRPr="006B572E">
              <w:t xml:space="preserve">table item </w:t>
            </w:r>
            <w:r>
              <w:t>3</w:t>
            </w:r>
          </w:p>
        </w:tc>
        <w:tc>
          <w:tcPr>
            <w:tcW w:w="1843" w:type="dxa"/>
          </w:tcPr>
          <w:p w14:paraId="32E2E8F7" w14:textId="77777777" w:rsidR="00975108" w:rsidRPr="00DC19F1" w:rsidRDefault="00975108" w:rsidP="000E3C74">
            <w:pPr>
              <w:pStyle w:val="NoSpacing"/>
              <w:jc w:val="center"/>
            </w:pPr>
            <w:r>
              <w:t>$1 170</w:t>
            </w:r>
          </w:p>
        </w:tc>
        <w:tc>
          <w:tcPr>
            <w:tcW w:w="1559" w:type="dxa"/>
          </w:tcPr>
          <w:p w14:paraId="46102BB7" w14:textId="77777777" w:rsidR="00975108" w:rsidRPr="00DC19F1" w:rsidRDefault="00975108" w:rsidP="000E3C74">
            <w:pPr>
              <w:pStyle w:val="NoSpacing"/>
              <w:jc w:val="center"/>
            </w:pPr>
            <w:r>
              <w:t>$1 195</w:t>
            </w:r>
          </w:p>
        </w:tc>
      </w:tr>
      <w:tr w:rsidR="00975108" w:rsidRPr="00DC19F1" w14:paraId="47EF3D72" w14:textId="77777777" w:rsidTr="00D40FE0">
        <w:tc>
          <w:tcPr>
            <w:tcW w:w="2411" w:type="dxa"/>
            <w:vMerge/>
          </w:tcPr>
          <w:p w14:paraId="7C2D39D6" w14:textId="77777777" w:rsidR="00975108" w:rsidRPr="00DC19F1" w:rsidRDefault="00975108" w:rsidP="000E3C74">
            <w:pPr>
              <w:pStyle w:val="NoSpacing"/>
            </w:pPr>
          </w:p>
        </w:tc>
        <w:tc>
          <w:tcPr>
            <w:tcW w:w="2409" w:type="dxa"/>
            <w:vMerge w:val="restart"/>
          </w:tcPr>
          <w:p w14:paraId="6E10B4A9" w14:textId="77777777" w:rsidR="00975108" w:rsidRPr="0051694F" w:rsidRDefault="00975108" w:rsidP="000E3C74">
            <w:pPr>
              <w:pStyle w:val="NoSpacing"/>
            </w:pPr>
            <w:r w:rsidRPr="0051694F">
              <w:t xml:space="preserve">Subclass 188 (Business Innovation and </w:t>
            </w:r>
            <w:r w:rsidRPr="0051694F">
              <w:lastRenderedPageBreak/>
              <w:t>Investment (Provisional)) visa</w:t>
            </w:r>
          </w:p>
          <w:p w14:paraId="11EFA338" w14:textId="77777777" w:rsidR="00975108" w:rsidRPr="0051694F" w:rsidRDefault="00975108" w:rsidP="000E3C74">
            <w:pPr>
              <w:pStyle w:val="NoSpacing"/>
            </w:pPr>
            <w:r w:rsidRPr="0051694F">
              <w:t>(</w:t>
            </w:r>
            <w:r w:rsidRPr="00E043FD">
              <w:t>only</w:t>
            </w:r>
            <w:r w:rsidRPr="0051694F">
              <w:t xml:space="preserve"> for the Significant Investor Stream)</w:t>
            </w:r>
          </w:p>
        </w:tc>
        <w:tc>
          <w:tcPr>
            <w:tcW w:w="2410" w:type="dxa"/>
          </w:tcPr>
          <w:p w14:paraId="31555D82" w14:textId="77777777" w:rsidR="00975108" w:rsidRPr="00DC19F1" w:rsidRDefault="00975108" w:rsidP="000E3C74">
            <w:pPr>
              <w:pStyle w:val="NoSpacing"/>
            </w:pPr>
            <w:r w:rsidRPr="006B572E">
              <w:lastRenderedPageBreak/>
              <w:t>Subparagraph 1202B (2) (a) (</w:t>
            </w:r>
            <w:r>
              <w:t>i</w:t>
            </w:r>
            <w:r w:rsidRPr="006B572E">
              <w:t>i)</w:t>
            </w:r>
            <w:r>
              <w:t xml:space="preserve"> </w:t>
            </w:r>
            <w:r w:rsidRPr="006B572E">
              <w:t>table item 1</w:t>
            </w:r>
            <w:r>
              <w:t xml:space="preserve"> </w:t>
            </w:r>
          </w:p>
        </w:tc>
        <w:tc>
          <w:tcPr>
            <w:tcW w:w="1843" w:type="dxa"/>
          </w:tcPr>
          <w:p w14:paraId="32F1069D" w14:textId="77777777" w:rsidR="00975108" w:rsidRPr="00DC19F1" w:rsidRDefault="00975108" w:rsidP="000E3C74">
            <w:pPr>
              <w:pStyle w:val="NoSpacing"/>
              <w:jc w:val="center"/>
            </w:pPr>
            <w:r>
              <w:t>$4 675</w:t>
            </w:r>
          </w:p>
        </w:tc>
        <w:tc>
          <w:tcPr>
            <w:tcW w:w="1559" w:type="dxa"/>
          </w:tcPr>
          <w:p w14:paraId="63978C53" w14:textId="77777777" w:rsidR="00975108" w:rsidRPr="00DC19F1" w:rsidRDefault="00975108" w:rsidP="000E3C74">
            <w:pPr>
              <w:pStyle w:val="NoSpacing"/>
              <w:jc w:val="center"/>
            </w:pPr>
            <w:r>
              <w:t>$7 010</w:t>
            </w:r>
          </w:p>
        </w:tc>
      </w:tr>
      <w:tr w:rsidR="00975108" w:rsidRPr="00DC19F1" w14:paraId="25D386B2" w14:textId="77777777" w:rsidTr="00D40FE0">
        <w:tc>
          <w:tcPr>
            <w:tcW w:w="2411" w:type="dxa"/>
            <w:vMerge/>
          </w:tcPr>
          <w:p w14:paraId="40150A77" w14:textId="77777777" w:rsidR="00975108" w:rsidRPr="00DC19F1" w:rsidRDefault="00975108" w:rsidP="000E3C74">
            <w:pPr>
              <w:pStyle w:val="NoSpacing"/>
            </w:pPr>
          </w:p>
        </w:tc>
        <w:tc>
          <w:tcPr>
            <w:tcW w:w="2409" w:type="dxa"/>
            <w:vMerge/>
          </w:tcPr>
          <w:p w14:paraId="023F5F16" w14:textId="77777777" w:rsidR="00975108" w:rsidRPr="00E043FD" w:rsidRDefault="00975108" w:rsidP="000E3C74">
            <w:pPr>
              <w:pStyle w:val="NoSpacing"/>
            </w:pPr>
          </w:p>
        </w:tc>
        <w:tc>
          <w:tcPr>
            <w:tcW w:w="2410" w:type="dxa"/>
          </w:tcPr>
          <w:p w14:paraId="542F7907" w14:textId="77777777" w:rsidR="00975108" w:rsidRPr="00DC19F1" w:rsidRDefault="00975108" w:rsidP="000E3C74">
            <w:pPr>
              <w:pStyle w:val="NoSpacing"/>
            </w:pPr>
            <w:r w:rsidRPr="006B572E">
              <w:t>Subparagraph 1202B (2) (a) (i</w:t>
            </w:r>
            <w:r>
              <w:t xml:space="preserve">i) </w:t>
            </w:r>
            <w:r w:rsidRPr="006B572E">
              <w:t xml:space="preserve">table item </w:t>
            </w:r>
            <w:r>
              <w:t>2</w:t>
            </w:r>
          </w:p>
        </w:tc>
        <w:tc>
          <w:tcPr>
            <w:tcW w:w="1843" w:type="dxa"/>
          </w:tcPr>
          <w:p w14:paraId="3C42D790" w14:textId="77777777" w:rsidR="00975108" w:rsidRPr="00DC19F1" w:rsidRDefault="00975108" w:rsidP="000E3C74">
            <w:pPr>
              <w:pStyle w:val="NoSpacing"/>
              <w:jc w:val="center"/>
            </w:pPr>
            <w:r>
              <w:t>$2 340</w:t>
            </w:r>
          </w:p>
        </w:tc>
        <w:tc>
          <w:tcPr>
            <w:tcW w:w="1559" w:type="dxa"/>
          </w:tcPr>
          <w:p w14:paraId="6B548DDF" w14:textId="77777777" w:rsidR="00975108" w:rsidRPr="00DC19F1" w:rsidRDefault="00975108" w:rsidP="000E3C74">
            <w:pPr>
              <w:pStyle w:val="NoSpacing"/>
              <w:jc w:val="center"/>
            </w:pPr>
            <w:r>
              <w:t>$3 505</w:t>
            </w:r>
          </w:p>
        </w:tc>
      </w:tr>
      <w:tr w:rsidR="00975108" w:rsidRPr="00DC19F1" w14:paraId="51F447AB" w14:textId="77777777" w:rsidTr="00D40FE0">
        <w:tc>
          <w:tcPr>
            <w:tcW w:w="2411" w:type="dxa"/>
            <w:vMerge/>
          </w:tcPr>
          <w:p w14:paraId="3EE316AF" w14:textId="77777777" w:rsidR="00975108" w:rsidRPr="00DC19F1" w:rsidRDefault="00975108" w:rsidP="000E3C74">
            <w:pPr>
              <w:pStyle w:val="NoSpacing"/>
            </w:pPr>
          </w:p>
        </w:tc>
        <w:tc>
          <w:tcPr>
            <w:tcW w:w="2409" w:type="dxa"/>
            <w:vMerge/>
          </w:tcPr>
          <w:p w14:paraId="28E9FE02" w14:textId="77777777" w:rsidR="00975108" w:rsidRPr="00E043FD" w:rsidRDefault="00975108" w:rsidP="000E3C74">
            <w:pPr>
              <w:pStyle w:val="NoSpacing"/>
            </w:pPr>
          </w:p>
        </w:tc>
        <w:tc>
          <w:tcPr>
            <w:tcW w:w="2410" w:type="dxa"/>
          </w:tcPr>
          <w:p w14:paraId="33C262AD" w14:textId="77777777" w:rsidR="00975108" w:rsidRPr="00DC19F1" w:rsidRDefault="00975108" w:rsidP="000E3C74">
            <w:pPr>
              <w:pStyle w:val="NoSpacing"/>
            </w:pPr>
            <w:r w:rsidRPr="006B572E">
              <w:t>Subparagraph 1202B (2) (a) (</w:t>
            </w:r>
            <w:r>
              <w:t xml:space="preserve">ii) </w:t>
            </w:r>
            <w:r w:rsidRPr="006B572E">
              <w:t xml:space="preserve">table item </w:t>
            </w:r>
            <w:r>
              <w:t>3</w:t>
            </w:r>
          </w:p>
        </w:tc>
        <w:tc>
          <w:tcPr>
            <w:tcW w:w="1843" w:type="dxa"/>
          </w:tcPr>
          <w:p w14:paraId="4350596B" w14:textId="77777777" w:rsidR="00975108" w:rsidRPr="00DC19F1" w:rsidRDefault="00975108" w:rsidP="000E3C74">
            <w:pPr>
              <w:pStyle w:val="NoSpacing"/>
              <w:jc w:val="center"/>
            </w:pPr>
            <w:r>
              <w:t>$1 170</w:t>
            </w:r>
          </w:p>
        </w:tc>
        <w:tc>
          <w:tcPr>
            <w:tcW w:w="1559" w:type="dxa"/>
          </w:tcPr>
          <w:p w14:paraId="7C833E27" w14:textId="77777777" w:rsidR="00975108" w:rsidRPr="00DC19F1" w:rsidRDefault="00975108" w:rsidP="000E3C74">
            <w:pPr>
              <w:pStyle w:val="NoSpacing"/>
              <w:jc w:val="center"/>
            </w:pPr>
            <w:r>
              <w:t>$1 755</w:t>
            </w:r>
          </w:p>
        </w:tc>
      </w:tr>
      <w:tr w:rsidR="00975108" w:rsidRPr="00DC19F1" w14:paraId="472900B9" w14:textId="77777777" w:rsidTr="00D40FE0">
        <w:tc>
          <w:tcPr>
            <w:tcW w:w="2411" w:type="dxa"/>
            <w:vMerge w:val="restart"/>
          </w:tcPr>
          <w:p w14:paraId="236E3B5F" w14:textId="77777777" w:rsidR="00975108" w:rsidRPr="00DC19F1" w:rsidRDefault="00975108" w:rsidP="000E3C74">
            <w:pPr>
              <w:pStyle w:val="NoSpacing"/>
            </w:pPr>
            <w:r w:rsidRPr="008B0972">
              <w:t>Prospect</w:t>
            </w:r>
            <w:r>
              <w:t>ive Marriage (Temporary) (Class </w:t>
            </w:r>
            <w:r w:rsidRPr="008B0972">
              <w:t>TO)</w:t>
            </w:r>
          </w:p>
        </w:tc>
        <w:tc>
          <w:tcPr>
            <w:tcW w:w="2409" w:type="dxa"/>
            <w:vMerge w:val="restart"/>
          </w:tcPr>
          <w:p w14:paraId="56E87397" w14:textId="77777777" w:rsidR="00975108" w:rsidRPr="0051694F" w:rsidRDefault="00975108" w:rsidP="000E3C74">
            <w:pPr>
              <w:pStyle w:val="NoSpacing"/>
            </w:pPr>
            <w:r w:rsidRPr="0051694F">
              <w:t>Subclass 300 (Prospective Marriage) visa</w:t>
            </w:r>
          </w:p>
        </w:tc>
        <w:tc>
          <w:tcPr>
            <w:tcW w:w="2410" w:type="dxa"/>
          </w:tcPr>
          <w:p w14:paraId="2EA75E05" w14:textId="77777777" w:rsidR="00975108" w:rsidRPr="00DC19F1" w:rsidRDefault="00975108" w:rsidP="000E3C74">
            <w:pPr>
              <w:pStyle w:val="NoSpacing"/>
            </w:pPr>
            <w:r w:rsidRPr="00AB1A7C">
              <w:t>Paragraph 1215 (2) (a) table item 1</w:t>
            </w:r>
          </w:p>
        </w:tc>
        <w:tc>
          <w:tcPr>
            <w:tcW w:w="1843" w:type="dxa"/>
          </w:tcPr>
          <w:p w14:paraId="65CEAA73" w14:textId="77777777" w:rsidR="00975108" w:rsidRPr="00DC19F1" w:rsidRDefault="00975108" w:rsidP="000E3C74">
            <w:pPr>
              <w:pStyle w:val="NoSpacing"/>
              <w:jc w:val="center"/>
            </w:pPr>
            <w:r w:rsidRPr="00AB1A7C">
              <w:t>$</w:t>
            </w:r>
            <w:r>
              <w:t>4 630</w:t>
            </w:r>
          </w:p>
        </w:tc>
        <w:tc>
          <w:tcPr>
            <w:tcW w:w="1559" w:type="dxa"/>
          </w:tcPr>
          <w:p w14:paraId="446DE64D" w14:textId="77777777" w:rsidR="00975108" w:rsidRPr="00DC19F1" w:rsidRDefault="00975108" w:rsidP="000E3C74">
            <w:pPr>
              <w:pStyle w:val="NoSpacing"/>
              <w:jc w:val="center"/>
            </w:pPr>
            <w:r>
              <w:t>$6 865</w:t>
            </w:r>
          </w:p>
        </w:tc>
      </w:tr>
      <w:tr w:rsidR="00975108" w:rsidRPr="00DC19F1" w14:paraId="717D045E" w14:textId="77777777" w:rsidTr="00D40FE0">
        <w:tc>
          <w:tcPr>
            <w:tcW w:w="2411" w:type="dxa"/>
            <w:vMerge/>
          </w:tcPr>
          <w:p w14:paraId="0B0D9081" w14:textId="77777777" w:rsidR="00975108" w:rsidRPr="00DC19F1" w:rsidRDefault="00975108" w:rsidP="000E3C74">
            <w:pPr>
              <w:pStyle w:val="NoSpacing"/>
            </w:pPr>
          </w:p>
        </w:tc>
        <w:tc>
          <w:tcPr>
            <w:tcW w:w="2409" w:type="dxa"/>
            <w:vMerge/>
          </w:tcPr>
          <w:p w14:paraId="226D496E" w14:textId="77777777" w:rsidR="00975108" w:rsidRPr="00DC19F1" w:rsidRDefault="00975108" w:rsidP="000E3C74">
            <w:pPr>
              <w:pStyle w:val="NoSpacing"/>
            </w:pPr>
          </w:p>
        </w:tc>
        <w:tc>
          <w:tcPr>
            <w:tcW w:w="2410" w:type="dxa"/>
          </w:tcPr>
          <w:p w14:paraId="55A6CD03" w14:textId="77777777" w:rsidR="00975108" w:rsidRPr="00DC19F1" w:rsidRDefault="00975108" w:rsidP="000E3C74">
            <w:pPr>
              <w:pStyle w:val="NoSpacing"/>
            </w:pPr>
            <w:r w:rsidRPr="00AB1A7C">
              <w:t>Paragraph 1215 (2) (a) table item 2</w:t>
            </w:r>
          </w:p>
        </w:tc>
        <w:tc>
          <w:tcPr>
            <w:tcW w:w="1843" w:type="dxa"/>
          </w:tcPr>
          <w:p w14:paraId="7B13D3F0" w14:textId="77777777" w:rsidR="00975108" w:rsidRPr="00DC19F1" w:rsidRDefault="00975108" w:rsidP="000E3C74">
            <w:pPr>
              <w:pStyle w:val="NoSpacing"/>
              <w:jc w:val="center"/>
            </w:pPr>
            <w:r>
              <w:t>$2 320</w:t>
            </w:r>
          </w:p>
        </w:tc>
        <w:tc>
          <w:tcPr>
            <w:tcW w:w="1559" w:type="dxa"/>
          </w:tcPr>
          <w:p w14:paraId="42B694F3" w14:textId="77777777" w:rsidR="00975108" w:rsidRPr="00DC19F1" w:rsidRDefault="00975108" w:rsidP="000E3C74">
            <w:pPr>
              <w:pStyle w:val="NoSpacing"/>
              <w:jc w:val="center"/>
            </w:pPr>
            <w:r>
              <w:t>$3 435</w:t>
            </w:r>
          </w:p>
        </w:tc>
      </w:tr>
      <w:tr w:rsidR="00975108" w:rsidRPr="00DC19F1" w14:paraId="6D29AB73" w14:textId="77777777" w:rsidTr="00D40FE0">
        <w:tc>
          <w:tcPr>
            <w:tcW w:w="2411" w:type="dxa"/>
            <w:vMerge/>
          </w:tcPr>
          <w:p w14:paraId="641D7F09" w14:textId="77777777" w:rsidR="00975108" w:rsidRPr="00DC19F1" w:rsidRDefault="00975108" w:rsidP="000E3C74">
            <w:pPr>
              <w:pStyle w:val="NoSpacing"/>
            </w:pPr>
          </w:p>
        </w:tc>
        <w:tc>
          <w:tcPr>
            <w:tcW w:w="2409" w:type="dxa"/>
            <w:vMerge/>
          </w:tcPr>
          <w:p w14:paraId="5A9F63E5" w14:textId="77777777" w:rsidR="00975108" w:rsidRPr="00DC19F1" w:rsidRDefault="00975108" w:rsidP="000E3C74">
            <w:pPr>
              <w:pStyle w:val="NoSpacing"/>
            </w:pPr>
          </w:p>
        </w:tc>
        <w:tc>
          <w:tcPr>
            <w:tcW w:w="2410" w:type="dxa"/>
          </w:tcPr>
          <w:p w14:paraId="2FC82A0D" w14:textId="77777777" w:rsidR="00975108" w:rsidRPr="00DC19F1" w:rsidRDefault="00975108" w:rsidP="000E3C74">
            <w:pPr>
              <w:pStyle w:val="NoSpacing"/>
            </w:pPr>
            <w:r w:rsidRPr="00AB1A7C">
              <w:t>Paragraph 1215 (2) (a) table item 3</w:t>
            </w:r>
          </w:p>
        </w:tc>
        <w:tc>
          <w:tcPr>
            <w:tcW w:w="1843" w:type="dxa"/>
          </w:tcPr>
          <w:p w14:paraId="2D01F0BE" w14:textId="77777777" w:rsidR="00975108" w:rsidRPr="00DC19F1" w:rsidRDefault="00975108" w:rsidP="000E3C74">
            <w:pPr>
              <w:pStyle w:val="NoSpacing"/>
              <w:jc w:val="center"/>
            </w:pPr>
            <w:r>
              <w:t>$1 155</w:t>
            </w:r>
          </w:p>
        </w:tc>
        <w:tc>
          <w:tcPr>
            <w:tcW w:w="1559" w:type="dxa"/>
          </w:tcPr>
          <w:p w14:paraId="3E7D6F75" w14:textId="77777777" w:rsidR="00975108" w:rsidRPr="00DC19F1" w:rsidRDefault="00975108" w:rsidP="000E3C74">
            <w:pPr>
              <w:pStyle w:val="NoSpacing"/>
              <w:jc w:val="center"/>
            </w:pPr>
            <w:r>
              <w:t>$1 720</w:t>
            </w:r>
          </w:p>
        </w:tc>
      </w:tr>
      <w:tr w:rsidR="00975108" w:rsidRPr="00DC19F1" w14:paraId="2ECC0F05" w14:textId="77777777" w:rsidTr="00D40FE0">
        <w:tc>
          <w:tcPr>
            <w:tcW w:w="2411" w:type="dxa"/>
            <w:vMerge w:val="restart"/>
          </w:tcPr>
          <w:p w14:paraId="72A353B5" w14:textId="77777777" w:rsidR="00975108" w:rsidRPr="00DC19F1" w:rsidRDefault="00975108" w:rsidP="000E3C74">
            <w:pPr>
              <w:pStyle w:val="NoSpacing"/>
            </w:pPr>
            <w:r w:rsidRPr="008B0972">
              <w:t>Contrib</w:t>
            </w:r>
            <w:r>
              <w:t>utory Parent (Temporary) (Class </w:t>
            </w:r>
            <w:r w:rsidRPr="008B0972">
              <w:t>UT)</w:t>
            </w:r>
          </w:p>
        </w:tc>
        <w:tc>
          <w:tcPr>
            <w:tcW w:w="2409" w:type="dxa"/>
            <w:vMerge w:val="restart"/>
          </w:tcPr>
          <w:p w14:paraId="463D230D" w14:textId="2CAF4308" w:rsidR="00975108" w:rsidRPr="00DC19F1" w:rsidRDefault="00975108" w:rsidP="009B689A">
            <w:pPr>
              <w:pStyle w:val="NoSpacing"/>
            </w:pPr>
            <w:r>
              <w:t xml:space="preserve">Subclass </w:t>
            </w:r>
            <w:r w:rsidRPr="008B0972">
              <w:t>173 (Contributory Parent (Temporary))</w:t>
            </w:r>
            <w:r>
              <w:t xml:space="preserve"> visa</w:t>
            </w:r>
          </w:p>
        </w:tc>
        <w:tc>
          <w:tcPr>
            <w:tcW w:w="2410" w:type="dxa"/>
          </w:tcPr>
          <w:p w14:paraId="32767E3E" w14:textId="77777777" w:rsidR="00975108" w:rsidRPr="00DC19F1" w:rsidRDefault="00975108" w:rsidP="000E3C74">
            <w:pPr>
              <w:pStyle w:val="NoSpacing"/>
            </w:pPr>
            <w:r w:rsidRPr="00AA5AEB">
              <w:t>Subparagraph 1221 (2) (a) (iii)</w:t>
            </w:r>
            <w:r>
              <w:t xml:space="preserve"> table item 1</w:t>
            </w:r>
          </w:p>
        </w:tc>
        <w:tc>
          <w:tcPr>
            <w:tcW w:w="1843" w:type="dxa"/>
          </w:tcPr>
          <w:p w14:paraId="06D5E62C" w14:textId="77777777" w:rsidR="00975108" w:rsidRPr="00DC19F1" w:rsidRDefault="00975108" w:rsidP="000E3C74">
            <w:pPr>
              <w:pStyle w:val="NoSpacing"/>
              <w:jc w:val="center"/>
            </w:pPr>
            <w:r w:rsidRPr="00AA5AEB">
              <w:t>$</w:t>
            </w:r>
            <w:r>
              <w:t>2 370</w:t>
            </w:r>
          </w:p>
        </w:tc>
        <w:tc>
          <w:tcPr>
            <w:tcW w:w="1559" w:type="dxa"/>
          </w:tcPr>
          <w:p w14:paraId="56EBCAB3" w14:textId="77777777" w:rsidR="00975108" w:rsidRPr="00DC19F1" w:rsidRDefault="00975108" w:rsidP="000E3C74">
            <w:pPr>
              <w:pStyle w:val="NoSpacing"/>
              <w:jc w:val="center"/>
            </w:pPr>
            <w:r w:rsidRPr="00AA5AEB">
              <w:t>$2</w:t>
            </w:r>
            <w:r>
              <w:t xml:space="preserve"> 490</w:t>
            </w:r>
          </w:p>
        </w:tc>
      </w:tr>
      <w:tr w:rsidR="00975108" w:rsidRPr="00DC19F1" w14:paraId="21545C3D" w14:textId="77777777" w:rsidTr="00D40FE0">
        <w:tc>
          <w:tcPr>
            <w:tcW w:w="2411" w:type="dxa"/>
            <w:vMerge/>
          </w:tcPr>
          <w:p w14:paraId="6568EC0F" w14:textId="77777777" w:rsidR="00975108" w:rsidRPr="00DC19F1" w:rsidRDefault="00975108" w:rsidP="000E3C74">
            <w:pPr>
              <w:pStyle w:val="NoSpacing"/>
            </w:pPr>
          </w:p>
        </w:tc>
        <w:tc>
          <w:tcPr>
            <w:tcW w:w="2409" w:type="dxa"/>
            <w:vMerge/>
          </w:tcPr>
          <w:p w14:paraId="0534F2F7" w14:textId="77777777" w:rsidR="00975108" w:rsidRPr="00DC19F1" w:rsidRDefault="00975108" w:rsidP="000E3C74">
            <w:pPr>
              <w:pStyle w:val="NoSpacing"/>
            </w:pPr>
          </w:p>
        </w:tc>
        <w:tc>
          <w:tcPr>
            <w:tcW w:w="2410" w:type="dxa"/>
          </w:tcPr>
          <w:p w14:paraId="5B599657" w14:textId="77777777" w:rsidR="00975108" w:rsidRPr="00DC19F1" w:rsidRDefault="00975108" w:rsidP="000E3C74">
            <w:pPr>
              <w:pStyle w:val="NoSpacing"/>
            </w:pPr>
            <w:r w:rsidRPr="00AA5AEB">
              <w:t>Subparagraph 1221 (2) (a) (iii)</w:t>
            </w:r>
            <w:r>
              <w:t xml:space="preserve"> table item 2</w:t>
            </w:r>
          </w:p>
        </w:tc>
        <w:tc>
          <w:tcPr>
            <w:tcW w:w="1843" w:type="dxa"/>
          </w:tcPr>
          <w:p w14:paraId="16E972AE" w14:textId="77777777" w:rsidR="00975108" w:rsidRPr="00DC19F1" w:rsidRDefault="00975108" w:rsidP="000E3C74">
            <w:pPr>
              <w:pStyle w:val="NoSpacing"/>
              <w:jc w:val="center"/>
            </w:pPr>
            <w:r w:rsidRPr="00AA5AEB">
              <w:t>$1</w:t>
            </w:r>
            <w:r>
              <w:t xml:space="preserve"> 185</w:t>
            </w:r>
          </w:p>
        </w:tc>
        <w:tc>
          <w:tcPr>
            <w:tcW w:w="1559" w:type="dxa"/>
          </w:tcPr>
          <w:p w14:paraId="14E14658" w14:textId="77777777" w:rsidR="00975108" w:rsidRPr="00DC19F1" w:rsidRDefault="00975108" w:rsidP="000E3C74">
            <w:pPr>
              <w:pStyle w:val="NoSpacing"/>
              <w:jc w:val="center"/>
            </w:pPr>
            <w:r>
              <w:t>$1 24</w:t>
            </w:r>
            <w:r w:rsidRPr="00AA5AEB">
              <w:t>5</w:t>
            </w:r>
          </w:p>
        </w:tc>
      </w:tr>
      <w:tr w:rsidR="00975108" w:rsidRPr="00DC19F1" w14:paraId="5321B29F" w14:textId="77777777" w:rsidTr="00D40FE0">
        <w:tc>
          <w:tcPr>
            <w:tcW w:w="2411" w:type="dxa"/>
            <w:vMerge/>
          </w:tcPr>
          <w:p w14:paraId="3C634177" w14:textId="77777777" w:rsidR="00975108" w:rsidRPr="00DC19F1" w:rsidRDefault="00975108" w:rsidP="000E3C74">
            <w:pPr>
              <w:pStyle w:val="NoSpacing"/>
            </w:pPr>
          </w:p>
        </w:tc>
        <w:tc>
          <w:tcPr>
            <w:tcW w:w="2409" w:type="dxa"/>
            <w:vMerge/>
          </w:tcPr>
          <w:p w14:paraId="46D339A3" w14:textId="77777777" w:rsidR="00975108" w:rsidRPr="00DC19F1" w:rsidRDefault="00975108" w:rsidP="000E3C74">
            <w:pPr>
              <w:pStyle w:val="NoSpacing"/>
            </w:pPr>
          </w:p>
        </w:tc>
        <w:tc>
          <w:tcPr>
            <w:tcW w:w="2410" w:type="dxa"/>
          </w:tcPr>
          <w:p w14:paraId="30570007" w14:textId="77777777" w:rsidR="00975108" w:rsidRPr="00DC19F1" w:rsidRDefault="00975108" w:rsidP="000E3C74">
            <w:pPr>
              <w:pStyle w:val="NoSpacing"/>
            </w:pPr>
            <w:r w:rsidRPr="00AA5AEB">
              <w:t>Subparagraph 1221 (2) (a) (iii)</w:t>
            </w:r>
            <w:r>
              <w:t xml:space="preserve"> table item 3</w:t>
            </w:r>
          </w:p>
        </w:tc>
        <w:tc>
          <w:tcPr>
            <w:tcW w:w="1843" w:type="dxa"/>
          </w:tcPr>
          <w:p w14:paraId="14A8CFE8" w14:textId="77777777" w:rsidR="00975108" w:rsidRPr="00DC19F1" w:rsidRDefault="00975108" w:rsidP="000E3C74">
            <w:pPr>
              <w:pStyle w:val="NoSpacing"/>
              <w:jc w:val="center"/>
            </w:pPr>
            <w:r w:rsidRPr="00AA5AEB">
              <w:t>$</w:t>
            </w:r>
            <w:r>
              <w:t>595</w:t>
            </w:r>
          </w:p>
        </w:tc>
        <w:tc>
          <w:tcPr>
            <w:tcW w:w="1559" w:type="dxa"/>
          </w:tcPr>
          <w:p w14:paraId="2B3CB613" w14:textId="77777777" w:rsidR="00975108" w:rsidRPr="00DC19F1" w:rsidRDefault="00975108" w:rsidP="000E3C74">
            <w:pPr>
              <w:pStyle w:val="NoSpacing"/>
              <w:jc w:val="center"/>
            </w:pPr>
            <w:r w:rsidRPr="00AA5AEB">
              <w:t>$</w:t>
            </w:r>
            <w:r>
              <w:t>625</w:t>
            </w:r>
          </w:p>
        </w:tc>
      </w:tr>
      <w:tr w:rsidR="00975108" w:rsidRPr="00DC19F1" w14:paraId="57DB0CB5" w14:textId="77777777" w:rsidTr="00D40FE0">
        <w:tc>
          <w:tcPr>
            <w:tcW w:w="2411" w:type="dxa"/>
            <w:vMerge w:val="restart"/>
          </w:tcPr>
          <w:p w14:paraId="4ECE4EAF" w14:textId="77777777" w:rsidR="00975108" w:rsidRPr="00DC19F1" w:rsidRDefault="00975108" w:rsidP="000E3C74">
            <w:pPr>
              <w:pStyle w:val="NoSpacing"/>
            </w:pPr>
            <w:r w:rsidRPr="008B0972">
              <w:t>Contributory Aged Parent (Temporary) (Class UU)</w:t>
            </w:r>
          </w:p>
        </w:tc>
        <w:tc>
          <w:tcPr>
            <w:tcW w:w="2409" w:type="dxa"/>
            <w:vMerge w:val="restart"/>
          </w:tcPr>
          <w:p w14:paraId="5BAD7001" w14:textId="77777777" w:rsidR="00975108" w:rsidRPr="00DC19F1" w:rsidRDefault="00975108" w:rsidP="000E3C74">
            <w:pPr>
              <w:pStyle w:val="NoSpacing"/>
            </w:pPr>
            <w:r>
              <w:t xml:space="preserve">Subclass </w:t>
            </w:r>
            <w:r w:rsidRPr="008B0972">
              <w:t>884 (Contributory Aged Parent (Temporary))</w:t>
            </w:r>
            <w:r>
              <w:t xml:space="preserve"> visa</w:t>
            </w:r>
          </w:p>
        </w:tc>
        <w:tc>
          <w:tcPr>
            <w:tcW w:w="2410" w:type="dxa"/>
          </w:tcPr>
          <w:p w14:paraId="27AECDCD" w14:textId="77777777" w:rsidR="00975108" w:rsidRPr="00DC19F1" w:rsidRDefault="00975108" w:rsidP="000E3C74">
            <w:pPr>
              <w:pStyle w:val="NoSpacing"/>
            </w:pPr>
            <w:r w:rsidRPr="00F13899">
              <w:t>Subparagraph 1221A (2) (a) (iii)</w:t>
            </w:r>
            <w:r>
              <w:t xml:space="preserve"> table item 1</w:t>
            </w:r>
          </w:p>
        </w:tc>
        <w:tc>
          <w:tcPr>
            <w:tcW w:w="1843" w:type="dxa"/>
          </w:tcPr>
          <w:p w14:paraId="7819F97A" w14:textId="77777777" w:rsidR="00975108" w:rsidRPr="00DC19F1" w:rsidRDefault="00975108" w:rsidP="000E3C74">
            <w:pPr>
              <w:pStyle w:val="NoSpacing"/>
              <w:jc w:val="center"/>
            </w:pPr>
            <w:r w:rsidRPr="00F13899">
              <w:t>$</w:t>
            </w:r>
            <w:r>
              <w:t>3 52</w:t>
            </w:r>
            <w:r w:rsidRPr="00F13899">
              <w:t>0</w:t>
            </w:r>
          </w:p>
        </w:tc>
        <w:tc>
          <w:tcPr>
            <w:tcW w:w="1559" w:type="dxa"/>
          </w:tcPr>
          <w:p w14:paraId="1784AC84" w14:textId="77777777" w:rsidR="00975108" w:rsidRPr="00DC19F1" w:rsidRDefault="00975108" w:rsidP="000E3C74">
            <w:pPr>
              <w:pStyle w:val="NoSpacing"/>
              <w:jc w:val="center"/>
            </w:pPr>
            <w:r w:rsidRPr="00F13899">
              <w:t>$3</w:t>
            </w:r>
            <w:r>
              <w:t xml:space="preserve"> </w:t>
            </w:r>
            <w:r w:rsidRPr="00F13899">
              <w:t>6</w:t>
            </w:r>
            <w:r>
              <w:t>95</w:t>
            </w:r>
          </w:p>
        </w:tc>
      </w:tr>
      <w:tr w:rsidR="00975108" w:rsidRPr="00DC19F1" w14:paraId="6869BDDA" w14:textId="77777777" w:rsidTr="00D40FE0">
        <w:tc>
          <w:tcPr>
            <w:tcW w:w="2411" w:type="dxa"/>
            <w:vMerge/>
          </w:tcPr>
          <w:p w14:paraId="098363E8" w14:textId="77777777" w:rsidR="00975108" w:rsidRPr="00DC19F1" w:rsidRDefault="00975108" w:rsidP="000E3C74">
            <w:pPr>
              <w:pStyle w:val="NoSpacing"/>
            </w:pPr>
          </w:p>
        </w:tc>
        <w:tc>
          <w:tcPr>
            <w:tcW w:w="2409" w:type="dxa"/>
            <w:vMerge/>
          </w:tcPr>
          <w:p w14:paraId="109C8131" w14:textId="77777777" w:rsidR="00975108" w:rsidRPr="00DC19F1" w:rsidRDefault="00975108" w:rsidP="000E3C74">
            <w:pPr>
              <w:pStyle w:val="NoSpacing"/>
            </w:pPr>
          </w:p>
        </w:tc>
        <w:tc>
          <w:tcPr>
            <w:tcW w:w="2410" w:type="dxa"/>
          </w:tcPr>
          <w:p w14:paraId="5F14FA55" w14:textId="77777777" w:rsidR="00975108" w:rsidRPr="00DC19F1" w:rsidRDefault="00975108" w:rsidP="000E3C74">
            <w:pPr>
              <w:pStyle w:val="NoSpacing"/>
            </w:pPr>
            <w:r w:rsidRPr="00F13899">
              <w:t>Subparagraph 1221A (2) (a) (iii)</w:t>
            </w:r>
            <w:r>
              <w:t xml:space="preserve"> table item 2</w:t>
            </w:r>
          </w:p>
        </w:tc>
        <w:tc>
          <w:tcPr>
            <w:tcW w:w="1843" w:type="dxa"/>
          </w:tcPr>
          <w:p w14:paraId="42D47E4C" w14:textId="77777777" w:rsidR="00975108" w:rsidRPr="00DC19F1" w:rsidRDefault="00975108" w:rsidP="000E3C74">
            <w:pPr>
              <w:pStyle w:val="NoSpacing"/>
              <w:jc w:val="center"/>
            </w:pPr>
            <w:r w:rsidRPr="00F13899">
              <w:t>$1</w:t>
            </w:r>
            <w:r>
              <w:t xml:space="preserve"> </w:t>
            </w:r>
            <w:r w:rsidRPr="00F13899">
              <w:t>7</w:t>
            </w:r>
            <w:r>
              <w:t>6</w:t>
            </w:r>
            <w:r w:rsidRPr="00F13899">
              <w:t>0</w:t>
            </w:r>
          </w:p>
        </w:tc>
        <w:tc>
          <w:tcPr>
            <w:tcW w:w="1559" w:type="dxa"/>
          </w:tcPr>
          <w:p w14:paraId="6CFE0744" w14:textId="77777777" w:rsidR="00975108" w:rsidRPr="00DC19F1" w:rsidRDefault="00975108" w:rsidP="000E3C74">
            <w:pPr>
              <w:pStyle w:val="NoSpacing"/>
              <w:jc w:val="center"/>
            </w:pPr>
            <w:r w:rsidRPr="00F13899">
              <w:t>$1</w:t>
            </w:r>
            <w:r>
              <w:t xml:space="preserve"> </w:t>
            </w:r>
            <w:r w:rsidRPr="00F13899">
              <w:t>8</w:t>
            </w:r>
            <w:r>
              <w:t>4</w:t>
            </w:r>
            <w:r w:rsidRPr="00F13899">
              <w:t>5</w:t>
            </w:r>
          </w:p>
        </w:tc>
      </w:tr>
      <w:tr w:rsidR="00975108" w:rsidRPr="00DC19F1" w14:paraId="0EE26892" w14:textId="77777777" w:rsidTr="00D40FE0">
        <w:tc>
          <w:tcPr>
            <w:tcW w:w="2411" w:type="dxa"/>
            <w:vMerge/>
          </w:tcPr>
          <w:p w14:paraId="3BA541AB" w14:textId="77777777" w:rsidR="00975108" w:rsidRPr="00DC19F1" w:rsidRDefault="00975108" w:rsidP="000E3C74">
            <w:pPr>
              <w:pStyle w:val="NoSpacing"/>
            </w:pPr>
          </w:p>
        </w:tc>
        <w:tc>
          <w:tcPr>
            <w:tcW w:w="2409" w:type="dxa"/>
            <w:vMerge/>
          </w:tcPr>
          <w:p w14:paraId="4DD4FF0F" w14:textId="77777777" w:rsidR="00975108" w:rsidRPr="00DC19F1" w:rsidRDefault="00975108" w:rsidP="000E3C74">
            <w:pPr>
              <w:pStyle w:val="NoSpacing"/>
            </w:pPr>
          </w:p>
        </w:tc>
        <w:tc>
          <w:tcPr>
            <w:tcW w:w="2410" w:type="dxa"/>
          </w:tcPr>
          <w:p w14:paraId="7F49B64A" w14:textId="77777777" w:rsidR="00975108" w:rsidRPr="00DC19F1" w:rsidRDefault="00975108" w:rsidP="000E3C74">
            <w:pPr>
              <w:pStyle w:val="NoSpacing"/>
            </w:pPr>
            <w:r>
              <w:t>Subparagraph 1221A (2) (a</w:t>
            </w:r>
            <w:r w:rsidRPr="00F13899">
              <w:t>) (iii)</w:t>
            </w:r>
            <w:r>
              <w:t xml:space="preserve"> table item 3</w:t>
            </w:r>
          </w:p>
        </w:tc>
        <w:tc>
          <w:tcPr>
            <w:tcW w:w="1843" w:type="dxa"/>
          </w:tcPr>
          <w:p w14:paraId="49E33EE7" w14:textId="77777777" w:rsidR="00975108" w:rsidRPr="00DC19F1" w:rsidRDefault="00975108" w:rsidP="000E3C74">
            <w:pPr>
              <w:pStyle w:val="NoSpacing"/>
              <w:jc w:val="center"/>
            </w:pPr>
            <w:r w:rsidRPr="00F13899">
              <w:t>$</w:t>
            </w:r>
            <w:r>
              <w:t>88</w:t>
            </w:r>
            <w:r w:rsidRPr="00F13899">
              <w:t>0</w:t>
            </w:r>
          </w:p>
        </w:tc>
        <w:tc>
          <w:tcPr>
            <w:tcW w:w="1559" w:type="dxa"/>
          </w:tcPr>
          <w:p w14:paraId="2DF0EDE0" w14:textId="77777777" w:rsidR="00975108" w:rsidRPr="00DC19F1" w:rsidRDefault="00975108" w:rsidP="000E3C74">
            <w:pPr>
              <w:pStyle w:val="NoSpacing"/>
              <w:jc w:val="center"/>
            </w:pPr>
            <w:r w:rsidRPr="00F13899">
              <w:t>$</w:t>
            </w:r>
            <w:r>
              <w:t>9</w:t>
            </w:r>
            <w:r w:rsidRPr="00F13899">
              <w:t>25</w:t>
            </w:r>
          </w:p>
        </w:tc>
      </w:tr>
      <w:tr w:rsidR="00975108" w:rsidRPr="00DC19F1" w14:paraId="3239BE4B" w14:textId="77777777" w:rsidTr="00D40FE0">
        <w:tc>
          <w:tcPr>
            <w:tcW w:w="2411" w:type="dxa"/>
            <w:vMerge w:val="restart"/>
          </w:tcPr>
          <w:p w14:paraId="1ED25360" w14:textId="77777777" w:rsidR="00975108" w:rsidRPr="00DC19F1" w:rsidRDefault="00975108" w:rsidP="000E3C74">
            <w:pPr>
              <w:pStyle w:val="NoSpacing"/>
            </w:pPr>
            <w:r w:rsidRPr="00F53603">
              <w:t>Student (Temporary) (Class TU)</w:t>
            </w:r>
          </w:p>
        </w:tc>
        <w:tc>
          <w:tcPr>
            <w:tcW w:w="2409" w:type="dxa"/>
            <w:vMerge w:val="restart"/>
          </w:tcPr>
          <w:p w14:paraId="05D55568" w14:textId="77777777" w:rsidR="00975108" w:rsidRPr="00DC19F1" w:rsidRDefault="00975108" w:rsidP="000E3C74">
            <w:pPr>
              <w:pStyle w:val="NoSpacing"/>
            </w:pPr>
            <w:r>
              <w:t>Visa Subclasses 570 (Independent ELICOS Sector), 571) Schools Sector), 572 (Vocational Education and Training Sector), 573 (Higher Education Sector), 574 (Postgraduate Research Sector), 575 (Non-Award Sector), and 580 (Student Guardian).</w:t>
            </w:r>
          </w:p>
        </w:tc>
        <w:tc>
          <w:tcPr>
            <w:tcW w:w="2410" w:type="dxa"/>
          </w:tcPr>
          <w:p w14:paraId="26FDF171" w14:textId="775E7EC3" w:rsidR="00975108" w:rsidRPr="00DC19F1" w:rsidRDefault="00975108" w:rsidP="009B689A">
            <w:pPr>
              <w:pStyle w:val="NoSpacing"/>
            </w:pPr>
            <w:r w:rsidRPr="003235D8">
              <w:t>Subparagraph 1222 (2) (a) (x) table item 1</w:t>
            </w:r>
          </w:p>
        </w:tc>
        <w:tc>
          <w:tcPr>
            <w:tcW w:w="1843" w:type="dxa"/>
          </w:tcPr>
          <w:p w14:paraId="77244F71" w14:textId="77777777" w:rsidR="00975108" w:rsidRPr="00DC19F1" w:rsidRDefault="00975108" w:rsidP="000E3C74">
            <w:pPr>
              <w:pStyle w:val="NoSpacing"/>
              <w:jc w:val="center"/>
            </w:pPr>
            <w:r w:rsidRPr="003235D8">
              <w:rPr>
                <w:color w:val="000000"/>
              </w:rPr>
              <w:t>$535</w:t>
            </w:r>
          </w:p>
        </w:tc>
        <w:tc>
          <w:tcPr>
            <w:tcW w:w="1559" w:type="dxa"/>
          </w:tcPr>
          <w:p w14:paraId="4708A89F" w14:textId="77777777" w:rsidR="00975108" w:rsidRPr="00DC19F1" w:rsidRDefault="00975108" w:rsidP="000E3C74">
            <w:pPr>
              <w:pStyle w:val="NoSpacing"/>
              <w:jc w:val="center"/>
            </w:pPr>
            <w:r>
              <w:t>$550</w:t>
            </w:r>
          </w:p>
        </w:tc>
      </w:tr>
      <w:tr w:rsidR="00975108" w:rsidRPr="00DC19F1" w14:paraId="4871CB7D" w14:textId="77777777" w:rsidTr="00D40FE0">
        <w:trPr>
          <w:trHeight w:val="806"/>
        </w:trPr>
        <w:tc>
          <w:tcPr>
            <w:tcW w:w="2411" w:type="dxa"/>
            <w:vMerge/>
          </w:tcPr>
          <w:p w14:paraId="6C46179D" w14:textId="77777777" w:rsidR="00975108" w:rsidRPr="00DC19F1" w:rsidRDefault="00975108" w:rsidP="000E3C74">
            <w:pPr>
              <w:pStyle w:val="NoSpacing"/>
            </w:pPr>
          </w:p>
        </w:tc>
        <w:tc>
          <w:tcPr>
            <w:tcW w:w="2409" w:type="dxa"/>
            <w:vMerge/>
          </w:tcPr>
          <w:p w14:paraId="5804D01B" w14:textId="77777777" w:rsidR="00975108" w:rsidRPr="00DC19F1" w:rsidRDefault="00975108" w:rsidP="000E3C74">
            <w:pPr>
              <w:pStyle w:val="NoSpacing"/>
            </w:pPr>
          </w:p>
        </w:tc>
        <w:tc>
          <w:tcPr>
            <w:tcW w:w="2410" w:type="dxa"/>
          </w:tcPr>
          <w:p w14:paraId="4AA6FE19" w14:textId="5AAB440D" w:rsidR="00975108" w:rsidRPr="00DC19F1" w:rsidRDefault="00975108" w:rsidP="009B689A">
            <w:pPr>
              <w:pStyle w:val="NoSpacing"/>
            </w:pPr>
            <w:r w:rsidRPr="003235D8">
              <w:t>Subparagraph 1222 (2) (a) (x) table item 4</w:t>
            </w:r>
          </w:p>
        </w:tc>
        <w:tc>
          <w:tcPr>
            <w:tcW w:w="1843" w:type="dxa"/>
          </w:tcPr>
          <w:p w14:paraId="036EE79E" w14:textId="77777777" w:rsidR="00975108" w:rsidRPr="00DC19F1" w:rsidRDefault="00975108" w:rsidP="000E3C74">
            <w:pPr>
              <w:pStyle w:val="NoSpacing"/>
              <w:jc w:val="center"/>
            </w:pPr>
            <w:r>
              <w:rPr>
                <w:color w:val="000000"/>
              </w:rPr>
              <w:t>$40</w:t>
            </w:r>
            <w:r w:rsidRPr="003235D8">
              <w:rPr>
                <w:color w:val="000000"/>
              </w:rPr>
              <w:t>5</w:t>
            </w:r>
          </w:p>
        </w:tc>
        <w:tc>
          <w:tcPr>
            <w:tcW w:w="1559" w:type="dxa"/>
          </w:tcPr>
          <w:p w14:paraId="50B84667" w14:textId="77777777" w:rsidR="00975108" w:rsidRPr="00DC19F1" w:rsidRDefault="00975108" w:rsidP="000E3C74">
            <w:pPr>
              <w:pStyle w:val="NoSpacing"/>
              <w:jc w:val="center"/>
            </w:pPr>
            <w:r>
              <w:t>$410</w:t>
            </w:r>
          </w:p>
        </w:tc>
      </w:tr>
      <w:tr w:rsidR="00975108" w:rsidRPr="00DC19F1" w14:paraId="1D8D0B2E" w14:textId="77777777" w:rsidTr="00D40FE0">
        <w:tc>
          <w:tcPr>
            <w:tcW w:w="2411" w:type="dxa"/>
            <w:vMerge w:val="restart"/>
          </w:tcPr>
          <w:p w14:paraId="50984DBB" w14:textId="77777777" w:rsidR="00975108" w:rsidRPr="00DC19F1" w:rsidRDefault="00975108" w:rsidP="000E3C74">
            <w:pPr>
              <w:pStyle w:val="NoSpacing"/>
            </w:pPr>
            <w:r w:rsidRPr="00A73A1F">
              <w:t>Temporary Business Entry (Class UC)</w:t>
            </w:r>
          </w:p>
        </w:tc>
        <w:tc>
          <w:tcPr>
            <w:tcW w:w="2409" w:type="dxa"/>
            <w:vMerge w:val="restart"/>
          </w:tcPr>
          <w:p w14:paraId="7DEAD82B" w14:textId="77777777" w:rsidR="00975108" w:rsidRPr="00DC19F1" w:rsidRDefault="00975108" w:rsidP="000E3C74">
            <w:pPr>
              <w:pStyle w:val="NoSpacing"/>
            </w:pPr>
            <w:r>
              <w:t xml:space="preserve">Subclass </w:t>
            </w:r>
            <w:r w:rsidRPr="00A73A1F">
              <w:t>457 (Temporary Work (Skilled))</w:t>
            </w:r>
            <w:r>
              <w:t xml:space="preserve"> visa</w:t>
            </w:r>
          </w:p>
        </w:tc>
        <w:tc>
          <w:tcPr>
            <w:tcW w:w="2410" w:type="dxa"/>
          </w:tcPr>
          <w:p w14:paraId="3573F6A3" w14:textId="77777777" w:rsidR="00975108" w:rsidRPr="00DC19F1" w:rsidRDefault="00975108" w:rsidP="000E3C74">
            <w:pPr>
              <w:pStyle w:val="NoSpacing"/>
            </w:pPr>
            <w:r>
              <w:t>P</w:t>
            </w:r>
            <w:r w:rsidRPr="00481EE6">
              <w:t>aragraph 1223A (2) (a) table item 1</w:t>
            </w:r>
          </w:p>
        </w:tc>
        <w:tc>
          <w:tcPr>
            <w:tcW w:w="1843" w:type="dxa"/>
          </w:tcPr>
          <w:p w14:paraId="3CC99F5C" w14:textId="77777777" w:rsidR="00975108" w:rsidRPr="00DC19F1" w:rsidRDefault="00975108" w:rsidP="000E3C74">
            <w:pPr>
              <w:pStyle w:val="NoSpacing"/>
              <w:jc w:val="center"/>
            </w:pPr>
            <w:r w:rsidRPr="0044714E">
              <w:rPr>
                <w:color w:val="000000"/>
              </w:rPr>
              <w:t>$1</w:t>
            </w:r>
            <w:r>
              <w:rPr>
                <w:color w:val="000000"/>
              </w:rPr>
              <w:t xml:space="preserve"> 035</w:t>
            </w:r>
          </w:p>
        </w:tc>
        <w:tc>
          <w:tcPr>
            <w:tcW w:w="1559" w:type="dxa"/>
          </w:tcPr>
          <w:p w14:paraId="1DF36597" w14:textId="77777777" w:rsidR="00975108" w:rsidRPr="00DC19F1" w:rsidRDefault="00975108" w:rsidP="000E3C74">
            <w:pPr>
              <w:pStyle w:val="NoSpacing"/>
              <w:jc w:val="center"/>
            </w:pPr>
            <w:r>
              <w:t>$1 060</w:t>
            </w:r>
          </w:p>
        </w:tc>
      </w:tr>
      <w:tr w:rsidR="00975108" w:rsidRPr="00DC19F1" w14:paraId="246C0977" w14:textId="77777777" w:rsidTr="00D40FE0">
        <w:tc>
          <w:tcPr>
            <w:tcW w:w="2411" w:type="dxa"/>
            <w:vMerge/>
          </w:tcPr>
          <w:p w14:paraId="46F29577" w14:textId="77777777" w:rsidR="00975108" w:rsidRPr="00DC19F1" w:rsidRDefault="00975108" w:rsidP="000E3C74">
            <w:pPr>
              <w:pStyle w:val="NoSpacing"/>
            </w:pPr>
          </w:p>
        </w:tc>
        <w:tc>
          <w:tcPr>
            <w:tcW w:w="2409" w:type="dxa"/>
            <w:vMerge/>
          </w:tcPr>
          <w:p w14:paraId="635CC115" w14:textId="77777777" w:rsidR="00975108" w:rsidRPr="00DC19F1" w:rsidRDefault="00975108" w:rsidP="000E3C74">
            <w:pPr>
              <w:pStyle w:val="NoSpacing"/>
            </w:pPr>
          </w:p>
        </w:tc>
        <w:tc>
          <w:tcPr>
            <w:tcW w:w="2410" w:type="dxa"/>
          </w:tcPr>
          <w:p w14:paraId="78682E13" w14:textId="77777777" w:rsidR="00975108" w:rsidRPr="00DC19F1" w:rsidRDefault="00975108" w:rsidP="000E3C74">
            <w:pPr>
              <w:pStyle w:val="NoSpacing"/>
            </w:pPr>
            <w:r>
              <w:t>P</w:t>
            </w:r>
            <w:r w:rsidRPr="00481EE6">
              <w:t>aragraph 1223A (2) (a) table item 2</w:t>
            </w:r>
          </w:p>
        </w:tc>
        <w:tc>
          <w:tcPr>
            <w:tcW w:w="1843" w:type="dxa"/>
          </w:tcPr>
          <w:p w14:paraId="4FBC7AE0" w14:textId="77777777" w:rsidR="00975108" w:rsidRPr="00DC19F1" w:rsidRDefault="00975108" w:rsidP="000E3C74">
            <w:pPr>
              <w:pStyle w:val="NoSpacing"/>
              <w:jc w:val="center"/>
            </w:pPr>
            <w:r w:rsidRPr="00BF7152">
              <w:rPr>
                <w:color w:val="000000"/>
              </w:rPr>
              <w:t>$</w:t>
            </w:r>
            <w:r>
              <w:rPr>
                <w:color w:val="000000"/>
              </w:rPr>
              <w:t>1 035</w:t>
            </w:r>
          </w:p>
        </w:tc>
        <w:tc>
          <w:tcPr>
            <w:tcW w:w="1559" w:type="dxa"/>
          </w:tcPr>
          <w:p w14:paraId="0CC2B37A" w14:textId="77777777" w:rsidR="00975108" w:rsidRPr="00DC19F1" w:rsidRDefault="00975108" w:rsidP="000E3C74">
            <w:pPr>
              <w:pStyle w:val="NoSpacing"/>
              <w:jc w:val="center"/>
            </w:pPr>
            <w:r>
              <w:t>$1 060</w:t>
            </w:r>
          </w:p>
        </w:tc>
      </w:tr>
      <w:tr w:rsidR="00975108" w:rsidRPr="00DC19F1" w14:paraId="4AD7DBFD" w14:textId="77777777" w:rsidTr="00D40FE0">
        <w:tc>
          <w:tcPr>
            <w:tcW w:w="2411" w:type="dxa"/>
            <w:vMerge/>
          </w:tcPr>
          <w:p w14:paraId="5FB3F245" w14:textId="77777777" w:rsidR="00975108" w:rsidRPr="00DC19F1" w:rsidRDefault="00975108" w:rsidP="000E3C74">
            <w:pPr>
              <w:pStyle w:val="NoSpacing"/>
            </w:pPr>
          </w:p>
        </w:tc>
        <w:tc>
          <w:tcPr>
            <w:tcW w:w="2409" w:type="dxa"/>
            <w:vMerge/>
          </w:tcPr>
          <w:p w14:paraId="15622B51" w14:textId="77777777" w:rsidR="00975108" w:rsidRPr="00DC19F1" w:rsidRDefault="00975108" w:rsidP="000E3C74">
            <w:pPr>
              <w:pStyle w:val="NoSpacing"/>
            </w:pPr>
          </w:p>
        </w:tc>
        <w:tc>
          <w:tcPr>
            <w:tcW w:w="2410" w:type="dxa"/>
          </w:tcPr>
          <w:p w14:paraId="72248BA1" w14:textId="77777777" w:rsidR="00975108" w:rsidRPr="00DC19F1" w:rsidRDefault="00975108" w:rsidP="000E3C74">
            <w:pPr>
              <w:pStyle w:val="NoSpacing"/>
            </w:pPr>
            <w:r>
              <w:t>Pa</w:t>
            </w:r>
            <w:r w:rsidRPr="007D343A">
              <w:t>ragraph 1223A (2) (a) table item 3</w:t>
            </w:r>
          </w:p>
        </w:tc>
        <w:tc>
          <w:tcPr>
            <w:tcW w:w="1843" w:type="dxa"/>
          </w:tcPr>
          <w:p w14:paraId="7F0D8B15" w14:textId="77777777" w:rsidR="00975108" w:rsidRPr="00DC19F1" w:rsidRDefault="00975108" w:rsidP="000E3C74">
            <w:pPr>
              <w:pStyle w:val="NoSpacing"/>
              <w:jc w:val="center"/>
            </w:pPr>
            <w:r w:rsidRPr="007D343A">
              <w:rPr>
                <w:color w:val="000000"/>
              </w:rPr>
              <w:t>$260</w:t>
            </w:r>
          </w:p>
        </w:tc>
        <w:tc>
          <w:tcPr>
            <w:tcW w:w="1559" w:type="dxa"/>
          </w:tcPr>
          <w:p w14:paraId="459D9E8A" w14:textId="77777777" w:rsidR="00975108" w:rsidRPr="00DC19F1" w:rsidRDefault="00975108" w:rsidP="000E3C74">
            <w:pPr>
              <w:pStyle w:val="NoSpacing"/>
              <w:jc w:val="center"/>
            </w:pPr>
            <w:r w:rsidRPr="007D343A">
              <w:t>$265</w:t>
            </w:r>
          </w:p>
        </w:tc>
      </w:tr>
      <w:tr w:rsidR="00975108" w:rsidRPr="00DC19F1" w14:paraId="172C70A5" w14:textId="77777777" w:rsidTr="00D40FE0">
        <w:trPr>
          <w:trHeight w:val="848"/>
        </w:trPr>
        <w:tc>
          <w:tcPr>
            <w:tcW w:w="2411" w:type="dxa"/>
          </w:tcPr>
          <w:p w14:paraId="561F5A2B" w14:textId="77777777" w:rsidR="00975108" w:rsidRPr="00DC19F1" w:rsidRDefault="00975108" w:rsidP="000E3C74">
            <w:pPr>
              <w:pStyle w:val="NoSpacing"/>
            </w:pPr>
            <w:r w:rsidRPr="00A73A1F">
              <w:t>Work</w:t>
            </w:r>
            <w:r>
              <w:t xml:space="preserve"> and Holiday (Temporary) (Class </w:t>
            </w:r>
            <w:r w:rsidRPr="00A73A1F">
              <w:t>US)</w:t>
            </w:r>
          </w:p>
        </w:tc>
        <w:tc>
          <w:tcPr>
            <w:tcW w:w="2409" w:type="dxa"/>
          </w:tcPr>
          <w:p w14:paraId="0BD2F49F" w14:textId="77777777" w:rsidR="00975108" w:rsidRPr="00DC19F1" w:rsidRDefault="00975108" w:rsidP="000E3C74">
            <w:pPr>
              <w:pStyle w:val="NoSpacing"/>
            </w:pPr>
            <w:r>
              <w:t xml:space="preserve">Subclass </w:t>
            </w:r>
            <w:r w:rsidRPr="00A73A1F">
              <w:t>462 (Work and Holiday)</w:t>
            </w:r>
            <w:r>
              <w:t xml:space="preserve"> visa</w:t>
            </w:r>
          </w:p>
        </w:tc>
        <w:tc>
          <w:tcPr>
            <w:tcW w:w="2410" w:type="dxa"/>
          </w:tcPr>
          <w:p w14:paraId="36FF38CD" w14:textId="77777777" w:rsidR="00975108" w:rsidRPr="00DC19F1" w:rsidRDefault="00975108" w:rsidP="000E3C74">
            <w:pPr>
              <w:pStyle w:val="NoSpacing"/>
            </w:pPr>
            <w:r w:rsidRPr="007D343A">
              <w:t>Paragraph 1224A (2) (a)</w:t>
            </w:r>
          </w:p>
        </w:tc>
        <w:tc>
          <w:tcPr>
            <w:tcW w:w="1843" w:type="dxa"/>
          </w:tcPr>
          <w:p w14:paraId="7832DD6C" w14:textId="77777777" w:rsidR="00975108" w:rsidRPr="00DC19F1" w:rsidRDefault="00975108" w:rsidP="000E3C74">
            <w:pPr>
              <w:pStyle w:val="NoSpacing"/>
              <w:jc w:val="center"/>
            </w:pPr>
            <w:r w:rsidRPr="007D343A">
              <w:t>$</w:t>
            </w:r>
            <w:r>
              <w:t>420</w:t>
            </w:r>
          </w:p>
        </w:tc>
        <w:tc>
          <w:tcPr>
            <w:tcW w:w="1559" w:type="dxa"/>
          </w:tcPr>
          <w:p w14:paraId="526566FA" w14:textId="77777777" w:rsidR="00975108" w:rsidRPr="00DC19F1" w:rsidRDefault="00975108" w:rsidP="000E3C74">
            <w:pPr>
              <w:pStyle w:val="NoSpacing"/>
              <w:jc w:val="center"/>
            </w:pPr>
            <w:r>
              <w:t>$440</w:t>
            </w:r>
          </w:p>
        </w:tc>
      </w:tr>
      <w:tr w:rsidR="00975108" w:rsidRPr="00DC19F1" w14:paraId="39559BB1" w14:textId="77777777" w:rsidTr="00D40FE0">
        <w:trPr>
          <w:trHeight w:val="848"/>
        </w:trPr>
        <w:tc>
          <w:tcPr>
            <w:tcW w:w="2411" w:type="dxa"/>
          </w:tcPr>
          <w:p w14:paraId="1EEA2C08" w14:textId="77777777" w:rsidR="00975108" w:rsidRPr="00DC19F1" w:rsidRDefault="00975108" w:rsidP="000E3C74">
            <w:pPr>
              <w:pStyle w:val="NoSpacing"/>
            </w:pPr>
            <w:r w:rsidRPr="00A73A1F">
              <w:t>Wor</w:t>
            </w:r>
            <w:r>
              <w:t>king Holiday (Temporary) (Class </w:t>
            </w:r>
            <w:r w:rsidRPr="00A73A1F">
              <w:t>TZ)</w:t>
            </w:r>
          </w:p>
        </w:tc>
        <w:tc>
          <w:tcPr>
            <w:tcW w:w="2409" w:type="dxa"/>
          </w:tcPr>
          <w:p w14:paraId="18A7EA54" w14:textId="77777777" w:rsidR="00975108" w:rsidRPr="00DC19F1" w:rsidRDefault="00975108" w:rsidP="000E3C74">
            <w:pPr>
              <w:pStyle w:val="NoSpacing"/>
            </w:pPr>
            <w:r>
              <w:t xml:space="preserve">Subclass </w:t>
            </w:r>
            <w:r w:rsidRPr="00A73A1F">
              <w:t>417 (Working Holiday)</w:t>
            </w:r>
            <w:r>
              <w:t xml:space="preserve"> visa</w:t>
            </w:r>
          </w:p>
        </w:tc>
        <w:tc>
          <w:tcPr>
            <w:tcW w:w="2410" w:type="dxa"/>
          </w:tcPr>
          <w:p w14:paraId="7CD54D90" w14:textId="77777777" w:rsidR="00975108" w:rsidRPr="00DC19F1" w:rsidRDefault="00975108" w:rsidP="000E3C74">
            <w:pPr>
              <w:pStyle w:val="NoSpacing"/>
            </w:pPr>
            <w:r w:rsidRPr="007D343A">
              <w:t>Paragraph 1225 (2) (a)</w:t>
            </w:r>
          </w:p>
        </w:tc>
        <w:tc>
          <w:tcPr>
            <w:tcW w:w="1843" w:type="dxa"/>
          </w:tcPr>
          <w:p w14:paraId="1E0D7E3B" w14:textId="77777777" w:rsidR="00975108" w:rsidRPr="00DC19F1" w:rsidRDefault="00975108" w:rsidP="000E3C74">
            <w:pPr>
              <w:pStyle w:val="NoSpacing"/>
              <w:jc w:val="center"/>
            </w:pPr>
            <w:r w:rsidRPr="007D343A">
              <w:t>$420</w:t>
            </w:r>
          </w:p>
        </w:tc>
        <w:tc>
          <w:tcPr>
            <w:tcW w:w="1559" w:type="dxa"/>
          </w:tcPr>
          <w:p w14:paraId="06B06D16" w14:textId="77777777" w:rsidR="00975108" w:rsidRPr="00DC19F1" w:rsidRDefault="00975108" w:rsidP="000E3C74">
            <w:pPr>
              <w:pStyle w:val="NoSpacing"/>
              <w:jc w:val="center"/>
            </w:pPr>
            <w:r w:rsidRPr="007D343A">
              <w:t>$440</w:t>
            </w:r>
          </w:p>
        </w:tc>
      </w:tr>
      <w:tr w:rsidR="00975108" w:rsidRPr="00DC19F1" w14:paraId="53E4B29B" w14:textId="77777777" w:rsidTr="00D40FE0">
        <w:tc>
          <w:tcPr>
            <w:tcW w:w="2411" w:type="dxa"/>
            <w:vMerge w:val="restart"/>
          </w:tcPr>
          <w:p w14:paraId="24429FB5" w14:textId="77777777" w:rsidR="00975108" w:rsidRPr="00DC19F1" w:rsidRDefault="00975108" w:rsidP="000E3C74">
            <w:pPr>
              <w:pStyle w:val="NoSpacing"/>
            </w:pPr>
            <w:r w:rsidRPr="00A73A1F">
              <w:t>Skilled (Provisional) (Class VC)</w:t>
            </w:r>
          </w:p>
        </w:tc>
        <w:tc>
          <w:tcPr>
            <w:tcW w:w="2409" w:type="dxa"/>
            <w:vMerge w:val="restart"/>
          </w:tcPr>
          <w:p w14:paraId="2AF5A465" w14:textId="77777777" w:rsidR="00975108" w:rsidRPr="00DC19F1" w:rsidRDefault="00975108" w:rsidP="000E3C74">
            <w:pPr>
              <w:pStyle w:val="NoSpacing"/>
            </w:pPr>
            <w:r w:rsidRPr="00A73A1F">
              <w:t>Subclass 485 (Temporary Graduate)</w:t>
            </w:r>
            <w:r>
              <w:t xml:space="preserve"> visa</w:t>
            </w:r>
          </w:p>
        </w:tc>
        <w:tc>
          <w:tcPr>
            <w:tcW w:w="2410" w:type="dxa"/>
          </w:tcPr>
          <w:p w14:paraId="2CB06EAA" w14:textId="77777777" w:rsidR="00975108" w:rsidRPr="00DC19F1" w:rsidRDefault="00975108" w:rsidP="000E3C74">
            <w:pPr>
              <w:pStyle w:val="NoSpacing"/>
            </w:pPr>
            <w:r w:rsidRPr="00C618D4">
              <w:t>Paragraph 1229 (2) (a) table item 1</w:t>
            </w:r>
          </w:p>
        </w:tc>
        <w:tc>
          <w:tcPr>
            <w:tcW w:w="1843" w:type="dxa"/>
          </w:tcPr>
          <w:p w14:paraId="07923D8A" w14:textId="77777777" w:rsidR="00975108" w:rsidRPr="00DC19F1" w:rsidRDefault="00975108" w:rsidP="000E3C74">
            <w:pPr>
              <w:pStyle w:val="NoSpacing"/>
              <w:jc w:val="center"/>
            </w:pPr>
            <w:r>
              <w:t>$1 440</w:t>
            </w:r>
          </w:p>
        </w:tc>
        <w:tc>
          <w:tcPr>
            <w:tcW w:w="1559" w:type="dxa"/>
          </w:tcPr>
          <w:p w14:paraId="104F7914" w14:textId="77777777" w:rsidR="00975108" w:rsidRPr="00DC19F1" w:rsidRDefault="00975108" w:rsidP="000E3C74">
            <w:pPr>
              <w:pStyle w:val="NoSpacing"/>
              <w:jc w:val="center"/>
            </w:pPr>
            <w:r>
              <w:t>$1 470</w:t>
            </w:r>
          </w:p>
        </w:tc>
      </w:tr>
      <w:tr w:rsidR="00975108" w:rsidRPr="00DC19F1" w14:paraId="69E8A032" w14:textId="77777777" w:rsidTr="00D40FE0">
        <w:tc>
          <w:tcPr>
            <w:tcW w:w="2411" w:type="dxa"/>
            <w:vMerge/>
          </w:tcPr>
          <w:p w14:paraId="07A4C2F2" w14:textId="77777777" w:rsidR="00975108" w:rsidRPr="00DC19F1" w:rsidRDefault="00975108" w:rsidP="000E3C74">
            <w:pPr>
              <w:pStyle w:val="NoSpacing"/>
            </w:pPr>
          </w:p>
        </w:tc>
        <w:tc>
          <w:tcPr>
            <w:tcW w:w="2409" w:type="dxa"/>
            <w:vMerge/>
          </w:tcPr>
          <w:p w14:paraId="56D78133" w14:textId="77777777" w:rsidR="00975108" w:rsidRPr="00DC19F1" w:rsidRDefault="00975108" w:rsidP="000E3C74">
            <w:pPr>
              <w:pStyle w:val="NoSpacing"/>
            </w:pPr>
          </w:p>
        </w:tc>
        <w:tc>
          <w:tcPr>
            <w:tcW w:w="2410" w:type="dxa"/>
          </w:tcPr>
          <w:p w14:paraId="24845FB7" w14:textId="77777777" w:rsidR="00975108" w:rsidRPr="00DC19F1" w:rsidRDefault="00975108" w:rsidP="000E3C74">
            <w:pPr>
              <w:pStyle w:val="NoSpacing"/>
            </w:pPr>
            <w:r w:rsidRPr="00C618D4">
              <w:t xml:space="preserve">Paragraph 1229 (2) (a) table item </w:t>
            </w:r>
            <w:r>
              <w:t>2</w:t>
            </w:r>
          </w:p>
        </w:tc>
        <w:tc>
          <w:tcPr>
            <w:tcW w:w="1843" w:type="dxa"/>
          </w:tcPr>
          <w:p w14:paraId="0558AF53" w14:textId="77777777" w:rsidR="00975108" w:rsidRPr="00DC19F1" w:rsidRDefault="00975108" w:rsidP="000E3C74">
            <w:pPr>
              <w:pStyle w:val="NoSpacing"/>
              <w:jc w:val="center"/>
            </w:pPr>
            <w:r>
              <w:t>$720</w:t>
            </w:r>
          </w:p>
        </w:tc>
        <w:tc>
          <w:tcPr>
            <w:tcW w:w="1559" w:type="dxa"/>
          </w:tcPr>
          <w:p w14:paraId="364AAD57" w14:textId="77777777" w:rsidR="00975108" w:rsidRPr="00DC19F1" w:rsidRDefault="00975108" w:rsidP="000E3C74">
            <w:pPr>
              <w:pStyle w:val="NoSpacing"/>
              <w:jc w:val="center"/>
            </w:pPr>
            <w:r>
              <w:t>$735</w:t>
            </w:r>
          </w:p>
        </w:tc>
      </w:tr>
      <w:tr w:rsidR="00975108" w:rsidRPr="00DC19F1" w14:paraId="1A55153A" w14:textId="77777777" w:rsidTr="00D40FE0">
        <w:tc>
          <w:tcPr>
            <w:tcW w:w="2411" w:type="dxa"/>
            <w:vMerge/>
          </w:tcPr>
          <w:p w14:paraId="1C5683D8" w14:textId="77777777" w:rsidR="00975108" w:rsidRPr="00DC19F1" w:rsidRDefault="00975108" w:rsidP="000E3C74">
            <w:pPr>
              <w:pStyle w:val="NoSpacing"/>
            </w:pPr>
          </w:p>
        </w:tc>
        <w:tc>
          <w:tcPr>
            <w:tcW w:w="2409" w:type="dxa"/>
            <w:vMerge/>
          </w:tcPr>
          <w:p w14:paraId="3E0CBB9A" w14:textId="77777777" w:rsidR="00975108" w:rsidRPr="00DC19F1" w:rsidRDefault="00975108" w:rsidP="000E3C74">
            <w:pPr>
              <w:pStyle w:val="NoSpacing"/>
            </w:pPr>
          </w:p>
        </w:tc>
        <w:tc>
          <w:tcPr>
            <w:tcW w:w="2410" w:type="dxa"/>
          </w:tcPr>
          <w:p w14:paraId="0985DD63" w14:textId="77777777" w:rsidR="00975108" w:rsidRPr="00DC19F1" w:rsidRDefault="00975108" w:rsidP="000E3C74">
            <w:pPr>
              <w:pStyle w:val="NoSpacing"/>
            </w:pPr>
            <w:r w:rsidRPr="00C618D4">
              <w:t xml:space="preserve">Paragraph 1229 (2) (a) table item </w:t>
            </w:r>
            <w:r>
              <w:t>3</w:t>
            </w:r>
          </w:p>
        </w:tc>
        <w:tc>
          <w:tcPr>
            <w:tcW w:w="1843" w:type="dxa"/>
          </w:tcPr>
          <w:p w14:paraId="6F8ADBA7" w14:textId="77777777" w:rsidR="00975108" w:rsidRPr="00DC19F1" w:rsidRDefault="00975108" w:rsidP="000E3C74">
            <w:pPr>
              <w:pStyle w:val="NoSpacing"/>
              <w:jc w:val="center"/>
            </w:pPr>
            <w:r>
              <w:t>$360</w:t>
            </w:r>
          </w:p>
        </w:tc>
        <w:tc>
          <w:tcPr>
            <w:tcW w:w="1559" w:type="dxa"/>
          </w:tcPr>
          <w:p w14:paraId="3D199AD1" w14:textId="77777777" w:rsidR="00975108" w:rsidRPr="00DC19F1" w:rsidRDefault="00975108" w:rsidP="000E3C74">
            <w:pPr>
              <w:pStyle w:val="NoSpacing"/>
              <w:jc w:val="center"/>
            </w:pPr>
            <w:r>
              <w:t>$370</w:t>
            </w:r>
          </w:p>
        </w:tc>
      </w:tr>
      <w:tr w:rsidR="00975108" w:rsidRPr="00DC19F1" w14:paraId="3DE89EC7" w14:textId="77777777" w:rsidTr="00D40FE0">
        <w:tc>
          <w:tcPr>
            <w:tcW w:w="2411" w:type="dxa"/>
            <w:vMerge w:val="restart"/>
          </w:tcPr>
          <w:p w14:paraId="4D1C089E" w14:textId="77777777" w:rsidR="00975108" w:rsidRPr="00DC19F1" w:rsidRDefault="00975108" w:rsidP="000E3C74">
            <w:pPr>
              <w:pStyle w:val="NoSpacing"/>
            </w:pPr>
            <w:r w:rsidRPr="00A73A1F">
              <w:t>Skilled — Regional</w:t>
            </w:r>
            <w:r>
              <w:t xml:space="preserve"> Sponsored (Provisional) (Class </w:t>
            </w:r>
            <w:r w:rsidRPr="00A73A1F">
              <w:t>SP)</w:t>
            </w:r>
          </w:p>
        </w:tc>
        <w:tc>
          <w:tcPr>
            <w:tcW w:w="2409" w:type="dxa"/>
            <w:vMerge w:val="restart"/>
          </w:tcPr>
          <w:p w14:paraId="4783783B" w14:textId="77777777" w:rsidR="00975108" w:rsidRPr="00DC19F1" w:rsidRDefault="00975108" w:rsidP="000E3C74">
            <w:pPr>
              <w:pStyle w:val="NoSpacing"/>
            </w:pPr>
            <w:r w:rsidRPr="00A73A1F">
              <w:t xml:space="preserve">Subclass 489 (Skilled — Regional (Provisional)) </w:t>
            </w:r>
            <w:r>
              <w:t>visa</w:t>
            </w:r>
          </w:p>
        </w:tc>
        <w:tc>
          <w:tcPr>
            <w:tcW w:w="2410" w:type="dxa"/>
          </w:tcPr>
          <w:p w14:paraId="19A83951" w14:textId="77777777" w:rsidR="00975108" w:rsidRPr="00DC19F1" w:rsidRDefault="00975108" w:rsidP="000E3C74">
            <w:pPr>
              <w:pStyle w:val="NoSpacing"/>
            </w:pPr>
            <w:r>
              <w:t>Paragraph 1230 (2) (a</w:t>
            </w:r>
            <w:r w:rsidRPr="00C618D4">
              <w:t>)</w:t>
            </w:r>
            <w:r>
              <w:t xml:space="preserve"> (ii)</w:t>
            </w:r>
            <w:r w:rsidRPr="00C618D4">
              <w:t xml:space="preserve"> table item 1</w:t>
            </w:r>
          </w:p>
        </w:tc>
        <w:tc>
          <w:tcPr>
            <w:tcW w:w="1843" w:type="dxa"/>
          </w:tcPr>
          <w:p w14:paraId="65AB8FA5" w14:textId="77777777" w:rsidR="00975108" w:rsidRPr="00DC19F1" w:rsidRDefault="00975108" w:rsidP="000E3C74">
            <w:pPr>
              <w:pStyle w:val="NoSpacing"/>
              <w:jc w:val="center"/>
            </w:pPr>
            <w:r>
              <w:t>$3 520</w:t>
            </w:r>
          </w:p>
        </w:tc>
        <w:tc>
          <w:tcPr>
            <w:tcW w:w="1559" w:type="dxa"/>
          </w:tcPr>
          <w:p w14:paraId="01B2A821" w14:textId="77777777" w:rsidR="00975108" w:rsidRPr="00DC19F1" w:rsidRDefault="00975108" w:rsidP="000E3C74">
            <w:pPr>
              <w:pStyle w:val="NoSpacing"/>
              <w:jc w:val="center"/>
            </w:pPr>
            <w:r>
              <w:t>$3 600</w:t>
            </w:r>
          </w:p>
        </w:tc>
      </w:tr>
      <w:tr w:rsidR="00975108" w:rsidRPr="00DC19F1" w14:paraId="6E4ED0DF" w14:textId="77777777" w:rsidTr="00D40FE0">
        <w:tc>
          <w:tcPr>
            <w:tcW w:w="2411" w:type="dxa"/>
            <w:vMerge/>
          </w:tcPr>
          <w:p w14:paraId="20201941" w14:textId="77777777" w:rsidR="00975108" w:rsidRPr="00DC19F1" w:rsidRDefault="00975108" w:rsidP="000E3C74">
            <w:pPr>
              <w:pStyle w:val="NoSpacing"/>
            </w:pPr>
          </w:p>
        </w:tc>
        <w:tc>
          <w:tcPr>
            <w:tcW w:w="2409" w:type="dxa"/>
            <w:vMerge/>
          </w:tcPr>
          <w:p w14:paraId="0A759EBE" w14:textId="77777777" w:rsidR="00975108" w:rsidRPr="00DC19F1" w:rsidRDefault="00975108" w:rsidP="000E3C74">
            <w:pPr>
              <w:pStyle w:val="NoSpacing"/>
            </w:pPr>
          </w:p>
        </w:tc>
        <w:tc>
          <w:tcPr>
            <w:tcW w:w="2410" w:type="dxa"/>
          </w:tcPr>
          <w:p w14:paraId="5D57A77A" w14:textId="77777777" w:rsidR="00975108" w:rsidRPr="00DC19F1" w:rsidRDefault="00975108" w:rsidP="000E3C74">
            <w:pPr>
              <w:pStyle w:val="NoSpacing"/>
            </w:pPr>
            <w:r w:rsidRPr="00C618D4">
              <w:t>Paragraph 12</w:t>
            </w:r>
            <w:r>
              <w:t>30</w:t>
            </w:r>
            <w:r w:rsidRPr="00C618D4">
              <w:t xml:space="preserve"> (2) (a) </w:t>
            </w:r>
            <w:r>
              <w:t xml:space="preserve">(ii) </w:t>
            </w:r>
            <w:r w:rsidRPr="00C618D4">
              <w:t xml:space="preserve">table item </w:t>
            </w:r>
            <w:r>
              <w:t>2</w:t>
            </w:r>
          </w:p>
        </w:tc>
        <w:tc>
          <w:tcPr>
            <w:tcW w:w="1843" w:type="dxa"/>
          </w:tcPr>
          <w:p w14:paraId="06C0E5F7" w14:textId="77777777" w:rsidR="00975108" w:rsidRPr="00DC19F1" w:rsidRDefault="00975108" w:rsidP="000E3C74">
            <w:pPr>
              <w:pStyle w:val="NoSpacing"/>
              <w:jc w:val="center"/>
            </w:pPr>
            <w:r>
              <w:t>$1 760</w:t>
            </w:r>
          </w:p>
        </w:tc>
        <w:tc>
          <w:tcPr>
            <w:tcW w:w="1559" w:type="dxa"/>
          </w:tcPr>
          <w:p w14:paraId="3142E4C3" w14:textId="77777777" w:rsidR="00975108" w:rsidRPr="00DC19F1" w:rsidRDefault="00975108" w:rsidP="000E3C74">
            <w:pPr>
              <w:pStyle w:val="NoSpacing"/>
              <w:jc w:val="center"/>
            </w:pPr>
            <w:r>
              <w:t>$1 800</w:t>
            </w:r>
          </w:p>
        </w:tc>
      </w:tr>
      <w:tr w:rsidR="00975108" w:rsidRPr="00DC19F1" w14:paraId="2B6559A9" w14:textId="77777777" w:rsidTr="00D40FE0">
        <w:tc>
          <w:tcPr>
            <w:tcW w:w="2411" w:type="dxa"/>
            <w:vMerge/>
          </w:tcPr>
          <w:p w14:paraId="60AFF884" w14:textId="77777777" w:rsidR="00975108" w:rsidRPr="00DC19F1" w:rsidRDefault="00975108" w:rsidP="000E3C74">
            <w:pPr>
              <w:pStyle w:val="NoSpacing"/>
            </w:pPr>
          </w:p>
        </w:tc>
        <w:tc>
          <w:tcPr>
            <w:tcW w:w="2409" w:type="dxa"/>
            <w:vMerge/>
          </w:tcPr>
          <w:p w14:paraId="59DDC362" w14:textId="77777777" w:rsidR="00975108" w:rsidRPr="00DC19F1" w:rsidRDefault="00975108" w:rsidP="000E3C74">
            <w:pPr>
              <w:pStyle w:val="NoSpacing"/>
            </w:pPr>
          </w:p>
        </w:tc>
        <w:tc>
          <w:tcPr>
            <w:tcW w:w="2410" w:type="dxa"/>
          </w:tcPr>
          <w:p w14:paraId="2B9D61DE" w14:textId="77777777" w:rsidR="00975108" w:rsidRPr="00DC19F1" w:rsidRDefault="00975108" w:rsidP="000E3C74">
            <w:pPr>
              <w:pStyle w:val="NoSpacing"/>
            </w:pPr>
            <w:r w:rsidRPr="00C618D4">
              <w:t>Paragraph 12</w:t>
            </w:r>
            <w:r>
              <w:t>30</w:t>
            </w:r>
            <w:r w:rsidRPr="00C618D4">
              <w:t xml:space="preserve"> (2) (a) </w:t>
            </w:r>
            <w:r>
              <w:t xml:space="preserve">(ii) </w:t>
            </w:r>
            <w:r w:rsidRPr="00C618D4">
              <w:t xml:space="preserve">table item </w:t>
            </w:r>
            <w:r>
              <w:t>3</w:t>
            </w:r>
          </w:p>
        </w:tc>
        <w:tc>
          <w:tcPr>
            <w:tcW w:w="1843" w:type="dxa"/>
          </w:tcPr>
          <w:p w14:paraId="4FC03E44" w14:textId="77777777" w:rsidR="00975108" w:rsidRPr="00DC19F1" w:rsidRDefault="00975108" w:rsidP="000E3C74">
            <w:pPr>
              <w:pStyle w:val="NoSpacing"/>
              <w:jc w:val="center"/>
            </w:pPr>
            <w:r>
              <w:t>$880</w:t>
            </w:r>
          </w:p>
        </w:tc>
        <w:tc>
          <w:tcPr>
            <w:tcW w:w="1559" w:type="dxa"/>
          </w:tcPr>
          <w:p w14:paraId="1D218E86" w14:textId="77777777" w:rsidR="00975108" w:rsidRPr="00DC19F1" w:rsidRDefault="00975108" w:rsidP="000E3C74">
            <w:pPr>
              <w:pStyle w:val="NoSpacing"/>
              <w:jc w:val="center"/>
            </w:pPr>
            <w:r>
              <w:t>$900</w:t>
            </w:r>
          </w:p>
        </w:tc>
      </w:tr>
      <w:tr w:rsidR="00975108" w:rsidRPr="00DC19F1" w14:paraId="28F7FEF1" w14:textId="77777777" w:rsidTr="00D40FE0">
        <w:tc>
          <w:tcPr>
            <w:tcW w:w="2411" w:type="dxa"/>
            <w:vMerge w:val="restart"/>
          </w:tcPr>
          <w:p w14:paraId="6A2D7DF6" w14:textId="77777777" w:rsidR="00975108" w:rsidRPr="00DC19F1" w:rsidRDefault="00975108" w:rsidP="000E3C74">
            <w:pPr>
              <w:pStyle w:val="NoSpacing"/>
            </w:pPr>
            <w:r>
              <w:t>Temporary Work (Short Stay) (Class GA)</w:t>
            </w:r>
          </w:p>
        </w:tc>
        <w:tc>
          <w:tcPr>
            <w:tcW w:w="2409" w:type="dxa"/>
            <w:vMerge w:val="restart"/>
          </w:tcPr>
          <w:p w14:paraId="1E5EDFB7" w14:textId="20ACE2CE" w:rsidR="00975108" w:rsidRPr="00DC19F1" w:rsidRDefault="00975108" w:rsidP="009B689A">
            <w:pPr>
              <w:pStyle w:val="NoSpacing"/>
            </w:pPr>
            <w:r>
              <w:t>Subclass 400 (Temporary Work (Short Stay Activity)) visa</w:t>
            </w:r>
          </w:p>
        </w:tc>
        <w:tc>
          <w:tcPr>
            <w:tcW w:w="2410" w:type="dxa"/>
          </w:tcPr>
          <w:p w14:paraId="38B921AF" w14:textId="77777777" w:rsidR="00975108" w:rsidRPr="00C618D4" w:rsidRDefault="00975108" w:rsidP="000E3C74">
            <w:pPr>
              <w:pStyle w:val="NoSpacing"/>
            </w:pPr>
            <w:r>
              <w:t>Paragraph 1231 (2) (a) (v) table item 1</w:t>
            </w:r>
          </w:p>
        </w:tc>
        <w:tc>
          <w:tcPr>
            <w:tcW w:w="1843" w:type="dxa"/>
          </w:tcPr>
          <w:p w14:paraId="314E04E0" w14:textId="77777777" w:rsidR="00975108" w:rsidRDefault="00975108" w:rsidP="000E3C74">
            <w:pPr>
              <w:pStyle w:val="NoSpacing"/>
              <w:jc w:val="center"/>
            </w:pPr>
            <w:r>
              <w:t>$165</w:t>
            </w:r>
          </w:p>
        </w:tc>
        <w:tc>
          <w:tcPr>
            <w:tcW w:w="1559" w:type="dxa"/>
          </w:tcPr>
          <w:p w14:paraId="191DD819" w14:textId="77777777" w:rsidR="00975108" w:rsidRDefault="00975108" w:rsidP="000E3C74">
            <w:pPr>
              <w:pStyle w:val="NoSpacing"/>
              <w:jc w:val="center"/>
            </w:pPr>
            <w:r>
              <w:t>$175</w:t>
            </w:r>
          </w:p>
        </w:tc>
      </w:tr>
      <w:tr w:rsidR="00975108" w:rsidRPr="00DC19F1" w14:paraId="30F44A39" w14:textId="77777777" w:rsidTr="00D40FE0">
        <w:tc>
          <w:tcPr>
            <w:tcW w:w="2411" w:type="dxa"/>
            <w:vMerge/>
          </w:tcPr>
          <w:p w14:paraId="4CFC1E72" w14:textId="77777777" w:rsidR="00975108" w:rsidRPr="00DC19F1" w:rsidRDefault="00975108" w:rsidP="000E3C74">
            <w:pPr>
              <w:pStyle w:val="NoSpacing"/>
            </w:pPr>
          </w:p>
        </w:tc>
        <w:tc>
          <w:tcPr>
            <w:tcW w:w="2409" w:type="dxa"/>
            <w:vMerge/>
          </w:tcPr>
          <w:p w14:paraId="7F28CC68" w14:textId="77777777" w:rsidR="00975108" w:rsidRPr="00DC19F1" w:rsidRDefault="00975108" w:rsidP="000E3C74">
            <w:pPr>
              <w:pStyle w:val="NoSpacing"/>
            </w:pPr>
          </w:p>
        </w:tc>
        <w:tc>
          <w:tcPr>
            <w:tcW w:w="2410" w:type="dxa"/>
          </w:tcPr>
          <w:p w14:paraId="5B36BF8B" w14:textId="77777777" w:rsidR="00975108" w:rsidRPr="00C618D4" w:rsidRDefault="00975108" w:rsidP="000E3C74">
            <w:pPr>
              <w:pStyle w:val="NoSpacing"/>
            </w:pPr>
            <w:r>
              <w:t>Paragraph 1231 (2) (a) (v) table item 2</w:t>
            </w:r>
          </w:p>
        </w:tc>
        <w:tc>
          <w:tcPr>
            <w:tcW w:w="1843" w:type="dxa"/>
          </w:tcPr>
          <w:p w14:paraId="5E5F2ACF" w14:textId="77777777" w:rsidR="00975108" w:rsidRDefault="00975108" w:rsidP="000E3C74">
            <w:pPr>
              <w:pStyle w:val="NoSpacing"/>
              <w:jc w:val="center"/>
            </w:pPr>
            <w:r>
              <w:t>$85</w:t>
            </w:r>
          </w:p>
        </w:tc>
        <w:tc>
          <w:tcPr>
            <w:tcW w:w="1559" w:type="dxa"/>
          </w:tcPr>
          <w:p w14:paraId="03FA35F2" w14:textId="77777777" w:rsidR="00975108" w:rsidRDefault="00975108" w:rsidP="000E3C74">
            <w:pPr>
              <w:pStyle w:val="NoSpacing"/>
              <w:jc w:val="center"/>
            </w:pPr>
            <w:r>
              <w:t>$90</w:t>
            </w:r>
          </w:p>
        </w:tc>
      </w:tr>
      <w:tr w:rsidR="00975108" w:rsidRPr="00DC19F1" w14:paraId="4ABC6EC6" w14:textId="77777777" w:rsidTr="00D40FE0">
        <w:tc>
          <w:tcPr>
            <w:tcW w:w="2411" w:type="dxa"/>
            <w:vMerge/>
          </w:tcPr>
          <w:p w14:paraId="26D04739" w14:textId="77777777" w:rsidR="00975108" w:rsidRPr="00DC19F1" w:rsidRDefault="00975108" w:rsidP="000E3C74">
            <w:pPr>
              <w:pStyle w:val="NoSpacing"/>
            </w:pPr>
          </w:p>
        </w:tc>
        <w:tc>
          <w:tcPr>
            <w:tcW w:w="2409" w:type="dxa"/>
            <w:vMerge/>
          </w:tcPr>
          <w:p w14:paraId="1F49195F" w14:textId="77777777" w:rsidR="00975108" w:rsidRPr="00DC19F1" w:rsidRDefault="00975108" w:rsidP="000E3C74">
            <w:pPr>
              <w:pStyle w:val="NoSpacing"/>
            </w:pPr>
          </w:p>
        </w:tc>
        <w:tc>
          <w:tcPr>
            <w:tcW w:w="2410" w:type="dxa"/>
          </w:tcPr>
          <w:p w14:paraId="525F05D0" w14:textId="77777777" w:rsidR="00975108" w:rsidRPr="00C618D4" w:rsidRDefault="00975108" w:rsidP="000E3C74">
            <w:pPr>
              <w:pStyle w:val="NoSpacing"/>
            </w:pPr>
            <w:r>
              <w:t>Paragraph 1231 (2) (a) (v) table item 3</w:t>
            </w:r>
          </w:p>
        </w:tc>
        <w:tc>
          <w:tcPr>
            <w:tcW w:w="1843" w:type="dxa"/>
          </w:tcPr>
          <w:p w14:paraId="226ECE29" w14:textId="77777777" w:rsidR="00975108" w:rsidRDefault="00975108" w:rsidP="000E3C74">
            <w:pPr>
              <w:pStyle w:val="NoSpacing"/>
              <w:jc w:val="center"/>
            </w:pPr>
            <w:r>
              <w:t>$40</w:t>
            </w:r>
          </w:p>
        </w:tc>
        <w:tc>
          <w:tcPr>
            <w:tcW w:w="1559" w:type="dxa"/>
          </w:tcPr>
          <w:p w14:paraId="0FE7CD52" w14:textId="77777777" w:rsidR="00975108" w:rsidRDefault="00975108" w:rsidP="000E3C74">
            <w:pPr>
              <w:pStyle w:val="NoSpacing"/>
              <w:jc w:val="center"/>
            </w:pPr>
            <w:r>
              <w:t>$45</w:t>
            </w:r>
          </w:p>
        </w:tc>
      </w:tr>
      <w:tr w:rsidR="00975108" w:rsidRPr="00DC19F1" w14:paraId="258AC571" w14:textId="77777777" w:rsidTr="00D40FE0">
        <w:tc>
          <w:tcPr>
            <w:tcW w:w="2411" w:type="dxa"/>
            <w:vMerge w:val="restart"/>
          </w:tcPr>
          <w:p w14:paraId="39F26D4F" w14:textId="77777777" w:rsidR="00975108" w:rsidRPr="00F32686" w:rsidRDefault="00975108" w:rsidP="000E3C74">
            <w:pPr>
              <w:pStyle w:val="NoSpacing"/>
            </w:pPr>
            <w:r w:rsidRPr="00F32686">
              <w:t>Temporary Work (Long Stay Activity) (Class GB)</w:t>
            </w:r>
          </w:p>
        </w:tc>
        <w:tc>
          <w:tcPr>
            <w:tcW w:w="2409" w:type="dxa"/>
            <w:vMerge w:val="restart"/>
          </w:tcPr>
          <w:p w14:paraId="24583F33" w14:textId="77777777" w:rsidR="00975108" w:rsidRPr="00F32686" w:rsidRDefault="00975108" w:rsidP="000E3C74">
            <w:pPr>
              <w:pStyle w:val="NoSpacing"/>
            </w:pPr>
            <w:r w:rsidRPr="00F32686">
              <w:t>Subclass 401 (Temporary Work (Long Stay Activity)) visa</w:t>
            </w:r>
          </w:p>
        </w:tc>
        <w:tc>
          <w:tcPr>
            <w:tcW w:w="2410" w:type="dxa"/>
          </w:tcPr>
          <w:p w14:paraId="687D56A6" w14:textId="77777777" w:rsidR="00975108" w:rsidRPr="00F32686" w:rsidRDefault="00975108" w:rsidP="000E3C74">
            <w:pPr>
              <w:pStyle w:val="NoSpacing"/>
            </w:pPr>
            <w:r w:rsidRPr="00F32686">
              <w:t>Subparagraph 1232 (2) (a) (</w:t>
            </w:r>
            <w:proofErr w:type="spellStart"/>
            <w:r w:rsidRPr="00F32686">
              <w:t>i</w:t>
            </w:r>
            <w:proofErr w:type="spellEnd"/>
            <w:r w:rsidRPr="00F32686">
              <w:t>) table item 1</w:t>
            </w:r>
          </w:p>
        </w:tc>
        <w:tc>
          <w:tcPr>
            <w:tcW w:w="1843" w:type="dxa"/>
          </w:tcPr>
          <w:p w14:paraId="2B721751" w14:textId="77777777" w:rsidR="00975108" w:rsidRPr="00F32686" w:rsidRDefault="00975108" w:rsidP="000E3C74">
            <w:pPr>
              <w:pStyle w:val="NoSpacing"/>
              <w:jc w:val="center"/>
            </w:pPr>
            <w:r w:rsidRPr="00F32686">
              <w:t>$3</w:t>
            </w:r>
            <w:r>
              <w:t xml:space="preserve"> </w:t>
            </w:r>
            <w:r w:rsidRPr="00F32686">
              <w:t>600</w:t>
            </w:r>
          </w:p>
        </w:tc>
        <w:tc>
          <w:tcPr>
            <w:tcW w:w="1559" w:type="dxa"/>
          </w:tcPr>
          <w:p w14:paraId="52F53F50" w14:textId="77777777" w:rsidR="00975108" w:rsidRPr="00F32686" w:rsidRDefault="00975108" w:rsidP="000E3C74">
            <w:pPr>
              <w:pStyle w:val="NoSpacing"/>
              <w:jc w:val="center"/>
            </w:pPr>
            <w:r w:rsidRPr="00F32686">
              <w:t>$3</w:t>
            </w:r>
            <w:r>
              <w:t xml:space="preserve"> </w:t>
            </w:r>
            <w:r w:rsidRPr="00F32686">
              <w:t>800</w:t>
            </w:r>
          </w:p>
        </w:tc>
      </w:tr>
      <w:tr w:rsidR="00975108" w:rsidRPr="00DC19F1" w14:paraId="40EC5789" w14:textId="77777777" w:rsidTr="00D40FE0">
        <w:tc>
          <w:tcPr>
            <w:tcW w:w="2411" w:type="dxa"/>
            <w:vMerge/>
          </w:tcPr>
          <w:p w14:paraId="57C550AC" w14:textId="77777777" w:rsidR="00975108" w:rsidRPr="00F32686" w:rsidRDefault="00975108" w:rsidP="000E3C74">
            <w:pPr>
              <w:pStyle w:val="NoSpacing"/>
              <w:rPr>
                <w:highlight w:val="yellow"/>
              </w:rPr>
            </w:pPr>
          </w:p>
        </w:tc>
        <w:tc>
          <w:tcPr>
            <w:tcW w:w="2409" w:type="dxa"/>
            <w:vMerge/>
          </w:tcPr>
          <w:p w14:paraId="47B4C168" w14:textId="77777777" w:rsidR="00975108" w:rsidRPr="00F32686" w:rsidRDefault="00975108" w:rsidP="000E3C74">
            <w:pPr>
              <w:pStyle w:val="NoSpacing"/>
              <w:rPr>
                <w:highlight w:val="yellow"/>
              </w:rPr>
            </w:pPr>
          </w:p>
        </w:tc>
        <w:tc>
          <w:tcPr>
            <w:tcW w:w="2410" w:type="dxa"/>
          </w:tcPr>
          <w:p w14:paraId="7C6C9456" w14:textId="77777777" w:rsidR="00975108" w:rsidRPr="00F32686" w:rsidRDefault="00975108" w:rsidP="000E3C74">
            <w:pPr>
              <w:pStyle w:val="NoSpacing"/>
            </w:pPr>
            <w:r w:rsidRPr="00F32686">
              <w:t>Subparagraph 1232 (2) (a) (</w:t>
            </w:r>
            <w:proofErr w:type="spellStart"/>
            <w:r w:rsidRPr="00F32686">
              <w:t>i</w:t>
            </w:r>
            <w:proofErr w:type="spellEnd"/>
            <w:r w:rsidRPr="00F32686">
              <w:t>) table item 2</w:t>
            </w:r>
          </w:p>
        </w:tc>
        <w:tc>
          <w:tcPr>
            <w:tcW w:w="1843" w:type="dxa"/>
          </w:tcPr>
          <w:p w14:paraId="6C83941C" w14:textId="77777777" w:rsidR="00975108" w:rsidRPr="00F32686" w:rsidRDefault="00975108" w:rsidP="000E3C74">
            <w:pPr>
              <w:pStyle w:val="NoSpacing"/>
              <w:jc w:val="center"/>
            </w:pPr>
            <w:r w:rsidRPr="00F32686">
              <w:t>$360</w:t>
            </w:r>
          </w:p>
        </w:tc>
        <w:tc>
          <w:tcPr>
            <w:tcW w:w="1559" w:type="dxa"/>
          </w:tcPr>
          <w:p w14:paraId="0ED5F388" w14:textId="77777777" w:rsidR="00975108" w:rsidRPr="00F32686" w:rsidRDefault="00975108" w:rsidP="000E3C74">
            <w:pPr>
              <w:pStyle w:val="NoSpacing"/>
              <w:jc w:val="center"/>
            </w:pPr>
            <w:r w:rsidRPr="00F32686">
              <w:t>$380</w:t>
            </w:r>
          </w:p>
        </w:tc>
      </w:tr>
      <w:tr w:rsidR="00975108" w:rsidRPr="00DC19F1" w14:paraId="7F46185B" w14:textId="77777777" w:rsidTr="00D40FE0">
        <w:tc>
          <w:tcPr>
            <w:tcW w:w="2411" w:type="dxa"/>
            <w:vMerge/>
          </w:tcPr>
          <w:p w14:paraId="45E70646" w14:textId="77777777" w:rsidR="00975108" w:rsidRPr="00F32686" w:rsidRDefault="00975108" w:rsidP="000E3C74">
            <w:pPr>
              <w:pStyle w:val="NoSpacing"/>
              <w:rPr>
                <w:highlight w:val="yellow"/>
              </w:rPr>
            </w:pPr>
          </w:p>
        </w:tc>
        <w:tc>
          <w:tcPr>
            <w:tcW w:w="2409" w:type="dxa"/>
            <w:vMerge/>
          </w:tcPr>
          <w:p w14:paraId="4AE88DA9" w14:textId="77777777" w:rsidR="00975108" w:rsidRPr="00F32686" w:rsidRDefault="00975108" w:rsidP="000E3C74">
            <w:pPr>
              <w:pStyle w:val="NoSpacing"/>
              <w:rPr>
                <w:highlight w:val="yellow"/>
              </w:rPr>
            </w:pPr>
          </w:p>
        </w:tc>
        <w:tc>
          <w:tcPr>
            <w:tcW w:w="2410" w:type="dxa"/>
          </w:tcPr>
          <w:p w14:paraId="568F6B41" w14:textId="77777777" w:rsidR="00975108" w:rsidRPr="00F32686" w:rsidRDefault="00975108" w:rsidP="000E3C74">
            <w:pPr>
              <w:pStyle w:val="NoSpacing"/>
            </w:pPr>
            <w:r w:rsidRPr="00F32686">
              <w:t>Subparagraph 1232 (2) (a) (</w:t>
            </w:r>
            <w:proofErr w:type="spellStart"/>
            <w:r w:rsidRPr="00F32686">
              <w:t>i</w:t>
            </w:r>
            <w:proofErr w:type="spellEnd"/>
            <w:r w:rsidRPr="00F32686">
              <w:t>) table item 3</w:t>
            </w:r>
          </w:p>
        </w:tc>
        <w:tc>
          <w:tcPr>
            <w:tcW w:w="1843" w:type="dxa"/>
          </w:tcPr>
          <w:p w14:paraId="571274CE" w14:textId="77777777" w:rsidR="00975108" w:rsidRPr="00F32686" w:rsidRDefault="00975108" w:rsidP="000E3C74">
            <w:pPr>
              <w:pStyle w:val="NoSpacing"/>
              <w:jc w:val="center"/>
            </w:pPr>
            <w:r w:rsidRPr="00F32686">
              <w:t>$90</w:t>
            </w:r>
          </w:p>
        </w:tc>
        <w:tc>
          <w:tcPr>
            <w:tcW w:w="1559" w:type="dxa"/>
          </w:tcPr>
          <w:p w14:paraId="7A17D4A8" w14:textId="77777777" w:rsidR="00975108" w:rsidRPr="00F32686" w:rsidRDefault="00975108" w:rsidP="000E3C74">
            <w:pPr>
              <w:pStyle w:val="NoSpacing"/>
              <w:jc w:val="center"/>
            </w:pPr>
            <w:r w:rsidRPr="00F32686">
              <w:t>$95</w:t>
            </w:r>
          </w:p>
        </w:tc>
      </w:tr>
      <w:tr w:rsidR="00975108" w:rsidRPr="00DC19F1" w14:paraId="128551E3" w14:textId="77777777" w:rsidTr="00D40FE0">
        <w:trPr>
          <w:trHeight w:val="70"/>
        </w:trPr>
        <w:tc>
          <w:tcPr>
            <w:tcW w:w="2411" w:type="dxa"/>
            <w:vMerge/>
          </w:tcPr>
          <w:p w14:paraId="3F21477B" w14:textId="77777777" w:rsidR="00975108" w:rsidRPr="00F32686" w:rsidRDefault="00975108" w:rsidP="000E3C74">
            <w:pPr>
              <w:pStyle w:val="NoSpacing"/>
              <w:rPr>
                <w:highlight w:val="yellow"/>
              </w:rPr>
            </w:pPr>
          </w:p>
        </w:tc>
        <w:tc>
          <w:tcPr>
            <w:tcW w:w="2409" w:type="dxa"/>
            <w:vMerge/>
          </w:tcPr>
          <w:p w14:paraId="7AC00D3A" w14:textId="77777777" w:rsidR="00975108" w:rsidRPr="00F32686" w:rsidRDefault="00975108" w:rsidP="000E3C74">
            <w:pPr>
              <w:pStyle w:val="NoSpacing"/>
              <w:rPr>
                <w:highlight w:val="yellow"/>
              </w:rPr>
            </w:pPr>
          </w:p>
        </w:tc>
        <w:tc>
          <w:tcPr>
            <w:tcW w:w="2410" w:type="dxa"/>
          </w:tcPr>
          <w:p w14:paraId="34C85837" w14:textId="77777777" w:rsidR="00975108" w:rsidRPr="00F32686" w:rsidRDefault="00975108" w:rsidP="000E3C74">
            <w:pPr>
              <w:pStyle w:val="NoSpacing"/>
            </w:pPr>
            <w:r w:rsidRPr="00F32686">
              <w:t>Subparagraph 1232 (2) (a) (i</w:t>
            </w:r>
            <w:r w:rsidRPr="00F32686" w:rsidDel="0046719E">
              <w:t>ii</w:t>
            </w:r>
            <w:r w:rsidRPr="00F32686">
              <w:t>) table item 1</w:t>
            </w:r>
          </w:p>
        </w:tc>
        <w:tc>
          <w:tcPr>
            <w:tcW w:w="1843" w:type="dxa"/>
          </w:tcPr>
          <w:p w14:paraId="04ED106C" w14:textId="77777777" w:rsidR="00975108" w:rsidRPr="00F32686" w:rsidRDefault="00975108" w:rsidP="000E3C74">
            <w:pPr>
              <w:pStyle w:val="NoSpacing"/>
              <w:jc w:val="center"/>
            </w:pPr>
            <w:r w:rsidRPr="00F32686">
              <w:t>$360</w:t>
            </w:r>
          </w:p>
        </w:tc>
        <w:tc>
          <w:tcPr>
            <w:tcW w:w="1559" w:type="dxa"/>
          </w:tcPr>
          <w:p w14:paraId="159BBBEE" w14:textId="77777777" w:rsidR="00975108" w:rsidRPr="00F32686" w:rsidRDefault="00975108" w:rsidP="000E3C74">
            <w:pPr>
              <w:pStyle w:val="NoSpacing"/>
              <w:jc w:val="center"/>
            </w:pPr>
            <w:r w:rsidRPr="00F32686">
              <w:t>$380</w:t>
            </w:r>
          </w:p>
        </w:tc>
      </w:tr>
      <w:tr w:rsidR="00975108" w:rsidRPr="00DC19F1" w14:paraId="3D6415E1" w14:textId="77777777" w:rsidTr="00D40FE0">
        <w:tc>
          <w:tcPr>
            <w:tcW w:w="2411" w:type="dxa"/>
            <w:vMerge/>
          </w:tcPr>
          <w:p w14:paraId="1FA31C53" w14:textId="77777777" w:rsidR="00975108" w:rsidRPr="00F32686" w:rsidRDefault="00975108" w:rsidP="000E3C74">
            <w:pPr>
              <w:pStyle w:val="NoSpacing"/>
              <w:rPr>
                <w:highlight w:val="yellow"/>
              </w:rPr>
            </w:pPr>
          </w:p>
        </w:tc>
        <w:tc>
          <w:tcPr>
            <w:tcW w:w="2409" w:type="dxa"/>
            <w:vMerge/>
          </w:tcPr>
          <w:p w14:paraId="4F827218" w14:textId="77777777" w:rsidR="00975108" w:rsidRPr="00F32686" w:rsidRDefault="00975108" w:rsidP="000E3C74">
            <w:pPr>
              <w:pStyle w:val="NoSpacing"/>
              <w:rPr>
                <w:highlight w:val="yellow"/>
              </w:rPr>
            </w:pPr>
          </w:p>
        </w:tc>
        <w:tc>
          <w:tcPr>
            <w:tcW w:w="2410" w:type="dxa"/>
          </w:tcPr>
          <w:p w14:paraId="5A5FE9AB" w14:textId="77777777" w:rsidR="00975108" w:rsidRPr="00F32686" w:rsidRDefault="00975108" w:rsidP="000E3C74">
            <w:pPr>
              <w:pStyle w:val="NoSpacing"/>
            </w:pPr>
            <w:r w:rsidRPr="00F32686">
              <w:t>Subparagraph 1232 (2) (a) (i</w:t>
            </w:r>
            <w:r w:rsidRPr="00F32686" w:rsidDel="0046719E">
              <w:t>ii</w:t>
            </w:r>
            <w:r w:rsidRPr="00F32686">
              <w:t>) table item 2</w:t>
            </w:r>
          </w:p>
        </w:tc>
        <w:tc>
          <w:tcPr>
            <w:tcW w:w="1843" w:type="dxa"/>
          </w:tcPr>
          <w:p w14:paraId="2C9434FE" w14:textId="77777777" w:rsidR="00975108" w:rsidRPr="00F32686" w:rsidRDefault="00975108" w:rsidP="000E3C74">
            <w:pPr>
              <w:pStyle w:val="NoSpacing"/>
              <w:jc w:val="center"/>
            </w:pPr>
            <w:r w:rsidRPr="00F32686">
              <w:t>$360</w:t>
            </w:r>
          </w:p>
        </w:tc>
        <w:tc>
          <w:tcPr>
            <w:tcW w:w="1559" w:type="dxa"/>
          </w:tcPr>
          <w:p w14:paraId="4CC1AF04" w14:textId="77777777" w:rsidR="00975108" w:rsidRPr="00F32686" w:rsidRDefault="00975108" w:rsidP="000E3C74">
            <w:pPr>
              <w:pStyle w:val="NoSpacing"/>
              <w:jc w:val="center"/>
            </w:pPr>
            <w:r w:rsidRPr="00F32686">
              <w:t>$380</w:t>
            </w:r>
          </w:p>
        </w:tc>
      </w:tr>
      <w:tr w:rsidR="00975108" w:rsidRPr="00DC19F1" w14:paraId="7987B5B2" w14:textId="77777777" w:rsidTr="00D40FE0">
        <w:tc>
          <w:tcPr>
            <w:tcW w:w="2411" w:type="dxa"/>
            <w:vMerge/>
          </w:tcPr>
          <w:p w14:paraId="43A82205" w14:textId="77777777" w:rsidR="00975108" w:rsidRPr="00F32686" w:rsidRDefault="00975108" w:rsidP="000E3C74">
            <w:pPr>
              <w:pStyle w:val="NoSpacing"/>
              <w:rPr>
                <w:highlight w:val="yellow"/>
              </w:rPr>
            </w:pPr>
          </w:p>
        </w:tc>
        <w:tc>
          <w:tcPr>
            <w:tcW w:w="2409" w:type="dxa"/>
            <w:vMerge/>
          </w:tcPr>
          <w:p w14:paraId="242DE605" w14:textId="77777777" w:rsidR="00975108" w:rsidRPr="00F32686" w:rsidRDefault="00975108" w:rsidP="000E3C74">
            <w:pPr>
              <w:pStyle w:val="NoSpacing"/>
              <w:rPr>
                <w:highlight w:val="yellow"/>
              </w:rPr>
            </w:pPr>
          </w:p>
        </w:tc>
        <w:tc>
          <w:tcPr>
            <w:tcW w:w="2410" w:type="dxa"/>
          </w:tcPr>
          <w:p w14:paraId="0FDE1D3E" w14:textId="77777777" w:rsidR="00975108" w:rsidRPr="00F32686" w:rsidRDefault="00975108" w:rsidP="000E3C74">
            <w:pPr>
              <w:pStyle w:val="NoSpacing"/>
            </w:pPr>
            <w:r w:rsidRPr="00F32686">
              <w:t>Subparagraph 1232 (2) (a) (i</w:t>
            </w:r>
            <w:r w:rsidRPr="00F32686" w:rsidDel="0046719E">
              <w:t>ii</w:t>
            </w:r>
            <w:r w:rsidRPr="00F32686">
              <w:t>) table item 3</w:t>
            </w:r>
          </w:p>
        </w:tc>
        <w:tc>
          <w:tcPr>
            <w:tcW w:w="1843" w:type="dxa"/>
          </w:tcPr>
          <w:p w14:paraId="57149BAE" w14:textId="77777777" w:rsidR="00975108" w:rsidRPr="00F32686" w:rsidRDefault="00975108" w:rsidP="000E3C74">
            <w:pPr>
              <w:pStyle w:val="NoSpacing"/>
              <w:jc w:val="center"/>
            </w:pPr>
            <w:r w:rsidRPr="00F32686">
              <w:t>$90</w:t>
            </w:r>
          </w:p>
        </w:tc>
        <w:tc>
          <w:tcPr>
            <w:tcW w:w="1559" w:type="dxa"/>
          </w:tcPr>
          <w:p w14:paraId="4CA538FA" w14:textId="77777777" w:rsidR="00975108" w:rsidRPr="00F32686" w:rsidRDefault="00975108" w:rsidP="000E3C74">
            <w:pPr>
              <w:pStyle w:val="NoSpacing"/>
              <w:jc w:val="center"/>
            </w:pPr>
            <w:r w:rsidRPr="00F32686">
              <w:t>$95</w:t>
            </w:r>
          </w:p>
        </w:tc>
      </w:tr>
      <w:tr w:rsidR="00975108" w:rsidRPr="00DC19F1" w14:paraId="13903F69" w14:textId="77777777" w:rsidTr="00D40FE0">
        <w:tc>
          <w:tcPr>
            <w:tcW w:w="2411" w:type="dxa"/>
            <w:vMerge w:val="restart"/>
          </w:tcPr>
          <w:p w14:paraId="66525690" w14:textId="77777777" w:rsidR="00975108" w:rsidRPr="00DC19F1" w:rsidRDefault="00975108" w:rsidP="000E3C74">
            <w:pPr>
              <w:pStyle w:val="NoSpacing"/>
            </w:pPr>
            <w:r w:rsidRPr="00A73A1F">
              <w:t>Training and Research (Class GC)</w:t>
            </w:r>
          </w:p>
        </w:tc>
        <w:tc>
          <w:tcPr>
            <w:tcW w:w="2409" w:type="dxa"/>
            <w:vMerge w:val="restart"/>
          </w:tcPr>
          <w:p w14:paraId="7FCFB789" w14:textId="77777777" w:rsidR="00975108" w:rsidRPr="00DC19F1" w:rsidRDefault="00975108" w:rsidP="000E3C74">
            <w:pPr>
              <w:pStyle w:val="NoSpacing"/>
            </w:pPr>
            <w:r w:rsidRPr="00A73A1F">
              <w:t>Subclass 402 (Training and Research)</w:t>
            </w:r>
            <w:r>
              <w:t xml:space="preserve"> visa</w:t>
            </w:r>
          </w:p>
        </w:tc>
        <w:tc>
          <w:tcPr>
            <w:tcW w:w="2410" w:type="dxa"/>
          </w:tcPr>
          <w:p w14:paraId="5EC1122E" w14:textId="77777777" w:rsidR="00975108" w:rsidRPr="00DC19F1" w:rsidRDefault="00975108" w:rsidP="000E3C74">
            <w:pPr>
              <w:pStyle w:val="NoSpacing"/>
            </w:pPr>
            <w:r>
              <w:t>P</w:t>
            </w:r>
            <w:r w:rsidRPr="004669B5">
              <w:t>aragra</w:t>
            </w:r>
            <w:r>
              <w:t xml:space="preserve">ph 1233 (2) (a) </w:t>
            </w:r>
            <w:r w:rsidRPr="004669B5">
              <w:t>table item 1</w:t>
            </w:r>
          </w:p>
        </w:tc>
        <w:tc>
          <w:tcPr>
            <w:tcW w:w="1843" w:type="dxa"/>
          </w:tcPr>
          <w:p w14:paraId="2FE36207" w14:textId="77777777" w:rsidR="00975108" w:rsidRPr="00DC19F1" w:rsidRDefault="00975108" w:rsidP="000E3C74">
            <w:pPr>
              <w:pStyle w:val="NoSpacing"/>
              <w:jc w:val="center"/>
            </w:pPr>
            <w:r w:rsidRPr="004669B5">
              <w:t>$</w:t>
            </w:r>
            <w:r>
              <w:t>360</w:t>
            </w:r>
          </w:p>
        </w:tc>
        <w:tc>
          <w:tcPr>
            <w:tcW w:w="1559" w:type="dxa"/>
          </w:tcPr>
          <w:p w14:paraId="41346EED" w14:textId="77777777" w:rsidR="00975108" w:rsidRPr="00DC19F1" w:rsidRDefault="00975108" w:rsidP="000E3C74">
            <w:pPr>
              <w:pStyle w:val="NoSpacing"/>
              <w:jc w:val="center"/>
            </w:pPr>
            <w:r w:rsidRPr="004669B5">
              <w:t>$</w:t>
            </w:r>
            <w:r>
              <w:t>380</w:t>
            </w:r>
          </w:p>
        </w:tc>
      </w:tr>
      <w:tr w:rsidR="00975108" w:rsidRPr="00DC19F1" w14:paraId="7898905C" w14:textId="77777777" w:rsidTr="00D40FE0">
        <w:tc>
          <w:tcPr>
            <w:tcW w:w="2411" w:type="dxa"/>
            <w:vMerge/>
          </w:tcPr>
          <w:p w14:paraId="1FDD534C" w14:textId="77777777" w:rsidR="00975108" w:rsidRPr="00DC19F1" w:rsidRDefault="00975108" w:rsidP="000E3C74">
            <w:pPr>
              <w:pStyle w:val="NoSpacing"/>
            </w:pPr>
          </w:p>
        </w:tc>
        <w:tc>
          <w:tcPr>
            <w:tcW w:w="2409" w:type="dxa"/>
            <w:vMerge/>
          </w:tcPr>
          <w:p w14:paraId="08D14E46" w14:textId="77777777" w:rsidR="00975108" w:rsidRPr="00DC19F1" w:rsidRDefault="00975108" w:rsidP="000E3C74">
            <w:pPr>
              <w:pStyle w:val="NoSpacing"/>
            </w:pPr>
          </w:p>
        </w:tc>
        <w:tc>
          <w:tcPr>
            <w:tcW w:w="2410" w:type="dxa"/>
          </w:tcPr>
          <w:p w14:paraId="60B487BA" w14:textId="77777777" w:rsidR="00975108" w:rsidRPr="00DC19F1" w:rsidRDefault="00975108" w:rsidP="000E3C74">
            <w:pPr>
              <w:pStyle w:val="NoSpacing"/>
            </w:pPr>
            <w:r>
              <w:t>P</w:t>
            </w:r>
            <w:r w:rsidRPr="004669B5">
              <w:t>aragra</w:t>
            </w:r>
            <w:r>
              <w:t xml:space="preserve">ph 1233 (2) (a) </w:t>
            </w:r>
            <w:r w:rsidRPr="004669B5">
              <w:t>table item 2</w:t>
            </w:r>
          </w:p>
        </w:tc>
        <w:tc>
          <w:tcPr>
            <w:tcW w:w="1843" w:type="dxa"/>
          </w:tcPr>
          <w:p w14:paraId="08C7E289" w14:textId="77777777" w:rsidR="00975108" w:rsidRPr="00DC19F1" w:rsidRDefault="00975108" w:rsidP="000E3C74">
            <w:pPr>
              <w:pStyle w:val="NoSpacing"/>
              <w:jc w:val="center"/>
            </w:pPr>
            <w:r w:rsidRPr="004669B5">
              <w:t>$</w:t>
            </w:r>
            <w:r>
              <w:t>180</w:t>
            </w:r>
          </w:p>
        </w:tc>
        <w:tc>
          <w:tcPr>
            <w:tcW w:w="1559" w:type="dxa"/>
          </w:tcPr>
          <w:p w14:paraId="774A4DD3" w14:textId="77777777" w:rsidR="00975108" w:rsidRPr="00DC19F1" w:rsidRDefault="00975108" w:rsidP="000E3C74">
            <w:pPr>
              <w:pStyle w:val="NoSpacing"/>
              <w:jc w:val="center"/>
            </w:pPr>
            <w:r w:rsidRPr="004669B5">
              <w:t>$</w:t>
            </w:r>
            <w:r>
              <w:t>190</w:t>
            </w:r>
          </w:p>
        </w:tc>
      </w:tr>
      <w:tr w:rsidR="00975108" w:rsidRPr="00DC19F1" w14:paraId="11D1B756" w14:textId="77777777" w:rsidTr="00D40FE0">
        <w:tc>
          <w:tcPr>
            <w:tcW w:w="2411" w:type="dxa"/>
            <w:vMerge/>
          </w:tcPr>
          <w:p w14:paraId="0FE70B3E" w14:textId="77777777" w:rsidR="00975108" w:rsidRPr="00DC19F1" w:rsidRDefault="00975108" w:rsidP="000E3C74">
            <w:pPr>
              <w:pStyle w:val="NoSpacing"/>
            </w:pPr>
          </w:p>
        </w:tc>
        <w:tc>
          <w:tcPr>
            <w:tcW w:w="2409" w:type="dxa"/>
            <w:vMerge/>
          </w:tcPr>
          <w:p w14:paraId="2DA6F9B4" w14:textId="77777777" w:rsidR="00975108" w:rsidRPr="00DC19F1" w:rsidRDefault="00975108" w:rsidP="000E3C74">
            <w:pPr>
              <w:pStyle w:val="NoSpacing"/>
            </w:pPr>
          </w:p>
        </w:tc>
        <w:tc>
          <w:tcPr>
            <w:tcW w:w="2410" w:type="dxa"/>
          </w:tcPr>
          <w:p w14:paraId="79C6405C" w14:textId="77777777" w:rsidR="00975108" w:rsidRPr="00DC19F1" w:rsidRDefault="00975108" w:rsidP="000E3C74">
            <w:pPr>
              <w:pStyle w:val="NoSpacing"/>
            </w:pPr>
            <w:r>
              <w:t>P</w:t>
            </w:r>
            <w:r w:rsidRPr="004669B5">
              <w:t>aragra</w:t>
            </w:r>
            <w:r>
              <w:t xml:space="preserve">ph 1233 (2) (a) </w:t>
            </w:r>
            <w:r w:rsidRPr="004669B5">
              <w:t>table item 3</w:t>
            </w:r>
          </w:p>
        </w:tc>
        <w:tc>
          <w:tcPr>
            <w:tcW w:w="1843" w:type="dxa"/>
          </w:tcPr>
          <w:p w14:paraId="459FFEAF" w14:textId="77777777" w:rsidR="00975108" w:rsidRPr="00DC19F1" w:rsidRDefault="00975108" w:rsidP="000E3C74">
            <w:pPr>
              <w:pStyle w:val="NoSpacing"/>
              <w:jc w:val="center"/>
            </w:pPr>
            <w:r w:rsidRPr="004669B5">
              <w:t>$</w:t>
            </w:r>
            <w:r>
              <w:t>90</w:t>
            </w:r>
          </w:p>
        </w:tc>
        <w:tc>
          <w:tcPr>
            <w:tcW w:w="1559" w:type="dxa"/>
          </w:tcPr>
          <w:p w14:paraId="25FA63C1" w14:textId="77777777" w:rsidR="00975108" w:rsidRPr="00DC19F1" w:rsidRDefault="00975108" w:rsidP="000E3C74">
            <w:pPr>
              <w:pStyle w:val="NoSpacing"/>
              <w:jc w:val="center"/>
            </w:pPr>
            <w:r>
              <w:t>$95</w:t>
            </w:r>
          </w:p>
        </w:tc>
      </w:tr>
      <w:tr w:rsidR="00975108" w:rsidRPr="00DC19F1" w14:paraId="5E84707D" w14:textId="77777777" w:rsidTr="00D40FE0">
        <w:trPr>
          <w:trHeight w:val="848"/>
        </w:trPr>
        <w:tc>
          <w:tcPr>
            <w:tcW w:w="2411" w:type="dxa"/>
          </w:tcPr>
          <w:p w14:paraId="35731803" w14:textId="77777777" w:rsidR="00975108" w:rsidRPr="00DC19F1" w:rsidRDefault="00975108" w:rsidP="000E3C74">
            <w:pPr>
              <w:pStyle w:val="NoSpacing"/>
            </w:pPr>
            <w:r w:rsidRPr="001C43DF">
              <w:t>Temporary Work (International Relations) (Class GD)</w:t>
            </w:r>
          </w:p>
        </w:tc>
        <w:tc>
          <w:tcPr>
            <w:tcW w:w="2409" w:type="dxa"/>
          </w:tcPr>
          <w:p w14:paraId="1B6D06A8" w14:textId="77777777" w:rsidR="00975108" w:rsidRPr="00DC19F1" w:rsidRDefault="00975108" w:rsidP="000E3C74">
            <w:pPr>
              <w:pStyle w:val="NoSpacing"/>
            </w:pPr>
            <w:r>
              <w:t xml:space="preserve">Subclass 403 </w:t>
            </w:r>
            <w:r w:rsidRPr="001C43DF">
              <w:t>(Temporary Work (International Relations))</w:t>
            </w:r>
            <w:r>
              <w:t xml:space="preserve"> visa</w:t>
            </w:r>
          </w:p>
        </w:tc>
        <w:tc>
          <w:tcPr>
            <w:tcW w:w="2410" w:type="dxa"/>
          </w:tcPr>
          <w:p w14:paraId="40A50D29" w14:textId="77777777" w:rsidR="00975108" w:rsidRPr="00DC19F1" w:rsidRDefault="00975108" w:rsidP="000E3C74">
            <w:pPr>
              <w:pStyle w:val="NoSpacing"/>
            </w:pPr>
            <w:r w:rsidRPr="004669B5">
              <w:t>Subparagra</w:t>
            </w:r>
            <w:r>
              <w:t>ph 1234 (2) (a) (vi) table item 1</w:t>
            </w:r>
          </w:p>
        </w:tc>
        <w:tc>
          <w:tcPr>
            <w:tcW w:w="1843" w:type="dxa"/>
          </w:tcPr>
          <w:p w14:paraId="16F6A53B" w14:textId="77777777" w:rsidR="00975108" w:rsidRPr="00DC19F1" w:rsidRDefault="00975108" w:rsidP="000E3C74">
            <w:pPr>
              <w:pStyle w:val="NoSpacing"/>
              <w:jc w:val="center"/>
            </w:pPr>
            <w:r w:rsidRPr="004669B5">
              <w:t>$</w:t>
            </w:r>
            <w:r>
              <w:t>360</w:t>
            </w:r>
          </w:p>
        </w:tc>
        <w:tc>
          <w:tcPr>
            <w:tcW w:w="1559" w:type="dxa"/>
          </w:tcPr>
          <w:p w14:paraId="0F2D78EA" w14:textId="77777777" w:rsidR="00975108" w:rsidRPr="00DC19F1" w:rsidRDefault="00975108" w:rsidP="000E3C74">
            <w:pPr>
              <w:pStyle w:val="NoSpacing"/>
              <w:jc w:val="center"/>
            </w:pPr>
            <w:r>
              <w:t>$380</w:t>
            </w:r>
          </w:p>
        </w:tc>
      </w:tr>
      <w:tr w:rsidR="00975108" w:rsidRPr="00DC19F1" w14:paraId="2CF53999" w14:textId="77777777" w:rsidTr="00D40FE0">
        <w:tc>
          <w:tcPr>
            <w:tcW w:w="2411" w:type="dxa"/>
            <w:vMerge w:val="restart"/>
          </w:tcPr>
          <w:p w14:paraId="19DC5031" w14:textId="77777777" w:rsidR="00975108" w:rsidRPr="00E77719" w:rsidRDefault="00975108" w:rsidP="000E3C74">
            <w:pPr>
              <w:pStyle w:val="NoSpacing"/>
            </w:pPr>
            <w:r w:rsidRPr="00E77719">
              <w:t>Temporary Work (Entertainment) (Class GE)</w:t>
            </w:r>
          </w:p>
        </w:tc>
        <w:tc>
          <w:tcPr>
            <w:tcW w:w="2409" w:type="dxa"/>
            <w:vMerge w:val="restart"/>
          </w:tcPr>
          <w:p w14:paraId="33FD270B" w14:textId="77777777" w:rsidR="00975108" w:rsidRPr="00E77719" w:rsidRDefault="00975108" w:rsidP="000E3C74">
            <w:pPr>
              <w:pStyle w:val="NoSpacing"/>
            </w:pPr>
            <w:r w:rsidRPr="00E77719">
              <w:t>Subclass 420 (Temporary Work (Entertainment)) visa</w:t>
            </w:r>
          </w:p>
        </w:tc>
        <w:tc>
          <w:tcPr>
            <w:tcW w:w="2410" w:type="dxa"/>
          </w:tcPr>
          <w:p w14:paraId="11CF902A" w14:textId="77777777" w:rsidR="00975108" w:rsidRPr="00F32686" w:rsidRDefault="00975108" w:rsidP="000E3C74">
            <w:pPr>
              <w:pStyle w:val="NoSpacing"/>
            </w:pPr>
            <w:r w:rsidRPr="00F32686">
              <w:t>Subparagraph 1235 (2) (a) (iv) table item 1</w:t>
            </w:r>
          </w:p>
        </w:tc>
        <w:tc>
          <w:tcPr>
            <w:tcW w:w="1843" w:type="dxa"/>
          </w:tcPr>
          <w:p w14:paraId="62DA5374" w14:textId="77777777" w:rsidR="00975108" w:rsidRPr="00F32686" w:rsidRDefault="00975108" w:rsidP="000E3C74">
            <w:pPr>
              <w:pStyle w:val="NoSpacing"/>
              <w:jc w:val="center"/>
            </w:pPr>
            <w:r w:rsidRPr="00F32686">
              <w:t>$3</w:t>
            </w:r>
            <w:r>
              <w:t xml:space="preserve"> </w:t>
            </w:r>
            <w:r w:rsidRPr="00F32686">
              <w:t>600</w:t>
            </w:r>
          </w:p>
        </w:tc>
        <w:tc>
          <w:tcPr>
            <w:tcW w:w="1559" w:type="dxa"/>
          </w:tcPr>
          <w:p w14:paraId="6CC06BD2" w14:textId="77777777" w:rsidR="00975108" w:rsidRPr="00F32686" w:rsidRDefault="00975108" w:rsidP="000E3C74">
            <w:pPr>
              <w:pStyle w:val="NoSpacing"/>
              <w:jc w:val="center"/>
            </w:pPr>
            <w:r w:rsidRPr="00F32686">
              <w:t>$3</w:t>
            </w:r>
            <w:r>
              <w:t xml:space="preserve"> </w:t>
            </w:r>
            <w:r w:rsidRPr="00F32686">
              <w:t>800</w:t>
            </w:r>
          </w:p>
        </w:tc>
      </w:tr>
      <w:tr w:rsidR="00975108" w:rsidRPr="00DC19F1" w14:paraId="6DFD75EB" w14:textId="77777777" w:rsidTr="00D40FE0">
        <w:tc>
          <w:tcPr>
            <w:tcW w:w="2411" w:type="dxa"/>
            <w:vMerge/>
          </w:tcPr>
          <w:p w14:paraId="56AF620C" w14:textId="77777777" w:rsidR="00975108" w:rsidRPr="00F32686" w:rsidRDefault="00975108" w:rsidP="000E3C74">
            <w:pPr>
              <w:pStyle w:val="NoSpacing"/>
              <w:rPr>
                <w:highlight w:val="yellow"/>
              </w:rPr>
            </w:pPr>
          </w:p>
        </w:tc>
        <w:tc>
          <w:tcPr>
            <w:tcW w:w="2409" w:type="dxa"/>
            <w:vMerge/>
          </w:tcPr>
          <w:p w14:paraId="21513A6E" w14:textId="77777777" w:rsidR="00975108" w:rsidRPr="00F32686" w:rsidRDefault="00975108" w:rsidP="000E3C74">
            <w:pPr>
              <w:pStyle w:val="NoSpacing"/>
              <w:rPr>
                <w:highlight w:val="yellow"/>
              </w:rPr>
            </w:pPr>
          </w:p>
        </w:tc>
        <w:tc>
          <w:tcPr>
            <w:tcW w:w="2410" w:type="dxa"/>
          </w:tcPr>
          <w:p w14:paraId="443B6028" w14:textId="77777777" w:rsidR="00975108" w:rsidRPr="00F32686" w:rsidRDefault="00975108" w:rsidP="000E3C74">
            <w:pPr>
              <w:pStyle w:val="NoSpacing"/>
            </w:pPr>
            <w:r w:rsidRPr="00F32686">
              <w:t>Subparagraph 1235 (2) (a) (iv) table item 2</w:t>
            </w:r>
          </w:p>
        </w:tc>
        <w:tc>
          <w:tcPr>
            <w:tcW w:w="1843" w:type="dxa"/>
          </w:tcPr>
          <w:p w14:paraId="34E4C256" w14:textId="77777777" w:rsidR="00975108" w:rsidRPr="00F32686" w:rsidRDefault="00975108" w:rsidP="000E3C74">
            <w:pPr>
              <w:pStyle w:val="NoSpacing"/>
              <w:jc w:val="center"/>
            </w:pPr>
            <w:r w:rsidRPr="00F32686">
              <w:t>$360</w:t>
            </w:r>
          </w:p>
        </w:tc>
        <w:tc>
          <w:tcPr>
            <w:tcW w:w="1559" w:type="dxa"/>
          </w:tcPr>
          <w:p w14:paraId="470034FC" w14:textId="77777777" w:rsidR="00975108" w:rsidRPr="00F32686" w:rsidRDefault="00975108" w:rsidP="000E3C74">
            <w:pPr>
              <w:pStyle w:val="NoSpacing"/>
              <w:jc w:val="center"/>
            </w:pPr>
            <w:r w:rsidRPr="00F32686">
              <w:t>$380</w:t>
            </w:r>
          </w:p>
        </w:tc>
      </w:tr>
      <w:tr w:rsidR="00975108" w:rsidRPr="00DC19F1" w14:paraId="765E1AA6" w14:textId="77777777" w:rsidTr="00D40FE0">
        <w:tc>
          <w:tcPr>
            <w:tcW w:w="2411" w:type="dxa"/>
            <w:vMerge/>
          </w:tcPr>
          <w:p w14:paraId="2FA1B86D" w14:textId="77777777" w:rsidR="00975108" w:rsidRPr="00F32686" w:rsidRDefault="00975108" w:rsidP="000E3C74">
            <w:pPr>
              <w:pStyle w:val="NoSpacing"/>
              <w:rPr>
                <w:highlight w:val="yellow"/>
              </w:rPr>
            </w:pPr>
          </w:p>
        </w:tc>
        <w:tc>
          <w:tcPr>
            <w:tcW w:w="2409" w:type="dxa"/>
            <w:vMerge/>
          </w:tcPr>
          <w:p w14:paraId="6A2CF168" w14:textId="77777777" w:rsidR="00975108" w:rsidRPr="00F32686" w:rsidRDefault="00975108" w:rsidP="000E3C74">
            <w:pPr>
              <w:pStyle w:val="NoSpacing"/>
              <w:rPr>
                <w:highlight w:val="yellow"/>
              </w:rPr>
            </w:pPr>
          </w:p>
        </w:tc>
        <w:tc>
          <w:tcPr>
            <w:tcW w:w="2410" w:type="dxa"/>
          </w:tcPr>
          <w:p w14:paraId="59360B61" w14:textId="77777777" w:rsidR="00975108" w:rsidRPr="00F32686" w:rsidRDefault="00975108" w:rsidP="000E3C74">
            <w:pPr>
              <w:pStyle w:val="NoSpacing"/>
            </w:pPr>
            <w:r w:rsidRPr="00F32686">
              <w:t>Subparagraph 1235 (2) (a) (iv) table item 3</w:t>
            </w:r>
          </w:p>
        </w:tc>
        <w:tc>
          <w:tcPr>
            <w:tcW w:w="1843" w:type="dxa"/>
          </w:tcPr>
          <w:p w14:paraId="095F77F6" w14:textId="77777777" w:rsidR="00975108" w:rsidRPr="00F32686" w:rsidRDefault="00975108" w:rsidP="000E3C74">
            <w:pPr>
              <w:pStyle w:val="NoSpacing"/>
              <w:jc w:val="center"/>
            </w:pPr>
            <w:r w:rsidRPr="00F32686">
              <w:t>$90</w:t>
            </w:r>
          </w:p>
        </w:tc>
        <w:tc>
          <w:tcPr>
            <w:tcW w:w="1559" w:type="dxa"/>
          </w:tcPr>
          <w:p w14:paraId="2E89C52D" w14:textId="77777777" w:rsidR="00975108" w:rsidRPr="00F32686" w:rsidRDefault="00975108" w:rsidP="000E3C74">
            <w:pPr>
              <w:pStyle w:val="NoSpacing"/>
              <w:jc w:val="center"/>
            </w:pPr>
            <w:r w:rsidRPr="00F32686">
              <w:t>$95</w:t>
            </w:r>
          </w:p>
        </w:tc>
      </w:tr>
      <w:tr w:rsidR="00975108" w:rsidRPr="00DC19F1" w14:paraId="1CB26FF9" w14:textId="77777777" w:rsidTr="00D40FE0">
        <w:tc>
          <w:tcPr>
            <w:tcW w:w="2411" w:type="dxa"/>
            <w:vMerge/>
          </w:tcPr>
          <w:p w14:paraId="13314134" w14:textId="77777777" w:rsidR="00975108" w:rsidRPr="00F32686" w:rsidRDefault="00975108" w:rsidP="000E3C74">
            <w:pPr>
              <w:pStyle w:val="NoSpacing"/>
              <w:rPr>
                <w:highlight w:val="yellow"/>
              </w:rPr>
            </w:pPr>
          </w:p>
        </w:tc>
        <w:tc>
          <w:tcPr>
            <w:tcW w:w="2409" w:type="dxa"/>
            <w:vMerge/>
          </w:tcPr>
          <w:p w14:paraId="639F14C5" w14:textId="77777777" w:rsidR="00975108" w:rsidRPr="00F32686" w:rsidRDefault="00975108" w:rsidP="000E3C74">
            <w:pPr>
              <w:pStyle w:val="NoSpacing"/>
              <w:rPr>
                <w:highlight w:val="yellow"/>
              </w:rPr>
            </w:pPr>
          </w:p>
        </w:tc>
        <w:tc>
          <w:tcPr>
            <w:tcW w:w="2410" w:type="dxa"/>
          </w:tcPr>
          <w:p w14:paraId="68ECC233" w14:textId="77777777" w:rsidR="00975108" w:rsidRPr="00F32686" w:rsidRDefault="00975108" w:rsidP="000E3C74">
            <w:pPr>
              <w:pStyle w:val="NoSpacing"/>
            </w:pPr>
            <w:r w:rsidRPr="00F32686">
              <w:t>Subparagraph 1235 (2) (a) (v) table item 1</w:t>
            </w:r>
          </w:p>
        </w:tc>
        <w:tc>
          <w:tcPr>
            <w:tcW w:w="1843" w:type="dxa"/>
          </w:tcPr>
          <w:p w14:paraId="5DE3094C" w14:textId="77777777" w:rsidR="00975108" w:rsidRPr="00F32686" w:rsidRDefault="00975108" w:rsidP="000E3C74">
            <w:pPr>
              <w:pStyle w:val="NoSpacing"/>
              <w:jc w:val="center"/>
            </w:pPr>
            <w:r w:rsidRPr="00F32686">
              <w:t>$360</w:t>
            </w:r>
          </w:p>
        </w:tc>
        <w:tc>
          <w:tcPr>
            <w:tcW w:w="1559" w:type="dxa"/>
          </w:tcPr>
          <w:p w14:paraId="69E8A297" w14:textId="77777777" w:rsidR="00975108" w:rsidRPr="00F32686" w:rsidRDefault="00975108" w:rsidP="000E3C74">
            <w:pPr>
              <w:pStyle w:val="NoSpacing"/>
              <w:jc w:val="center"/>
            </w:pPr>
            <w:r w:rsidRPr="00F32686">
              <w:t>$380</w:t>
            </w:r>
          </w:p>
        </w:tc>
      </w:tr>
      <w:tr w:rsidR="00975108" w:rsidRPr="00DC19F1" w14:paraId="380925DA" w14:textId="77777777" w:rsidTr="00D40FE0">
        <w:tc>
          <w:tcPr>
            <w:tcW w:w="2411" w:type="dxa"/>
            <w:vMerge/>
          </w:tcPr>
          <w:p w14:paraId="047E5344" w14:textId="77777777" w:rsidR="00975108" w:rsidRPr="00F32686" w:rsidRDefault="00975108" w:rsidP="000E3C74">
            <w:pPr>
              <w:pStyle w:val="NoSpacing"/>
              <w:rPr>
                <w:highlight w:val="yellow"/>
              </w:rPr>
            </w:pPr>
          </w:p>
        </w:tc>
        <w:tc>
          <w:tcPr>
            <w:tcW w:w="2409" w:type="dxa"/>
            <w:vMerge/>
          </w:tcPr>
          <w:p w14:paraId="7D4D06D4" w14:textId="77777777" w:rsidR="00975108" w:rsidRPr="00F32686" w:rsidRDefault="00975108" w:rsidP="000E3C74">
            <w:pPr>
              <w:pStyle w:val="NoSpacing"/>
              <w:rPr>
                <w:highlight w:val="yellow"/>
              </w:rPr>
            </w:pPr>
          </w:p>
        </w:tc>
        <w:tc>
          <w:tcPr>
            <w:tcW w:w="2410" w:type="dxa"/>
          </w:tcPr>
          <w:p w14:paraId="0F0BFCE3" w14:textId="77777777" w:rsidR="00975108" w:rsidRPr="00F32686" w:rsidRDefault="00975108" w:rsidP="000E3C74">
            <w:pPr>
              <w:pStyle w:val="NoSpacing"/>
            </w:pPr>
            <w:r w:rsidRPr="00F32686">
              <w:t>Subparagraph 1235 (2) (a) (v) table item 2</w:t>
            </w:r>
          </w:p>
        </w:tc>
        <w:tc>
          <w:tcPr>
            <w:tcW w:w="1843" w:type="dxa"/>
          </w:tcPr>
          <w:p w14:paraId="59F14C55" w14:textId="77777777" w:rsidR="00975108" w:rsidRPr="00F32686" w:rsidRDefault="00975108" w:rsidP="000E3C74">
            <w:pPr>
              <w:pStyle w:val="NoSpacing"/>
              <w:jc w:val="center"/>
            </w:pPr>
            <w:r w:rsidRPr="00F32686">
              <w:t>$360</w:t>
            </w:r>
          </w:p>
        </w:tc>
        <w:tc>
          <w:tcPr>
            <w:tcW w:w="1559" w:type="dxa"/>
          </w:tcPr>
          <w:p w14:paraId="190A37BE" w14:textId="77777777" w:rsidR="00975108" w:rsidRPr="00F32686" w:rsidRDefault="00975108" w:rsidP="000E3C74">
            <w:pPr>
              <w:pStyle w:val="NoSpacing"/>
              <w:jc w:val="center"/>
            </w:pPr>
            <w:r w:rsidRPr="00F32686">
              <w:t>$380</w:t>
            </w:r>
          </w:p>
        </w:tc>
      </w:tr>
      <w:tr w:rsidR="00975108" w:rsidRPr="00DC19F1" w14:paraId="0687605A" w14:textId="77777777" w:rsidTr="00D40FE0">
        <w:tc>
          <w:tcPr>
            <w:tcW w:w="2411" w:type="dxa"/>
            <w:vMerge/>
          </w:tcPr>
          <w:p w14:paraId="51FDEE04" w14:textId="77777777" w:rsidR="00975108" w:rsidRPr="00F32686" w:rsidRDefault="00975108" w:rsidP="000E3C74">
            <w:pPr>
              <w:pStyle w:val="NoSpacing"/>
              <w:rPr>
                <w:highlight w:val="yellow"/>
              </w:rPr>
            </w:pPr>
          </w:p>
        </w:tc>
        <w:tc>
          <w:tcPr>
            <w:tcW w:w="2409" w:type="dxa"/>
            <w:vMerge/>
          </w:tcPr>
          <w:p w14:paraId="15A0F6C8" w14:textId="77777777" w:rsidR="00975108" w:rsidRPr="00F32686" w:rsidRDefault="00975108" w:rsidP="000E3C74">
            <w:pPr>
              <w:pStyle w:val="NoSpacing"/>
              <w:rPr>
                <w:highlight w:val="yellow"/>
              </w:rPr>
            </w:pPr>
          </w:p>
        </w:tc>
        <w:tc>
          <w:tcPr>
            <w:tcW w:w="2410" w:type="dxa"/>
          </w:tcPr>
          <w:p w14:paraId="5B281CA3" w14:textId="77777777" w:rsidR="00975108" w:rsidRPr="00F32686" w:rsidRDefault="00975108" w:rsidP="000E3C74">
            <w:pPr>
              <w:pStyle w:val="NoSpacing"/>
            </w:pPr>
            <w:r w:rsidRPr="00F32686">
              <w:t>Subparagraph 1235 (2) (a) (v) table item 3</w:t>
            </w:r>
          </w:p>
        </w:tc>
        <w:tc>
          <w:tcPr>
            <w:tcW w:w="1843" w:type="dxa"/>
          </w:tcPr>
          <w:p w14:paraId="2CDF8C15" w14:textId="77777777" w:rsidR="00975108" w:rsidRPr="00F32686" w:rsidRDefault="00975108" w:rsidP="000E3C74">
            <w:pPr>
              <w:pStyle w:val="NoSpacing"/>
              <w:jc w:val="center"/>
            </w:pPr>
            <w:r w:rsidRPr="00F32686">
              <w:t>$90</w:t>
            </w:r>
          </w:p>
        </w:tc>
        <w:tc>
          <w:tcPr>
            <w:tcW w:w="1559" w:type="dxa"/>
          </w:tcPr>
          <w:p w14:paraId="170DC691" w14:textId="77777777" w:rsidR="00975108" w:rsidRPr="00F32686" w:rsidRDefault="00975108" w:rsidP="000E3C74">
            <w:pPr>
              <w:pStyle w:val="NoSpacing"/>
              <w:jc w:val="center"/>
            </w:pPr>
            <w:r w:rsidRPr="00F32686">
              <w:t>$95</w:t>
            </w:r>
          </w:p>
        </w:tc>
      </w:tr>
      <w:tr w:rsidR="00975108" w:rsidRPr="00DC19F1" w14:paraId="2AB7C0B5" w14:textId="77777777" w:rsidTr="00D40FE0">
        <w:tc>
          <w:tcPr>
            <w:tcW w:w="2411" w:type="dxa"/>
            <w:vMerge w:val="restart"/>
          </w:tcPr>
          <w:p w14:paraId="12880E9A" w14:textId="77777777" w:rsidR="00975108" w:rsidRPr="00DC19F1" w:rsidRDefault="00975108" w:rsidP="000E3C74">
            <w:pPr>
              <w:pStyle w:val="NoSpacing"/>
            </w:pPr>
            <w:r w:rsidRPr="001C43DF">
              <w:t>Visitor (Class FA)</w:t>
            </w:r>
          </w:p>
        </w:tc>
        <w:tc>
          <w:tcPr>
            <w:tcW w:w="2409" w:type="dxa"/>
            <w:vMerge w:val="restart"/>
          </w:tcPr>
          <w:p w14:paraId="08A4DC60" w14:textId="77777777" w:rsidR="00975108" w:rsidRPr="00DC19F1" w:rsidRDefault="00975108" w:rsidP="000E3C74">
            <w:pPr>
              <w:pStyle w:val="NoSpacing"/>
            </w:pPr>
            <w:r w:rsidRPr="001C43DF">
              <w:t>Subclass 600 (Visitor)</w:t>
            </w:r>
            <w:r>
              <w:t xml:space="preserve"> visa</w:t>
            </w:r>
          </w:p>
        </w:tc>
        <w:tc>
          <w:tcPr>
            <w:tcW w:w="2410" w:type="dxa"/>
          </w:tcPr>
          <w:p w14:paraId="37A70BB8" w14:textId="77777777" w:rsidR="00975108" w:rsidRPr="00DC19F1" w:rsidRDefault="00975108" w:rsidP="000E3C74">
            <w:pPr>
              <w:pStyle w:val="NoSpacing"/>
            </w:pPr>
            <w:r w:rsidRPr="004669B5">
              <w:t>Subparagra</w:t>
            </w:r>
            <w:r>
              <w:t>ph 1236 (2) (a) (</w:t>
            </w:r>
            <w:proofErr w:type="spellStart"/>
            <w:r>
              <w:t>i</w:t>
            </w:r>
            <w:proofErr w:type="spellEnd"/>
            <w:r w:rsidRPr="004669B5">
              <w:t>)</w:t>
            </w:r>
          </w:p>
        </w:tc>
        <w:tc>
          <w:tcPr>
            <w:tcW w:w="1843" w:type="dxa"/>
          </w:tcPr>
          <w:p w14:paraId="1E795834" w14:textId="77777777" w:rsidR="00975108" w:rsidRPr="00DC19F1" w:rsidRDefault="00975108" w:rsidP="000E3C74">
            <w:pPr>
              <w:pStyle w:val="NoSpacing"/>
              <w:jc w:val="center"/>
            </w:pPr>
            <w:r w:rsidRPr="004669B5">
              <w:t>$</w:t>
            </w:r>
            <w:r>
              <w:t>335</w:t>
            </w:r>
          </w:p>
        </w:tc>
        <w:tc>
          <w:tcPr>
            <w:tcW w:w="1559" w:type="dxa"/>
          </w:tcPr>
          <w:p w14:paraId="30398BDF" w14:textId="77777777" w:rsidR="00975108" w:rsidRPr="00DC19F1" w:rsidRDefault="00975108" w:rsidP="000E3C74">
            <w:pPr>
              <w:pStyle w:val="NoSpacing"/>
              <w:jc w:val="center"/>
            </w:pPr>
            <w:r>
              <w:t>$340</w:t>
            </w:r>
          </w:p>
        </w:tc>
      </w:tr>
      <w:tr w:rsidR="00975108" w:rsidRPr="00DC19F1" w14:paraId="6DC0C20C" w14:textId="77777777" w:rsidTr="00D40FE0">
        <w:trPr>
          <w:trHeight w:val="562"/>
        </w:trPr>
        <w:tc>
          <w:tcPr>
            <w:tcW w:w="2411" w:type="dxa"/>
            <w:vMerge/>
          </w:tcPr>
          <w:p w14:paraId="6668994C" w14:textId="77777777" w:rsidR="00975108" w:rsidRPr="00DC19F1" w:rsidRDefault="00975108" w:rsidP="000E3C74">
            <w:pPr>
              <w:pStyle w:val="NoSpacing"/>
            </w:pPr>
          </w:p>
        </w:tc>
        <w:tc>
          <w:tcPr>
            <w:tcW w:w="2409" w:type="dxa"/>
            <w:vMerge/>
          </w:tcPr>
          <w:p w14:paraId="55CDE5A1" w14:textId="77777777" w:rsidR="00975108" w:rsidRPr="00DC19F1" w:rsidRDefault="00975108" w:rsidP="000E3C74">
            <w:pPr>
              <w:pStyle w:val="NoSpacing"/>
            </w:pPr>
          </w:p>
        </w:tc>
        <w:tc>
          <w:tcPr>
            <w:tcW w:w="2410" w:type="dxa"/>
          </w:tcPr>
          <w:p w14:paraId="56EF3657" w14:textId="77777777" w:rsidR="00975108" w:rsidRPr="00DC19F1" w:rsidRDefault="00975108" w:rsidP="000E3C74">
            <w:pPr>
              <w:pStyle w:val="NoSpacing"/>
            </w:pPr>
            <w:r w:rsidRPr="004669B5">
              <w:t>Subparagra</w:t>
            </w:r>
            <w:r>
              <w:t>ph 1236 (2) (a) (ii</w:t>
            </w:r>
            <w:r w:rsidRPr="004669B5">
              <w:t>)</w:t>
            </w:r>
          </w:p>
        </w:tc>
        <w:tc>
          <w:tcPr>
            <w:tcW w:w="1843" w:type="dxa"/>
          </w:tcPr>
          <w:p w14:paraId="3204942E" w14:textId="77777777" w:rsidR="00975108" w:rsidRPr="00DC19F1" w:rsidRDefault="00975108" w:rsidP="000E3C74">
            <w:pPr>
              <w:pStyle w:val="NoSpacing"/>
              <w:jc w:val="center"/>
            </w:pPr>
            <w:r w:rsidRPr="004669B5">
              <w:t>$</w:t>
            </w:r>
            <w:r>
              <w:t>130</w:t>
            </w:r>
          </w:p>
        </w:tc>
        <w:tc>
          <w:tcPr>
            <w:tcW w:w="1559" w:type="dxa"/>
          </w:tcPr>
          <w:p w14:paraId="74B563C0" w14:textId="77777777" w:rsidR="00975108" w:rsidRPr="00DC19F1" w:rsidRDefault="00975108" w:rsidP="000E3C74">
            <w:pPr>
              <w:pStyle w:val="NoSpacing"/>
              <w:jc w:val="center"/>
            </w:pPr>
            <w:r>
              <w:t>$135</w:t>
            </w:r>
          </w:p>
        </w:tc>
      </w:tr>
    </w:tbl>
    <w:p w14:paraId="16E12599" w14:textId="77777777" w:rsidR="00975108" w:rsidRDefault="00975108" w:rsidP="000E3C74">
      <w:pPr>
        <w:spacing w:before="0"/>
        <w:ind w:right="43"/>
        <w:rPr>
          <w:b/>
          <w:caps/>
          <w:szCs w:val="24"/>
        </w:rPr>
      </w:pPr>
    </w:p>
    <w:p w14:paraId="5EB3D6BE" w14:textId="3585E029" w:rsidR="009B689A" w:rsidRDefault="009B689A">
      <w:pPr>
        <w:spacing w:before="0"/>
        <w:rPr>
          <w:b/>
          <w:bCs/>
          <w:color w:val="000000"/>
          <w:szCs w:val="24"/>
          <w:u w:val="single"/>
        </w:rPr>
      </w:pPr>
    </w:p>
    <w:p w14:paraId="7380AD15" w14:textId="2385CA6F" w:rsidR="00745D8E" w:rsidRPr="00B6180D" w:rsidRDefault="00745D8E" w:rsidP="000E3C74">
      <w:pPr>
        <w:pStyle w:val="Default"/>
        <w:ind w:right="91"/>
      </w:pPr>
      <w:r w:rsidRPr="00B6180D">
        <w:rPr>
          <w:b/>
          <w:bCs/>
          <w:u w:val="single"/>
        </w:rPr>
        <w:t xml:space="preserve">Schedule 8 – </w:t>
      </w:r>
      <w:r w:rsidR="0019466D">
        <w:rPr>
          <w:b/>
          <w:bCs/>
          <w:u w:val="single"/>
        </w:rPr>
        <w:t>Amendments related to i</w:t>
      </w:r>
      <w:r w:rsidR="007513D7">
        <w:rPr>
          <w:b/>
          <w:bCs/>
          <w:u w:val="single"/>
        </w:rPr>
        <w:t xml:space="preserve">nternational </w:t>
      </w:r>
      <w:r w:rsidR="0019466D">
        <w:rPr>
          <w:b/>
          <w:bCs/>
          <w:u w:val="single"/>
        </w:rPr>
        <w:t>a</w:t>
      </w:r>
      <w:r w:rsidR="007513D7">
        <w:rPr>
          <w:b/>
          <w:bCs/>
          <w:u w:val="single"/>
        </w:rPr>
        <w:t>irports</w:t>
      </w:r>
    </w:p>
    <w:p w14:paraId="2A7D001B" w14:textId="77777777" w:rsidR="00745D8E" w:rsidRPr="00B6180D" w:rsidRDefault="00745D8E" w:rsidP="000E3C74">
      <w:pPr>
        <w:tabs>
          <w:tab w:val="left" w:pos="345"/>
        </w:tabs>
        <w:spacing w:before="0"/>
        <w:ind w:right="662"/>
        <w:rPr>
          <w:szCs w:val="24"/>
          <w:u w:val="single"/>
        </w:rPr>
      </w:pPr>
    </w:p>
    <w:p w14:paraId="430B38C9" w14:textId="1F169AE8" w:rsidR="00E77E8B" w:rsidRDefault="00745D8E" w:rsidP="004C2D7B">
      <w:pPr>
        <w:tabs>
          <w:tab w:val="left" w:pos="345"/>
        </w:tabs>
        <w:spacing w:before="0"/>
        <w:ind w:right="662"/>
        <w:rPr>
          <w:szCs w:val="24"/>
        </w:rPr>
      </w:pPr>
      <w:r w:rsidRPr="00B6180D">
        <w:rPr>
          <w:szCs w:val="24"/>
          <w:u w:val="single"/>
        </w:rPr>
        <w:t xml:space="preserve">Item 1 – </w:t>
      </w:r>
      <w:r w:rsidR="007513D7" w:rsidRPr="00BC6BEE">
        <w:rPr>
          <w:u w:val="single"/>
        </w:rPr>
        <w:t>Section 4 (paragraph (</w:t>
      </w:r>
      <w:proofErr w:type="spellStart"/>
      <w:r w:rsidR="007513D7" w:rsidRPr="00BC6BEE">
        <w:rPr>
          <w:u w:val="single"/>
        </w:rPr>
        <w:t>i</w:t>
      </w:r>
      <w:proofErr w:type="spellEnd"/>
      <w:r w:rsidR="007513D7" w:rsidRPr="00BC6BEE">
        <w:rPr>
          <w:u w:val="single"/>
        </w:rPr>
        <w:t xml:space="preserve">) of the definition of </w:t>
      </w:r>
      <w:r w:rsidR="007513D7" w:rsidRPr="00BC6BEE">
        <w:rPr>
          <w:i/>
          <w:u w:val="single"/>
        </w:rPr>
        <w:t>international airport</w:t>
      </w:r>
      <w:r w:rsidR="007513D7" w:rsidRPr="00BC6BEE">
        <w:rPr>
          <w:u w:val="single"/>
        </w:rPr>
        <w:t>)</w:t>
      </w:r>
      <w:r w:rsidR="00E77E8B">
        <w:rPr>
          <w:u w:val="single"/>
        </w:rPr>
        <w:t xml:space="preserve"> </w:t>
      </w:r>
    </w:p>
    <w:p w14:paraId="11F203A2" w14:textId="4141815C" w:rsidR="00E77E8B" w:rsidRDefault="007513D7" w:rsidP="004C2D7B">
      <w:pPr>
        <w:tabs>
          <w:tab w:val="left" w:pos="345"/>
        </w:tabs>
        <w:spacing w:before="0"/>
        <w:ind w:right="662"/>
      </w:pPr>
      <w:r>
        <w:rPr>
          <w:szCs w:val="24"/>
        </w:rPr>
        <w:t xml:space="preserve">This item amends the definition of “international airport” by including two additional airports: </w:t>
      </w:r>
      <w:r w:rsidRPr="001A5695">
        <w:t>Sunshine Coast (Maroochydore) Airport</w:t>
      </w:r>
      <w:r>
        <w:t xml:space="preserve"> and </w:t>
      </w:r>
      <w:r w:rsidRPr="001A5695">
        <w:t>Townsville Airport</w:t>
      </w:r>
      <w:r w:rsidR="00E77E8B">
        <w:t xml:space="preserve"> in the Customs Regulation 2015 (the Customs Regulation)</w:t>
      </w:r>
      <w:r>
        <w:t>.</w:t>
      </w:r>
      <w:r w:rsidR="00E77E8B">
        <w:t xml:space="preserve"> </w:t>
      </w:r>
    </w:p>
    <w:p w14:paraId="0F54F136" w14:textId="4C079A26" w:rsidR="007513D7" w:rsidRDefault="007513D7" w:rsidP="004C2D7B">
      <w:pPr>
        <w:tabs>
          <w:tab w:val="left" w:pos="345"/>
        </w:tabs>
        <w:spacing w:before="0"/>
        <w:ind w:right="662"/>
      </w:pPr>
      <w:r>
        <w:t>The purpose of the amendment is to allow the additional airports to be considered “international airports” for the purposes of section 28 of the Customs Act and subsection 12(1) of the Custom Regulation. Section 28 of the Customs A</w:t>
      </w:r>
      <w:r w:rsidR="0019466D">
        <w:t>ct provides that the Custom Regulation</w:t>
      </w:r>
      <w:r>
        <w:t xml:space="preserve"> may prescribe the days on which</w:t>
      </w:r>
      <w:r w:rsidR="00E77E8B">
        <w:t>,</w:t>
      </w:r>
      <w:r>
        <w:t xml:space="preserve"> and the times between which</w:t>
      </w:r>
      <w:r w:rsidR="00E77E8B">
        <w:t>,</w:t>
      </w:r>
      <w:r>
        <w:t xml:space="preserve"> officers are to be available to perform specified functions at specified locations. Work performed outside these specified locations and times attract location and overtime fees which are recoverable by </w:t>
      </w:r>
      <w:r>
        <w:rPr>
          <w:szCs w:val="24"/>
        </w:rPr>
        <w:t>the Australian Customs and Border Protection Service (ACBPS)</w:t>
      </w:r>
      <w:r>
        <w:t>. Subsection 12(1) of the Customs Regulation prescribes functions for section 28, including functio</w:t>
      </w:r>
      <w:r w:rsidR="009B689A">
        <w:t>ns at “international airports”.</w:t>
      </w:r>
    </w:p>
    <w:p w14:paraId="035C5E5A" w14:textId="77777777" w:rsidR="009B689A" w:rsidRDefault="009B689A" w:rsidP="004C2D7B">
      <w:pPr>
        <w:tabs>
          <w:tab w:val="left" w:pos="345"/>
        </w:tabs>
        <w:spacing w:before="0"/>
        <w:ind w:right="662"/>
      </w:pPr>
    </w:p>
    <w:p w14:paraId="48B65ADD" w14:textId="77777777" w:rsidR="007513D7" w:rsidRPr="00BC6BEE" w:rsidRDefault="007513D7" w:rsidP="009B689A">
      <w:pPr>
        <w:tabs>
          <w:tab w:val="left" w:pos="345"/>
        </w:tabs>
        <w:spacing w:before="0"/>
        <w:ind w:right="662"/>
        <w:rPr>
          <w:szCs w:val="24"/>
        </w:rPr>
      </w:pPr>
      <w:r w:rsidRPr="009B689A">
        <w:rPr>
          <w:szCs w:val="24"/>
        </w:rPr>
        <w:t xml:space="preserve">The effect of the amendment is to allow the provision of customs services such as biosecurity and border clearance activities to be provided at these airports as part of the prescribed functions for section 28 of the Customs Act. This is to </w:t>
      </w:r>
      <w:r>
        <w:rPr>
          <w:szCs w:val="24"/>
        </w:rPr>
        <w:t xml:space="preserve">remove the ability for cost recovery by ACBPS for the provision of customs services at Sunshine Coast (Maroochydore) and Townsville Airports. </w:t>
      </w:r>
    </w:p>
    <w:p w14:paraId="16C8BD9C" w14:textId="77777777" w:rsidR="007513D7" w:rsidRDefault="007513D7" w:rsidP="000E3C74">
      <w:pPr>
        <w:spacing w:before="0"/>
        <w:rPr>
          <w:szCs w:val="24"/>
        </w:rPr>
      </w:pPr>
    </w:p>
    <w:p w14:paraId="2E1EBDAC" w14:textId="77777777" w:rsidR="00745D8E" w:rsidRPr="00B6180D" w:rsidRDefault="00745D8E" w:rsidP="000E3C74">
      <w:pPr>
        <w:pStyle w:val="Default"/>
        <w:ind w:right="91"/>
      </w:pPr>
      <w:r w:rsidRPr="00B6180D">
        <w:rPr>
          <w:b/>
          <w:bCs/>
          <w:u w:val="single"/>
        </w:rPr>
        <w:t xml:space="preserve">Schedule 9 – </w:t>
      </w:r>
      <w:r w:rsidR="00D1602A">
        <w:rPr>
          <w:b/>
          <w:bCs/>
          <w:u w:val="single"/>
        </w:rPr>
        <w:t>Miscellaneous amendments</w:t>
      </w:r>
    </w:p>
    <w:p w14:paraId="6C5F4B92" w14:textId="77777777" w:rsidR="00D1602A" w:rsidRPr="005A488D" w:rsidRDefault="00D1602A" w:rsidP="000E3C74">
      <w:pPr>
        <w:spacing w:after="240"/>
        <w:rPr>
          <w:szCs w:val="24"/>
        </w:rPr>
      </w:pPr>
      <w:r>
        <w:rPr>
          <w:szCs w:val="24"/>
          <w:u w:val="single"/>
        </w:rPr>
        <w:t xml:space="preserve">Item [1] – Subregulation 5.40(1) </w:t>
      </w:r>
    </w:p>
    <w:p w14:paraId="1EE302F2" w14:textId="77777777" w:rsidR="00D1602A" w:rsidRPr="00DD1443" w:rsidRDefault="00D1602A" w:rsidP="000E3C74">
      <w:pPr>
        <w:spacing w:after="240"/>
        <w:rPr>
          <w:szCs w:val="24"/>
        </w:rPr>
      </w:pPr>
      <w:r w:rsidRPr="00DD1443">
        <w:rPr>
          <w:szCs w:val="24"/>
        </w:rPr>
        <w:t xml:space="preserve">This item omits a reference to “an Agency within the meaning of the </w:t>
      </w:r>
      <w:r w:rsidRPr="00DD1443">
        <w:rPr>
          <w:i/>
          <w:szCs w:val="24"/>
        </w:rPr>
        <w:t>Financial Management and Accountability Act 1997</w:t>
      </w:r>
      <w:r>
        <w:rPr>
          <w:szCs w:val="24"/>
        </w:rPr>
        <w:t>” and</w:t>
      </w:r>
      <w:r w:rsidRPr="00DD1443">
        <w:rPr>
          <w:szCs w:val="24"/>
        </w:rPr>
        <w:t xml:space="preserve"> substitute</w:t>
      </w:r>
      <w:r>
        <w:rPr>
          <w:szCs w:val="24"/>
        </w:rPr>
        <w:t>s</w:t>
      </w:r>
      <w:r w:rsidRPr="00DD1443">
        <w:rPr>
          <w:szCs w:val="24"/>
        </w:rPr>
        <w:t xml:space="preserve"> “a non</w:t>
      </w:r>
      <w:r w:rsidRPr="00DD1443">
        <w:rPr>
          <w:szCs w:val="24"/>
        </w:rPr>
        <w:noBreakHyphen/>
        <w:t xml:space="preserve">corporate Commonwealth entity within the meaning of the </w:t>
      </w:r>
      <w:r w:rsidRPr="00DD1443">
        <w:rPr>
          <w:i/>
          <w:szCs w:val="24"/>
        </w:rPr>
        <w:t>Public Governance, Performance and Accountability Act 2013</w:t>
      </w:r>
      <w:r w:rsidRPr="00DD1443">
        <w:rPr>
          <w:szCs w:val="24"/>
        </w:rPr>
        <w:t xml:space="preserve">” </w:t>
      </w:r>
      <w:r>
        <w:rPr>
          <w:szCs w:val="24"/>
        </w:rPr>
        <w:t>into subregulation 5.40(1)</w:t>
      </w:r>
      <w:r w:rsidR="0019466D">
        <w:rPr>
          <w:szCs w:val="24"/>
        </w:rPr>
        <w:t xml:space="preserve"> of the Migration Regulations. </w:t>
      </w:r>
    </w:p>
    <w:p w14:paraId="05F4CEC4" w14:textId="77777777" w:rsidR="00D1602A" w:rsidRPr="00DD1443" w:rsidRDefault="00D1602A" w:rsidP="000E3C74">
      <w:pPr>
        <w:spacing w:after="240"/>
        <w:rPr>
          <w:szCs w:val="24"/>
        </w:rPr>
      </w:pPr>
      <w:r>
        <w:rPr>
          <w:iCs/>
          <w:szCs w:val="24"/>
        </w:rPr>
        <w:t xml:space="preserve">The item is consequential to the commencement of the </w:t>
      </w:r>
      <w:r w:rsidRPr="00DD1443">
        <w:rPr>
          <w:i/>
          <w:szCs w:val="24"/>
        </w:rPr>
        <w:t>Public Governance, Performance and Accountability Act 2013</w:t>
      </w:r>
      <w:r w:rsidR="0019466D">
        <w:rPr>
          <w:i/>
          <w:szCs w:val="24"/>
        </w:rPr>
        <w:t xml:space="preserve"> </w:t>
      </w:r>
      <w:r w:rsidR="0019466D">
        <w:rPr>
          <w:szCs w:val="24"/>
        </w:rPr>
        <w:t>(the PGPA Act)</w:t>
      </w:r>
      <w:r>
        <w:rPr>
          <w:szCs w:val="24"/>
        </w:rPr>
        <w:t xml:space="preserve">, which replaced the </w:t>
      </w:r>
      <w:r w:rsidRPr="00DD1443">
        <w:rPr>
          <w:i/>
          <w:szCs w:val="24"/>
        </w:rPr>
        <w:t>Financial Manage</w:t>
      </w:r>
      <w:r>
        <w:rPr>
          <w:i/>
          <w:szCs w:val="24"/>
        </w:rPr>
        <w:t>ment and Accountability Act 1997.</w:t>
      </w:r>
      <w:r>
        <w:rPr>
          <w:szCs w:val="24"/>
        </w:rPr>
        <w:t xml:space="preserve"> The</w:t>
      </w:r>
      <w:r>
        <w:rPr>
          <w:iCs/>
          <w:szCs w:val="24"/>
        </w:rPr>
        <w:t xml:space="preserve"> purpose of the item is to update references to the</w:t>
      </w:r>
      <w:r w:rsidR="0019466D">
        <w:rPr>
          <w:iCs/>
          <w:szCs w:val="24"/>
        </w:rPr>
        <w:t xml:space="preserve"> PGPA</w:t>
      </w:r>
      <w:r>
        <w:rPr>
          <w:iCs/>
          <w:szCs w:val="24"/>
        </w:rPr>
        <w:t xml:space="preserve"> Act and to replace a reference to “an Agency” with “a non-corporate Commonwealth entity”.</w:t>
      </w:r>
    </w:p>
    <w:p w14:paraId="1BACE84F" w14:textId="77777777" w:rsidR="00D1602A" w:rsidRPr="005A488D" w:rsidRDefault="00D1602A" w:rsidP="000E3C74">
      <w:pPr>
        <w:spacing w:after="240"/>
        <w:rPr>
          <w:szCs w:val="24"/>
        </w:rPr>
      </w:pPr>
      <w:r>
        <w:rPr>
          <w:szCs w:val="24"/>
          <w:u w:val="single"/>
        </w:rPr>
        <w:t xml:space="preserve">Item [2] – Paragraph 1404(3)(f) of Schedule 1 (note 2) </w:t>
      </w:r>
    </w:p>
    <w:p w14:paraId="5358CD87" w14:textId="6BBC8BB6" w:rsidR="00D1602A" w:rsidRDefault="00D1602A" w:rsidP="000E3C74">
      <w:pPr>
        <w:spacing w:after="240"/>
        <w:rPr>
          <w:szCs w:val="24"/>
        </w:rPr>
      </w:pPr>
      <w:r w:rsidRPr="00DD1443">
        <w:rPr>
          <w:szCs w:val="24"/>
        </w:rPr>
        <w:t xml:space="preserve">This item </w:t>
      </w:r>
      <w:r>
        <w:rPr>
          <w:szCs w:val="24"/>
        </w:rPr>
        <w:t xml:space="preserve">corrects a typographical error </w:t>
      </w:r>
      <w:r w:rsidR="00D16015">
        <w:rPr>
          <w:szCs w:val="24"/>
        </w:rPr>
        <w:t>made by a</w:t>
      </w:r>
      <w:r>
        <w:rPr>
          <w:szCs w:val="24"/>
        </w:rPr>
        <w:t xml:space="preserve"> previous amending Regulation by </w:t>
      </w:r>
      <w:r w:rsidRPr="00DD1443">
        <w:rPr>
          <w:szCs w:val="24"/>
        </w:rPr>
        <w:t>o</w:t>
      </w:r>
      <w:r>
        <w:rPr>
          <w:szCs w:val="24"/>
        </w:rPr>
        <w:t>mitting</w:t>
      </w:r>
      <w:r w:rsidRPr="00DD1443">
        <w:rPr>
          <w:szCs w:val="24"/>
        </w:rPr>
        <w:t xml:space="preserve"> </w:t>
      </w:r>
      <w:r>
        <w:rPr>
          <w:szCs w:val="24"/>
        </w:rPr>
        <w:t xml:space="preserve">a reference to </w:t>
      </w:r>
      <w:r w:rsidRPr="00DD1443">
        <w:rPr>
          <w:szCs w:val="24"/>
        </w:rPr>
        <w:t>“subparagraph (</w:t>
      </w:r>
      <w:r>
        <w:rPr>
          <w:szCs w:val="24"/>
        </w:rPr>
        <w:t xml:space="preserve">iii)” in the note to paragraph 1404(3)(f) of Schedule 1 to the </w:t>
      </w:r>
      <w:r w:rsidR="0019466D">
        <w:rPr>
          <w:szCs w:val="24"/>
        </w:rPr>
        <w:t>Migration</w:t>
      </w:r>
      <w:r>
        <w:rPr>
          <w:szCs w:val="24"/>
        </w:rPr>
        <w:t xml:space="preserve"> Regulations and substituting a reference to</w:t>
      </w:r>
      <w:r w:rsidRPr="00DD1443">
        <w:rPr>
          <w:szCs w:val="24"/>
        </w:rPr>
        <w:t xml:space="preserve"> “subparagraph (iv)”.</w:t>
      </w:r>
    </w:p>
    <w:p w14:paraId="68307D76" w14:textId="77777777" w:rsidR="009B689A" w:rsidRDefault="009B689A">
      <w:pPr>
        <w:spacing w:before="0"/>
        <w:rPr>
          <w:b/>
          <w:bCs/>
          <w:color w:val="000000"/>
          <w:szCs w:val="24"/>
          <w:u w:val="single"/>
        </w:rPr>
      </w:pPr>
      <w:r>
        <w:rPr>
          <w:b/>
          <w:bCs/>
          <w:u w:val="single"/>
        </w:rPr>
        <w:br w:type="page"/>
      </w:r>
    </w:p>
    <w:p w14:paraId="10D1A20A" w14:textId="5AB18B0E" w:rsidR="00745D8E" w:rsidRPr="00B6180D" w:rsidRDefault="00745D8E" w:rsidP="000E3C74">
      <w:pPr>
        <w:pStyle w:val="Default"/>
        <w:ind w:right="91"/>
      </w:pPr>
      <w:r w:rsidRPr="00B6180D">
        <w:rPr>
          <w:b/>
          <w:bCs/>
          <w:u w:val="single"/>
        </w:rPr>
        <w:lastRenderedPageBreak/>
        <w:t xml:space="preserve">Schedule 10 – </w:t>
      </w:r>
      <w:r w:rsidR="00B40370" w:rsidRPr="00B6180D">
        <w:rPr>
          <w:b/>
          <w:bCs/>
          <w:u w:val="single"/>
        </w:rPr>
        <w:t>Application and transitional provisions</w:t>
      </w:r>
    </w:p>
    <w:p w14:paraId="554225FC" w14:textId="77777777" w:rsidR="00857612" w:rsidRPr="00B6180D" w:rsidRDefault="00745D8E" w:rsidP="000E3C74">
      <w:pPr>
        <w:spacing w:after="240"/>
        <w:rPr>
          <w:szCs w:val="24"/>
        </w:rPr>
      </w:pPr>
      <w:r w:rsidRPr="00B6180D">
        <w:rPr>
          <w:szCs w:val="24"/>
          <w:u w:val="single"/>
        </w:rPr>
        <w:t>Item 1 –</w:t>
      </w:r>
      <w:r w:rsidR="00857612" w:rsidRPr="00B6180D">
        <w:rPr>
          <w:szCs w:val="24"/>
          <w:u w:val="single"/>
        </w:rPr>
        <w:t xml:space="preserve"> </w:t>
      </w:r>
      <w:r w:rsidR="007E4906" w:rsidRPr="00B6180D">
        <w:rPr>
          <w:szCs w:val="24"/>
          <w:u w:val="single"/>
        </w:rPr>
        <w:t>Amendments to Part 4</w:t>
      </w:r>
    </w:p>
    <w:p w14:paraId="65B811E8" w14:textId="5138BA82" w:rsidR="00857612" w:rsidRPr="004C2D7B" w:rsidRDefault="00857612" w:rsidP="000E3C74">
      <w:pPr>
        <w:spacing w:after="240"/>
        <w:rPr>
          <w:szCs w:val="24"/>
        </w:rPr>
      </w:pPr>
      <w:r w:rsidRPr="00B6180D">
        <w:rPr>
          <w:szCs w:val="24"/>
        </w:rPr>
        <w:t xml:space="preserve">This item amends Part 4 of the Citizenship Regulations to insert regulation 28 entitled ‘Amendments made by the </w:t>
      </w:r>
      <w:r w:rsidRPr="004C2D7B">
        <w:rPr>
          <w:i/>
          <w:szCs w:val="24"/>
        </w:rPr>
        <w:t>Migration Legislation Amendment (2015 Measures No. 2) Regulation 2015</w:t>
      </w:r>
      <w:r w:rsidR="004C2D7B" w:rsidRPr="004C2D7B">
        <w:rPr>
          <w:i/>
          <w:szCs w:val="24"/>
        </w:rPr>
        <w:t>’</w:t>
      </w:r>
      <w:r w:rsidRPr="004C2D7B">
        <w:rPr>
          <w:szCs w:val="24"/>
        </w:rPr>
        <w:t>.</w:t>
      </w:r>
    </w:p>
    <w:p w14:paraId="6193D78F" w14:textId="090C806A" w:rsidR="00B40370" w:rsidRPr="00B6180D" w:rsidRDefault="00D67101" w:rsidP="000E3C74">
      <w:pPr>
        <w:spacing w:after="240"/>
        <w:rPr>
          <w:szCs w:val="24"/>
        </w:rPr>
      </w:pPr>
      <w:r w:rsidRPr="004C2D7B">
        <w:rPr>
          <w:szCs w:val="24"/>
        </w:rPr>
        <w:t>Inserted regulation 28 provides that</w:t>
      </w:r>
      <w:r w:rsidRPr="00B6180D">
        <w:rPr>
          <w:szCs w:val="24"/>
        </w:rPr>
        <w:t xml:space="preserve"> the amendment</w:t>
      </w:r>
      <w:r w:rsidR="00B40370" w:rsidRPr="00B6180D">
        <w:rPr>
          <w:szCs w:val="24"/>
        </w:rPr>
        <w:t>s</w:t>
      </w:r>
      <w:r w:rsidRPr="00B6180D">
        <w:rPr>
          <w:szCs w:val="24"/>
        </w:rPr>
        <w:t xml:space="preserve"> of the</w:t>
      </w:r>
      <w:r w:rsidR="00E77E8B">
        <w:rPr>
          <w:szCs w:val="24"/>
        </w:rPr>
        <w:t xml:space="preserve"> Citizenship</w:t>
      </w:r>
      <w:r w:rsidRPr="00B6180D">
        <w:rPr>
          <w:szCs w:val="24"/>
        </w:rPr>
        <w:t xml:space="preserve"> Regulation</w:t>
      </w:r>
      <w:r w:rsidR="00B40370" w:rsidRPr="00B6180D">
        <w:rPr>
          <w:szCs w:val="24"/>
        </w:rPr>
        <w:t>s</w:t>
      </w:r>
      <w:r w:rsidRPr="00B6180D">
        <w:rPr>
          <w:szCs w:val="24"/>
        </w:rPr>
        <w:t xml:space="preserve"> </w:t>
      </w:r>
      <w:r w:rsidR="00B40370" w:rsidRPr="00B6180D">
        <w:rPr>
          <w:szCs w:val="24"/>
        </w:rPr>
        <w:t xml:space="preserve">made by Schedule 3 to the Regulation apply in relation to an application made under Division 2, 3 or 5 of Part 2 of the </w:t>
      </w:r>
      <w:r w:rsidR="00B40370" w:rsidRPr="00B6180D">
        <w:rPr>
          <w:i/>
          <w:szCs w:val="24"/>
        </w:rPr>
        <w:t xml:space="preserve">Australian Citizenship Act 2007 </w:t>
      </w:r>
      <w:r w:rsidR="00B40370" w:rsidRPr="00B6180D">
        <w:rPr>
          <w:szCs w:val="24"/>
        </w:rPr>
        <w:t>on or after 1 July 2015.</w:t>
      </w:r>
    </w:p>
    <w:p w14:paraId="7FC16076" w14:textId="77777777" w:rsidR="00B40370" w:rsidRPr="00B6180D" w:rsidRDefault="00B40370" w:rsidP="000E3C74">
      <w:pPr>
        <w:spacing w:after="240"/>
        <w:rPr>
          <w:szCs w:val="24"/>
        </w:rPr>
      </w:pPr>
      <w:r w:rsidRPr="00B6180D">
        <w:rPr>
          <w:szCs w:val="24"/>
        </w:rPr>
        <w:t xml:space="preserve">Inserted regulation 28 also provides that amendments of these Regulations made by Schedule 4 to the Regulation apply in relation to an application made under section 37 of the </w:t>
      </w:r>
      <w:r w:rsidRPr="00B6180D">
        <w:rPr>
          <w:i/>
          <w:szCs w:val="24"/>
        </w:rPr>
        <w:t>Australian Citizenship Act 2007</w:t>
      </w:r>
      <w:r w:rsidRPr="00B6180D">
        <w:rPr>
          <w:szCs w:val="24"/>
        </w:rPr>
        <w:t xml:space="preserve"> on or after 1 July 2015. </w:t>
      </w:r>
    </w:p>
    <w:p w14:paraId="389E9511" w14:textId="77777777" w:rsidR="00F1106D" w:rsidRPr="00D1602A" w:rsidRDefault="00857612" w:rsidP="000E3C74">
      <w:pPr>
        <w:spacing w:after="240"/>
        <w:rPr>
          <w:szCs w:val="24"/>
        </w:rPr>
      </w:pPr>
      <w:r w:rsidRPr="00B6180D">
        <w:rPr>
          <w:szCs w:val="24"/>
        </w:rPr>
        <w:t xml:space="preserve">The effect and purpose of the item is to clarify to </w:t>
      </w:r>
      <w:r w:rsidR="00B40370" w:rsidRPr="00B6180D">
        <w:rPr>
          <w:szCs w:val="24"/>
        </w:rPr>
        <w:t xml:space="preserve">whom and when the amendments in these Schedules </w:t>
      </w:r>
      <w:r w:rsidRPr="00B6180D">
        <w:rPr>
          <w:szCs w:val="24"/>
        </w:rPr>
        <w:t>apply.</w:t>
      </w:r>
    </w:p>
    <w:p w14:paraId="66B087B3" w14:textId="77777777" w:rsidR="009B689A" w:rsidRDefault="007E4906" w:rsidP="000E3C74">
      <w:pPr>
        <w:tabs>
          <w:tab w:val="left" w:pos="345"/>
        </w:tabs>
        <w:spacing w:before="0"/>
        <w:ind w:right="662"/>
        <w:rPr>
          <w:szCs w:val="24"/>
          <w:u w:val="single"/>
        </w:rPr>
      </w:pPr>
      <w:r w:rsidRPr="00B6180D">
        <w:rPr>
          <w:szCs w:val="24"/>
          <w:u w:val="single"/>
        </w:rPr>
        <w:t>Item 2 – Amendments to Schedule 13</w:t>
      </w:r>
    </w:p>
    <w:p w14:paraId="09C92CCC" w14:textId="77777777" w:rsidR="009B689A" w:rsidRDefault="009B689A" w:rsidP="000E3C74">
      <w:pPr>
        <w:tabs>
          <w:tab w:val="left" w:pos="345"/>
        </w:tabs>
        <w:spacing w:before="0"/>
        <w:ind w:right="662"/>
        <w:rPr>
          <w:szCs w:val="24"/>
          <w:u w:val="single"/>
        </w:rPr>
      </w:pPr>
    </w:p>
    <w:p w14:paraId="0B019111" w14:textId="1D52BA7E" w:rsidR="005909DB" w:rsidRPr="005909DB" w:rsidRDefault="005909DB" w:rsidP="000E3C74">
      <w:pPr>
        <w:tabs>
          <w:tab w:val="left" w:pos="345"/>
        </w:tabs>
        <w:spacing w:before="0"/>
        <w:ind w:right="662"/>
        <w:rPr>
          <w:szCs w:val="24"/>
        </w:rPr>
      </w:pPr>
      <w:r>
        <w:rPr>
          <w:szCs w:val="24"/>
        </w:rPr>
        <w:t xml:space="preserve">This item amends Schedule 13 to the Migration Regulations to insert Part 43 entitled ‘Amendments made by the </w:t>
      </w:r>
      <w:r>
        <w:rPr>
          <w:i/>
          <w:szCs w:val="24"/>
        </w:rPr>
        <w:t xml:space="preserve">Migration Legislation Amendment (2015 Measures No. 2) Regulation 2015’ </w:t>
      </w:r>
      <w:r>
        <w:rPr>
          <w:szCs w:val="24"/>
        </w:rPr>
        <w:t xml:space="preserve">and inserts new clauses 4301, 4302, 4303 and 4304. </w:t>
      </w:r>
    </w:p>
    <w:p w14:paraId="5626F81D" w14:textId="77777777" w:rsidR="00745D8E" w:rsidRDefault="00745D8E" w:rsidP="000E3C74">
      <w:pPr>
        <w:tabs>
          <w:tab w:val="left" w:pos="345"/>
        </w:tabs>
        <w:spacing w:before="0"/>
        <w:ind w:right="662"/>
        <w:rPr>
          <w:szCs w:val="24"/>
        </w:rPr>
      </w:pPr>
    </w:p>
    <w:p w14:paraId="3009608E" w14:textId="2971B551" w:rsidR="00662F68" w:rsidRDefault="005909DB" w:rsidP="000E3C74">
      <w:pPr>
        <w:tabs>
          <w:tab w:val="left" w:pos="345"/>
        </w:tabs>
        <w:spacing w:before="0"/>
        <w:ind w:right="662"/>
        <w:rPr>
          <w:szCs w:val="24"/>
        </w:rPr>
      </w:pPr>
      <w:r>
        <w:rPr>
          <w:szCs w:val="24"/>
        </w:rPr>
        <w:t>Inserted clause 4301, entitled ‘</w:t>
      </w:r>
      <w:r w:rsidR="00662F68">
        <w:rPr>
          <w:szCs w:val="24"/>
        </w:rPr>
        <w:t>Operation of Schedule 1’, provide</w:t>
      </w:r>
      <w:r w:rsidR="00E77E8B">
        <w:rPr>
          <w:szCs w:val="24"/>
        </w:rPr>
        <w:t>s</w:t>
      </w:r>
      <w:r w:rsidR="00662F68">
        <w:rPr>
          <w:szCs w:val="24"/>
        </w:rPr>
        <w:t xml:space="preserve"> that the amendments of the</w:t>
      </w:r>
      <w:r w:rsidR="00E77E8B">
        <w:rPr>
          <w:szCs w:val="24"/>
        </w:rPr>
        <w:t xml:space="preserve"> Migration</w:t>
      </w:r>
      <w:r w:rsidR="002A6BE0">
        <w:rPr>
          <w:szCs w:val="24"/>
        </w:rPr>
        <w:t xml:space="preserve"> </w:t>
      </w:r>
      <w:r w:rsidR="00662F68">
        <w:rPr>
          <w:szCs w:val="24"/>
        </w:rPr>
        <w:t>Regulation</w:t>
      </w:r>
      <w:r w:rsidR="00E77E8B">
        <w:rPr>
          <w:szCs w:val="24"/>
        </w:rPr>
        <w:t>s</w:t>
      </w:r>
      <w:r w:rsidR="00662F68">
        <w:rPr>
          <w:szCs w:val="24"/>
        </w:rPr>
        <w:t xml:space="preserve"> made by Schedule 1 to the Regulation apply in relation to an application for a visa made on or after 1 July 2015.</w:t>
      </w:r>
    </w:p>
    <w:p w14:paraId="72C9F043" w14:textId="77777777" w:rsidR="00662F68" w:rsidRDefault="00662F68" w:rsidP="000E3C74">
      <w:pPr>
        <w:tabs>
          <w:tab w:val="left" w:pos="345"/>
        </w:tabs>
        <w:spacing w:before="0"/>
        <w:ind w:right="662"/>
        <w:rPr>
          <w:szCs w:val="24"/>
        </w:rPr>
      </w:pPr>
    </w:p>
    <w:p w14:paraId="481341E3" w14:textId="0A45A923" w:rsidR="00662F68" w:rsidRDefault="00662F68" w:rsidP="000E3C74">
      <w:pPr>
        <w:tabs>
          <w:tab w:val="left" w:pos="345"/>
        </w:tabs>
        <w:spacing w:before="0"/>
        <w:ind w:right="662"/>
        <w:rPr>
          <w:szCs w:val="24"/>
        </w:rPr>
      </w:pPr>
      <w:r>
        <w:rPr>
          <w:szCs w:val="24"/>
        </w:rPr>
        <w:t>Inserted clause 4302, entitled ‘Operation of Schedule 5’, provide</w:t>
      </w:r>
      <w:r w:rsidR="00E77E8B">
        <w:rPr>
          <w:szCs w:val="24"/>
        </w:rPr>
        <w:t>s</w:t>
      </w:r>
      <w:r>
        <w:rPr>
          <w:szCs w:val="24"/>
        </w:rPr>
        <w:t xml:space="preserve"> that the amendments of the</w:t>
      </w:r>
      <w:r w:rsidR="00E77E8B">
        <w:rPr>
          <w:szCs w:val="24"/>
        </w:rPr>
        <w:t xml:space="preserve"> Migration</w:t>
      </w:r>
      <w:r>
        <w:rPr>
          <w:szCs w:val="24"/>
        </w:rPr>
        <w:t xml:space="preserve"> Regulations made by Schedule 5 to the Regulation apply to an application for approval of a nomination of a position made on or after 1 July 2015.</w:t>
      </w:r>
    </w:p>
    <w:p w14:paraId="25D36B92" w14:textId="77777777" w:rsidR="00662F68" w:rsidRDefault="00662F68" w:rsidP="000E3C74">
      <w:pPr>
        <w:tabs>
          <w:tab w:val="left" w:pos="345"/>
        </w:tabs>
        <w:spacing w:before="0"/>
        <w:ind w:right="662"/>
        <w:rPr>
          <w:szCs w:val="24"/>
        </w:rPr>
      </w:pPr>
    </w:p>
    <w:p w14:paraId="3AD28C2B" w14:textId="7ED65B40" w:rsidR="00662F68" w:rsidRDefault="00F1106D" w:rsidP="000E3C74">
      <w:pPr>
        <w:tabs>
          <w:tab w:val="left" w:pos="345"/>
        </w:tabs>
        <w:spacing w:before="0"/>
        <w:ind w:right="662"/>
        <w:rPr>
          <w:szCs w:val="24"/>
        </w:rPr>
      </w:pPr>
      <w:r>
        <w:rPr>
          <w:szCs w:val="24"/>
        </w:rPr>
        <w:t>Inserted clause 4303, entitled ‘Operation of Schedule 7’, provide</w:t>
      </w:r>
      <w:r w:rsidR="00E77E8B">
        <w:rPr>
          <w:szCs w:val="24"/>
        </w:rPr>
        <w:t>s</w:t>
      </w:r>
      <w:r>
        <w:rPr>
          <w:szCs w:val="24"/>
        </w:rPr>
        <w:t xml:space="preserve"> that the amendments of the</w:t>
      </w:r>
      <w:r w:rsidR="00E77E8B">
        <w:rPr>
          <w:szCs w:val="24"/>
        </w:rPr>
        <w:t xml:space="preserve"> Migration</w:t>
      </w:r>
      <w:r>
        <w:rPr>
          <w:szCs w:val="24"/>
        </w:rPr>
        <w:t xml:space="preserve"> Regulations made by Schedule 7 to the Regulation apply to an application for a vis</w:t>
      </w:r>
      <w:r w:rsidR="009B689A">
        <w:rPr>
          <w:szCs w:val="24"/>
        </w:rPr>
        <w:t>a made on or after 1 July 2015.</w:t>
      </w:r>
    </w:p>
    <w:p w14:paraId="3A581614" w14:textId="77777777" w:rsidR="00F1106D" w:rsidRDefault="00F1106D" w:rsidP="000E3C74">
      <w:pPr>
        <w:tabs>
          <w:tab w:val="left" w:pos="345"/>
        </w:tabs>
        <w:spacing w:before="0"/>
        <w:ind w:right="662"/>
        <w:rPr>
          <w:szCs w:val="24"/>
        </w:rPr>
      </w:pPr>
    </w:p>
    <w:p w14:paraId="6053C98A" w14:textId="3B5E6BBB" w:rsidR="00F1106D" w:rsidRDefault="00F1106D" w:rsidP="000E3C74">
      <w:pPr>
        <w:tabs>
          <w:tab w:val="left" w:pos="345"/>
        </w:tabs>
        <w:spacing w:before="0"/>
        <w:ind w:right="662"/>
        <w:rPr>
          <w:szCs w:val="24"/>
        </w:rPr>
      </w:pPr>
      <w:r>
        <w:rPr>
          <w:szCs w:val="24"/>
        </w:rPr>
        <w:t xml:space="preserve">Inserted clause 4304, entitled ‘Operation of Schedule 9’ </w:t>
      </w:r>
      <w:r w:rsidR="009B689A">
        <w:rPr>
          <w:szCs w:val="24"/>
        </w:rPr>
        <w:t>provides</w:t>
      </w:r>
      <w:r>
        <w:rPr>
          <w:szCs w:val="24"/>
        </w:rPr>
        <w:t xml:space="preserve"> that the amendment made by item 1 of Schedule 9 to the Regulation does not affect the continuity of any instrument that is in force under that provision immediately before the commencement of the item. </w:t>
      </w:r>
    </w:p>
    <w:p w14:paraId="0967AFE4" w14:textId="77777777" w:rsidR="00F1106D" w:rsidRDefault="00F1106D" w:rsidP="000E3C74">
      <w:pPr>
        <w:tabs>
          <w:tab w:val="left" w:pos="345"/>
        </w:tabs>
        <w:spacing w:before="0"/>
        <w:ind w:right="662"/>
        <w:rPr>
          <w:szCs w:val="24"/>
        </w:rPr>
      </w:pPr>
    </w:p>
    <w:p w14:paraId="69D381DC" w14:textId="6FD93A08" w:rsidR="00F1106D" w:rsidRPr="00B6180D" w:rsidRDefault="00F1106D" w:rsidP="000E3C74">
      <w:pPr>
        <w:tabs>
          <w:tab w:val="left" w:pos="345"/>
        </w:tabs>
        <w:spacing w:before="0"/>
        <w:ind w:right="662"/>
        <w:rPr>
          <w:szCs w:val="24"/>
        </w:rPr>
      </w:pPr>
      <w:r>
        <w:rPr>
          <w:szCs w:val="24"/>
        </w:rPr>
        <w:t>The effect and purpose of this item is to clarify to whom the amend</w:t>
      </w:r>
      <w:r w:rsidR="009B689A">
        <w:rPr>
          <w:szCs w:val="24"/>
        </w:rPr>
        <w:t>ments in these Schedules apply.</w:t>
      </w:r>
    </w:p>
    <w:p w14:paraId="7229D26D" w14:textId="77777777" w:rsidR="00B6180D" w:rsidRPr="00B6180D" w:rsidRDefault="00B6180D" w:rsidP="000E3C74">
      <w:pPr>
        <w:tabs>
          <w:tab w:val="left" w:pos="345"/>
        </w:tabs>
        <w:spacing w:before="0"/>
        <w:ind w:right="662"/>
        <w:rPr>
          <w:szCs w:val="24"/>
        </w:rPr>
      </w:pPr>
    </w:p>
    <w:sectPr w:rsidR="00B6180D" w:rsidRPr="00B6180D" w:rsidSect="00212C24">
      <w:headerReference w:type="default" r:id="rId9"/>
      <w:headerReference w:type="first" r:id="rId10"/>
      <w:pgSz w:w="11906" w:h="16838"/>
      <w:pgMar w:top="1440" w:right="1558" w:bottom="1440" w:left="1800" w:header="708" w:footer="708"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7A82F4" w15:done="0"/>
  <w15:commentEx w15:paraId="7BFE9F15" w15:done="0"/>
  <w15:commentEx w15:paraId="7229DDAA" w15:done="0"/>
  <w15:commentEx w15:paraId="4B29B878" w15:done="0"/>
  <w15:commentEx w15:paraId="1A96BB39" w15:done="0"/>
  <w15:commentEx w15:paraId="62E57348" w15:done="0"/>
  <w15:commentEx w15:paraId="23993534" w15:done="0"/>
  <w15:commentEx w15:paraId="479AC7E8" w15:done="0"/>
  <w15:commentEx w15:paraId="1FE7DC12" w15:done="0"/>
  <w15:commentEx w15:paraId="17F3FC14" w15:done="0"/>
  <w15:commentEx w15:paraId="061A5B38" w15:done="0"/>
  <w15:commentEx w15:paraId="3C2A1F8D" w15:done="0"/>
  <w15:commentEx w15:paraId="15135DD2" w15:done="0"/>
  <w15:commentEx w15:paraId="47A822BF" w15:done="0"/>
  <w15:commentEx w15:paraId="37094482" w15:done="0"/>
  <w15:commentEx w15:paraId="7995F25C" w15:done="0"/>
  <w15:commentEx w15:paraId="087FAA09" w15:done="0"/>
  <w15:commentEx w15:paraId="79F69275" w15:done="0"/>
  <w15:commentEx w15:paraId="24AAE36D" w15:done="0"/>
  <w15:commentEx w15:paraId="4AE3A35D" w15:done="0"/>
  <w15:commentEx w15:paraId="19FF0D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1E23A" w14:textId="77777777" w:rsidR="00F9416F" w:rsidRDefault="00F9416F" w:rsidP="007A1709">
      <w:pPr>
        <w:spacing w:before="0"/>
      </w:pPr>
      <w:r>
        <w:separator/>
      </w:r>
    </w:p>
  </w:endnote>
  <w:endnote w:type="continuationSeparator" w:id="0">
    <w:p w14:paraId="76159499" w14:textId="77777777" w:rsidR="00F9416F" w:rsidRDefault="00F9416F"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E3AF2" w14:textId="77777777" w:rsidR="00F9416F" w:rsidRDefault="00F9416F" w:rsidP="007A1709">
      <w:pPr>
        <w:spacing w:before="0"/>
      </w:pPr>
      <w:r>
        <w:separator/>
      </w:r>
    </w:p>
  </w:footnote>
  <w:footnote w:type="continuationSeparator" w:id="0">
    <w:p w14:paraId="1F633244" w14:textId="77777777" w:rsidR="00F9416F" w:rsidRDefault="00F9416F" w:rsidP="007A170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431296"/>
      <w:docPartObj>
        <w:docPartGallery w:val="Page Numbers (Top of Page)"/>
        <w:docPartUnique/>
      </w:docPartObj>
    </w:sdtPr>
    <w:sdtEndPr>
      <w:rPr>
        <w:noProof/>
      </w:rPr>
    </w:sdtEndPr>
    <w:sdtContent>
      <w:p w14:paraId="7B053BBB" w14:textId="77777777" w:rsidR="00F9416F" w:rsidRDefault="00F9416F">
        <w:pPr>
          <w:pStyle w:val="Header"/>
          <w:jc w:val="center"/>
        </w:pPr>
        <w:r>
          <w:fldChar w:fldCharType="begin"/>
        </w:r>
        <w:r>
          <w:instrText xml:space="preserve"> PAGE   \* MERGEFORMAT </w:instrText>
        </w:r>
        <w:r>
          <w:fldChar w:fldCharType="separate"/>
        </w:r>
        <w:r w:rsidR="00421097">
          <w:rPr>
            <w:noProof/>
          </w:rPr>
          <w:t>51</w:t>
        </w:r>
        <w:r>
          <w:rPr>
            <w:noProof/>
          </w:rPr>
          <w:fldChar w:fldCharType="end"/>
        </w:r>
      </w:p>
    </w:sdtContent>
  </w:sdt>
  <w:p w14:paraId="12D1670D" w14:textId="77777777" w:rsidR="00F9416F" w:rsidRDefault="00F94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78C7" w14:textId="77777777" w:rsidR="00F9416F" w:rsidRDefault="00F9416F">
    <w:pPr>
      <w:pStyle w:val="Header"/>
      <w:jc w:val="center"/>
    </w:pPr>
  </w:p>
  <w:p w14:paraId="09DC610F" w14:textId="77777777" w:rsidR="00F9416F" w:rsidRDefault="00F94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B39"/>
    <w:multiLevelType w:val="hybridMultilevel"/>
    <w:tmpl w:val="52E0D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5F5416"/>
    <w:multiLevelType w:val="hybridMultilevel"/>
    <w:tmpl w:val="3E3602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1C345B5"/>
    <w:multiLevelType w:val="hybridMultilevel"/>
    <w:tmpl w:val="C464AB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504AB5"/>
    <w:multiLevelType w:val="hybridMultilevel"/>
    <w:tmpl w:val="69462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776F02"/>
    <w:multiLevelType w:val="multilevel"/>
    <w:tmpl w:val="C958D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2449C6"/>
    <w:multiLevelType w:val="hybridMultilevel"/>
    <w:tmpl w:val="9EA25D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B44FDE"/>
    <w:multiLevelType w:val="singleLevel"/>
    <w:tmpl w:val="4350A1D6"/>
    <w:lvl w:ilvl="0">
      <w:start w:val="2"/>
      <w:numFmt w:val="decimal"/>
      <w:pStyle w:val="DINumberedParagraph"/>
      <w:lvlText w:val="%1."/>
      <w:lvlJc w:val="left"/>
      <w:pPr>
        <w:tabs>
          <w:tab w:val="num" w:pos="360"/>
        </w:tabs>
        <w:ind w:left="0" w:firstLine="0"/>
      </w:pPr>
      <w:rPr>
        <w:rFonts w:hint="default"/>
      </w:rPr>
    </w:lvl>
  </w:abstractNum>
  <w:abstractNum w:abstractNumId="8">
    <w:nsid w:val="1E5E2CA5"/>
    <w:multiLevelType w:val="hybridMultilevel"/>
    <w:tmpl w:val="CD388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3B558B"/>
    <w:multiLevelType w:val="hybridMultilevel"/>
    <w:tmpl w:val="F946A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A82278"/>
    <w:multiLevelType w:val="hybridMultilevel"/>
    <w:tmpl w:val="14EE6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BC47DF"/>
    <w:multiLevelType w:val="hybridMultilevel"/>
    <w:tmpl w:val="EF6228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1A54A62"/>
    <w:multiLevelType w:val="hybridMultilevel"/>
    <w:tmpl w:val="92E619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2FC3131"/>
    <w:multiLevelType w:val="hybridMultilevel"/>
    <w:tmpl w:val="D18C7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806462"/>
    <w:multiLevelType w:val="hybridMultilevel"/>
    <w:tmpl w:val="BE88D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397B5E"/>
    <w:multiLevelType w:val="hybridMultilevel"/>
    <w:tmpl w:val="B9D81A30"/>
    <w:lvl w:ilvl="0" w:tplc="AFEC991E">
      <w:start w:val="1"/>
      <w:numFmt w:val="decimal"/>
      <w:lvlText w:val="%1."/>
      <w:lvlJc w:val="left"/>
      <w:pPr>
        <w:tabs>
          <w:tab w:val="num" w:pos="357"/>
        </w:tabs>
        <w:ind w:left="0" w:firstLine="0"/>
      </w:pPr>
      <w:rPr>
        <w:rFonts w:hint="default"/>
      </w:rPr>
    </w:lvl>
    <w:lvl w:ilvl="1" w:tplc="96B8BC20">
      <w:start w:val="1"/>
      <w:numFmt w:val="lowerLetter"/>
      <w:lvlText w:val="%2."/>
      <w:lvlJc w:val="left"/>
      <w:pPr>
        <w:tabs>
          <w:tab w:val="num" w:pos="1440"/>
        </w:tabs>
        <w:ind w:left="1440" w:hanging="360"/>
      </w:pPr>
    </w:lvl>
    <w:lvl w:ilvl="2" w:tplc="8D3A7E92" w:tentative="1">
      <w:start w:val="1"/>
      <w:numFmt w:val="lowerRoman"/>
      <w:lvlText w:val="%3."/>
      <w:lvlJc w:val="right"/>
      <w:pPr>
        <w:tabs>
          <w:tab w:val="num" w:pos="2160"/>
        </w:tabs>
        <w:ind w:left="2160" w:hanging="180"/>
      </w:pPr>
    </w:lvl>
    <w:lvl w:ilvl="3" w:tplc="4E3E1926" w:tentative="1">
      <w:start w:val="1"/>
      <w:numFmt w:val="decimal"/>
      <w:lvlText w:val="%4."/>
      <w:lvlJc w:val="left"/>
      <w:pPr>
        <w:tabs>
          <w:tab w:val="num" w:pos="2880"/>
        </w:tabs>
        <w:ind w:left="2880" w:hanging="360"/>
      </w:pPr>
    </w:lvl>
    <w:lvl w:ilvl="4" w:tplc="23D04992" w:tentative="1">
      <w:start w:val="1"/>
      <w:numFmt w:val="lowerLetter"/>
      <w:lvlText w:val="%5."/>
      <w:lvlJc w:val="left"/>
      <w:pPr>
        <w:tabs>
          <w:tab w:val="num" w:pos="3600"/>
        </w:tabs>
        <w:ind w:left="3600" w:hanging="360"/>
      </w:pPr>
    </w:lvl>
    <w:lvl w:ilvl="5" w:tplc="BD32DAF6" w:tentative="1">
      <w:start w:val="1"/>
      <w:numFmt w:val="lowerRoman"/>
      <w:lvlText w:val="%6."/>
      <w:lvlJc w:val="right"/>
      <w:pPr>
        <w:tabs>
          <w:tab w:val="num" w:pos="4320"/>
        </w:tabs>
        <w:ind w:left="4320" w:hanging="180"/>
      </w:pPr>
    </w:lvl>
    <w:lvl w:ilvl="6" w:tplc="A35EE036" w:tentative="1">
      <w:start w:val="1"/>
      <w:numFmt w:val="decimal"/>
      <w:lvlText w:val="%7."/>
      <w:lvlJc w:val="left"/>
      <w:pPr>
        <w:tabs>
          <w:tab w:val="num" w:pos="5040"/>
        </w:tabs>
        <w:ind w:left="5040" w:hanging="360"/>
      </w:pPr>
    </w:lvl>
    <w:lvl w:ilvl="7" w:tplc="2CFAFFBE" w:tentative="1">
      <w:start w:val="1"/>
      <w:numFmt w:val="lowerLetter"/>
      <w:lvlText w:val="%8."/>
      <w:lvlJc w:val="left"/>
      <w:pPr>
        <w:tabs>
          <w:tab w:val="num" w:pos="5760"/>
        </w:tabs>
        <w:ind w:left="5760" w:hanging="360"/>
      </w:pPr>
    </w:lvl>
    <w:lvl w:ilvl="8" w:tplc="C8CCF32E" w:tentative="1">
      <w:start w:val="1"/>
      <w:numFmt w:val="lowerRoman"/>
      <w:lvlText w:val="%9."/>
      <w:lvlJc w:val="right"/>
      <w:pPr>
        <w:tabs>
          <w:tab w:val="num" w:pos="6480"/>
        </w:tabs>
        <w:ind w:left="6480" w:hanging="180"/>
      </w:pPr>
    </w:lvl>
  </w:abstractNum>
  <w:abstractNum w:abstractNumId="16">
    <w:nsid w:val="38D46782"/>
    <w:multiLevelType w:val="hybridMultilevel"/>
    <w:tmpl w:val="94D8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8">
    <w:nsid w:val="3A730C84"/>
    <w:multiLevelType w:val="hybridMultilevel"/>
    <w:tmpl w:val="3C563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3B223C54"/>
    <w:multiLevelType w:val="hybridMultilevel"/>
    <w:tmpl w:val="55ECC2AA"/>
    <w:lvl w:ilvl="0" w:tplc="0C090001">
      <w:start w:val="1"/>
      <w:numFmt w:val="bullet"/>
      <w:lvlText w:val=""/>
      <w:lvlJc w:val="left"/>
      <w:pPr>
        <w:ind w:left="1247" w:hanging="360"/>
      </w:pPr>
      <w:rPr>
        <w:rFonts w:ascii="Symbol" w:hAnsi="Symbol" w:hint="default"/>
      </w:rPr>
    </w:lvl>
    <w:lvl w:ilvl="1" w:tplc="0C090003" w:tentative="1">
      <w:start w:val="1"/>
      <w:numFmt w:val="bullet"/>
      <w:lvlText w:val="o"/>
      <w:lvlJc w:val="left"/>
      <w:pPr>
        <w:ind w:left="1967" w:hanging="360"/>
      </w:pPr>
      <w:rPr>
        <w:rFonts w:ascii="Courier New" w:hAnsi="Courier New" w:cs="Courier New" w:hint="default"/>
      </w:rPr>
    </w:lvl>
    <w:lvl w:ilvl="2" w:tplc="0C090005" w:tentative="1">
      <w:start w:val="1"/>
      <w:numFmt w:val="bullet"/>
      <w:lvlText w:val=""/>
      <w:lvlJc w:val="left"/>
      <w:pPr>
        <w:ind w:left="2687" w:hanging="360"/>
      </w:pPr>
      <w:rPr>
        <w:rFonts w:ascii="Wingdings" w:hAnsi="Wingdings" w:hint="default"/>
      </w:rPr>
    </w:lvl>
    <w:lvl w:ilvl="3" w:tplc="0C090001" w:tentative="1">
      <w:start w:val="1"/>
      <w:numFmt w:val="bullet"/>
      <w:lvlText w:val=""/>
      <w:lvlJc w:val="left"/>
      <w:pPr>
        <w:ind w:left="3407" w:hanging="360"/>
      </w:pPr>
      <w:rPr>
        <w:rFonts w:ascii="Symbol" w:hAnsi="Symbol" w:hint="default"/>
      </w:rPr>
    </w:lvl>
    <w:lvl w:ilvl="4" w:tplc="0C090003" w:tentative="1">
      <w:start w:val="1"/>
      <w:numFmt w:val="bullet"/>
      <w:lvlText w:val="o"/>
      <w:lvlJc w:val="left"/>
      <w:pPr>
        <w:ind w:left="4127" w:hanging="360"/>
      </w:pPr>
      <w:rPr>
        <w:rFonts w:ascii="Courier New" w:hAnsi="Courier New" w:cs="Courier New" w:hint="default"/>
      </w:rPr>
    </w:lvl>
    <w:lvl w:ilvl="5" w:tplc="0C090005" w:tentative="1">
      <w:start w:val="1"/>
      <w:numFmt w:val="bullet"/>
      <w:lvlText w:val=""/>
      <w:lvlJc w:val="left"/>
      <w:pPr>
        <w:ind w:left="4847" w:hanging="360"/>
      </w:pPr>
      <w:rPr>
        <w:rFonts w:ascii="Wingdings" w:hAnsi="Wingdings" w:hint="default"/>
      </w:rPr>
    </w:lvl>
    <w:lvl w:ilvl="6" w:tplc="0C090001" w:tentative="1">
      <w:start w:val="1"/>
      <w:numFmt w:val="bullet"/>
      <w:lvlText w:val=""/>
      <w:lvlJc w:val="left"/>
      <w:pPr>
        <w:ind w:left="5567" w:hanging="360"/>
      </w:pPr>
      <w:rPr>
        <w:rFonts w:ascii="Symbol" w:hAnsi="Symbol" w:hint="default"/>
      </w:rPr>
    </w:lvl>
    <w:lvl w:ilvl="7" w:tplc="0C090003" w:tentative="1">
      <w:start w:val="1"/>
      <w:numFmt w:val="bullet"/>
      <w:lvlText w:val="o"/>
      <w:lvlJc w:val="left"/>
      <w:pPr>
        <w:ind w:left="6287" w:hanging="360"/>
      </w:pPr>
      <w:rPr>
        <w:rFonts w:ascii="Courier New" w:hAnsi="Courier New" w:cs="Courier New" w:hint="default"/>
      </w:rPr>
    </w:lvl>
    <w:lvl w:ilvl="8" w:tplc="0C090005" w:tentative="1">
      <w:start w:val="1"/>
      <w:numFmt w:val="bullet"/>
      <w:lvlText w:val=""/>
      <w:lvlJc w:val="left"/>
      <w:pPr>
        <w:ind w:left="7007" w:hanging="360"/>
      </w:pPr>
      <w:rPr>
        <w:rFonts w:ascii="Wingdings" w:hAnsi="Wingdings" w:hint="default"/>
      </w:rPr>
    </w:lvl>
  </w:abstractNum>
  <w:abstractNum w:abstractNumId="20">
    <w:nsid w:val="3BAE3803"/>
    <w:multiLevelType w:val="hybridMultilevel"/>
    <w:tmpl w:val="0F2A2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0997927"/>
    <w:multiLevelType w:val="hybridMultilevel"/>
    <w:tmpl w:val="3EA0D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980916"/>
    <w:multiLevelType w:val="hybridMultilevel"/>
    <w:tmpl w:val="9522D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4663B3"/>
    <w:multiLevelType w:val="hybridMultilevel"/>
    <w:tmpl w:val="336E9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A82621"/>
    <w:multiLevelType w:val="hybridMultilevel"/>
    <w:tmpl w:val="B38ECE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C9243B6"/>
    <w:multiLevelType w:val="hybridMultilevel"/>
    <w:tmpl w:val="A78A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72431B"/>
    <w:multiLevelType w:val="hybridMultilevel"/>
    <w:tmpl w:val="BD0E36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D97C258A">
      <w:numFmt w:val="bullet"/>
      <w:lvlText w:val="•"/>
      <w:lvlJc w:val="left"/>
      <w:pPr>
        <w:ind w:left="3600" w:hanging="360"/>
      </w:pPr>
      <w:rPr>
        <w:rFonts w:ascii="Times New Roman" w:eastAsia="Times New Roman" w:hAnsi="Times New Roman" w:cs="Times New Roman"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5601182"/>
    <w:multiLevelType w:val="hybridMultilevel"/>
    <w:tmpl w:val="20468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6C36E0"/>
    <w:multiLevelType w:val="hybridMultilevel"/>
    <w:tmpl w:val="DB2E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C0433C"/>
    <w:multiLevelType w:val="hybridMultilevel"/>
    <w:tmpl w:val="CDACC5BC"/>
    <w:lvl w:ilvl="0" w:tplc="759C7D3E">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E50A65"/>
    <w:multiLevelType w:val="hybridMultilevel"/>
    <w:tmpl w:val="FD648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A75307"/>
    <w:multiLevelType w:val="hybridMultilevel"/>
    <w:tmpl w:val="F6BC1C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4"/>
  </w:num>
  <w:num w:numId="4">
    <w:abstractNumId w:val="7"/>
  </w:num>
  <w:num w:numId="5">
    <w:abstractNumId w:val="18"/>
  </w:num>
  <w:num w:numId="6">
    <w:abstractNumId w:val="5"/>
  </w:num>
  <w:num w:numId="7">
    <w:abstractNumId w:val="3"/>
  </w:num>
  <w:num w:numId="8">
    <w:abstractNumId w:val="8"/>
  </w:num>
  <w:num w:numId="9">
    <w:abstractNumId w:val="12"/>
  </w:num>
  <w:num w:numId="10">
    <w:abstractNumId w:val="17"/>
  </w:num>
  <w:num w:numId="11">
    <w:abstractNumId w:val="14"/>
  </w:num>
  <w:num w:numId="12">
    <w:abstractNumId w:val="4"/>
  </w:num>
  <w:num w:numId="13">
    <w:abstractNumId w:val="0"/>
  </w:num>
  <w:num w:numId="14">
    <w:abstractNumId w:val="7"/>
    <w:lvlOverride w:ilvl="0">
      <w:startOverride w:val="2"/>
    </w:lvlOverride>
  </w:num>
  <w:num w:numId="15">
    <w:abstractNumId w:val="18"/>
  </w:num>
  <w:num w:numId="16">
    <w:abstractNumId w:val="31"/>
  </w:num>
  <w:num w:numId="17">
    <w:abstractNumId w:val="9"/>
  </w:num>
  <w:num w:numId="18">
    <w:abstractNumId w:val="30"/>
  </w:num>
  <w:num w:numId="19">
    <w:abstractNumId w:val="2"/>
  </w:num>
  <w:num w:numId="20">
    <w:abstractNumId w:val="10"/>
  </w:num>
  <w:num w:numId="21">
    <w:abstractNumId w:val="23"/>
  </w:num>
  <w:num w:numId="22">
    <w:abstractNumId w:val="16"/>
  </w:num>
  <w:num w:numId="23">
    <w:abstractNumId w:val="13"/>
  </w:num>
  <w:num w:numId="24">
    <w:abstractNumId w:val="11"/>
  </w:num>
  <w:num w:numId="25">
    <w:abstractNumId w:val="19"/>
  </w:num>
  <w:num w:numId="26">
    <w:abstractNumId w:val="29"/>
  </w:num>
  <w:num w:numId="27">
    <w:abstractNumId w:val="28"/>
  </w:num>
  <w:num w:numId="28">
    <w:abstractNumId w:val="20"/>
  </w:num>
  <w:num w:numId="29">
    <w:abstractNumId w:val="25"/>
  </w:num>
  <w:num w:numId="30">
    <w:abstractNumId w:val="21"/>
  </w:num>
  <w:num w:numId="31">
    <w:abstractNumId w:val="1"/>
  </w:num>
  <w:num w:numId="32">
    <w:abstractNumId w:val="15"/>
  </w:num>
  <w:num w:numId="33">
    <w:abstractNumId w:val="6"/>
  </w:num>
  <w:num w:numId="34">
    <w:abstractNumId w:val="22"/>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S PLANINAC">
    <w15:presenceInfo w15:providerId="Windows Live" w15:userId="b6b09e89c61d4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DA"/>
    <w:rsid w:val="000005C5"/>
    <w:rsid w:val="00001111"/>
    <w:rsid w:val="0000241C"/>
    <w:rsid w:val="00005D70"/>
    <w:rsid w:val="00007927"/>
    <w:rsid w:val="00017425"/>
    <w:rsid w:val="0002276B"/>
    <w:rsid w:val="00025CCA"/>
    <w:rsid w:val="00026FDA"/>
    <w:rsid w:val="0003016D"/>
    <w:rsid w:val="000339CC"/>
    <w:rsid w:val="000341F7"/>
    <w:rsid w:val="00034C64"/>
    <w:rsid w:val="00035506"/>
    <w:rsid w:val="00042284"/>
    <w:rsid w:val="00042E49"/>
    <w:rsid w:val="0004465B"/>
    <w:rsid w:val="000512B4"/>
    <w:rsid w:val="000536DF"/>
    <w:rsid w:val="000568CB"/>
    <w:rsid w:val="00057018"/>
    <w:rsid w:val="0006306A"/>
    <w:rsid w:val="00070952"/>
    <w:rsid w:val="0007148C"/>
    <w:rsid w:val="00071DAD"/>
    <w:rsid w:val="00072FB2"/>
    <w:rsid w:val="00074ED6"/>
    <w:rsid w:val="00075953"/>
    <w:rsid w:val="000777D4"/>
    <w:rsid w:val="00080D00"/>
    <w:rsid w:val="00084729"/>
    <w:rsid w:val="000A7AAD"/>
    <w:rsid w:val="000B5D14"/>
    <w:rsid w:val="000B7E9A"/>
    <w:rsid w:val="000C0C7E"/>
    <w:rsid w:val="000C2096"/>
    <w:rsid w:val="000C2616"/>
    <w:rsid w:val="000C2CB5"/>
    <w:rsid w:val="000C32EE"/>
    <w:rsid w:val="000C4517"/>
    <w:rsid w:val="000C4C63"/>
    <w:rsid w:val="000C6AD3"/>
    <w:rsid w:val="000C751A"/>
    <w:rsid w:val="000D1794"/>
    <w:rsid w:val="000D4CA8"/>
    <w:rsid w:val="000E05D4"/>
    <w:rsid w:val="000E1CEF"/>
    <w:rsid w:val="000E2470"/>
    <w:rsid w:val="000E3C74"/>
    <w:rsid w:val="000E5716"/>
    <w:rsid w:val="000E6FE5"/>
    <w:rsid w:val="000F4772"/>
    <w:rsid w:val="000F4B80"/>
    <w:rsid w:val="000F4EBB"/>
    <w:rsid w:val="000F63AC"/>
    <w:rsid w:val="00102256"/>
    <w:rsid w:val="00105FAA"/>
    <w:rsid w:val="001074E5"/>
    <w:rsid w:val="00112A93"/>
    <w:rsid w:val="00114B08"/>
    <w:rsid w:val="001151DB"/>
    <w:rsid w:val="00116478"/>
    <w:rsid w:val="001166B6"/>
    <w:rsid w:val="00117F89"/>
    <w:rsid w:val="001260F3"/>
    <w:rsid w:val="00126CDC"/>
    <w:rsid w:val="00127E8C"/>
    <w:rsid w:val="00130A46"/>
    <w:rsid w:val="00130CCB"/>
    <w:rsid w:val="00132729"/>
    <w:rsid w:val="00134189"/>
    <w:rsid w:val="001347DF"/>
    <w:rsid w:val="00135411"/>
    <w:rsid w:val="00136AB7"/>
    <w:rsid w:val="00140D59"/>
    <w:rsid w:val="0014204E"/>
    <w:rsid w:val="00144BDC"/>
    <w:rsid w:val="00145436"/>
    <w:rsid w:val="001505BB"/>
    <w:rsid w:val="00150DEE"/>
    <w:rsid w:val="00150DF3"/>
    <w:rsid w:val="001521E4"/>
    <w:rsid w:val="001529E6"/>
    <w:rsid w:val="00152E9A"/>
    <w:rsid w:val="001567EE"/>
    <w:rsid w:val="00160FEF"/>
    <w:rsid w:val="00161722"/>
    <w:rsid w:val="001635DC"/>
    <w:rsid w:val="001663E9"/>
    <w:rsid w:val="001727F9"/>
    <w:rsid w:val="00174AE3"/>
    <w:rsid w:val="001771D4"/>
    <w:rsid w:val="001859B8"/>
    <w:rsid w:val="001943D7"/>
    <w:rsid w:val="0019466D"/>
    <w:rsid w:val="00195910"/>
    <w:rsid w:val="001B1B52"/>
    <w:rsid w:val="001B4C3E"/>
    <w:rsid w:val="001B54C9"/>
    <w:rsid w:val="001B585B"/>
    <w:rsid w:val="001B6431"/>
    <w:rsid w:val="001B6B68"/>
    <w:rsid w:val="001C0724"/>
    <w:rsid w:val="001C2EFE"/>
    <w:rsid w:val="001C3155"/>
    <w:rsid w:val="001C4093"/>
    <w:rsid w:val="001C4718"/>
    <w:rsid w:val="001D180C"/>
    <w:rsid w:val="001D4899"/>
    <w:rsid w:val="001D6FFD"/>
    <w:rsid w:val="001D7B85"/>
    <w:rsid w:val="001E0162"/>
    <w:rsid w:val="001E0F3F"/>
    <w:rsid w:val="001E236E"/>
    <w:rsid w:val="001E32D1"/>
    <w:rsid w:val="001E5739"/>
    <w:rsid w:val="001F6F97"/>
    <w:rsid w:val="00202239"/>
    <w:rsid w:val="00204A92"/>
    <w:rsid w:val="0020756A"/>
    <w:rsid w:val="00210677"/>
    <w:rsid w:val="00212C24"/>
    <w:rsid w:val="00214419"/>
    <w:rsid w:val="00215B19"/>
    <w:rsid w:val="00215ED6"/>
    <w:rsid w:val="0022169C"/>
    <w:rsid w:val="0022339F"/>
    <w:rsid w:val="0022368F"/>
    <w:rsid w:val="00225AA7"/>
    <w:rsid w:val="00226B7A"/>
    <w:rsid w:val="00227D05"/>
    <w:rsid w:val="002350B3"/>
    <w:rsid w:val="00236AA0"/>
    <w:rsid w:val="0024014E"/>
    <w:rsid w:val="00240442"/>
    <w:rsid w:val="00246437"/>
    <w:rsid w:val="0025033C"/>
    <w:rsid w:val="0025064E"/>
    <w:rsid w:val="00250737"/>
    <w:rsid w:val="00266A00"/>
    <w:rsid w:val="0027077B"/>
    <w:rsid w:val="00271FF1"/>
    <w:rsid w:val="00272C2F"/>
    <w:rsid w:val="002756A1"/>
    <w:rsid w:val="00280A82"/>
    <w:rsid w:val="00280FDF"/>
    <w:rsid w:val="0028451A"/>
    <w:rsid w:val="00291AAC"/>
    <w:rsid w:val="00291E10"/>
    <w:rsid w:val="00293053"/>
    <w:rsid w:val="0029346D"/>
    <w:rsid w:val="002A06FA"/>
    <w:rsid w:val="002A2346"/>
    <w:rsid w:val="002A2B04"/>
    <w:rsid w:val="002A6BE0"/>
    <w:rsid w:val="002A6E52"/>
    <w:rsid w:val="002A7CF0"/>
    <w:rsid w:val="002B0C61"/>
    <w:rsid w:val="002B3E2F"/>
    <w:rsid w:val="002B40CA"/>
    <w:rsid w:val="002B42EF"/>
    <w:rsid w:val="002C15D6"/>
    <w:rsid w:val="002C1A84"/>
    <w:rsid w:val="002C4B09"/>
    <w:rsid w:val="002D20AF"/>
    <w:rsid w:val="002D288C"/>
    <w:rsid w:val="002D46ED"/>
    <w:rsid w:val="002D6BA8"/>
    <w:rsid w:val="002D733E"/>
    <w:rsid w:val="002E29C9"/>
    <w:rsid w:val="002E3254"/>
    <w:rsid w:val="002E6D9A"/>
    <w:rsid w:val="002F16E3"/>
    <w:rsid w:val="002F3ACC"/>
    <w:rsid w:val="002F48FE"/>
    <w:rsid w:val="002F5480"/>
    <w:rsid w:val="002F5EB3"/>
    <w:rsid w:val="002F6C81"/>
    <w:rsid w:val="002F6ED1"/>
    <w:rsid w:val="002F7006"/>
    <w:rsid w:val="003004E7"/>
    <w:rsid w:val="00301AF3"/>
    <w:rsid w:val="00304091"/>
    <w:rsid w:val="003043A6"/>
    <w:rsid w:val="00305732"/>
    <w:rsid w:val="00306F96"/>
    <w:rsid w:val="003074E4"/>
    <w:rsid w:val="00311D89"/>
    <w:rsid w:val="003138D9"/>
    <w:rsid w:val="00313B3A"/>
    <w:rsid w:val="00313BA1"/>
    <w:rsid w:val="003162CB"/>
    <w:rsid w:val="003166B4"/>
    <w:rsid w:val="0032236B"/>
    <w:rsid w:val="00323ED3"/>
    <w:rsid w:val="00324FAB"/>
    <w:rsid w:val="00326080"/>
    <w:rsid w:val="00326266"/>
    <w:rsid w:val="0032656E"/>
    <w:rsid w:val="00327DDE"/>
    <w:rsid w:val="00331DDE"/>
    <w:rsid w:val="00336D82"/>
    <w:rsid w:val="00340473"/>
    <w:rsid w:val="00342E73"/>
    <w:rsid w:val="003437C4"/>
    <w:rsid w:val="00353C68"/>
    <w:rsid w:val="00363DB6"/>
    <w:rsid w:val="00364FFB"/>
    <w:rsid w:val="00366BB9"/>
    <w:rsid w:val="00375DA1"/>
    <w:rsid w:val="00376754"/>
    <w:rsid w:val="0038593C"/>
    <w:rsid w:val="00390855"/>
    <w:rsid w:val="00391017"/>
    <w:rsid w:val="00391D73"/>
    <w:rsid w:val="00392D35"/>
    <w:rsid w:val="003A74A6"/>
    <w:rsid w:val="003B21E1"/>
    <w:rsid w:val="003B584E"/>
    <w:rsid w:val="003B7BCF"/>
    <w:rsid w:val="003C040A"/>
    <w:rsid w:val="003C1A50"/>
    <w:rsid w:val="003C3AAE"/>
    <w:rsid w:val="003C4853"/>
    <w:rsid w:val="003C7387"/>
    <w:rsid w:val="003C7B06"/>
    <w:rsid w:val="003D19CC"/>
    <w:rsid w:val="003D43AC"/>
    <w:rsid w:val="003E01DB"/>
    <w:rsid w:val="003E079B"/>
    <w:rsid w:val="003E5E64"/>
    <w:rsid w:val="003F1BB1"/>
    <w:rsid w:val="00400E69"/>
    <w:rsid w:val="004015D1"/>
    <w:rsid w:val="0040287D"/>
    <w:rsid w:val="004036C2"/>
    <w:rsid w:val="00404E5D"/>
    <w:rsid w:val="00407B0C"/>
    <w:rsid w:val="0041000E"/>
    <w:rsid w:val="004127D4"/>
    <w:rsid w:val="00416A48"/>
    <w:rsid w:val="00421097"/>
    <w:rsid w:val="00423750"/>
    <w:rsid w:val="00423F6A"/>
    <w:rsid w:val="004262D1"/>
    <w:rsid w:val="004272B3"/>
    <w:rsid w:val="00427504"/>
    <w:rsid w:val="0042761F"/>
    <w:rsid w:val="004316C4"/>
    <w:rsid w:val="004333D0"/>
    <w:rsid w:val="00435DAE"/>
    <w:rsid w:val="0044189B"/>
    <w:rsid w:val="00444596"/>
    <w:rsid w:val="004445B8"/>
    <w:rsid w:val="00450EE6"/>
    <w:rsid w:val="00454D31"/>
    <w:rsid w:val="0046240D"/>
    <w:rsid w:val="004629A6"/>
    <w:rsid w:val="0046379B"/>
    <w:rsid w:val="00465FD0"/>
    <w:rsid w:val="0046689E"/>
    <w:rsid w:val="00470C93"/>
    <w:rsid w:val="00483426"/>
    <w:rsid w:val="00485EA3"/>
    <w:rsid w:val="00492579"/>
    <w:rsid w:val="0049321F"/>
    <w:rsid w:val="004A046B"/>
    <w:rsid w:val="004A07BD"/>
    <w:rsid w:val="004A124A"/>
    <w:rsid w:val="004A3285"/>
    <w:rsid w:val="004A3B7E"/>
    <w:rsid w:val="004B1717"/>
    <w:rsid w:val="004B2BDF"/>
    <w:rsid w:val="004B5DBC"/>
    <w:rsid w:val="004C083C"/>
    <w:rsid w:val="004C2D7B"/>
    <w:rsid w:val="004C38A2"/>
    <w:rsid w:val="004C53AD"/>
    <w:rsid w:val="004C6CA8"/>
    <w:rsid w:val="004C7491"/>
    <w:rsid w:val="004D0AD5"/>
    <w:rsid w:val="004D129F"/>
    <w:rsid w:val="004D2B22"/>
    <w:rsid w:val="004E6976"/>
    <w:rsid w:val="004E7B61"/>
    <w:rsid w:val="004F287A"/>
    <w:rsid w:val="004F416F"/>
    <w:rsid w:val="004F475E"/>
    <w:rsid w:val="004F74E0"/>
    <w:rsid w:val="005000DA"/>
    <w:rsid w:val="0050170A"/>
    <w:rsid w:val="00503A23"/>
    <w:rsid w:val="00504A02"/>
    <w:rsid w:val="005062B2"/>
    <w:rsid w:val="005115F4"/>
    <w:rsid w:val="00517412"/>
    <w:rsid w:val="005176D9"/>
    <w:rsid w:val="00521672"/>
    <w:rsid w:val="00521D33"/>
    <w:rsid w:val="005220B1"/>
    <w:rsid w:val="00522FD4"/>
    <w:rsid w:val="00524263"/>
    <w:rsid w:val="005268EA"/>
    <w:rsid w:val="0053407A"/>
    <w:rsid w:val="00540C5F"/>
    <w:rsid w:val="005415E1"/>
    <w:rsid w:val="00544F88"/>
    <w:rsid w:val="00547D17"/>
    <w:rsid w:val="00550D73"/>
    <w:rsid w:val="00553A20"/>
    <w:rsid w:val="00553A23"/>
    <w:rsid w:val="005555D8"/>
    <w:rsid w:val="00557A4C"/>
    <w:rsid w:val="00557B12"/>
    <w:rsid w:val="005615FC"/>
    <w:rsid w:val="00561B20"/>
    <w:rsid w:val="00563A97"/>
    <w:rsid w:val="005641D2"/>
    <w:rsid w:val="005650E9"/>
    <w:rsid w:val="00566E7C"/>
    <w:rsid w:val="00571307"/>
    <w:rsid w:val="005722A4"/>
    <w:rsid w:val="00575C81"/>
    <w:rsid w:val="00575D36"/>
    <w:rsid w:val="00580913"/>
    <w:rsid w:val="00584393"/>
    <w:rsid w:val="005864BF"/>
    <w:rsid w:val="005909DB"/>
    <w:rsid w:val="00591A18"/>
    <w:rsid w:val="0059596A"/>
    <w:rsid w:val="00597E27"/>
    <w:rsid w:val="005A0D02"/>
    <w:rsid w:val="005A2CEE"/>
    <w:rsid w:val="005A5FD7"/>
    <w:rsid w:val="005B0531"/>
    <w:rsid w:val="005B294F"/>
    <w:rsid w:val="005B6B85"/>
    <w:rsid w:val="005B6FFA"/>
    <w:rsid w:val="005C0A36"/>
    <w:rsid w:val="005C0AA9"/>
    <w:rsid w:val="005C74CD"/>
    <w:rsid w:val="005D1CD0"/>
    <w:rsid w:val="005D4825"/>
    <w:rsid w:val="005D759B"/>
    <w:rsid w:val="005E0101"/>
    <w:rsid w:val="005E145C"/>
    <w:rsid w:val="005E2BF5"/>
    <w:rsid w:val="005E38C9"/>
    <w:rsid w:val="005E5A66"/>
    <w:rsid w:val="005E6A98"/>
    <w:rsid w:val="005E74B4"/>
    <w:rsid w:val="005F1ED5"/>
    <w:rsid w:val="005F230C"/>
    <w:rsid w:val="005F4AB6"/>
    <w:rsid w:val="005F5318"/>
    <w:rsid w:val="005F5A20"/>
    <w:rsid w:val="005F7167"/>
    <w:rsid w:val="005F71A8"/>
    <w:rsid w:val="005F7599"/>
    <w:rsid w:val="005F7631"/>
    <w:rsid w:val="00601AFD"/>
    <w:rsid w:val="00603800"/>
    <w:rsid w:val="00607354"/>
    <w:rsid w:val="00610825"/>
    <w:rsid w:val="00612443"/>
    <w:rsid w:val="0061281F"/>
    <w:rsid w:val="006166F0"/>
    <w:rsid w:val="00617DBD"/>
    <w:rsid w:val="0062209A"/>
    <w:rsid w:val="00622409"/>
    <w:rsid w:val="006227E3"/>
    <w:rsid w:val="00624510"/>
    <w:rsid w:val="00624B28"/>
    <w:rsid w:val="00625604"/>
    <w:rsid w:val="00627B6E"/>
    <w:rsid w:val="006355AD"/>
    <w:rsid w:val="006357D1"/>
    <w:rsid w:val="00637D2B"/>
    <w:rsid w:val="006404EF"/>
    <w:rsid w:val="00641218"/>
    <w:rsid w:val="00642CE7"/>
    <w:rsid w:val="00644946"/>
    <w:rsid w:val="006459C3"/>
    <w:rsid w:val="00645F57"/>
    <w:rsid w:val="00646179"/>
    <w:rsid w:val="006519E3"/>
    <w:rsid w:val="00655BE1"/>
    <w:rsid w:val="006623C1"/>
    <w:rsid w:val="00662F68"/>
    <w:rsid w:val="00665EB7"/>
    <w:rsid w:val="0067221B"/>
    <w:rsid w:val="0067311C"/>
    <w:rsid w:val="0067360A"/>
    <w:rsid w:val="0067453E"/>
    <w:rsid w:val="006808F8"/>
    <w:rsid w:val="00681E9A"/>
    <w:rsid w:val="00687B41"/>
    <w:rsid w:val="00696270"/>
    <w:rsid w:val="006967B0"/>
    <w:rsid w:val="00696E7D"/>
    <w:rsid w:val="006970EC"/>
    <w:rsid w:val="00697D8D"/>
    <w:rsid w:val="006A1CE4"/>
    <w:rsid w:val="006A350E"/>
    <w:rsid w:val="006A4EFF"/>
    <w:rsid w:val="006A5A0B"/>
    <w:rsid w:val="006B0313"/>
    <w:rsid w:val="006B0978"/>
    <w:rsid w:val="006B4145"/>
    <w:rsid w:val="006C3E84"/>
    <w:rsid w:val="006C6AB1"/>
    <w:rsid w:val="006D3D38"/>
    <w:rsid w:val="006D62D4"/>
    <w:rsid w:val="006E0E1C"/>
    <w:rsid w:val="006E2B28"/>
    <w:rsid w:val="006E333A"/>
    <w:rsid w:val="006E488A"/>
    <w:rsid w:val="006E5D9B"/>
    <w:rsid w:val="006E6C3C"/>
    <w:rsid w:val="006E6F77"/>
    <w:rsid w:val="006E7CE8"/>
    <w:rsid w:val="006F0161"/>
    <w:rsid w:val="006F0FDE"/>
    <w:rsid w:val="006F2370"/>
    <w:rsid w:val="006F2F49"/>
    <w:rsid w:val="006F5DBC"/>
    <w:rsid w:val="006F7909"/>
    <w:rsid w:val="00700C0A"/>
    <w:rsid w:val="00707322"/>
    <w:rsid w:val="007079F1"/>
    <w:rsid w:val="0071466C"/>
    <w:rsid w:val="007148FB"/>
    <w:rsid w:val="00722ADA"/>
    <w:rsid w:val="007235E5"/>
    <w:rsid w:val="00725657"/>
    <w:rsid w:val="00725A4E"/>
    <w:rsid w:val="00726475"/>
    <w:rsid w:val="0072757F"/>
    <w:rsid w:val="007277C3"/>
    <w:rsid w:val="00730657"/>
    <w:rsid w:val="0073283D"/>
    <w:rsid w:val="00734D18"/>
    <w:rsid w:val="007367DA"/>
    <w:rsid w:val="00736CDA"/>
    <w:rsid w:val="00743097"/>
    <w:rsid w:val="00743C8F"/>
    <w:rsid w:val="0074420B"/>
    <w:rsid w:val="00745975"/>
    <w:rsid w:val="00745D8E"/>
    <w:rsid w:val="007513D7"/>
    <w:rsid w:val="0075169F"/>
    <w:rsid w:val="007634EA"/>
    <w:rsid w:val="007675AC"/>
    <w:rsid w:val="0076769A"/>
    <w:rsid w:val="0077427A"/>
    <w:rsid w:val="0078669C"/>
    <w:rsid w:val="00787485"/>
    <w:rsid w:val="007925B9"/>
    <w:rsid w:val="00793CF9"/>
    <w:rsid w:val="007949F7"/>
    <w:rsid w:val="00797353"/>
    <w:rsid w:val="00797AB7"/>
    <w:rsid w:val="007A07DC"/>
    <w:rsid w:val="007A1709"/>
    <w:rsid w:val="007A1A4E"/>
    <w:rsid w:val="007A3ED3"/>
    <w:rsid w:val="007A6D7B"/>
    <w:rsid w:val="007B1122"/>
    <w:rsid w:val="007B417B"/>
    <w:rsid w:val="007B6614"/>
    <w:rsid w:val="007B735D"/>
    <w:rsid w:val="007C0A4B"/>
    <w:rsid w:val="007C3E75"/>
    <w:rsid w:val="007C5B40"/>
    <w:rsid w:val="007C68BB"/>
    <w:rsid w:val="007D78CF"/>
    <w:rsid w:val="007D7B40"/>
    <w:rsid w:val="007E39B5"/>
    <w:rsid w:val="007E4906"/>
    <w:rsid w:val="007E5AE6"/>
    <w:rsid w:val="007F0A15"/>
    <w:rsid w:val="007F55CC"/>
    <w:rsid w:val="007F63BD"/>
    <w:rsid w:val="00803C63"/>
    <w:rsid w:val="008055BE"/>
    <w:rsid w:val="008070FE"/>
    <w:rsid w:val="00813D0F"/>
    <w:rsid w:val="00824405"/>
    <w:rsid w:val="0082527A"/>
    <w:rsid w:val="0082748B"/>
    <w:rsid w:val="00827777"/>
    <w:rsid w:val="00832831"/>
    <w:rsid w:val="008349D8"/>
    <w:rsid w:val="008363E6"/>
    <w:rsid w:val="008405CD"/>
    <w:rsid w:val="0084339C"/>
    <w:rsid w:val="008435B9"/>
    <w:rsid w:val="0084554C"/>
    <w:rsid w:val="00855846"/>
    <w:rsid w:val="00857612"/>
    <w:rsid w:val="00870BAB"/>
    <w:rsid w:val="008744CA"/>
    <w:rsid w:val="0087592A"/>
    <w:rsid w:val="008808F5"/>
    <w:rsid w:val="008832FB"/>
    <w:rsid w:val="008863B0"/>
    <w:rsid w:val="008932FD"/>
    <w:rsid w:val="00897078"/>
    <w:rsid w:val="00897B46"/>
    <w:rsid w:val="008A0222"/>
    <w:rsid w:val="008A08F2"/>
    <w:rsid w:val="008A2FC9"/>
    <w:rsid w:val="008A5C6F"/>
    <w:rsid w:val="008A622D"/>
    <w:rsid w:val="008A7D12"/>
    <w:rsid w:val="008B0886"/>
    <w:rsid w:val="008B176B"/>
    <w:rsid w:val="008B36CF"/>
    <w:rsid w:val="008B595E"/>
    <w:rsid w:val="008C0297"/>
    <w:rsid w:val="008C4D2B"/>
    <w:rsid w:val="008C5A04"/>
    <w:rsid w:val="008C65B2"/>
    <w:rsid w:val="008D1E30"/>
    <w:rsid w:val="008D2E88"/>
    <w:rsid w:val="008D73EF"/>
    <w:rsid w:val="008E390F"/>
    <w:rsid w:val="008E45CB"/>
    <w:rsid w:val="008E79AC"/>
    <w:rsid w:val="008E7D9E"/>
    <w:rsid w:val="008F387D"/>
    <w:rsid w:val="008F4910"/>
    <w:rsid w:val="008F51B1"/>
    <w:rsid w:val="009017C1"/>
    <w:rsid w:val="00910B29"/>
    <w:rsid w:val="0091559F"/>
    <w:rsid w:val="00916657"/>
    <w:rsid w:val="009172C0"/>
    <w:rsid w:val="009174DC"/>
    <w:rsid w:val="009176FF"/>
    <w:rsid w:val="00922D69"/>
    <w:rsid w:val="00925162"/>
    <w:rsid w:val="009321A2"/>
    <w:rsid w:val="00932702"/>
    <w:rsid w:val="00932FFF"/>
    <w:rsid w:val="00934787"/>
    <w:rsid w:val="00937055"/>
    <w:rsid w:val="00943866"/>
    <w:rsid w:val="00945954"/>
    <w:rsid w:val="0094635B"/>
    <w:rsid w:val="00946C99"/>
    <w:rsid w:val="009549B7"/>
    <w:rsid w:val="00954A3B"/>
    <w:rsid w:val="009704E1"/>
    <w:rsid w:val="009708A8"/>
    <w:rsid w:val="00970F91"/>
    <w:rsid w:val="009710C2"/>
    <w:rsid w:val="00975108"/>
    <w:rsid w:val="00975F7D"/>
    <w:rsid w:val="00977B57"/>
    <w:rsid w:val="00981E35"/>
    <w:rsid w:val="00982430"/>
    <w:rsid w:val="009875C0"/>
    <w:rsid w:val="00991127"/>
    <w:rsid w:val="00991C8A"/>
    <w:rsid w:val="00992D72"/>
    <w:rsid w:val="00996D20"/>
    <w:rsid w:val="009A5D22"/>
    <w:rsid w:val="009B215A"/>
    <w:rsid w:val="009B28D7"/>
    <w:rsid w:val="009B2AD0"/>
    <w:rsid w:val="009B4C4F"/>
    <w:rsid w:val="009B4FC1"/>
    <w:rsid w:val="009B689A"/>
    <w:rsid w:val="009B76E1"/>
    <w:rsid w:val="009C010F"/>
    <w:rsid w:val="009C03AE"/>
    <w:rsid w:val="009C29E3"/>
    <w:rsid w:val="009C32A5"/>
    <w:rsid w:val="009C5DF4"/>
    <w:rsid w:val="009D2A24"/>
    <w:rsid w:val="009D33A0"/>
    <w:rsid w:val="009D3C6D"/>
    <w:rsid w:val="009D3C97"/>
    <w:rsid w:val="009D6B48"/>
    <w:rsid w:val="009E125C"/>
    <w:rsid w:val="009E3F25"/>
    <w:rsid w:val="009E3FED"/>
    <w:rsid w:val="009E575C"/>
    <w:rsid w:val="009F0F8C"/>
    <w:rsid w:val="009F54A3"/>
    <w:rsid w:val="00A02B7D"/>
    <w:rsid w:val="00A05B5A"/>
    <w:rsid w:val="00A107A1"/>
    <w:rsid w:val="00A10D83"/>
    <w:rsid w:val="00A13EF6"/>
    <w:rsid w:val="00A20B3E"/>
    <w:rsid w:val="00A21DF2"/>
    <w:rsid w:val="00A22244"/>
    <w:rsid w:val="00A318BD"/>
    <w:rsid w:val="00A33ECB"/>
    <w:rsid w:val="00A35CE2"/>
    <w:rsid w:val="00A41EE0"/>
    <w:rsid w:val="00A44610"/>
    <w:rsid w:val="00A4509D"/>
    <w:rsid w:val="00A45875"/>
    <w:rsid w:val="00A47F9F"/>
    <w:rsid w:val="00A512A2"/>
    <w:rsid w:val="00A5460D"/>
    <w:rsid w:val="00A546F8"/>
    <w:rsid w:val="00A56DEC"/>
    <w:rsid w:val="00A61EC6"/>
    <w:rsid w:val="00A665FC"/>
    <w:rsid w:val="00A66BC8"/>
    <w:rsid w:val="00A67048"/>
    <w:rsid w:val="00A75A33"/>
    <w:rsid w:val="00A76252"/>
    <w:rsid w:val="00A76FCE"/>
    <w:rsid w:val="00A82577"/>
    <w:rsid w:val="00A87558"/>
    <w:rsid w:val="00A916D6"/>
    <w:rsid w:val="00A91A56"/>
    <w:rsid w:val="00A97853"/>
    <w:rsid w:val="00A97CDD"/>
    <w:rsid w:val="00AA0310"/>
    <w:rsid w:val="00AA211F"/>
    <w:rsid w:val="00AA4B48"/>
    <w:rsid w:val="00AB22E7"/>
    <w:rsid w:val="00AB4BD7"/>
    <w:rsid w:val="00AB4F39"/>
    <w:rsid w:val="00AB6EF9"/>
    <w:rsid w:val="00AB6F2B"/>
    <w:rsid w:val="00AC0ED6"/>
    <w:rsid w:val="00AC3F8B"/>
    <w:rsid w:val="00AD39A2"/>
    <w:rsid w:val="00AD5398"/>
    <w:rsid w:val="00AD624F"/>
    <w:rsid w:val="00AE071E"/>
    <w:rsid w:val="00AE23F4"/>
    <w:rsid w:val="00AE591A"/>
    <w:rsid w:val="00AF6C18"/>
    <w:rsid w:val="00B01566"/>
    <w:rsid w:val="00B02D35"/>
    <w:rsid w:val="00B0392B"/>
    <w:rsid w:val="00B10491"/>
    <w:rsid w:val="00B113D2"/>
    <w:rsid w:val="00B13565"/>
    <w:rsid w:val="00B16A36"/>
    <w:rsid w:val="00B21AA6"/>
    <w:rsid w:val="00B22AC5"/>
    <w:rsid w:val="00B25D0A"/>
    <w:rsid w:val="00B26D9A"/>
    <w:rsid w:val="00B30B2E"/>
    <w:rsid w:val="00B33C14"/>
    <w:rsid w:val="00B34C9C"/>
    <w:rsid w:val="00B3667D"/>
    <w:rsid w:val="00B40370"/>
    <w:rsid w:val="00B425D7"/>
    <w:rsid w:val="00B45DF7"/>
    <w:rsid w:val="00B47593"/>
    <w:rsid w:val="00B504F0"/>
    <w:rsid w:val="00B511BA"/>
    <w:rsid w:val="00B52C26"/>
    <w:rsid w:val="00B53143"/>
    <w:rsid w:val="00B56CA3"/>
    <w:rsid w:val="00B6180D"/>
    <w:rsid w:val="00B627EA"/>
    <w:rsid w:val="00B66849"/>
    <w:rsid w:val="00B7017C"/>
    <w:rsid w:val="00B7277C"/>
    <w:rsid w:val="00B8018A"/>
    <w:rsid w:val="00B821B2"/>
    <w:rsid w:val="00B855AC"/>
    <w:rsid w:val="00B90E53"/>
    <w:rsid w:val="00B94081"/>
    <w:rsid w:val="00B9459C"/>
    <w:rsid w:val="00BA0BE6"/>
    <w:rsid w:val="00BA1BC1"/>
    <w:rsid w:val="00BA4A58"/>
    <w:rsid w:val="00BA6E23"/>
    <w:rsid w:val="00BB0ECA"/>
    <w:rsid w:val="00BB6C47"/>
    <w:rsid w:val="00BC3A0F"/>
    <w:rsid w:val="00BD2D82"/>
    <w:rsid w:val="00BD3BEA"/>
    <w:rsid w:val="00BD466A"/>
    <w:rsid w:val="00BD72D5"/>
    <w:rsid w:val="00BE0D0D"/>
    <w:rsid w:val="00BE4431"/>
    <w:rsid w:val="00BF6553"/>
    <w:rsid w:val="00C0164F"/>
    <w:rsid w:val="00C01993"/>
    <w:rsid w:val="00C03DDC"/>
    <w:rsid w:val="00C04F06"/>
    <w:rsid w:val="00C04F97"/>
    <w:rsid w:val="00C06F60"/>
    <w:rsid w:val="00C07A65"/>
    <w:rsid w:val="00C11A0C"/>
    <w:rsid w:val="00C159D4"/>
    <w:rsid w:val="00C16CB4"/>
    <w:rsid w:val="00C205BC"/>
    <w:rsid w:val="00C213C6"/>
    <w:rsid w:val="00C22008"/>
    <w:rsid w:val="00C34286"/>
    <w:rsid w:val="00C34660"/>
    <w:rsid w:val="00C34910"/>
    <w:rsid w:val="00C368F6"/>
    <w:rsid w:val="00C40E48"/>
    <w:rsid w:val="00C42B81"/>
    <w:rsid w:val="00C50610"/>
    <w:rsid w:val="00C510DB"/>
    <w:rsid w:val="00C54919"/>
    <w:rsid w:val="00C577BB"/>
    <w:rsid w:val="00C6079A"/>
    <w:rsid w:val="00C62730"/>
    <w:rsid w:val="00C631A6"/>
    <w:rsid w:val="00C70041"/>
    <w:rsid w:val="00C7168B"/>
    <w:rsid w:val="00C7217E"/>
    <w:rsid w:val="00C72370"/>
    <w:rsid w:val="00C72B2F"/>
    <w:rsid w:val="00C74ACB"/>
    <w:rsid w:val="00C81468"/>
    <w:rsid w:val="00C818BA"/>
    <w:rsid w:val="00C82B6C"/>
    <w:rsid w:val="00C834AE"/>
    <w:rsid w:val="00C83A18"/>
    <w:rsid w:val="00C83FA7"/>
    <w:rsid w:val="00C8454C"/>
    <w:rsid w:val="00C92709"/>
    <w:rsid w:val="00C95B96"/>
    <w:rsid w:val="00C971BE"/>
    <w:rsid w:val="00C97690"/>
    <w:rsid w:val="00CA218F"/>
    <w:rsid w:val="00CA512C"/>
    <w:rsid w:val="00CA5BAB"/>
    <w:rsid w:val="00CB0F0B"/>
    <w:rsid w:val="00CC1A1F"/>
    <w:rsid w:val="00CC1EB2"/>
    <w:rsid w:val="00CC386F"/>
    <w:rsid w:val="00CC3990"/>
    <w:rsid w:val="00CC4381"/>
    <w:rsid w:val="00CD0D3A"/>
    <w:rsid w:val="00CD1FF5"/>
    <w:rsid w:val="00CE2207"/>
    <w:rsid w:val="00CE2E96"/>
    <w:rsid w:val="00CE5812"/>
    <w:rsid w:val="00CE7564"/>
    <w:rsid w:val="00CE77D2"/>
    <w:rsid w:val="00CF32D8"/>
    <w:rsid w:val="00CF6CA0"/>
    <w:rsid w:val="00CF79BC"/>
    <w:rsid w:val="00D01EC8"/>
    <w:rsid w:val="00D030EF"/>
    <w:rsid w:val="00D037F7"/>
    <w:rsid w:val="00D0581C"/>
    <w:rsid w:val="00D1030D"/>
    <w:rsid w:val="00D1131A"/>
    <w:rsid w:val="00D11FEF"/>
    <w:rsid w:val="00D13F4E"/>
    <w:rsid w:val="00D16015"/>
    <w:rsid w:val="00D1602A"/>
    <w:rsid w:val="00D2195C"/>
    <w:rsid w:val="00D24DB4"/>
    <w:rsid w:val="00D26797"/>
    <w:rsid w:val="00D2700D"/>
    <w:rsid w:val="00D27AB9"/>
    <w:rsid w:val="00D27D85"/>
    <w:rsid w:val="00D304D9"/>
    <w:rsid w:val="00D34620"/>
    <w:rsid w:val="00D36E63"/>
    <w:rsid w:val="00D40FE0"/>
    <w:rsid w:val="00D41767"/>
    <w:rsid w:val="00D43E45"/>
    <w:rsid w:val="00D4675D"/>
    <w:rsid w:val="00D6095E"/>
    <w:rsid w:val="00D61944"/>
    <w:rsid w:val="00D64EBE"/>
    <w:rsid w:val="00D663EB"/>
    <w:rsid w:val="00D67101"/>
    <w:rsid w:val="00D678D8"/>
    <w:rsid w:val="00D71E66"/>
    <w:rsid w:val="00D72B0E"/>
    <w:rsid w:val="00D7333E"/>
    <w:rsid w:val="00D7358D"/>
    <w:rsid w:val="00D763B1"/>
    <w:rsid w:val="00D821EC"/>
    <w:rsid w:val="00D82846"/>
    <w:rsid w:val="00D833F6"/>
    <w:rsid w:val="00D846DF"/>
    <w:rsid w:val="00D86F45"/>
    <w:rsid w:val="00D87880"/>
    <w:rsid w:val="00D92672"/>
    <w:rsid w:val="00D94DC8"/>
    <w:rsid w:val="00D95085"/>
    <w:rsid w:val="00D953C5"/>
    <w:rsid w:val="00D96E85"/>
    <w:rsid w:val="00DA02F5"/>
    <w:rsid w:val="00DA2195"/>
    <w:rsid w:val="00DA2C0E"/>
    <w:rsid w:val="00DA6974"/>
    <w:rsid w:val="00DA7051"/>
    <w:rsid w:val="00DB00A7"/>
    <w:rsid w:val="00DB04BF"/>
    <w:rsid w:val="00DB095D"/>
    <w:rsid w:val="00DB18E9"/>
    <w:rsid w:val="00DB1D8A"/>
    <w:rsid w:val="00DC49DE"/>
    <w:rsid w:val="00DC6158"/>
    <w:rsid w:val="00DD01BD"/>
    <w:rsid w:val="00DD0202"/>
    <w:rsid w:val="00DD33D9"/>
    <w:rsid w:val="00DD7786"/>
    <w:rsid w:val="00DE48A5"/>
    <w:rsid w:val="00DE58CD"/>
    <w:rsid w:val="00DE6EFF"/>
    <w:rsid w:val="00DF0A1C"/>
    <w:rsid w:val="00DF25E8"/>
    <w:rsid w:val="00DF424C"/>
    <w:rsid w:val="00DF7692"/>
    <w:rsid w:val="00E00590"/>
    <w:rsid w:val="00E0163E"/>
    <w:rsid w:val="00E03B63"/>
    <w:rsid w:val="00E0460C"/>
    <w:rsid w:val="00E069AC"/>
    <w:rsid w:val="00E076AE"/>
    <w:rsid w:val="00E108FD"/>
    <w:rsid w:val="00E12B82"/>
    <w:rsid w:val="00E1513F"/>
    <w:rsid w:val="00E20032"/>
    <w:rsid w:val="00E240B6"/>
    <w:rsid w:val="00E277EF"/>
    <w:rsid w:val="00E34BFA"/>
    <w:rsid w:val="00E362A9"/>
    <w:rsid w:val="00E40219"/>
    <w:rsid w:val="00E45024"/>
    <w:rsid w:val="00E5100D"/>
    <w:rsid w:val="00E51396"/>
    <w:rsid w:val="00E54642"/>
    <w:rsid w:val="00E6085E"/>
    <w:rsid w:val="00E6089F"/>
    <w:rsid w:val="00E60F50"/>
    <w:rsid w:val="00E62679"/>
    <w:rsid w:val="00E641BD"/>
    <w:rsid w:val="00E727FF"/>
    <w:rsid w:val="00E728FA"/>
    <w:rsid w:val="00E76675"/>
    <w:rsid w:val="00E76773"/>
    <w:rsid w:val="00E76B21"/>
    <w:rsid w:val="00E773BE"/>
    <w:rsid w:val="00E77719"/>
    <w:rsid w:val="00E77E8B"/>
    <w:rsid w:val="00E81274"/>
    <w:rsid w:val="00E813B8"/>
    <w:rsid w:val="00E81808"/>
    <w:rsid w:val="00E8376F"/>
    <w:rsid w:val="00E851E3"/>
    <w:rsid w:val="00E85C60"/>
    <w:rsid w:val="00E86678"/>
    <w:rsid w:val="00E91436"/>
    <w:rsid w:val="00E93F79"/>
    <w:rsid w:val="00E975BE"/>
    <w:rsid w:val="00EA17FA"/>
    <w:rsid w:val="00EA1A16"/>
    <w:rsid w:val="00EA5EF7"/>
    <w:rsid w:val="00EA7097"/>
    <w:rsid w:val="00EA7B1F"/>
    <w:rsid w:val="00EB4FDA"/>
    <w:rsid w:val="00EB5113"/>
    <w:rsid w:val="00EC1AAC"/>
    <w:rsid w:val="00EC4DFD"/>
    <w:rsid w:val="00EC5168"/>
    <w:rsid w:val="00ED0A97"/>
    <w:rsid w:val="00ED1E72"/>
    <w:rsid w:val="00ED23AD"/>
    <w:rsid w:val="00ED724E"/>
    <w:rsid w:val="00EE4B72"/>
    <w:rsid w:val="00EF2740"/>
    <w:rsid w:val="00EF419B"/>
    <w:rsid w:val="00F028EF"/>
    <w:rsid w:val="00F0540D"/>
    <w:rsid w:val="00F05C09"/>
    <w:rsid w:val="00F0621D"/>
    <w:rsid w:val="00F06675"/>
    <w:rsid w:val="00F1106D"/>
    <w:rsid w:val="00F11CAB"/>
    <w:rsid w:val="00F16B66"/>
    <w:rsid w:val="00F16EBA"/>
    <w:rsid w:val="00F1727D"/>
    <w:rsid w:val="00F17FC4"/>
    <w:rsid w:val="00F23938"/>
    <w:rsid w:val="00F243BC"/>
    <w:rsid w:val="00F245B6"/>
    <w:rsid w:val="00F30472"/>
    <w:rsid w:val="00F371E0"/>
    <w:rsid w:val="00F3727E"/>
    <w:rsid w:val="00F46238"/>
    <w:rsid w:val="00F4782D"/>
    <w:rsid w:val="00F47A8C"/>
    <w:rsid w:val="00F47E17"/>
    <w:rsid w:val="00F47E2F"/>
    <w:rsid w:val="00F54C23"/>
    <w:rsid w:val="00F5530F"/>
    <w:rsid w:val="00F55584"/>
    <w:rsid w:val="00F5587F"/>
    <w:rsid w:val="00F5639D"/>
    <w:rsid w:val="00F5692E"/>
    <w:rsid w:val="00F60A28"/>
    <w:rsid w:val="00F639A4"/>
    <w:rsid w:val="00F64E67"/>
    <w:rsid w:val="00F65553"/>
    <w:rsid w:val="00F65D5A"/>
    <w:rsid w:val="00F701C3"/>
    <w:rsid w:val="00F709BC"/>
    <w:rsid w:val="00F70EBD"/>
    <w:rsid w:val="00F7251C"/>
    <w:rsid w:val="00F7300A"/>
    <w:rsid w:val="00F73686"/>
    <w:rsid w:val="00F81770"/>
    <w:rsid w:val="00F81D17"/>
    <w:rsid w:val="00F90167"/>
    <w:rsid w:val="00F91848"/>
    <w:rsid w:val="00F9252A"/>
    <w:rsid w:val="00F9416F"/>
    <w:rsid w:val="00F9487B"/>
    <w:rsid w:val="00F9522B"/>
    <w:rsid w:val="00FA26E7"/>
    <w:rsid w:val="00FA2B82"/>
    <w:rsid w:val="00FA54A5"/>
    <w:rsid w:val="00FA78D0"/>
    <w:rsid w:val="00FB14F5"/>
    <w:rsid w:val="00FB16A4"/>
    <w:rsid w:val="00FB764A"/>
    <w:rsid w:val="00FC0894"/>
    <w:rsid w:val="00FC6DD1"/>
    <w:rsid w:val="00FC7F80"/>
    <w:rsid w:val="00FD02F5"/>
    <w:rsid w:val="00FD142D"/>
    <w:rsid w:val="00FD1C85"/>
    <w:rsid w:val="00FD5D81"/>
    <w:rsid w:val="00FD711B"/>
    <w:rsid w:val="00FE008A"/>
    <w:rsid w:val="00FE291F"/>
    <w:rsid w:val="00FE7C4C"/>
    <w:rsid w:val="00FF0957"/>
    <w:rsid w:val="00FF1F2B"/>
    <w:rsid w:val="00FF4D91"/>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56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975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4">
    <w:name w:val="heading 4"/>
    <w:basedOn w:val="Normal"/>
    <w:next w:val="Normal"/>
    <w:link w:val="Heading4Char"/>
    <w:uiPriority w:val="9"/>
    <w:unhideWhenUsed/>
    <w:qFormat/>
    <w:rsid w:val="0097510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A91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55AD"/>
    <w:rPr>
      <w:strike w:val="0"/>
      <w:dstrike w:val="0"/>
      <w:color w:val="0072BC"/>
      <w:u w:val="none"/>
      <w:effect w:val="none"/>
    </w:rPr>
  </w:style>
  <w:style w:type="paragraph" w:customStyle="1" w:styleId="Default">
    <w:name w:val="Default"/>
    <w:rsid w:val="006355AD"/>
    <w:pPr>
      <w:autoSpaceDE w:val="0"/>
      <w:autoSpaceDN w:val="0"/>
      <w:adjustRightInd w:val="0"/>
    </w:pPr>
    <w:rPr>
      <w:color w:val="000000"/>
      <w:sz w:val="24"/>
      <w:szCs w:val="24"/>
    </w:rPr>
  </w:style>
  <w:style w:type="paragraph" w:customStyle="1" w:styleId="contentelement-indentone">
    <w:name w:val="contentelement-indentone"/>
    <w:basedOn w:val="Normal"/>
    <w:rsid w:val="00C368F6"/>
    <w:pPr>
      <w:spacing w:before="0" w:after="120" w:line="360" w:lineRule="auto"/>
      <w:ind w:left="468"/>
    </w:pPr>
    <w:rPr>
      <w:szCs w:val="24"/>
    </w:rPr>
  </w:style>
  <w:style w:type="paragraph" w:styleId="NormalWeb">
    <w:name w:val="Normal (Web)"/>
    <w:basedOn w:val="Normal"/>
    <w:uiPriority w:val="99"/>
    <w:unhideWhenUsed/>
    <w:rsid w:val="001E32D1"/>
    <w:pPr>
      <w:spacing w:before="0" w:after="408" w:line="360" w:lineRule="auto"/>
    </w:pPr>
    <w:rPr>
      <w:szCs w:val="24"/>
    </w:rPr>
  </w:style>
  <w:style w:type="paragraph" w:customStyle="1" w:styleId="DINumberedParagraph">
    <w:name w:val="DI Numbered Paragraph"/>
    <w:basedOn w:val="Normal"/>
    <w:link w:val="DINumberedParagraphChar"/>
    <w:rsid w:val="001E32D1"/>
    <w:pPr>
      <w:numPr>
        <w:numId w:val="4"/>
      </w:numPr>
      <w:tabs>
        <w:tab w:val="left" w:pos="567"/>
      </w:tabs>
      <w:spacing w:before="0" w:after="240"/>
    </w:pPr>
  </w:style>
  <w:style w:type="character" w:customStyle="1" w:styleId="DINumberedParagraphChar">
    <w:name w:val="DI Numbered Paragraph Char"/>
    <w:link w:val="DINumberedParagraph"/>
    <w:rsid w:val="001E32D1"/>
    <w:rPr>
      <w:sz w:val="24"/>
    </w:rPr>
  </w:style>
  <w:style w:type="character" w:customStyle="1" w:styleId="ListParagraphChar">
    <w:name w:val="List Paragraph Char"/>
    <w:aliases w:val="List Paragraph1 Char,Recommendation Char,List Paragraph11 Char"/>
    <w:basedOn w:val="DefaultParagraphFont"/>
    <w:link w:val="ListParagraph"/>
    <w:uiPriority w:val="34"/>
    <w:rsid w:val="006E7CE8"/>
    <w:rPr>
      <w:sz w:val="24"/>
    </w:rPr>
  </w:style>
  <w:style w:type="character" w:customStyle="1" w:styleId="Heading5Char">
    <w:name w:val="Heading 5 Char"/>
    <w:basedOn w:val="DefaultParagraphFont"/>
    <w:link w:val="Heading5"/>
    <w:uiPriority w:val="9"/>
    <w:semiHidden/>
    <w:rsid w:val="00A91A56"/>
    <w:rPr>
      <w:rFonts w:asciiTheme="majorHAnsi" w:eastAsiaTheme="majorEastAsia" w:hAnsiTheme="majorHAnsi" w:cstheme="majorBidi"/>
      <w:color w:val="243F60" w:themeColor="accent1" w:themeShade="7F"/>
      <w:sz w:val="24"/>
    </w:rPr>
  </w:style>
  <w:style w:type="paragraph" w:customStyle="1" w:styleId="contentelement-indenttwo">
    <w:name w:val="contentelement-indenttwo"/>
    <w:basedOn w:val="Normal"/>
    <w:rsid w:val="00B52C26"/>
    <w:pPr>
      <w:spacing w:before="0" w:after="120" w:line="360" w:lineRule="auto"/>
      <w:ind w:left="936"/>
    </w:pPr>
    <w:rPr>
      <w:szCs w:val="24"/>
    </w:rPr>
  </w:style>
  <w:style w:type="paragraph" w:customStyle="1" w:styleId="HB-dotpoint">
    <w:name w:val="HB - dotpoint"/>
    <w:basedOn w:val="Normal"/>
    <w:rsid w:val="00D94DC8"/>
    <w:pPr>
      <w:numPr>
        <w:numId w:val="10"/>
      </w:numPr>
      <w:spacing w:before="180"/>
    </w:pPr>
  </w:style>
  <w:style w:type="paragraph" w:styleId="BodyText">
    <w:name w:val="Body Text"/>
    <w:basedOn w:val="Normal"/>
    <w:link w:val="BodyTextChar"/>
    <w:uiPriority w:val="1"/>
    <w:unhideWhenUsed/>
    <w:rsid w:val="00521D33"/>
    <w:pPr>
      <w:autoSpaceDE w:val="0"/>
      <w:autoSpaceDN w:val="0"/>
      <w:spacing w:before="0"/>
      <w:ind w:left="120"/>
    </w:pPr>
    <w:rPr>
      <w:rFonts w:eastAsiaTheme="minorHAnsi"/>
      <w:sz w:val="26"/>
      <w:szCs w:val="26"/>
    </w:rPr>
  </w:style>
  <w:style w:type="character" w:customStyle="1" w:styleId="BodyTextChar">
    <w:name w:val="Body Text Char"/>
    <w:basedOn w:val="DefaultParagraphFont"/>
    <w:link w:val="BodyText"/>
    <w:uiPriority w:val="1"/>
    <w:rsid w:val="00521D33"/>
    <w:rPr>
      <w:rFonts w:eastAsiaTheme="minorHAnsi"/>
      <w:sz w:val="26"/>
      <w:szCs w:val="26"/>
    </w:rPr>
  </w:style>
  <w:style w:type="character" w:customStyle="1" w:styleId="Heading1Char">
    <w:name w:val="Heading 1 Char"/>
    <w:basedOn w:val="DefaultParagraphFont"/>
    <w:link w:val="Heading1"/>
    <w:uiPriority w:val="9"/>
    <w:rsid w:val="0097510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5108"/>
    <w:rPr>
      <w:rFonts w:asciiTheme="majorHAnsi" w:eastAsiaTheme="majorEastAsia" w:hAnsiTheme="majorHAnsi" w:cstheme="majorBidi"/>
      <w:b/>
      <w:bCs/>
      <w:i/>
      <w:iCs/>
      <w:color w:val="4F81BD" w:themeColor="accent1"/>
      <w:sz w:val="22"/>
      <w:szCs w:val="22"/>
      <w:lang w:eastAsia="en-US"/>
    </w:rPr>
  </w:style>
  <w:style w:type="paragraph" w:styleId="Title">
    <w:name w:val="Title"/>
    <w:basedOn w:val="Normal"/>
    <w:next w:val="Normal"/>
    <w:link w:val="TitleChar"/>
    <w:uiPriority w:val="10"/>
    <w:qFormat/>
    <w:rsid w:val="00975108"/>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975108"/>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975108"/>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975108"/>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975108"/>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975108"/>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975108"/>
    <w:pPr>
      <w:spacing w:before="100" w:beforeAutospacing="1" w:after="100" w:afterAutospacing="1" w:line="280" w:lineRule="exact"/>
      <w:ind w:left="200"/>
    </w:pPr>
    <w:rPr>
      <w:rFonts w:ascii="Arial" w:eastAsiaTheme="minorHAnsi" w:hAnsi="Arial" w:cs="Arial"/>
      <w:sz w:val="20"/>
      <w:lang w:val="en-GB" w:eastAsia="en-US"/>
    </w:rPr>
  </w:style>
  <w:style w:type="paragraph" w:styleId="Caption">
    <w:name w:val="caption"/>
    <w:basedOn w:val="Normal"/>
    <w:next w:val="Normal"/>
    <w:uiPriority w:val="35"/>
    <w:unhideWhenUsed/>
    <w:qFormat/>
    <w:rsid w:val="00975108"/>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975108"/>
  </w:style>
  <w:style w:type="paragraph" w:customStyle="1" w:styleId="DIHeading1">
    <w:name w:val="DI Heading 1"/>
    <w:basedOn w:val="Normal"/>
    <w:rsid w:val="00975108"/>
    <w:pPr>
      <w:spacing w:before="0" w:after="240"/>
    </w:pPr>
    <w:rPr>
      <w:b/>
      <w:caps/>
      <w:szCs w:val="24"/>
    </w:rPr>
  </w:style>
  <w:style w:type="paragraph" w:customStyle="1" w:styleId="paragraph">
    <w:name w:val="paragraph"/>
    <w:aliases w:val="a"/>
    <w:basedOn w:val="Normal"/>
    <w:link w:val="paragraphChar"/>
    <w:rsid w:val="00975108"/>
    <w:pPr>
      <w:tabs>
        <w:tab w:val="right" w:pos="1531"/>
      </w:tabs>
      <w:spacing w:before="40"/>
      <w:ind w:left="1644" w:hanging="1644"/>
    </w:pPr>
    <w:rPr>
      <w:sz w:val="22"/>
    </w:rPr>
  </w:style>
  <w:style w:type="paragraph" w:customStyle="1" w:styleId="BodyText1">
    <w:name w:val="Body Text1"/>
    <w:basedOn w:val="Normal"/>
    <w:qFormat/>
    <w:rsid w:val="00975108"/>
    <w:pPr>
      <w:spacing w:before="0" w:after="200" w:line="260" w:lineRule="exact"/>
    </w:pPr>
    <w:rPr>
      <w:rFonts w:ascii="Cambria" w:hAnsi="Cambria"/>
      <w:sz w:val="22"/>
      <w:szCs w:val="24"/>
      <w:lang w:eastAsia="en-US"/>
    </w:rPr>
  </w:style>
  <w:style w:type="character" w:styleId="Strong">
    <w:name w:val="Strong"/>
    <w:basedOn w:val="DefaultParagraphFont"/>
    <w:uiPriority w:val="22"/>
    <w:qFormat/>
    <w:rsid w:val="00975108"/>
    <w:rPr>
      <w:b/>
      <w:bCs/>
    </w:rPr>
  </w:style>
  <w:style w:type="paragraph" w:customStyle="1" w:styleId="subsection">
    <w:name w:val="subsection"/>
    <w:aliases w:val="ss"/>
    <w:basedOn w:val="Normal"/>
    <w:link w:val="subsectionChar"/>
    <w:rsid w:val="00975108"/>
    <w:pPr>
      <w:tabs>
        <w:tab w:val="right" w:pos="1021"/>
      </w:tabs>
      <w:spacing w:before="180"/>
      <w:ind w:left="1134" w:hanging="1134"/>
    </w:pPr>
    <w:rPr>
      <w:sz w:val="22"/>
    </w:rPr>
  </w:style>
  <w:style w:type="character" w:customStyle="1" w:styleId="paragraphChar">
    <w:name w:val="paragraph Char"/>
    <w:aliases w:val="a Char"/>
    <w:link w:val="paragraph"/>
    <w:rsid w:val="00975108"/>
    <w:rPr>
      <w:sz w:val="22"/>
    </w:rPr>
  </w:style>
  <w:style w:type="character" w:customStyle="1" w:styleId="subsectionChar">
    <w:name w:val="subsection Char"/>
    <w:aliases w:val="ss Char"/>
    <w:link w:val="subsection"/>
    <w:locked/>
    <w:rsid w:val="00975108"/>
    <w:rPr>
      <w:sz w:val="22"/>
    </w:rPr>
  </w:style>
  <w:style w:type="paragraph" w:styleId="NoSpacing">
    <w:name w:val="No Spacing"/>
    <w:uiPriority w:val="1"/>
    <w:qFormat/>
    <w:rsid w:val="00975108"/>
    <w:rPr>
      <w:rFonts w:asciiTheme="minorHAnsi" w:eastAsiaTheme="minorHAnsi" w:hAnsiTheme="minorHAnsi" w:cstheme="minorBidi"/>
      <w:sz w:val="22"/>
      <w:szCs w:val="22"/>
      <w:lang w:eastAsia="en-US"/>
    </w:rPr>
  </w:style>
  <w:style w:type="paragraph" w:customStyle="1" w:styleId="CABNETParagraphAtt">
    <w:name w:val="CABNET Paragraph Att"/>
    <w:basedOn w:val="Normal"/>
    <w:link w:val="CABNETParagraphAttChar"/>
    <w:qFormat/>
    <w:rsid w:val="00975108"/>
    <w:pPr>
      <w:spacing w:before="120" w:after="120"/>
    </w:pPr>
    <w:rPr>
      <w:szCs w:val="24"/>
    </w:rPr>
  </w:style>
  <w:style w:type="character" w:customStyle="1" w:styleId="CABNETParagraphAttChar">
    <w:name w:val="CABNET Paragraph Att Char"/>
    <w:basedOn w:val="DefaultParagraphFont"/>
    <w:link w:val="CABNETParagraphAtt"/>
    <w:rsid w:val="00975108"/>
    <w:rPr>
      <w:sz w:val="24"/>
      <w:szCs w:val="24"/>
    </w:rPr>
  </w:style>
  <w:style w:type="paragraph" w:customStyle="1" w:styleId="CABParaSub">
    <w:name w:val="CAB Para Sub"/>
    <w:basedOn w:val="Normal"/>
    <w:link w:val="CABParaSubChar"/>
    <w:qFormat/>
    <w:rsid w:val="00975108"/>
    <w:pPr>
      <w:tabs>
        <w:tab w:val="left" w:pos="567"/>
      </w:tabs>
      <w:spacing w:before="120" w:after="120"/>
    </w:pPr>
    <w:rPr>
      <w:rFonts w:eastAsia="Calibri"/>
      <w:szCs w:val="24"/>
      <w:lang w:eastAsia="en-US"/>
    </w:rPr>
  </w:style>
  <w:style w:type="character" w:customStyle="1" w:styleId="CABParaSubChar">
    <w:name w:val="CAB Para Sub Char"/>
    <w:basedOn w:val="DefaultParagraphFont"/>
    <w:link w:val="CABParaSub"/>
    <w:rsid w:val="00975108"/>
    <w:rPr>
      <w:rFonts w:eastAsia="Calibri"/>
      <w:sz w:val="24"/>
      <w:szCs w:val="24"/>
      <w:lang w:eastAsia="en-US"/>
    </w:rPr>
  </w:style>
  <w:style w:type="character" w:styleId="FollowedHyperlink">
    <w:name w:val="FollowedHyperlink"/>
    <w:basedOn w:val="DefaultParagraphFont"/>
    <w:uiPriority w:val="99"/>
    <w:semiHidden/>
    <w:unhideWhenUsed/>
    <w:rsid w:val="00975108"/>
    <w:rPr>
      <w:color w:val="800080" w:themeColor="followedHyperlink"/>
      <w:u w:val="single"/>
    </w:rPr>
  </w:style>
  <w:style w:type="character" w:styleId="PageNumber">
    <w:name w:val="page number"/>
    <w:basedOn w:val="DefaultParagraphFont"/>
    <w:rsid w:val="00975108"/>
  </w:style>
  <w:style w:type="paragraph" w:customStyle="1" w:styleId="CharChar1Char">
    <w:name w:val="Char Char1 Char"/>
    <w:basedOn w:val="Normal"/>
    <w:rsid w:val="00975108"/>
    <w:pPr>
      <w:spacing w:before="0" w:after="160" w:line="240" w:lineRule="exact"/>
    </w:pPr>
    <w:rPr>
      <w:rFonts w:ascii="Arial" w:hAnsi="Arial"/>
      <w:sz w:val="22"/>
      <w:lang w:val="en-GB" w:eastAsia="en-US"/>
    </w:rPr>
  </w:style>
  <w:style w:type="paragraph" w:customStyle="1" w:styleId="CharChar">
    <w:name w:val="Char Char"/>
    <w:basedOn w:val="Normal"/>
    <w:rsid w:val="00975108"/>
    <w:pPr>
      <w:spacing w:before="120" w:after="120"/>
    </w:pPr>
    <w:rPr>
      <w:rFonts w:ascii="Arial" w:hAnsi="Arial"/>
      <w:sz w:val="22"/>
      <w:lang w:eastAsia="en-US"/>
    </w:rPr>
  </w:style>
  <w:style w:type="paragraph" w:customStyle="1" w:styleId="A1S">
    <w:name w:val="A1S"/>
    <w:aliases w:val="1.Schedule Amendment"/>
    <w:basedOn w:val="Normal"/>
    <w:next w:val="Normal"/>
    <w:rsid w:val="00975108"/>
    <w:pPr>
      <w:keepNext/>
      <w:spacing w:before="480" w:line="260" w:lineRule="exact"/>
      <w:ind w:left="964" w:hanging="964"/>
    </w:pPr>
    <w:rPr>
      <w:rFonts w:ascii="Arial" w:hAnsi="Arial"/>
      <w:b/>
      <w:szCs w:val="24"/>
      <w:lang w:eastAsia="en-US"/>
    </w:rPr>
  </w:style>
  <w:style w:type="paragraph" w:customStyle="1" w:styleId="TableColHead">
    <w:name w:val="TableColHead"/>
    <w:basedOn w:val="Normal"/>
    <w:rsid w:val="00975108"/>
    <w:pPr>
      <w:keepNext/>
      <w:spacing w:before="120" w:after="60" w:line="200" w:lineRule="exact"/>
    </w:pPr>
    <w:rPr>
      <w:rFonts w:ascii="Arial" w:hAnsi="Arial"/>
      <w:b/>
      <w:sz w:val="18"/>
      <w:szCs w:val="24"/>
      <w:lang w:eastAsia="en-US"/>
    </w:rPr>
  </w:style>
  <w:style w:type="paragraph" w:customStyle="1" w:styleId="TableText">
    <w:name w:val="TableText"/>
    <w:basedOn w:val="Normal"/>
    <w:rsid w:val="00975108"/>
    <w:pPr>
      <w:spacing w:before="60" w:after="60" w:line="240" w:lineRule="exact"/>
    </w:pPr>
    <w:rPr>
      <w:sz w:val="22"/>
      <w:szCs w:val="24"/>
      <w:lang w:eastAsia="en-US"/>
    </w:rPr>
  </w:style>
  <w:style w:type="paragraph" w:customStyle="1" w:styleId="paragraphsub">
    <w:name w:val="paragraphsub"/>
    <w:basedOn w:val="Normal"/>
    <w:rsid w:val="00B425D7"/>
    <w:pPr>
      <w:spacing w:before="100" w:beforeAutospacing="1" w:after="100" w:afterAutospacing="1"/>
    </w:pPr>
    <w:rPr>
      <w:szCs w:val="24"/>
    </w:rPr>
  </w:style>
  <w:style w:type="character" w:customStyle="1" w:styleId="highlight">
    <w:name w:val="highlight"/>
    <w:basedOn w:val="DefaultParagraphFont"/>
    <w:rsid w:val="00B425D7"/>
  </w:style>
  <w:style w:type="paragraph" w:customStyle="1" w:styleId="notedraft">
    <w:name w:val="note(draft)"/>
    <w:aliases w:val="nd"/>
    <w:basedOn w:val="Normal"/>
    <w:rsid w:val="003C1A50"/>
    <w:pPr>
      <w:ind w:left="284" w:hanging="284"/>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9751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445B8"/>
    <w:pPr>
      <w:keepNext/>
      <w:spacing w:after="60"/>
      <w:outlineLvl w:val="1"/>
    </w:pPr>
    <w:rPr>
      <w:rFonts w:ascii="Arial" w:hAnsi="Arial" w:cs="Arial"/>
      <w:b/>
      <w:bCs/>
      <w:i/>
      <w:iCs/>
      <w:sz w:val="28"/>
      <w:szCs w:val="28"/>
    </w:rPr>
  </w:style>
  <w:style w:type="paragraph" w:styleId="Heading4">
    <w:name w:val="heading 4"/>
    <w:basedOn w:val="Normal"/>
    <w:next w:val="Normal"/>
    <w:link w:val="Heading4Char"/>
    <w:uiPriority w:val="9"/>
    <w:unhideWhenUsed/>
    <w:qFormat/>
    <w:rsid w:val="0097510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A91A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925162"/>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
    <w:basedOn w:val="Normal"/>
    <w:link w:val="ListParagraphChar"/>
    <w:uiPriority w:val="34"/>
    <w:qFormat/>
    <w:rsid w:val="00FA2B82"/>
    <w:pPr>
      <w:ind w:left="720"/>
    </w:pPr>
  </w:style>
  <w:style w:type="paragraph" w:styleId="Header">
    <w:name w:val="header"/>
    <w:basedOn w:val="Normal"/>
    <w:link w:val="HeaderChar"/>
    <w:uiPriority w:val="99"/>
    <w:unhideWhenUsed/>
    <w:rsid w:val="007A1709"/>
    <w:pPr>
      <w:tabs>
        <w:tab w:val="center" w:pos="4513"/>
        <w:tab w:val="right" w:pos="9026"/>
      </w:tabs>
      <w:spacing w:before="0"/>
    </w:pPr>
  </w:style>
  <w:style w:type="character" w:customStyle="1" w:styleId="HeaderChar">
    <w:name w:val="Header Char"/>
    <w:basedOn w:val="DefaultParagraphFont"/>
    <w:link w:val="Header"/>
    <w:uiPriority w:val="99"/>
    <w:rsid w:val="007A1709"/>
    <w:rPr>
      <w:sz w:val="24"/>
    </w:rPr>
  </w:style>
  <w:style w:type="paragraph" w:styleId="Footer">
    <w:name w:val="footer"/>
    <w:basedOn w:val="Normal"/>
    <w:link w:val="FooterChar"/>
    <w:unhideWhenUsed/>
    <w:rsid w:val="007A1709"/>
    <w:pPr>
      <w:tabs>
        <w:tab w:val="center" w:pos="4513"/>
        <w:tab w:val="right" w:pos="9026"/>
      </w:tabs>
      <w:spacing w:before="0"/>
    </w:pPr>
  </w:style>
  <w:style w:type="character" w:customStyle="1" w:styleId="FooterChar">
    <w:name w:val="Footer Char"/>
    <w:basedOn w:val="DefaultParagraphFont"/>
    <w:link w:val="Footer"/>
    <w:uiPriority w:val="99"/>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355AD"/>
    <w:rPr>
      <w:strike w:val="0"/>
      <w:dstrike w:val="0"/>
      <w:color w:val="0072BC"/>
      <w:u w:val="none"/>
      <w:effect w:val="none"/>
    </w:rPr>
  </w:style>
  <w:style w:type="paragraph" w:customStyle="1" w:styleId="Default">
    <w:name w:val="Default"/>
    <w:rsid w:val="006355AD"/>
    <w:pPr>
      <w:autoSpaceDE w:val="0"/>
      <w:autoSpaceDN w:val="0"/>
      <w:adjustRightInd w:val="0"/>
    </w:pPr>
    <w:rPr>
      <w:color w:val="000000"/>
      <w:sz w:val="24"/>
      <w:szCs w:val="24"/>
    </w:rPr>
  </w:style>
  <w:style w:type="paragraph" w:customStyle="1" w:styleId="contentelement-indentone">
    <w:name w:val="contentelement-indentone"/>
    <w:basedOn w:val="Normal"/>
    <w:rsid w:val="00C368F6"/>
    <w:pPr>
      <w:spacing w:before="0" w:after="120" w:line="360" w:lineRule="auto"/>
      <w:ind w:left="468"/>
    </w:pPr>
    <w:rPr>
      <w:szCs w:val="24"/>
    </w:rPr>
  </w:style>
  <w:style w:type="paragraph" w:styleId="NormalWeb">
    <w:name w:val="Normal (Web)"/>
    <w:basedOn w:val="Normal"/>
    <w:uiPriority w:val="99"/>
    <w:unhideWhenUsed/>
    <w:rsid w:val="001E32D1"/>
    <w:pPr>
      <w:spacing w:before="0" w:after="408" w:line="360" w:lineRule="auto"/>
    </w:pPr>
    <w:rPr>
      <w:szCs w:val="24"/>
    </w:rPr>
  </w:style>
  <w:style w:type="paragraph" w:customStyle="1" w:styleId="DINumberedParagraph">
    <w:name w:val="DI Numbered Paragraph"/>
    <w:basedOn w:val="Normal"/>
    <w:link w:val="DINumberedParagraphChar"/>
    <w:rsid w:val="001E32D1"/>
    <w:pPr>
      <w:numPr>
        <w:numId w:val="4"/>
      </w:numPr>
      <w:tabs>
        <w:tab w:val="left" w:pos="567"/>
      </w:tabs>
      <w:spacing w:before="0" w:after="240"/>
    </w:pPr>
  </w:style>
  <w:style w:type="character" w:customStyle="1" w:styleId="DINumberedParagraphChar">
    <w:name w:val="DI Numbered Paragraph Char"/>
    <w:link w:val="DINumberedParagraph"/>
    <w:rsid w:val="001E32D1"/>
    <w:rPr>
      <w:sz w:val="24"/>
    </w:rPr>
  </w:style>
  <w:style w:type="character" w:customStyle="1" w:styleId="ListParagraphChar">
    <w:name w:val="List Paragraph Char"/>
    <w:aliases w:val="List Paragraph1 Char,Recommendation Char,List Paragraph11 Char"/>
    <w:basedOn w:val="DefaultParagraphFont"/>
    <w:link w:val="ListParagraph"/>
    <w:uiPriority w:val="34"/>
    <w:rsid w:val="006E7CE8"/>
    <w:rPr>
      <w:sz w:val="24"/>
    </w:rPr>
  </w:style>
  <w:style w:type="character" w:customStyle="1" w:styleId="Heading5Char">
    <w:name w:val="Heading 5 Char"/>
    <w:basedOn w:val="DefaultParagraphFont"/>
    <w:link w:val="Heading5"/>
    <w:uiPriority w:val="9"/>
    <w:semiHidden/>
    <w:rsid w:val="00A91A56"/>
    <w:rPr>
      <w:rFonts w:asciiTheme="majorHAnsi" w:eastAsiaTheme="majorEastAsia" w:hAnsiTheme="majorHAnsi" w:cstheme="majorBidi"/>
      <w:color w:val="243F60" w:themeColor="accent1" w:themeShade="7F"/>
      <w:sz w:val="24"/>
    </w:rPr>
  </w:style>
  <w:style w:type="paragraph" w:customStyle="1" w:styleId="contentelement-indenttwo">
    <w:name w:val="contentelement-indenttwo"/>
    <w:basedOn w:val="Normal"/>
    <w:rsid w:val="00B52C26"/>
    <w:pPr>
      <w:spacing w:before="0" w:after="120" w:line="360" w:lineRule="auto"/>
      <w:ind w:left="936"/>
    </w:pPr>
    <w:rPr>
      <w:szCs w:val="24"/>
    </w:rPr>
  </w:style>
  <w:style w:type="paragraph" w:customStyle="1" w:styleId="HB-dotpoint">
    <w:name w:val="HB - dotpoint"/>
    <w:basedOn w:val="Normal"/>
    <w:rsid w:val="00D94DC8"/>
    <w:pPr>
      <w:numPr>
        <w:numId w:val="10"/>
      </w:numPr>
      <w:spacing w:before="180"/>
    </w:pPr>
  </w:style>
  <w:style w:type="paragraph" w:styleId="BodyText">
    <w:name w:val="Body Text"/>
    <w:basedOn w:val="Normal"/>
    <w:link w:val="BodyTextChar"/>
    <w:uiPriority w:val="1"/>
    <w:unhideWhenUsed/>
    <w:rsid w:val="00521D33"/>
    <w:pPr>
      <w:autoSpaceDE w:val="0"/>
      <w:autoSpaceDN w:val="0"/>
      <w:spacing w:before="0"/>
      <w:ind w:left="120"/>
    </w:pPr>
    <w:rPr>
      <w:rFonts w:eastAsiaTheme="minorHAnsi"/>
      <w:sz w:val="26"/>
      <w:szCs w:val="26"/>
    </w:rPr>
  </w:style>
  <w:style w:type="character" w:customStyle="1" w:styleId="BodyTextChar">
    <w:name w:val="Body Text Char"/>
    <w:basedOn w:val="DefaultParagraphFont"/>
    <w:link w:val="BodyText"/>
    <w:uiPriority w:val="1"/>
    <w:rsid w:val="00521D33"/>
    <w:rPr>
      <w:rFonts w:eastAsiaTheme="minorHAnsi"/>
      <w:sz w:val="26"/>
      <w:szCs w:val="26"/>
    </w:rPr>
  </w:style>
  <w:style w:type="character" w:customStyle="1" w:styleId="Heading1Char">
    <w:name w:val="Heading 1 Char"/>
    <w:basedOn w:val="DefaultParagraphFont"/>
    <w:link w:val="Heading1"/>
    <w:uiPriority w:val="9"/>
    <w:rsid w:val="00975108"/>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975108"/>
    <w:rPr>
      <w:rFonts w:asciiTheme="majorHAnsi" w:eastAsiaTheme="majorEastAsia" w:hAnsiTheme="majorHAnsi" w:cstheme="majorBidi"/>
      <w:b/>
      <w:bCs/>
      <w:i/>
      <w:iCs/>
      <w:color w:val="4F81BD" w:themeColor="accent1"/>
      <w:sz w:val="22"/>
      <w:szCs w:val="22"/>
      <w:lang w:eastAsia="en-US"/>
    </w:rPr>
  </w:style>
  <w:style w:type="paragraph" w:styleId="Title">
    <w:name w:val="Title"/>
    <w:basedOn w:val="Normal"/>
    <w:next w:val="Normal"/>
    <w:link w:val="TitleChar"/>
    <w:uiPriority w:val="10"/>
    <w:qFormat/>
    <w:rsid w:val="00975108"/>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975108"/>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975108"/>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975108"/>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975108"/>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975108"/>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975108"/>
    <w:pPr>
      <w:spacing w:before="100" w:beforeAutospacing="1" w:after="100" w:afterAutospacing="1" w:line="280" w:lineRule="exact"/>
      <w:ind w:left="200"/>
    </w:pPr>
    <w:rPr>
      <w:rFonts w:ascii="Arial" w:eastAsiaTheme="minorHAnsi" w:hAnsi="Arial" w:cs="Arial"/>
      <w:sz w:val="20"/>
      <w:lang w:val="en-GB" w:eastAsia="en-US"/>
    </w:rPr>
  </w:style>
  <w:style w:type="paragraph" w:styleId="Caption">
    <w:name w:val="caption"/>
    <w:basedOn w:val="Normal"/>
    <w:next w:val="Normal"/>
    <w:uiPriority w:val="35"/>
    <w:unhideWhenUsed/>
    <w:qFormat/>
    <w:rsid w:val="00975108"/>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975108"/>
  </w:style>
  <w:style w:type="paragraph" w:customStyle="1" w:styleId="DIHeading1">
    <w:name w:val="DI Heading 1"/>
    <w:basedOn w:val="Normal"/>
    <w:rsid w:val="00975108"/>
    <w:pPr>
      <w:spacing w:before="0" w:after="240"/>
    </w:pPr>
    <w:rPr>
      <w:b/>
      <w:caps/>
      <w:szCs w:val="24"/>
    </w:rPr>
  </w:style>
  <w:style w:type="paragraph" w:customStyle="1" w:styleId="paragraph">
    <w:name w:val="paragraph"/>
    <w:aliases w:val="a"/>
    <w:basedOn w:val="Normal"/>
    <w:link w:val="paragraphChar"/>
    <w:rsid w:val="00975108"/>
    <w:pPr>
      <w:tabs>
        <w:tab w:val="right" w:pos="1531"/>
      </w:tabs>
      <w:spacing w:before="40"/>
      <w:ind w:left="1644" w:hanging="1644"/>
    </w:pPr>
    <w:rPr>
      <w:sz w:val="22"/>
    </w:rPr>
  </w:style>
  <w:style w:type="paragraph" w:customStyle="1" w:styleId="BodyText1">
    <w:name w:val="Body Text1"/>
    <w:basedOn w:val="Normal"/>
    <w:qFormat/>
    <w:rsid w:val="00975108"/>
    <w:pPr>
      <w:spacing w:before="0" w:after="200" w:line="260" w:lineRule="exact"/>
    </w:pPr>
    <w:rPr>
      <w:rFonts w:ascii="Cambria" w:hAnsi="Cambria"/>
      <w:sz w:val="22"/>
      <w:szCs w:val="24"/>
      <w:lang w:eastAsia="en-US"/>
    </w:rPr>
  </w:style>
  <w:style w:type="character" w:styleId="Strong">
    <w:name w:val="Strong"/>
    <w:basedOn w:val="DefaultParagraphFont"/>
    <w:uiPriority w:val="22"/>
    <w:qFormat/>
    <w:rsid w:val="00975108"/>
    <w:rPr>
      <w:b/>
      <w:bCs/>
    </w:rPr>
  </w:style>
  <w:style w:type="paragraph" w:customStyle="1" w:styleId="subsection">
    <w:name w:val="subsection"/>
    <w:aliases w:val="ss"/>
    <w:basedOn w:val="Normal"/>
    <w:link w:val="subsectionChar"/>
    <w:rsid w:val="00975108"/>
    <w:pPr>
      <w:tabs>
        <w:tab w:val="right" w:pos="1021"/>
      </w:tabs>
      <w:spacing w:before="180"/>
      <w:ind w:left="1134" w:hanging="1134"/>
    </w:pPr>
    <w:rPr>
      <w:sz w:val="22"/>
    </w:rPr>
  </w:style>
  <w:style w:type="character" w:customStyle="1" w:styleId="paragraphChar">
    <w:name w:val="paragraph Char"/>
    <w:aliases w:val="a Char"/>
    <w:link w:val="paragraph"/>
    <w:rsid w:val="00975108"/>
    <w:rPr>
      <w:sz w:val="22"/>
    </w:rPr>
  </w:style>
  <w:style w:type="character" w:customStyle="1" w:styleId="subsectionChar">
    <w:name w:val="subsection Char"/>
    <w:aliases w:val="ss Char"/>
    <w:link w:val="subsection"/>
    <w:locked/>
    <w:rsid w:val="00975108"/>
    <w:rPr>
      <w:sz w:val="22"/>
    </w:rPr>
  </w:style>
  <w:style w:type="paragraph" w:styleId="NoSpacing">
    <w:name w:val="No Spacing"/>
    <w:uiPriority w:val="1"/>
    <w:qFormat/>
    <w:rsid w:val="00975108"/>
    <w:rPr>
      <w:rFonts w:asciiTheme="minorHAnsi" w:eastAsiaTheme="minorHAnsi" w:hAnsiTheme="minorHAnsi" w:cstheme="minorBidi"/>
      <w:sz w:val="22"/>
      <w:szCs w:val="22"/>
      <w:lang w:eastAsia="en-US"/>
    </w:rPr>
  </w:style>
  <w:style w:type="paragraph" w:customStyle="1" w:styleId="CABNETParagraphAtt">
    <w:name w:val="CABNET Paragraph Att"/>
    <w:basedOn w:val="Normal"/>
    <w:link w:val="CABNETParagraphAttChar"/>
    <w:qFormat/>
    <w:rsid w:val="00975108"/>
    <w:pPr>
      <w:spacing w:before="120" w:after="120"/>
    </w:pPr>
    <w:rPr>
      <w:szCs w:val="24"/>
    </w:rPr>
  </w:style>
  <w:style w:type="character" w:customStyle="1" w:styleId="CABNETParagraphAttChar">
    <w:name w:val="CABNET Paragraph Att Char"/>
    <w:basedOn w:val="DefaultParagraphFont"/>
    <w:link w:val="CABNETParagraphAtt"/>
    <w:rsid w:val="00975108"/>
    <w:rPr>
      <w:sz w:val="24"/>
      <w:szCs w:val="24"/>
    </w:rPr>
  </w:style>
  <w:style w:type="paragraph" w:customStyle="1" w:styleId="CABParaSub">
    <w:name w:val="CAB Para Sub"/>
    <w:basedOn w:val="Normal"/>
    <w:link w:val="CABParaSubChar"/>
    <w:qFormat/>
    <w:rsid w:val="00975108"/>
    <w:pPr>
      <w:tabs>
        <w:tab w:val="left" w:pos="567"/>
      </w:tabs>
      <w:spacing w:before="120" w:after="120"/>
    </w:pPr>
    <w:rPr>
      <w:rFonts w:eastAsia="Calibri"/>
      <w:szCs w:val="24"/>
      <w:lang w:eastAsia="en-US"/>
    </w:rPr>
  </w:style>
  <w:style w:type="character" w:customStyle="1" w:styleId="CABParaSubChar">
    <w:name w:val="CAB Para Sub Char"/>
    <w:basedOn w:val="DefaultParagraphFont"/>
    <w:link w:val="CABParaSub"/>
    <w:rsid w:val="00975108"/>
    <w:rPr>
      <w:rFonts w:eastAsia="Calibri"/>
      <w:sz w:val="24"/>
      <w:szCs w:val="24"/>
      <w:lang w:eastAsia="en-US"/>
    </w:rPr>
  </w:style>
  <w:style w:type="character" w:styleId="FollowedHyperlink">
    <w:name w:val="FollowedHyperlink"/>
    <w:basedOn w:val="DefaultParagraphFont"/>
    <w:uiPriority w:val="99"/>
    <w:semiHidden/>
    <w:unhideWhenUsed/>
    <w:rsid w:val="00975108"/>
    <w:rPr>
      <w:color w:val="800080" w:themeColor="followedHyperlink"/>
      <w:u w:val="single"/>
    </w:rPr>
  </w:style>
  <w:style w:type="character" w:styleId="PageNumber">
    <w:name w:val="page number"/>
    <w:basedOn w:val="DefaultParagraphFont"/>
    <w:rsid w:val="00975108"/>
  </w:style>
  <w:style w:type="paragraph" w:customStyle="1" w:styleId="CharChar1Char">
    <w:name w:val="Char Char1 Char"/>
    <w:basedOn w:val="Normal"/>
    <w:rsid w:val="00975108"/>
    <w:pPr>
      <w:spacing w:before="0" w:after="160" w:line="240" w:lineRule="exact"/>
    </w:pPr>
    <w:rPr>
      <w:rFonts w:ascii="Arial" w:hAnsi="Arial"/>
      <w:sz w:val="22"/>
      <w:lang w:val="en-GB" w:eastAsia="en-US"/>
    </w:rPr>
  </w:style>
  <w:style w:type="paragraph" w:customStyle="1" w:styleId="CharChar">
    <w:name w:val="Char Char"/>
    <w:basedOn w:val="Normal"/>
    <w:rsid w:val="00975108"/>
    <w:pPr>
      <w:spacing w:before="120" w:after="120"/>
    </w:pPr>
    <w:rPr>
      <w:rFonts w:ascii="Arial" w:hAnsi="Arial"/>
      <w:sz w:val="22"/>
      <w:lang w:eastAsia="en-US"/>
    </w:rPr>
  </w:style>
  <w:style w:type="paragraph" w:customStyle="1" w:styleId="A1S">
    <w:name w:val="A1S"/>
    <w:aliases w:val="1.Schedule Amendment"/>
    <w:basedOn w:val="Normal"/>
    <w:next w:val="Normal"/>
    <w:rsid w:val="00975108"/>
    <w:pPr>
      <w:keepNext/>
      <w:spacing w:before="480" w:line="260" w:lineRule="exact"/>
      <w:ind w:left="964" w:hanging="964"/>
    </w:pPr>
    <w:rPr>
      <w:rFonts w:ascii="Arial" w:hAnsi="Arial"/>
      <w:b/>
      <w:szCs w:val="24"/>
      <w:lang w:eastAsia="en-US"/>
    </w:rPr>
  </w:style>
  <w:style w:type="paragraph" w:customStyle="1" w:styleId="TableColHead">
    <w:name w:val="TableColHead"/>
    <w:basedOn w:val="Normal"/>
    <w:rsid w:val="00975108"/>
    <w:pPr>
      <w:keepNext/>
      <w:spacing w:before="120" w:after="60" w:line="200" w:lineRule="exact"/>
    </w:pPr>
    <w:rPr>
      <w:rFonts w:ascii="Arial" w:hAnsi="Arial"/>
      <w:b/>
      <w:sz w:val="18"/>
      <w:szCs w:val="24"/>
      <w:lang w:eastAsia="en-US"/>
    </w:rPr>
  </w:style>
  <w:style w:type="paragraph" w:customStyle="1" w:styleId="TableText">
    <w:name w:val="TableText"/>
    <w:basedOn w:val="Normal"/>
    <w:rsid w:val="00975108"/>
    <w:pPr>
      <w:spacing w:before="60" w:after="60" w:line="240" w:lineRule="exact"/>
    </w:pPr>
    <w:rPr>
      <w:sz w:val="22"/>
      <w:szCs w:val="24"/>
      <w:lang w:eastAsia="en-US"/>
    </w:rPr>
  </w:style>
  <w:style w:type="paragraph" w:customStyle="1" w:styleId="paragraphsub">
    <w:name w:val="paragraphsub"/>
    <w:basedOn w:val="Normal"/>
    <w:rsid w:val="00B425D7"/>
    <w:pPr>
      <w:spacing w:before="100" w:beforeAutospacing="1" w:after="100" w:afterAutospacing="1"/>
    </w:pPr>
    <w:rPr>
      <w:szCs w:val="24"/>
    </w:rPr>
  </w:style>
  <w:style w:type="character" w:customStyle="1" w:styleId="highlight">
    <w:name w:val="highlight"/>
    <w:basedOn w:val="DefaultParagraphFont"/>
    <w:rsid w:val="00B425D7"/>
  </w:style>
  <w:style w:type="paragraph" w:customStyle="1" w:styleId="notedraft">
    <w:name w:val="note(draft)"/>
    <w:aliases w:val="nd"/>
    <w:basedOn w:val="Normal"/>
    <w:rsid w:val="003C1A50"/>
    <w:pPr>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3523">
      <w:bodyDiv w:val="1"/>
      <w:marLeft w:val="0"/>
      <w:marRight w:val="0"/>
      <w:marTop w:val="0"/>
      <w:marBottom w:val="0"/>
      <w:divBdr>
        <w:top w:val="none" w:sz="0" w:space="0" w:color="auto"/>
        <w:left w:val="none" w:sz="0" w:space="0" w:color="auto"/>
        <w:bottom w:val="none" w:sz="0" w:space="0" w:color="auto"/>
        <w:right w:val="none" w:sz="0" w:space="0" w:color="auto"/>
      </w:divBdr>
    </w:div>
    <w:div w:id="234826434">
      <w:bodyDiv w:val="1"/>
      <w:marLeft w:val="0"/>
      <w:marRight w:val="0"/>
      <w:marTop w:val="0"/>
      <w:marBottom w:val="0"/>
      <w:divBdr>
        <w:top w:val="none" w:sz="0" w:space="0" w:color="auto"/>
        <w:left w:val="none" w:sz="0" w:space="0" w:color="auto"/>
        <w:bottom w:val="none" w:sz="0" w:space="0" w:color="auto"/>
        <w:right w:val="none" w:sz="0" w:space="0" w:color="auto"/>
      </w:divBdr>
    </w:div>
    <w:div w:id="326444813">
      <w:bodyDiv w:val="1"/>
      <w:marLeft w:val="0"/>
      <w:marRight w:val="0"/>
      <w:marTop w:val="0"/>
      <w:marBottom w:val="0"/>
      <w:divBdr>
        <w:top w:val="none" w:sz="0" w:space="0" w:color="auto"/>
        <w:left w:val="none" w:sz="0" w:space="0" w:color="auto"/>
        <w:bottom w:val="none" w:sz="0" w:space="0" w:color="auto"/>
        <w:right w:val="none" w:sz="0" w:space="0" w:color="auto"/>
      </w:divBdr>
    </w:div>
    <w:div w:id="351735586">
      <w:bodyDiv w:val="1"/>
      <w:marLeft w:val="0"/>
      <w:marRight w:val="0"/>
      <w:marTop w:val="0"/>
      <w:marBottom w:val="0"/>
      <w:divBdr>
        <w:top w:val="none" w:sz="0" w:space="0" w:color="auto"/>
        <w:left w:val="none" w:sz="0" w:space="0" w:color="auto"/>
        <w:bottom w:val="none" w:sz="0" w:space="0" w:color="auto"/>
        <w:right w:val="none" w:sz="0" w:space="0" w:color="auto"/>
      </w:divBdr>
    </w:div>
    <w:div w:id="412969495">
      <w:bodyDiv w:val="1"/>
      <w:marLeft w:val="0"/>
      <w:marRight w:val="0"/>
      <w:marTop w:val="0"/>
      <w:marBottom w:val="0"/>
      <w:divBdr>
        <w:top w:val="none" w:sz="0" w:space="0" w:color="auto"/>
        <w:left w:val="none" w:sz="0" w:space="0" w:color="auto"/>
        <w:bottom w:val="none" w:sz="0" w:space="0" w:color="auto"/>
        <w:right w:val="none" w:sz="0" w:space="0" w:color="auto"/>
      </w:divBdr>
    </w:div>
    <w:div w:id="416709505">
      <w:bodyDiv w:val="1"/>
      <w:marLeft w:val="0"/>
      <w:marRight w:val="0"/>
      <w:marTop w:val="0"/>
      <w:marBottom w:val="0"/>
      <w:divBdr>
        <w:top w:val="none" w:sz="0" w:space="0" w:color="auto"/>
        <w:left w:val="none" w:sz="0" w:space="0" w:color="auto"/>
        <w:bottom w:val="none" w:sz="0" w:space="0" w:color="auto"/>
        <w:right w:val="none" w:sz="0" w:space="0" w:color="auto"/>
      </w:divBdr>
      <w:divsChild>
        <w:div w:id="30810972">
          <w:marLeft w:val="0"/>
          <w:marRight w:val="0"/>
          <w:marTop w:val="0"/>
          <w:marBottom w:val="0"/>
          <w:divBdr>
            <w:top w:val="none" w:sz="0" w:space="0" w:color="auto"/>
            <w:left w:val="none" w:sz="0" w:space="0" w:color="auto"/>
            <w:bottom w:val="none" w:sz="0" w:space="0" w:color="auto"/>
            <w:right w:val="none" w:sz="0" w:space="0" w:color="auto"/>
          </w:divBdr>
          <w:divsChild>
            <w:div w:id="1152064147">
              <w:marLeft w:val="0"/>
              <w:marRight w:val="0"/>
              <w:marTop w:val="0"/>
              <w:marBottom w:val="0"/>
              <w:divBdr>
                <w:top w:val="none" w:sz="0" w:space="0" w:color="auto"/>
                <w:left w:val="none" w:sz="0" w:space="0" w:color="auto"/>
                <w:bottom w:val="none" w:sz="0" w:space="0" w:color="auto"/>
                <w:right w:val="none" w:sz="0" w:space="0" w:color="auto"/>
              </w:divBdr>
              <w:divsChild>
                <w:div w:id="132019203">
                  <w:marLeft w:val="0"/>
                  <w:marRight w:val="0"/>
                  <w:marTop w:val="0"/>
                  <w:marBottom w:val="0"/>
                  <w:divBdr>
                    <w:top w:val="none" w:sz="0" w:space="0" w:color="auto"/>
                    <w:left w:val="none" w:sz="0" w:space="0" w:color="auto"/>
                    <w:bottom w:val="none" w:sz="0" w:space="0" w:color="auto"/>
                    <w:right w:val="none" w:sz="0" w:space="0" w:color="auto"/>
                  </w:divBdr>
                  <w:divsChild>
                    <w:div w:id="1887175707">
                      <w:marLeft w:val="0"/>
                      <w:marRight w:val="0"/>
                      <w:marTop w:val="0"/>
                      <w:marBottom w:val="0"/>
                      <w:divBdr>
                        <w:top w:val="none" w:sz="0" w:space="0" w:color="auto"/>
                        <w:left w:val="none" w:sz="0" w:space="0" w:color="auto"/>
                        <w:bottom w:val="none" w:sz="0" w:space="0" w:color="auto"/>
                        <w:right w:val="none" w:sz="0" w:space="0" w:color="auto"/>
                      </w:divBdr>
                      <w:divsChild>
                        <w:div w:id="1555970035">
                          <w:marLeft w:val="0"/>
                          <w:marRight w:val="0"/>
                          <w:marTop w:val="0"/>
                          <w:marBottom w:val="0"/>
                          <w:divBdr>
                            <w:top w:val="none" w:sz="0" w:space="0" w:color="auto"/>
                            <w:left w:val="none" w:sz="0" w:space="0" w:color="auto"/>
                            <w:bottom w:val="none" w:sz="0" w:space="0" w:color="auto"/>
                            <w:right w:val="none" w:sz="0" w:space="0" w:color="auto"/>
                          </w:divBdr>
                          <w:divsChild>
                            <w:div w:id="726952009">
                              <w:marLeft w:val="0"/>
                              <w:marRight w:val="0"/>
                              <w:marTop w:val="0"/>
                              <w:marBottom w:val="0"/>
                              <w:divBdr>
                                <w:top w:val="none" w:sz="0" w:space="0" w:color="auto"/>
                                <w:left w:val="none" w:sz="0" w:space="0" w:color="auto"/>
                                <w:bottom w:val="none" w:sz="0" w:space="0" w:color="auto"/>
                                <w:right w:val="none" w:sz="0" w:space="0" w:color="auto"/>
                              </w:divBdr>
                              <w:divsChild>
                                <w:div w:id="73941121">
                                  <w:marLeft w:val="0"/>
                                  <w:marRight w:val="0"/>
                                  <w:marTop w:val="0"/>
                                  <w:marBottom w:val="0"/>
                                  <w:divBdr>
                                    <w:top w:val="none" w:sz="0" w:space="0" w:color="auto"/>
                                    <w:left w:val="none" w:sz="0" w:space="0" w:color="auto"/>
                                    <w:bottom w:val="none" w:sz="0" w:space="0" w:color="auto"/>
                                    <w:right w:val="none" w:sz="0" w:space="0" w:color="auto"/>
                                  </w:divBdr>
                                  <w:divsChild>
                                    <w:div w:id="137650533">
                                      <w:marLeft w:val="0"/>
                                      <w:marRight w:val="0"/>
                                      <w:marTop w:val="0"/>
                                      <w:marBottom w:val="0"/>
                                      <w:divBdr>
                                        <w:top w:val="none" w:sz="0" w:space="0" w:color="auto"/>
                                        <w:left w:val="none" w:sz="0" w:space="0" w:color="auto"/>
                                        <w:bottom w:val="none" w:sz="0" w:space="0" w:color="auto"/>
                                        <w:right w:val="none" w:sz="0" w:space="0" w:color="auto"/>
                                      </w:divBdr>
                                      <w:divsChild>
                                        <w:div w:id="574361201">
                                          <w:marLeft w:val="0"/>
                                          <w:marRight w:val="0"/>
                                          <w:marTop w:val="0"/>
                                          <w:marBottom w:val="0"/>
                                          <w:divBdr>
                                            <w:top w:val="none" w:sz="0" w:space="0" w:color="auto"/>
                                            <w:left w:val="none" w:sz="0" w:space="0" w:color="auto"/>
                                            <w:bottom w:val="none" w:sz="0" w:space="0" w:color="auto"/>
                                            <w:right w:val="none" w:sz="0" w:space="0" w:color="auto"/>
                                          </w:divBdr>
                                          <w:divsChild>
                                            <w:div w:id="1204170876">
                                              <w:marLeft w:val="0"/>
                                              <w:marRight w:val="135"/>
                                              <w:marTop w:val="180"/>
                                              <w:marBottom w:val="0"/>
                                              <w:divBdr>
                                                <w:top w:val="single" w:sz="6" w:space="0" w:color="9E9E9E"/>
                                                <w:left w:val="single" w:sz="6" w:space="0" w:color="9E9E9E"/>
                                                <w:bottom w:val="single" w:sz="6" w:space="0" w:color="9E9E9E"/>
                                                <w:right w:val="single" w:sz="6" w:space="0" w:color="9E9E9E"/>
                                              </w:divBdr>
                                              <w:divsChild>
                                                <w:div w:id="1597514646">
                                                  <w:marLeft w:val="0"/>
                                                  <w:marRight w:val="0"/>
                                                  <w:marTop w:val="0"/>
                                                  <w:marBottom w:val="0"/>
                                                  <w:divBdr>
                                                    <w:top w:val="single" w:sz="6" w:space="0" w:color="9E9E9E"/>
                                                    <w:left w:val="single" w:sz="6" w:space="0" w:color="9E9E9E"/>
                                                    <w:bottom w:val="single" w:sz="6" w:space="0" w:color="9E9E9E"/>
                                                    <w:right w:val="single" w:sz="6" w:space="0" w:color="9E9E9E"/>
                                                  </w:divBdr>
                                                  <w:divsChild>
                                                    <w:div w:id="167872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405054">
      <w:bodyDiv w:val="1"/>
      <w:marLeft w:val="0"/>
      <w:marRight w:val="0"/>
      <w:marTop w:val="0"/>
      <w:marBottom w:val="0"/>
      <w:divBdr>
        <w:top w:val="none" w:sz="0" w:space="0" w:color="auto"/>
        <w:left w:val="none" w:sz="0" w:space="0" w:color="auto"/>
        <w:bottom w:val="none" w:sz="0" w:space="0" w:color="auto"/>
        <w:right w:val="none" w:sz="0" w:space="0" w:color="auto"/>
      </w:divBdr>
    </w:div>
    <w:div w:id="491988365">
      <w:bodyDiv w:val="1"/>
      <w:marLeft w:val="0"/>
      <w:marRight w:val="0"/>
      <w:marTop w:val="0"/>
      <w:marBottom w:val="0"/>
      <w:divBdr>
        <w:top w:val="none" w:sz="0" w:space="0" w:color="auto"/>
        <w:left w:val="none" w:sz="0" w:space="0" w:color="auto"/>
        <w:bottom w:val="none" w:sz="0" w:space="0" w:color="auto"/>
        <w:right w:val="none" w:sz="0" w:space="0" w:color="auto"/>
      </w:divBdr>
    </w:div>
    <w:div w:id="531916370">
      <w:bodyDiv w:val="1"/>
      <w:marLeft w:val="0"/>
      <w:marRight w:val="0"/>
      <w:marTop w:val="0"/>
      <w:marBottom w:val="0"/>
      <w:divBdr>
        <w:top w:val="none" w:sz="0" w:space="0" w:color="auto"/>
        <w:left w:val="none" w:sz="0" w:space="0" w:color="auto"/>
        <w:bottom w:val="none" w:sz="0" w:space="0" w:color="auto"/>
        <w:right w:val="none" w:sz="0" w:space="0" w:color="auto"/>
      </w:divBdr>
      <w:divsChild>
        <w:div w:id="1624386947">
          <w:marLeft w:val="0"/>
          <w:marRight w:val="0"/>
          <w:marTop w:val="0"/>
          <w:marBottom w:val="0"/>
          <w:divBdr>
            <w:top w:val="none" w:sz="0" w:space="0" w:color="auto"/>
            <w:left w:val="none" w:sz="0" w:space="0" w:color="auto"/>
            <w:bottom w:val="none" w:sz="0" w:space="0" w:color="auto"/>
            <w:right w:val="none" w:sz="0" w:space="0" w:color="auto"/>
          </w:divBdr>
          <w:divsChild>
            <w:div w:id="557401779">
              <w:marLeft w:val="0"/>
              <w:marRight w:val="0"/>
              <w:marTop w:val="0"/>
              <w:marBottom w:val="0"/>
              <w:divBdr>
                <w:top w:val="none" w:sz="0" w:space="0" w:color="auto"/>
                <w:left w:val="none" w:sz="0" w:space="0" w:color="auto"/>
                <w:bottom w:val="none" w:sz="0" w:space="0" w:color="auto"/>
                <w:right w:val="none" w:sz="0" w:space="0" w:color="auto"/>
              </w:divBdr>
              <w:divsChild>
                <w:div w:id="493180017">
                  <w:marLeft w:val="0"/>
                  <w:marRight w:val="0"/>
                  <w:marTop w:val="0"/>
                  <w:marBottom w:val="0"/>
                  <w:divBdr>
                    <w:top w:val="none" w:sz="0" w:space="0" w:color="auto"/>
                    <w:left w:val="none" w:sz="0" w:space="0" w:color="auto"/>
                    <w:bottom w:val="none" w:sz="0" w:space="0" w:color="auto"/>
                    <w:right w:val="none" w:sz="0" w:space="0" w:color="auto"/>
                  </w:divBdr>
                  <w:divsChild>
                    <w:div w:id="231089869">
                      <w:marLeft w:val="0"/>
                      <w:marRight w:val="0"/>
                      <w:marTop w:val="0"/>
                      <w:marBottom w:val="0"/>
                      <w:divBdr>
                        <w:top w:val="none" w:sz="0" w:space="0" w:color="auto"/>
                        <w:left w:val="none" w:sz="0" w:space="0" w:color="auto"/>
                        <w:bottom w:val="none" w:sz="0" w:space="0" w:color="auto"/>
                        <w:right w:val="none" w:sz="0" w:space="0" w:color="auto"/>
                      </w:divBdr>
                      <w:divsChild>
                        <w:div w:id="1527601926">
                          <w:marLeft w:val="0"/>
                          <w:marRight w:val="0"/>
                          <w:marTop w:val="0"/>
                          <w:marBottom w:val="0"/>
                          <w:divBdr>
                            <w:top w:val="none" w:sz="0" w:space="0" w:color="auto"/>
                            <w:left w:val="none" w:sz="0" w:space="0" w:color="auto"/>
                            <w:bottom w:val="none" w:sz="0" w:space="0" w:color="auto"/>
                            <w:right w:val="none" w:sz="0" w:space="0" w:color="auto"/>
                          </w:divBdr>
                          <w:divsChild>
                            <w:div w:id="462649835">
                              <w:marLeft w:val="0"/>
                              <w:marRight w:val="0"/>
                              <w:marTop w:val="0"/>
                              <w:marBottom w:val="0"/>
                              <w:divBdr>
                                <w:top w:val="none" w:sz="0" w:space="0" w:color="auto"/>
                                <w:left w:val="none" w:sz="0" w:space="0" w:color="auto"/>
                                <w:bottom w:val="none" w:sz="0" w:space="0" w:color="auto"/>
                                <w:right w:val="none" w:sz="0" w:space="0" w:color="auto"/>
                              </w:divBdr>
                              <w:divsChild>
                                <w:div w:id="1810435984">
                                  <w:marLeft w:val="0"/>
                                  <w:marRight w:val="0"/>
                                  <w:marTop w:val="0"/>
                                  <w:marBottom w:val="0"/>
                                  <w:divBdr>
                                    <w:top w:val="none" w:sz="0" w:space="0" w:color="auto"/>
                                    <w:left w:val="none" w:sz="0" w:space="0" w:color="auto"/>
                                    <w:bottom w:val="none" w:sz="0" w:space="0" w:color="auto"/>
                                    <w:right w:val="none" w:sz="0" w:space="0" w:color="auto"/>
                                  </w:divBdr>
                                  <w:divsChild>
                                    <w:div w:id="783500095">
                                      <w:marLeft w:val="0"/>
                                      <w:marRight w:val="0"/>
                                      <w:marTop w:val="0"/>
                                      <w:marBottom w:val="0"/>
                                      <w:divBdr>
                                        <w:top w:val="none" w:sz="0" w:space="0" w:color="auto"/>
                                        <w:left w:val="none" w:sz="0" w:space="0" w:color="auto"/>
                                        <w:bottom w:val="none" w:sz="0" w:space="0" w:color="auto"/>
                                        <w:right w:val="none" w:sz="0" w:space="0" w:color="auto"/>
                                      </w:divBdr>
                                      <w:divsChild>
                                        <w:div w:id="1653365697">
                                          <w:marLeft w:val="0"/>
                                          <w:marRight w:val="0"/>
                                          <w:marTop w:val="0"/>
                                          <w:marBottom w:val="0"/>
                                          <w:divBdr>
                                            <w:top w:val="none" w:sz="0" w:space="0" w:color="auto"/>
                                            <w:left w:val="none" w:sz="0" w:space="0" w:color="auto"/>
                                            <w:bottom w:val="none" w:sz="0" w:space="0" w:color="auto"/>
                                            <w:right w:val="none" w:sz="0" w:space="0" w:color="auto"/>
                                          </w:divBdr>
                                          <w:divsChild>
                                            <w:div w:id="1648243444">
                                              <w:marLeft w:val="0"/>
                                              <w:marRight w:val="135"/>
                                              <w:marTop w:val="180"/>
                                              <w:marBottom w:val="0"/>
                                              <w:divBdr>
                                                <w:top w:val="single" w:sz="6" w:space="0" w:color="9E9E9E"/>
                                                <w:left w:val="single" w:sz="6" w:space="0" w:color="9E9E9E"/>
                                                <w:bottom w:val="single" w:sz="6" w:space="0" w:color="9E9E9E"/>
                                                <w:right w:val="single" w:sz="6" w:space="0" w:color="9E9E9E"/>
                                              </w:divBdr>
                                              <w:divsChild>
                                                <w:div w:id="270868655">
                                                  <w:marLeft w:val="0"/>
                                                  <w:marRight w:val="0"/>
                                                  <w:marTop w:val="0"/>
                                                  <w:marBottom w:val="0"/>
                                                  <w:divBdr>
                                                    <w:top w:val="single" w:sz="6" w:space="0" w:color="9E9E9E"/>
                                                    <w:left w:val="single" w:sz="6" w:space="0" w:color="9E9E9E"/>
                                                    <w:bottom w:val="single" w:sz="6" w:space="0" w:color="9E9E9E"/>
                                                    <w:right w:val="single" w:sz="6" w:space="0" w:color="9E9E9E"/>
                                                  </w:divBdr>
                                                  <w:divsChild>
                                                    <w:div w:id="18666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099940">
      <w:bodyDiv w:val="1"/>
      <w:marLeft w:val="0"/>
      <w:marRight w:val="0"/>
      <w:marTop w:val="0"/>
      <w:marBottom w:val="0"/>
      <w:divBdr>
        <w:top w:val="none" w:sz="0" w:space="0" w:color="auto"/>
        <w:left w:val="none" w:sz="0" w:space="0" w:color="auto"/>
        <w:bottom w:val="none" w:sz="0" w:space="0" w:color="auto"/>
        <w:right w:val="none" w:sz="0" w:space="0" w:color="auto"/>
      </w:divBdr>
    </w:div>
    <w:div w:id="606236753">
      <w:bodyDiv w:val="1"/>
      <w:marLeft w:val="0"/>
      <w:marRight w:val="0"/>
      <w:marTop w:val="0"/>
      <w:marBottom w:val="0"/>
      <w:divBdr>
        <w:top w:val="none" w:sz="0" w:space="0" w:color="auto"/>
        <w:left w:val="none" w:sz="0" w:space="0" w:color="auto"/>
        <w:bottom w:val="none" w:sz="0" w:space="0" w:color="auto"/>
        <w:right w:val="none" w:sz="0" w:space="0" w:color="auto"/>
      </w:divBdr>
    </w:div>
    <w:div w:id="735397731">
      <w:bodyDiv w:val="1"/>
      <w:marLeft w:val="0"/>
      <w:marRight w:val="0"/>
      <w:marTop w:val="0"/>
      <w:marBottom w:val="0"/>
      <w:divBdr>
        <w:top w:val="none" w:sz="0" w:space="0" w:color="auto"/>
        <w:left w:val="none" w:sz="0" w:space="0" w:color="auto"/>
        <w:bottom w:val="none" w:sz="0" w:space="0" w:color="auto"/>
        <w:right w:val="none" w:sz="0" w:space="0" w:color="auto"/>
      </w:divBdr>
      <w:divsChild>
        <w:div w:id="319313243">
          <w:marLeft w:val="0"/>
          <w:marRight w:val="0"/>
          <w:marTop w:val="0"/>
          <w:marBottom w:val="0"/>
          <w:divBdr>
            <w:top w:val="none" w:sz="0" w:space="0" w:color="auto"/>
            <w:left w:val="none" w:sz="0" w:space="0" w:color="auto"/>
            <w:bottom w:val="none" w:sz="0" w:space="0" w:color="auto"/>
            <w:right w:val="none" w:sz="0" w:space="0" w:color="auto"/>
          </w:divBdr>
          <w:divsChild>
            <w:div w:id="893153295">
              <w:marLeft w:val="0"/>
              <w:marRight w:val="0"/>
              <w:marTop w:val="0"/>
              <w:marBottom w:val="0"/>
              <w:divBdr>
                <w:top w:val="none" w:sz="0" w:space="0" w:color="auto"/>
                <w:left w:val="none" w:sz="0" w:space="0" w:color="auto"/>
                <w:bottom w:val="none" w:sz="0" w:space="0" w:color="auto"/>
                <w:right w:val="none" w:sz="0" w:space="0" w:color="auto"/>
              </w:divBdr>
              <w:divsChild>
                <w:div w:id="241985394">
                  <w:marLeft w:val="0"/>
                  <w:marRight w:val="0"/>
                  <w:marTop w:val="0"/>
                  <w:marBottom w:val="0"/>
                  <w:divBdr>
                    <w:top w:val="none" w:sz="0" w:space="0" w:color="auto"/>
                    <w:left w:val="none" w:sz="0" w:space="0" w:color="auto"/>
                    <w:bottom w:val="none" w:sz="0" w:space="0" w:color="auto"/>
                    <w:right w:val="none" w:sz="0" w:space="0" w:color="auto"/>
                  </w:divBdr>
                  <w:divsChild>
                    <w:div w:id="265500953">
                      <w:marLeft w:val="0"/>
                      <w:marRight w:val="0"/>
                      <w:marTop w:val="0"/>
                      <w:marBottom w:val="0"/>
                      <w:divBdr>
                        <w:top w:val="none" w:sz="0" w:space="0" w:color="auto"/>
                        <w:left w:val="none" w:sz="0" w:space="0" w:color="auto"/>
                        <w:bottom w:val="none" w:sz="0" w:space="0" w:color="auto"/>
                        <w:right w:val="none" w:sz="0" w:space="0" w:color="auto"/>
                      </w:divBdr>
                      <w:divsChild>
                        <w:div w:id="2141410557">
                          <w:marLeft w:val="0"/>
                          <w:marRight w:val="0"/>
                          <w:marTop w:val="0"/>
                          <w:marBottom w:val="0"/>
                          <w:divBdr>
                            <w:top w:val="none" w:sz="0" w:space="0" w:color="auto"/>
                            <w:left w:val="none" w:sz="0" w:space="0" w:color="auto"/>
                            <w:bottom w:val="none" w:sz="0" w:space="0" w:color="auto"/>
                            <w:right w:val="none" w:sz="0" w:space="0" w:color="auto"/>
                          </w:divBdr>
                          <w:divsChild>
                            <w:div w:id="17353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50433351">
      <w:bodyDiv w:val="1"/>
      <w:marLeft w:val="0"/>
      <w:marRight w:val="0"/>
      <w:marTop w:val="0"/>
      <w:marBottom w:val="0"/>
      <w:divBdr>
        <w:top w:val="none" w:sz="0" w:space="0" w:color="auto"/>
        <w:left w:val="none" w:sz="0" w:space="0" w:color="auto"/>
        <w:bottom w:val="none" w:sz="0" w:space="0" w:color="auto"/>
        <w:right w:val="none" w:sz="0" w:space="0" w:color="auto"/>
      </w:divBdr>
    </w:div>
    <w:div w:id="1020619901">
      <w:bodyDiv w:val="1"/>
      <w:marLeft w:val="0"/>
      <w:marRight w:val="0"/>
      <w:marTop w:val="0"/>
      <w:marBottom w:val="0"/>
      <w:divBdr>
        <w:top w:val="none" w:sz="0" w:space="0" w:color="auto"/>
        <w:left w:val="none" w:sz="0" w:space="0" w:color="auto"/>
        <w:bottom w:val="none" w:sz="0" w:space="0" w:color="auto"/>
        <w:right w:val="none" w:sz="0" w:space="0" w:color="auto"/>
      </w:divBdr>
    </w:div>
    <w:div w:id="1082725947">
      <w:bodyDiv w:val="1"/>
      <w:marLeft w:val="0"/>
      <w:marRight w:val="0"/>
      <w:marTop w:val="0"/>
      <w:marBottom w:val="0"/>
      <w:divBdr>
        <w:top w:val="none" w:sz="0" w:space="0" w:color="auto"/>
        <w:left w:val="none" w:sz="0" w:space="0" w:color="auto"/>
        <w:bottom w:val="none" w:sz="0" w:space="0" w:color="auto"/>
        <w:right w:val="none" w:sz="0" w:space="0" w:color="auto"/>
      </w:divBdr>
    </w:div>
    <w:div w:id="1089472518">
      <w:bodyDiv w:val="1"/>
      <w:marLeft w:val="0"/>
      <w:marRight w:val="0"/>
      <w:marTop w:val="0"/>
      <w:marBottom w:val="0"/>
      <w:divBdr>
        <w:top w:val="none" w:sz="0" w:space="0" w:color="auto"/>
        <w:left w:val="none" w:sz="0" w:space="0" w:color="auto"/>
        <w:bottom w:val="none" w:sz="0" w:space="0" w:color="auto"/>
        <w:right w:val="none" w:sz="0" w:space="0" w:color="auto"/>
      </w:divBdr>
    </w:div>
    <w:div w:id="1092166362">
      <w:bodyDiv w:val="1"/>
      <w:marLeft w:val="0"/>
      <w:marRight w:val="0"/>
      <w:marTop w:val="0"/>
      <w:marBottom w:val="0"/>
      <w:divBdr>
        <w:top w:val="none" w:sz="0" w:space="0" w:color="auto"/>
        <w:left w:val="none" w:sz="0" w:space="0" w:color="auto"/>
        <w:bottom w:val="none" w:sz="0" w:space="0" w:color="auto"/>
        <w:right w:val="none" w:sz="0" w:space="0" w:color="auto"/>
      </w:divBdr>
      <w:divsChild>
        <w:div w:id="1443455368">
          <w:marLeft w:val="0"/>
          <w:marRight w:val="0"/>
          <w:marTop w:val="0"/>
          <w:marBottom w:val="0"/>
          <w:divBdr>
            <w:top w:val="none" w:sz="0" w:space="0" w:color="auto"/>
            <w:left w:val="none" w:sz="0" w:space="0" w:color="auto"/>
            <w:bottom w:val="none" w:sz="0" w:space="0" w:color="auto"/>
            <w:right w:val="none" w:sz="0" w:space="0" w:color="auto"/>
          </w:divBdr>
          <w:divsChild>
            <w:div w:id="41249772">
              <w:marLeft w:val="0"/>
              <w:marRight w:val="0"/>
              <w:marTop w:val="0"/>
              <w:marBottom w:val="0"/>
              <w:divBdr>
                <w:top w:val="none" w:sz="0" w:space="0" w:color="auto"/>
                <w:left w:val="none" w:sz="0" w:space="0" w:color="auto"/>
                <w:bottom w:val="none" w:sz="0" w:space="0" w:color="auto"/>
                <w:right w:val="none" w:sz="0" w:space="0" w:color="auto"/>
              </w:divBdr>
              <w:divsChild>
                <w:div w:id="1555048434">
                  <w:marLeft w:val="0"/>
                  <w:marRight w:val="0"/>
                  <w:marTop w:val="0"/>
                  <w:marBottom w:val="0"/>
                  <w:divBdr>
                    <w:top w:val="none" w:sz="0" w:space="0" w:color="auto"/>
                    <w:left w:val="none" w:sz="0" w:space="0" w:color="auto"/>
                    <w:bottom w:val="none" w:sz="0" w:space="0" w:color="auto"/>
                    <w:right w:val="none" w:sz="0" w:space="0" w:color="auto"/>
                  </w:divBdr>
                  <w:divsChild>
                    <w:div w:id="1230069879">
                      <w:marLeft w:val="0"/>
                      <w:marRight w:val="0"/>
                      <w:marTop w:val="0"/>
                      <w:marBottom w:val="0"/>
                      <w:divBdr>
                        <w:top w:val="none" w:sz="0" w:space="0" w:color="auto"/>
                        <w:left w:val="none" w:sz="0" w:space="0" w:color="auto"/>
                        <w:bottom w:val="none" w:sz="0" w:space="0" w:color="auto"/>
                        <w:right w:val="none" w:sz="0" w:space="0" w:color="auto"/>
                      </w:divBdr>
                      <w:divsChild>
                        <w:div w:id="1511027021">
                          <w:marLeft w:val="0"/>
                          <w:marRight w:val="0"/>
                          <w:marTop w:val="0"/>
                          <w:marBottom w:val="0"/>
                          <w:divBdr>
                            <w:top w:val="none" w:sz="0" w:space="0" w:color="auto"/>
                            <w:left w:val="none" w:sz="0" w:space="0" w:color="auto"/>
                            <w:bottom w:val="none" w:sz="0" w:space="0" w:color="auto"/>
                            <w:right w:val="none" w:sz="0" w:space="0" w:color="auto"/>
                          </w:divBdr>
                          <w:divsChild>
                            <w:div w:id="2049081">
                              <w:marLeft w:val="0"/>
                              <w:marRight w:val="0"/>
                              <w:marTop w:val="0"/>
                              <w:marBottom w:val="0"/>
                              <w:divBdr>
                                <w:top w:val="none" w:sz="0" w:space="0" w:color="auto"/>
                                <w:left w:val="none" w:sz="0" w:space="0" w:color="auto"/>
                                <w:bottom w:val="none" w:sz="0" w:space="0" w:color="auto"/>
                                <w:right w:val="none" w:sz="0" w:space="0" w:color="auto"/>
                              </w:divBdr>
                              <w:divsChild>
                                <w:div w:id="1687756665">
                                  <w:marLeft w:val="0"/>
                                  <w:marRight w:val="0"/>
                                  <w:marTop w:val="0"/>
                                  <w:marBottom w:val="0"/>
                                  <w:divBdr>
                                    <w:top w:val="none" w:sz="0" w:space="0" w:color="auto"/>
                                    <w:left w:val="none" w:sz="0" w:space="0" w:color="auto"/>
                                    <w:bottom w:val="none" w:sz="0" w:space="0" w:color="auto"/>
                                    <w:right w:val="none" w:sz="0" w:space="0" w:color="auto"/>
                                  </w:divBdr>
                                  <w:divsChild>
                                    <w:div w:id="771708516">
                                      <w:marLeft w:val="0"/>
                                      <w:marRight w:val="0"/>
                                      <w:marTop w:val="0"/>
                                      <w:marBottom w:val="0"/>
                                      <w:divBdr>
                                        <w:top w:val="none" w:sz="0" w:space="0" w:color="auto"/>
                                        <w:left w:val="none" w:sz="0" w:space="0" w:color="auto"/>
                                        <w:bottom w:val="none" w:sz="0" w:space="0" w:color="auto"/>
                                        <w:right w:val="none" w:sz="0" w:space="0" w:color="auto"/>
                                      </w:divBdr>
                                      <w:divsChild>
                                        <w:div w:id="773289757">
                                          <w:marLeft w:val="0"/>
                                          <w:marRight w:val="0"/>
                                          <w:marTop w:val="0"/>
                                          <w:marBottom w:val="0"/>
                                          <w:divBdr>
                                            <w:top w:val="none" w:sz="0" w:space="0" w:color="auto"/>
                                            <w:left w:val="none" w:sz="0" w:space="0" w:color="auto"/>
                                            <w:bottom w:val="none" w:sz="0" w:space="0" w:color="auto"/>
                                            <w:right w:val="none" w:sz="0" w:space="0" w:color="auto"/>
                                          </w:divBdr>
                                          <w:divsChild>
                                            <w:div w:id="296567353">
                                              <w:marLeft w:val="0"/>
                                              <w:marRight w:val="135"/>
                                              <w:marTop w:val="180"/>
                                              <w:marBottom w:val="0"/>
                                              <w:divBdr>
                                                <w:top w:val="single" w:sz="6" w:space="0" w:color="9E9E9E"/>
                                                <w:left w:val="single" w:sz="6" w:space="0" w:color="9E9E9E"/>
                                                <w:bottom w:val="single" w:sz="6" w:space="0" w:color="9E9E9E"/>
                                                <w:right w:val="single" w:sz="6" w:space="0" w:color="9E9E9E"/>
                                              </w:divBdr>
                                              <w:divsChild>
                                                <w:div w:id="549076430">
                                                  <w:marLeft w:val="0"/>
                                                  <w:marRight w:val="0"/>
                                                  <w:marTop w:val="0"/>
                                                  <w:marBottom w:val="0"/>
                                                  <w:divBdr>
                                                    <w:top w:val="single" w:sz="6" w:space="0" w:color="9E9E9E"/>
                                                    <w:left w:val="single" w:sz="6" w:space="0" w:color="9E9E9E"/>
                                                    <w:bottom w:val="single" w:sz="6" w:space="0" w:color="9E9E9E"/>
                                                    <w:right w:val="single" w:sz="6" w:space="0" w:color="9E9E9E"/>
                                                  </w:divBdr>
                                                  <w:divsChild>
                                                    <w:div w:id="9576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74242">
      <w:bodyDiv w:val="1"/>
      <w:marLeft w:val="0"/>
      <w:marRight w:val="0"/>
      <w:marTop w:val="0"/>
      <w:marBottom w:val="0"/>
      <w:divBdr>
        <w:top w:val="none" w:sz="0" w:space="0" w:color="auto"/>
        <w:left w:val="none" w:sz="0" w:space="0" w:color="auto"/>
        <w:bottom w:val="none" w:sz="0" w:space="0" w:color="auto"/>
        <w:right w:val="none" w:sz="0" w:space="0" w:color="auto"/>
      </w:divBdr>
    </w:div>
    <w:div w:id="1277979554">
      <w:bodyDiv w:val="1"/>
      <w:marLeft w:val="0"/>
      <w:marRight w:val="0"/>
      <w:marTop w:val="0"/>
      <w:marBottom w:val="0"/>
      <w:divBdr>
        <w:top w:val="none" w:sz="0" w:space="0" w:color="auto"/>
        <w:left w:val="none" w:sz="0" w:space="0" w:color="auto"/>
        <w:bottom w:val="none" w:sz="0" w:space="0" w:color="auto"/>
        <w:right w:val="none" w:sz="0" w:space="0" w:color="auto"/>
      </w:divBdr>
    </w:div>
    <w:div w:id="1373770165">
      <w:bodyDiv w:val="1"/>
      <w:marLeft w:val="0"/>
      <w:marRight w:val="0"/>
      <w:marTop w:val="0"/>
      <w:marBottom w:val="0"/>
      <w:divBdr>
        <w:top w:val="none" w:sz="0" w:space="0" w:color="auto"/>
        <w:left w:val="none" w:sz="0" w:space="0" w:color="auto"/>
        <w:bottom w:val="none" w:sz="0" w:space="0" w:color="auto"/>
        <w:right w:val="none" w:sz="0" w:space="0" w:color="auto"/>
      </w:divBdr>
    </w:div>
    <w:div w:id="1582830737">
      <w:bodyDiv w:val="1"/>
      <w:marLeft w:val="0"/>
      <w:marRight w:val="0"/>
      <w:marTop w:val="0"/>
      <w:marBottom w:val="0"/>
      <w:divBdr>
        <w:top w:val="none" w:sz="0" w:space="0" w:color="auto"/>
        <w:left w:val="none" w:sz="0" w:space="0" w:color="auto"/>
        <w:bottom w:val="none" w:sz="0" w:space="0" w:color="auto"/>
        <w:right w:val="none" w:sz="0" w:space="0" w:color="auto"/>
      </w:divBdr>
    </w:div>
    <w:div w:id="1715696887">
      <w:bodyDiv w:val="1"/>
      <w:marLeft w:val="0"/>
      <w:marRight w:val="0"/>
      <w:marTop w:val="0"/>
      <w:marBottom w:val="0"/>
      <w:divBdr>
        <w:top w:val="none" w:sz="0" w:space="0" w:color="auto"/>
        <w:left w:val="none" w:sz="0" w:space="0" w:color="auto"/>
        <w:bottom w:val="none" w:sz="0" w:space="0" w:color="auto"/>
        <w:right w:val="none" w:sz="0" w:space="0" w:color="auto"/>
      </w:divBdr>
    </w:div>
    <w:div w:id="1769890342">
      <w:bodyDiv w:val="1"/>
      <w:marLeft w:val="0"/>
      <w:marRight w:val="0"/>
      <w:marTop w:val="0"/>
      <w:marBottom w:val="0"/>
      <w:divBdr>
        <w:top w:val="none" w:sz="0" w:space="0" w:color="auto"/>
        <w:left w:val="none" w:sz="0" w:space="0" w:color="auto"/>
        <w:bottom w:val="none" w:sz="0" w:space="0" w:color="auto"/>
        <w:right w:val="none" w:sz="0" w:space="0" w:color="auto"/>
      </w:divBdr>
    </w:div>
    <w:div w:id="1932077915">
      <w:bodyDiv w:val="1"/>
      <w:marLeft w:val="0"/>
      <w:marRight w:val="0"/>
      <w:marTop w:val="0"/>
      <w:marBottom w:val="0"/>
      <w:divBdr>
        <w:top w:val="none" w:sz="0" w:space="0" w:color="auto"/>
        <w:left w:val="none" w:sz="0" w:space="0" w:color="auto"/>
        <w:bottom w:val="none" w:sz="0" w:space="0" w:color="auto"/>
        <w:right w:val="none" w:sz="0" w:space="0" w:color="auto"/>
      </w:divBdr>
    </w:div>
    <w:div w:id="1992176038">
      <w:bodyDiv w:val="1"/>
      <w:marLeft w:val="0"/>
      <w:marRight w:val="0"/>
      <w:marTop w:val="0"/>
      <w:marBottom w:val="0"/>
      <w:divBdr>
        <w:top w:val="none" w:sz="0" w:space="0" w:color="auto"/>
        <w:left w:val="none" w:sz="0" w:space="0" w:color="auto"/>
        <w:bottom w:val="none" w:sz="0" w:space="0" w:color="auto"/>
        <w:right w:val="none" w:sz="0" w:space="0" w:color="auto"/>
      </w:divBdr>
    </w:div>
    <w:div w:id="2059697825">
      <w:bodyDiv w:val="1"/>
      <w:marLeft w:val="0"/>
      <w:marRight w:val="0"/>
      <w:marTop w:val="0"/>
      <w:marBottom w:val="0"/>
      <w:divBdr>
        <w:top w:val="none" w:sz="0" w:space="0" w:color="auto"/>
        <w:left w:val="none" w:sz="0" w:space="0" w:color="auto"/>
        <w:bottom w:val="none" w:sz="0" w:space="0" w:color="auto"/>
        <w:right w:val="none" w:sz="0" w:space="0" w:color="auto"/>
      </w:divBdr>
    </w:div>
    <w:div w:id="2111661929">
      <w:bodyDiv w:val="1"/>
      <w:marLeft w:val="0"/>
      <w:marRight w:val="0"/>
      <w:marTop w:val="0"/>
      <w:marBottom w:val="0"/>
      <w:divBdr>
        <w:top w:val="none" w:sz="0" w:space="0" w:color="auto"/>
        <w:left w:val="none" w:sz="0" w:space="0" w:color="auto"/>
        <w:bottom w:val="none" w:sz="0" w:space="0" w:color="auto"/>
        <w:right w:val="none" w:sz="0" w:space="0" w:color="auto"/>
      </w:divBdr>
    </w:div>
    <w:div w:id="2119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C6EC-FD95-4192-9643-635BE8D8F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18443</Words>
  <Characters>105127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DIAC</Company>
  <LinksUpToDate>false</LinksUpToDate>
  <CharactersWithSpaces>123324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Carolyn MAHER</dc:creator>
  <cp:lastModifiedBy>Douglas, Justin</cp:lastModifiedBy>
  <cp:revision>3</cp:revision>
  <cp:lastPrinted>2015-06-10T06:41:00Z</cp:lastPrinted>
  <dcterms:created xsi:type="dcterms:W3CDTF">2015-06-29T00:30:00Z</dcterms:created>
  <dcterms:modified xsi:type="dcterms:W3CDTF">2015-06-29T00:33:00Z</dcterms:modified>
</cp:coreProperties>
</file>