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2D3F9" w14:textId="77777777" w:rsidR="00F109D4" w:rsidRDefault="00F109D4" w:rsidP="006E4330">
      <w:pPr>
        <w:pStyle w:val="Heading1"/>
      </w:pPr>
      <w:r w:rsidRPr="00503E44">
        <w:t>EXPLANATORY STATEMENT</w:t>
      </w:r>
    </w:p>
    <w:p w14:paraId="019A8773" w14:textId="204AEE6B" w:rsidR="00D76C7F" w:rsidRPr="00D76C7F" w:rsidRDefault="00D76C7F" w:rsidP="00D76C7F">
      <w:pPr>
        <w:pStyle w:val="Heading1"/>
      </w:pPr>
      <w:bookmarkStart w:id="0" w:name="_GoBack"/>
      <w:r>
        <w:t>SELECT LEGISLATIVE INSTRUMENT NO. 110, 2015</w:t>
      </w:r>
    </w:p>
    <w:bookmarkEnd w:id="0"/>
    <w:p w14:paraId="3DADC914" w14:textId="77777777" w:rsidR="00F109D4" w:rsidRPr="00503E44" w:rsidRDefault="00F109D4" w:rsidP="006E4330">
      <w:pPr>
        <w:pStyle w:val="Heading2"/>
        <w:jc w:val="center"/>
      </w:pPr>
      <w:r w:rsidRPr="00503E44">
        <w:t xml:space="preserve">Issued by authority of the </w:t>
      </w:r>
      <w:r w:rsidR="005833BE" w:rsidRPr="00503E44">
        <w:t>Assistant Treasurer</w:t>
      </w:r>
    </w:p>
    <w:p w14:paraId="4F07E659" w14:textId="77777777" w:rsidR="00F109D4" w:rsidRDefault="005E25ED">
      <w:pPr>
        <w:jc w:val="center"/>
        <w:rPr>
          <w:i/>
        </w:rPr>
      </w:pPr>
      <w:r>
        <w:rPr>
          <w:i/>
        </w:rPr>
        <w:t>Income Tax Assessment Act 1997</w:t>
      </w:r>
    </w:p>
    <w:p w14:paraId="7D1CB540" w14:textId="77777777" w:rsidR="005E25ED" w:rsidRDefault="005E25ED">
      <w:pPr>
        <w:jc w:val="center"/>
        <w:rPr>
          <w:i/>
        </w:rPr>
      </w:pPr>
      <w:r>
        <w:rPr>
          <w:i/>
        </w:rPr>
        <w:t>Retirement Savings Accounts Act 1997</w:t>
      </w:r>
    </w:p>
    <w:p w14:paraId="51625F0C" w14:textId="77777777" w:rsidR="005E25ED" w:rsidRPr="00503E44" w:rsidRDefault="005E25ED">
      <w:pPr>
        <w:jc w:val="center"/>
        <w:rPr>
          <w:i/>
        </w:rPr>
      </w:pPr>
      <w:r>
        <w:rPr>
          <w:i/>
        </w:rPr>
        <w:t>Superannuation Industry (Supervision) Act 1993</w:t>
      </w:r>
    </w:p>
    <w:p w14:paraId="45E52082" w14:textId="5DD8D5DE" w:rsidR="00F109D4" w:rsidRPr="00503E44" w:rsidRDefault="00D46A67">
      <w:pPr>
        <w:tabs>
          <w:tab w:val="left" w:pos="1418"/>
        </w:tabs>
        <w:spacing w:after="240"/>
        <w:jc w:val="center"/>
        <w:rPr>
          <w:i/>
        </w:rPr>
      </w:pPr>
      <w:r>
        <w:rPr>
          <w:i/>
        </w:rPr>
        <w:t>Tax and Superannuation Laws Amendment (Terminal Medical Condition</w:t>
      </w:r>
      <w:r w:rsidR="00232CAF">
        <w:rPr>
          <w:i/>
        </w:rPr>
        <w:t>s</w:t>
      </w:r>
      <w:r>
        <w:rPr>
          <w:i/>
        </w:rPr>
        <w:t>) Regulation 2015</w:t>
      </w:r>
    </w:p>
    <w:p w14:paraId="021CEA35" w14:textId="746C8E41" w:rsidR="00F109D4" w:rsidRDefault="00C55D29" w:rsidP="00232CAF">
      <w:pPr>
        <w:spacing w:before="0" w:after="0"/>
      </w:pPr>
      <w:r w:rsidRPr="00503E44">
        <w:t xml:space="preserve">Section </w:t>
      </w:r>
      <w:r w:rsidR="0094689C">
        <w:t xml:space="preserve">909-1 of the </w:t>
      </w:r>
      <w:r w:rsidR="0094689C">
        <w:rPr>
          <w:i/>
        </w:rPr>
        <w:t>Income Tax Assessment Act 1997</w:t>
      </w:r>
      <w:r w:rsidR="0094689C">
        <w:t xml:space="preserve">, section 200 of the </w:t>
      </w:r>
      <w:r w:rsidR="0094689C">
        <w:rPr>
          <w:i/>
        </w:rPr>
        <w:t xml:space="preserve">Retirement Savings Accounts Act 1997 </w:t>
      </w:r>
      <w:r w:rsidR="0094689C">
        <w:t xml:space="preserve">and section 353 of the </w:t>
      </w:r>
      <w:r w:rsidR="0094689C">
        <w:rPr>
          <w:i/>
        </w:rPr>
        <w:t>Superannuation Industry (Supervision) Act 1993</w:t>
      </w:r>
      <w:r w:rsidR="00232CAF">
        <w:t xml:space="preserve"> (</w:t>
      </w:r>
      <w:r w:rsidR="0094689C">
        <w:t>Principal</w:t>
      </w:r>
      <w:r w:rsidR="00F109D4" w:rsidRPr="00503E44">
        <w:t xml:space="preserve"> Act</w:t>
      </w:r>
      <w:r w:rsidR="0094689C">
        <w:t>s</w:t>
      </w:r>
      <w:r w:rsidR="00F109D4" w:rsidRPr="00503E44">
        <w:t xml:space="preserve">) </w:t>
      </w:r>
      <w:r w:rsidR="0094689C">
        <w:t>each provide</w:t>
      </w:r>
      <w:r w:rsidR="00F109D4" w:rsidRPr="00503E44">
        <w:t xml:space="preserve"> that the Governor-General may make regulations prescribing matters required or permitted by the </w:t>
      </w:r>
      <w:r w:rsidR="00232CAF">
        <w:t xml:space="preserve">relevant </w:t>
      </w:r>
      <w:r w:rsidR="00F109D4" w:rsidRPr="00503E44">
        <w:t xml:space="preserve">Act to be prescribed, or necessary or convenient to be prescribed for carrying out or giving effect to the </w:t>
      </w:r>
      <w:r w:rsidR="00232CAF">
        <w:t xml:space="preserve">Principal </w:t>
      </w:r>
      <w:r w:rsidR="00F109D4" w:rsidRPr="00503E44">
        <w:t>Act</w:t>
      </w:r>
      <w:r w:rsidR="00232CAF">
        <w:t>s</w:t>
      </w:r>
      <w:r w:rsidR="00F109D4" w:rsidRPr="00503E44">
        <w:t>.</w:t>
      </w:r>
    </w:p>
    <w:p w14:paraId="0935EA5C" w14:textId="77777777" w:rsidR="00232CAF" w:rsidRDefault="00232CAF" w:rsidP="00232CAF">
      <w:pPr>
        <w:spacing w:before="0" w:after="0"/>
      </w:pPr>
    </w:p>
    <w:p w14:paraId="164B8A15" w14:textId="0EF34C7E" w:rsidR="00F109D4" w:rsidRDefault="0094689C" w:rsidP="00232CAF">
      <w:pPr>
        <w:spacing w:before="0" w:after="0"/>
      </w:pPr>
      <w:r>
        <w:t xml:space="preserve">The purpose of the </w:t>
      </w:r>
      <w:r w:rsidRPr="0094689C">
        <w:rPr>
          <w:i/>
        </w:rPr>
        <w:t>Tax and Superannuation Laws Amendment (Terminal Medical Condition</w:t>
      </w:r>
      <w:r w:rsidR="00232CAF">
        <w:rPr>
          <w:i/>
        </w:rPr>
        <w:t>s</w:t>
      </w:r>
      <w:r w:rsidRPr="0094689C">
        <w:rPr>
          <w:i/>
        </w:rPr>
        <w:t>) Regulation 2015</w:t>
      </w:r>
      <w:r w:rsidR="00232CAF">
        <w:t xml:space="preserve"> (</w:t>
      </w:r>
      <w:r>
        <w:t xml:space="preserve">Regulation) is to </w:t>
      </w:r>
      <w:r w:rsidR="00C92C57">
        <w:t xml:space="preserve">extend </w:t>
      </w:r>
      <w:r w:rsidR="009A6256">
        <w:t>the certification period</w:t>
      </w:r>
      <w:r w:rsidR="000A07AA">
        <w:t xml:space="preserve"> for a terminal medical condition for the purposes of releasing benefits from superannuation and the tax-free treatment of those benefits. </w:t>
      </w:r>
    </w:p>
    <w:p w14:paraId="7D4303BC" w14:textId="77777777" w:rsidR="00232CAF" w:rsidRDefault="00232CAF" w:rsidP="00232CAF">
      <w:pPr>
        <w:spacing w:before="0" w:after="0"/>
      </w:pPr>
    </w:p>
    <w:p w14:paraId="20E61C43" w14:textId="2CB682FA" w:rsidR="00D63FB8" w:rsidRDefault="002E3E44" w:rsidP="00232CAF">
      <w:pPr>
        <w:spacing w:before="0" w:after="0"/>
      </w:pPr>
      <w:r>
        <w:t xml:space="preserve">The Regulation amends the </w:t>
      </w:r>
      <w:r>
        <w:rPr>
          <w:i/>
        </w:rPr>
        <w:t xml:space="preserve">Income Tax Assessment Regulations 1997 </w:t>
      </w:r>
      <w:r>
        <w:t>(</w:t>
      </w:r>
      <w:proofErr w:type="spellStart"/>
      <w:r>
        <w:t>ITAR</w:t>
      </w:r>
      <w:proofErr w:type="spellEnd"/>
      <w:r>
        <w:t>)</w:t>
      </w:r>
      <w:r w:rsidR="00FA1139">
        <w:t>,</w:t>
      </w:r>
      <w:r>
        <w:t xml:space="preserve"> the </w:t>
      </w:r>
      <w:r w:rsidRPr="002E3E44">
        <w:rPr>
          <w:i/>
        </w:rPr>
        <w:t>Retirement</w:t>
      </w:r>
      <w:r>
        <w:rPr>
          <w:i/>
        </w:rPr>
        <w:t xml:space="preserve"> Savings Accounts Regulations 1997 </w:t>
      </w:r>
      <w:r>
        <w:t>(</w:t>
      </w:r>
      <w:proofErr w:type="spellStart"/>
      <w:r>
        <w:t>RSAR</w:t>
      </w:r>
      <w:proofErr w:type="spellEnd"/>
      <w:r>
        <w:t xml:space="preserve">) and the </w:t>
      </w:r>
      <w:r>
        <w:rPr>
          <w:i/>
        </w:rPr>
        <w:t>Superannuation Industry (Supervision) Regulations 1994</w:t>
      </w:r>
      <w:r>
        <w:t xml:space="preserve"> (</w:t>
      </w:r>
      <w:proofErr w:type="spellStart"/>
      <w:r>
        <w:t>SISR</w:t>
      </w:r>
      <w:proofErr w:type="spellEnd"/>
      <w:r>
        <w:t xml:space="preserve">) to </w:t>
      </w:r>
      <w:r w:rsidR="00DC7FDB">
        <w:t xml:space="preserve">extend </w:t>
      </w:r>
      <w:r>
        <w:t>the certification period</w:t>
      </w:r>
      <w:r w:rsidR="005A0305">
        <w:t xml:space="preserve"> for </w:t>
      </w:r>
      <w:r w:rsidR="00666768">
        <w:t>a terminal medical condition for the purposes of releasing benefits from superannuation and the tax-free treatment of those benefits.</w:t>
      </w:r>
    </w:p>
    <w:p w14:paraId="540CF530" w14:textId="77777777" w:rsidR="00232CAF" w:rsidRDefault="00232CAF" w:rsidP="00232CAF">
      <w:pPr>
        <w:spacing w:before="0" w:after="0"/>
      </w:pPr>
    </w:p>
    <w:p w14:paraId="6A3BBFEA" w14:textId="7F69FF8C" w:rsidR="007A22F9" w:rsidRDefault="00D63FB8" w:rsidP="00232CAF">
      <w:pPr>
        <w:spacing w:before="0" w:after="0"/>
      </w:pPr>
      <w:r>
        <w:t xml:space="preserve">The </w:t>
      </w:r>
      <w:r>
        <w:rPr>
          <w:i/>
        </w:rPr>
        <w:t xml:space="preserve">Income Tax Assessment Act 1997 </w:t>
      </w:r>
      <w:r>
        <w:t>provides that a superannuati</w:t>
      </w:r>
      <w:r w:rsidR="008E67C6">
        <w:t>on lump sum paid to a person who</w:t>
      </w:r>
      <w:r>
        <w:t xml:space="preserve"> has a terminal medical condition is </w:t>
      </w:r>
      <w:r w:rsidR="00B36279">
        <w:t>tax-free</w:t>
      </w:r>
      <w:r>
        <w:t xml:space="preserve">. </w:t>
      </w:r>
    </w:p>
    <w:p w14:paraId="58DF0906" w14:textId="77777777" w:rsidR="00232CAF" w:rsidRDefault="00232CAF" w:rsidP="00232CAF">
      <w:pPr>
        <w:spacing w:before="0" w:after="0"/>
      </w:pPr>
    </w:p>
    <w:p w14:paraId="0BC2A8F7" w14:textId="7010DCA3" w:rsidR="00D63FB8" w:rsidRDefault="00D63FB8" w:rsidP="00232CAF">
      <w:pPr>
        <w:spacing w:before="0" w:after="0"/>
      </w:pPr>
      <w:r>
        <w:t xml:space="preserve">The </w:t>
      </w:r>
      <w:proofErr w:type="spellStart"/>
      <w:r>
        <w:t>RSAR</w:t>
      </w:r>
      <w:proofErr w:type="spellEnd"/>
      <w:r>
        <w:t xml:space="preserve"> and </w:t>
      </w:r>
      <w:proofErr w:type="spellStart"/>
      <w:r>
        <w:t>SISR</w:t>
      </w:r>
      <w:proofErr w:type="spellEnd"/>
      <w:r>
        <w:t xml:space="preserve"> con</w:t>
      </w:r>
      <w:r w:rsidR="00FA1139">
        <w:t>tain conditions of release that</w:t>
      </w:r>
      <w:r>
        <w:t xml:space="preserve"> allow persons </w:t>
      </w:r>
      <w:r w:rsidR="00271A1C">
        <w:t>with</w:t>
      </w:r>
      <w:r w:rsidR="00FA1139">
        <w:t xml:space="preserve"> a terminal medical condition</w:t>
      </w:r>
      <w:r>
        <w:t xml:space="preserve"> to access the full amount of their superannuati</w:t>
      </w:r>
      <w:r w:rsidR="00FA1139">
        <w:t>on benefits without restriction</w:t>
      </w:r>
      <w:r>
        <w:t xml:space="preserve">. </w:t>
      </w:r>
    </w:p>
    <w:p w14:paraId="4690A1D4" w14:textId="77777777" w:rsidR="00232CAF" w:rsidRDefault="00232CAF" w:rsidP="00232CAF">
      <w:pPr>
        <w:spacing w:before="0" w:after="0"/>
      </w:pPr>
    </w:p>
    <w:p w14:paraId="3141E9F7" w14:textId="5851E6B3" w:rsidR="008E67C6" w:rsidRDefault="008E67C6" w:rsidP="00232CAF">
      <w:pPr>
        <w:spacing w:before="0" w:after="0"/>
      </w:pPr>
      <w:r>
        <w:t xml:space="preserve">The </w:t>
      </w:r>
      <w:proofErr w:type="spellStart"/>
      <w:r>
        <w:t>ITAR</w:t>
      </w:r>
      <w:proofErr w:type="spellEnd"/>
      <w:r>
        <w:t xml:space="preserve">, </w:t>
      </w:r>
      <w:proofErr w:type="spellStart"/>
      <w:r>
        <w:t>RSAR</w:t>
      </w:r>
      <w:proofErr w:type="spellEnd"/>
      <w:r>
        <w:t xml:space="preserve"> and </w:t>
      </w:r>
      <w:proofErr w:type="spellStart"/>
      <w:r>
        <w:t>SISR</w:t>
      </w:r>
      <w:proofErr w:type="spellEnd"/>
      <w:r>
        <w:t xml:space="preserve"> </w:t>
      </w:r>
      <w:r w:rsidR="009B3799">
        <w:t xml:space="preserve">each </w:t>
      </w:r>
      <w:r>
        <w:t>contain the same definition of ‘terminal medical condition’. This definition prescribes that a terminal medical condition exists if</w:t>
      </w:r>
      <w:r w:rsidR="00666768">
        <w:t xml:space="preserve"> two registered medical practitioners</w:t>
      </w:r>
      <w:r w:rsidR="00AC4337">
        <w:t xml:space="preserve">, </w:t>
      </w:r>
      <w:r w:rsidR="003B6668">
        <w:t xml:space="preserve">at least </w:t>
      </w:r>
      <w:r w:rsidR="00AC4337">
        <w:t>one of whom is a specialist,</w:t>
      </w:r>
      <w:r w:rsidR="00666768">
        <w:t xml:space="preserve"> have certified that a person suffers from an illness or injury that is likely to result in their death within the certification period of 12 months or less. </w:t>
      </w:r>
    </w:p>
    <w:p w14:paraId="01371E57" w14:textId="77777777" w:rsidR="00232CAF" w:rsidRDefault="00232CAF" w:rsidP="00232CAF">
      <w:pPr>
        <w:spacing w:before="0" w:after="0"/>
      </w:pPr>
    </w:p>
    <w:p w14:paraId="1E62FB5B" w14:textId="6D037465" w:rsidR="00B36279" w:rsidRDefault="00B36279" w:rsidP="00232CAF">
      <w:pPr>
        <w:spacing w:before="0" w:after="0"/>
      </w:pPr>
      <w:r>
        <w:t xml:space="preserve">The Regulation amends the definition of ‘terminal medical condition’ in the </w:t>
      </w:r>
      <w:proofErr w:type="spellStart"/>
      <w:r>
        <w:t>ITAR</w:t>
      </w:r>
      <w:proofErr w:type="spellEnd"/>
      <w:r>
        <w:t xml:space="preserve">, </w:t>
      </w:r>
      <w:proofErr w:type="spellStart"/>
      <w:r>
        <w:t>RSAR</w:t>
      </w:r>
      <w:proofErr w:type="spellEnd"/>
      <w:r>
        <w:t xml:space="preserve"> and </w:t>
      </w:r>
      <w:proofErr w:type="spellStart"/>
      <w:r>
        <w:t>SISR</w:t>
      </w:r>
      <w:proofErr w:type="spellEnd"/>
      <w:r>
        <w:t xml:space="preserve"> to extend the </w:t>
      </w:r>
      <w:r w:rsidR="00271A1C">
        <w:t xml:space="preserve">maximum </w:t>
      </w:r>
      <w:r>
        <w:t xml:space="preserve">certification period from 12 to 24 months. </w:t>
      </w:r>
    </w:p>
    <w:p w14:paraId="13C415D2" w14:textId="3CF2E208" w:rsidR="00232CAF" w:rsidRDefault="00232CAF" w:rsidP="00232CAF">
      <w:pPr>
        <w:spacing w:before="0" w:after="0"/>
      </w:pPr>
    </w:p>
    <w:p w14:paraId="7D8D9DFD" w14:textId="68A9F471" w:rsidR="00232CAF" w:rsidRDefault="00232CAF" w:rsidP="00232CAF">
      <w:pPr>
        <w:spacing w:before="0" w:after="0"/>
      </w:pPr>
      <w:r>
        <w:t xml:space="preserve">Details of the Regulation are set out in </w:t>
      </w:r>
      <w:r w:rsidRPr="008F7627">
        <w:rPr>
          <w:u w:val="single"/>
        </w:rPr>
        <w:t>Attachment</w:t>
      </w:r>
    </w:p>
    <w:p w14:paraId="4F5CE15B" w14:textId="77777777" w:rsidR="00232CAF" w:rsidRDefault="00232CAF" w:rsidP="00232CAF">
      <w:pPr>
        <w:spacing w:before="0" w:after="0"/>
      </w:pPr>
    </w:p>
    <w:p w14:paraId="2875301A" w14:textId="445B6556" w:rsidR="009B3799" w:rsidRDefault="009B3799" w:rsidP="00232CAF">
      <w:pPr>
        <w:keepNext/>
        <w:keepLines/>
        <w:spacing w:before="0" w:after="0"/>
        <w:rPr>
          <w:b/>
        </w:rPr>
      </w:pPr>
      <w:r>
        <w:rPr>
          <w:b/>
        </w:rPr>
        <w:lastRenderedPageBreak/>
        <w:t>Consultation</w:t>
      </w:r>
    </w:p>
    <w:p w14:paraId="1A86E7C5" w14:textId="77777777" w:rsidR="00232CAF" w:rsidRDefault="00232CAF" w:rsidP="00232CAF">
      <w:pPr>
        <w:keepNext/>
        <w:keepLines/>
        <w:spacing w:before="0" w:after="0"/>
      </w:pPr>
    </w:p>
    <w:p w14:paraId="25F2E917" w14:textId="2433841A" w:rsidR="00454E3B" w:rsidRDefault="00865617" w:rsidP="00232CAF">
      <w:pPr>
        <w:keepNext/>
        <w:keepLines/>
        <w:spacing w:before="0" w:after="0"/>
      </w:pPr>
      <w:r>
        <w:t xml:space="preserve">Limited targeted consultation </w:t>
      </w:r>
      <w:r w:rsidR="00273C84">
        <w:t xml:space="preserve">on this proposal </w:t>
      </w:r>
      <w:r>
        <w:t xml:space="preserve">was undertaken with </w:t>
      </w:r>
      <w:r w:rsidR="00273C84">
        <w:t xml:space="preserve">the </w:t>
      </w:r>
      <w:r w:rsidR="00C35B6C">
        <w:t xml:space="preserve">superannuation </w:t>
      </w:r>
      <w:r w:rsidR="00273C84">
        <w:t>industry and cancer-related charities</w:t>
      </w:r>
      <w:r w:rsidR="00454E3B">
        <w:t>.</w:t>
      </w:r>
      <w:r w:rsidR="00F85E31">
        <w:t xml:space="preserve"> There was broad support for </w:t>
      </w:r>
      <w:r w:rsidR="0060536C">
        <w:t>extending the release of superannuation benefits in this way. Consultation identified the need to communicate the changes to members, funds, and the medical profession.</w:t>
      </w:r>
      <w:r w:rsidR="00B47290">
        <w:t xml:space="preserve"> No material concerns were raised about the drafting of the amendments.</w:t>
      </w:r>
    </w:p>
    <w:p w14:paraId="36E3E009" w14:textId="77777777" w:rsidR="00232CAF" w:rsidRDefault="00232CAF" w:rsidP="00232CAF">
      <w:pPr>
        <w:spacing w:before="0" w:after="0"/>
      </w:pPr>
    </w:p>
    <w:p w14:paraId="0DBF705D" w14:textId="7F364A7C" w:rsidR="0060536C" w:rsidRDefault="0060536C" w:rsidP="00232CAF">
      <w:pPr>
        <w:keepNext/>
        <w:spacing w:before="0" w:after="0"/>
        <w:rPr>
          <w:i/>
        </w:rPr>
      </w:pPr>
      <w:r>
        <w:rPr>
          <w:i/>
        </w:rPr>
        <w:t>Relationship with insurance products</w:t>
      </w:r>
    </w:p>
    <w:p w14:paraId="172F9261" w14:textId="77777777" w:rsidR="00232CAF" w:rsidRDefault="00232CAF" w:rsidP="00232CAF">
      <w:pPr>
        <w:keepNext/>
        <w:spacing w:before="0" w:after="0"/>
      </w:pPr>
    </w:p>
    <w:p w14:paraId="2E655863" w14:textId="0743E053" w:rsidR="00CF5EFB" w:rsidRDefault="00CF5EFB" w:rsidP="00232CAF">
      <w:pPr>
        <w:spacing w:before="0" w:after="0"/>
      </w:pPr>
      <w:r>
        <w:t>The amendment</w:t>
      </w:r>
      <w:r w:rsidR="00073A2E">
        <w:t>s</w:t>
      </w:r>
      <w:r>
        <w:t xml:space="preserve"> relate to the release of superannuation benefits </w:t>
      </w:r>
      <w:r w:rsidR="00273C84">
        <w:t xml:space="preserve">where a </w:t>
      </w:r>
      <w:r>
        <w:t>terminal</w:t>
      </w:r>
      <w:r w:rsidR="00273C84">
        <w:t xml:space="preserve"> medical condition exists. </w:t>
      </w:r>
      <w:r w:rsidR="004927D9">
        <w:t xml:space="preserve">It is common for superannuation trustees </w:t>
      </w:r>
      <w:r w:rsidR="00073A2E">
        <w:t>to also</w:t>
      </w:r>
      <w:r w:rsidR="004927D9">
        <w:t xml:space="preserve"> offer members insurance products which pay a benefit in the event of a terminal medical condition, and these</w:t>
      </w:r>
      <w:r w:rsidR="009D7736">
        <w:t xml:space="preserve"> products use similar definitions based on a 12</w:t>
      </w:r>
      <w:r w:rsidR="00073A2E">
        <w:t xml:space="preserve"> </w:t>
      </w:r>
      <w:r w:rsidR="009D7736">
        <w:t>month certification period.</w:t>
      </w:r>
    </w:p>
    <w:p w14:paraId="0B2DD512" w14:textId="77777777" w:rsidR="00232CAF" w:rsidRDefault="00232CAF" w:rsidP="00232CAF">
      <w:pPr>
        <w:spacing w:before="0" w:after="0"/>
      </w:pPr>
    </w:p>
    <w:p w14:paraId="3143B649" w14:textId="06CDEED1" w:rsidR="008C489F" w:rsidRDefault="008C489F" w:rsidP="00232CAF">
      <w:pPr>
        <w:spacing w:before="0" w:after="0"/>
      </w:pPr>
      <w:r>
        <w:t xml:space="preserve">The Regulation makes no amendment to require such insurance products </w:t>
      </w:r>
      <w:r w:rsidR="00395DDF">
        <w:t>be offered on a 24</w:t>
      </w:r>
      <w:r w:rsidR="00073A2E">
        <w:t xml:space="preserve"> </w:t>
      </w:r>
      <w:r w:rsidR="00395DDF">
        <w:t>month certification period. Regulation </w:t>
      </w:r>
      <w:proofErr w:type="spellStart"/>
      <w:r w:rsidR="00395DDF">
        <w:t>4.07D</w:t>
      </w:r>
      <w:proofErr w:type="spellEnd"/>
      <w:r w:rsidR="00395DDF">
        <w:t xml:space="preserve"> of the </w:t>
      </w:r>
      <w:proofErr w:type="spellStart"/>
      <w:r w:rsidR="00395DDF">
        <w:t>SISR</w:t>
      </w:r>
      <w:proofErr w:type="spellEnd"/>
      <w:r w:rsidR="00D86283">
        <w:t xml:space="preserve"> provides that a trustee must not provide an insured benefit unless the insured event is consistent with certain conditions of release (including on </w:t>
      </w:r>
      <w:r w:rsidR="00073A2E">
        <w:t xml:space="preserve">the </w:t>
      </w:r>
      <w:r w:rsidR="00D86283">
        <w:t xml:space="preserve">grounds of a terminal medical condition), to ensure that </w:t>
      </w:r>
      <w:r w:rsidR="00141B10">
        <w:t>insured benefits are able</w:t>
      </w:r>
      <w:r w:rsidR="00073A2E">
        <w:t>,</w:t>
      </w:r>
      <w:r w:rsidR="00141B10">
        <w:t xml:space="preserve"> in all circumstances</w:t>
      </w:r>
      <w:r w:rsidR="00073A2E">
        <w:t xml:space="preserve">, </w:t>
      </w:r>
      <w:r w:rsidR="00141B10">
        <w:t xml:space="preserve">to </w:t>
      </w:r>
      <w:r w:rsidR="004A6CF5">
        <w:t>be released to members</w:t>
      </w:r>
      <w:r w:rsidR="00D86283">
        <w:t xml:space="preserve">. </w:t>
      </w:r>
      <w:r w:rsidR="004A6CF5">
        <w:t>A 12</w:t>
      </w:r>
      <w:r w:rsidR="00073A2E">
        <w:t xml:space="preserve"> </w:t>
      </w:r>
      <w:r w:rsidR="004A6CF5">
        <w:t xml:space="preserve">month period for insurance purposes is consistent with the </w:t>
      </w:r>
      <w:r w:rsidR="00C33674">
        <w:t>condition of release based on a 24</w:t>
      </w:r>
      <w:r w:rsidR="00073A2E">
        <w:t xml:space="preserve"> </w:t>
      </w:r>
      <w:r w:rsidR="00C33674">
        <w:t>month certification period</w:t>
      </w:r>
      <w:r w:rsidR="004A6CF5">
        <w:t xml:space="preserve">, because </w:t>
      </w:r>
      <w:r w:rsidR="00C33674">
        <w:t>the insurance benefit would be able to be released to the affected member.</w:t>
      </w:r>
    </w:p>
    <w:p w14:paraId="4F4B5B8A" w14:textId="77777777" w:rsidR="00232CAF" w:rsidRDefault="00232CAF" w:rsidP="00232CAF">
      <w:pPr>
        <w:spacing w:before="0" w:after="0"/>
      </w:pPr>
    </w:p>
    <w:p w14:paraId="02684B0E" w14:textId="089CDF7F" w:rsidR="00614F1A" w:rsidRDefault="00F85E31" w:rsidP="00232CAF">
      <w:pPr>
        <w:spacing w:before="0" w:after="0"/>
      </w:pPr>
      <w:r>
        <w:t xml:space="preserve">Consultation </w:t>
      </w:r>
      <w:r w:rsidR="002D3944">
        <w:t xml:space="preserve">also identified that </w:t>
      </w:r>
      <w:r>
        <w:t>superannuation funds are aware of the need to inform affected members of any differences between their superannuation and insurance benefits, and of any impacts that might have for the member (including, for example, the need to retain money in the superannuation fund to pay insurance premiums).</w:t>
      </w:r>
    </w:p>
    <w:p w14:paraId="6585086E" w14:textId="77777777" w:rsidR="00232CAF" w:rsidRDefault="00232CAF" w:rsidP="00232CAF">
      <w:pPr>
        <w:spacing w:before="0" w:after="0"/>
      </w:pPr>
    </w:p>
    <w:p w14:paraId="2710B7E9" w14:textId="4E297BCC" w:rsidR="009B3799" w:rsidRDefault="009B3799" w:rsidP="00232CAF">
      <w:pPr>
        <w:spacing w:before="0" w:after="0"/>
        <w:rPr>
          <w:b/>
        </w:rPr>
      </w:pPr>
      <w:r>
        <w:rPr>
          <w:b/>
        </w:rPr>
        <w:t>Conditions and commencement</w:t>
      </w:r>
    </w:p>
    <w:p w14:paraId="147EF1B0" w14:textId="77777777" w:rsidR="00232CAF" w:rsidRDefault="00232CAF" w:rsidP="00232CAF">
      <w:pPr>
        <w:spacing w:before="0" w:after="0"/>
      </w:pPr>
    </w:p>
    <w:p w14:paraId="1F8D1F4F" w14:textId="5C8BA3E0" w:rsidR="006E7C8A" w:rsidRDefault="006E7C8A" w:rsidP="00232CAF">
      <w:pPr>
        <w:spacing w:before="0" w:after="0"/>
      </w:pPr>
      <w:r>
        <w:t>The Principal Acts do not specify any conditions that need to be met before the power to make the Regulation can be exercised.</w:t>
      </w:r>
    </w:p>
    <w:p w14:paraId="54B61806" w14:textId="77777777" w:rsidR="00232CAF" w:rsidRDefault="00232CAF" w:rsidP="00232CAF">
      <w:pPr>
        <w:spacing w:before="0" w:after="0"/>
      </w:pPr>
    </w:p>
    <w:p w14:paraId="33303C72" w14:textId="546441AE" w:rsidR="006E7C8A" w:rsidRDefault="006E7C8A" w:rsidP="00232CAF">
      <w:pPr>
        <w:spacing w:before="0" w:after="0"/>
      </w:pPr>
      <w:r>
        <w:t xml:space="preserve">The Regulation is a legislative instrument for the purposes of the </w:t>
      </w:r>
      <w:r>
        <w:rPr>
          <w:i/>
        </w:rPr>
        <w:t>Legislative Instruments Act 2003</w:t>
      </w:r>
      <w:r>
        <w:t xml:space="preserve">. </w:t>
      </w:r>
    </w:p>
    <w:p w14:paraId="110D8C85" w14:textId="77777777" w:rsidR="00232CAF" w:rsidRDefault="00232CAF" w:rsidP="00232CAF">
      <w:pPr>
        <w:spacing w:before="0" w:after="0"/>
      </w:pPr>
    </w:p>
    <w:p w14:paraId="4D8C9908" w14:textId="07165C6D" w:rsidR="006E7C8A" w:rsidRDefault="00F109D4" w:rsidP="00232CAF">
      <w:pPr>
        <w:spacing w:before="0" w:after="0"/>
      </w:pPr>
      <w:r w:rsidRPr="00503E44">
        <w:t xml:space="preserve">The </w:t>
      </w:r>
      <w:r w:rsidR="006E7C8A">
        <w:t>Regulation commences</w:t>
      </w:r>
      <w:r w:rsidR="00060718">
        <w:t xml:space="preserve"> </w:t>
      </w:r>
      <w:r w:rsidR="000C25EE">
        <w:t>on</w:t>
      </w:r>
      <w:r w:rsidR="00060718">
        <w:t xml:space="preserve"> 1 July 2015. </w:t>
      </w:r>
    </w:p>
    <w:p w14:paraId="5585773E" w14:textId="77777777" w:rsidR="00232CAF" w:rsidRDefault="00232CAF" w:rsidP="00232CAF">
      <w:pPr>
        <w:spacing w:before="0" w:after="0"/>
      </w:pPr>
    </w:p>
    <w:p w14:paraId="3EDED32D" w14:textId="1AF47DFB" w:rsidR="00006C98" w:rsidRDefault="00006C98" w:rsidP="00232CAF">
      <w:pPr>
        <w:spacing w:before="0" w:after="0"/>
        <w:rPr>
          <w:i/>
        </w:rPr>
      </w:pPr>
      <w:r>
        <w:t xml:space="preserve">These amendments do not affect the rights of individuals such that they are disadvantaged and do not impose liabilities on affected individuals before the date of registration for the purposes of the </w:t>
      </w:r>
      <w:r>
        <w:rPr>
          <w:i/>
        </w:rPr>
        <w:t>Legislative Instrument Act 2003.</w:t>
      </w:r>
    </w:p>
    <w:p w14:paraId="50D723C8" w14:textId="77777777" w:rsidR="00232CAF" w:rsidRDefault="00232CAF" w:rsidP="00232CAF">
      <w:pPr>
        <w:spacing w:before="0" w:after="0"/>
      </w:pPr>
    </w:p>
    <w:p w14:paraId="0A6BD683" w14:textId="75B104AD" w:rsidR="007069F1" w:rsidRDefault="006E7C8A" w:rsidP="007069F1">
      <w:pPr>
        <w:spacing w:before="0"/>
      </w:pPr>
      <w:r>
        <w:br w:type="page"/>
      </w:r>
    </w:p>
    <w:p w14:paraId="3AB026D8" w14:textId="3405CDC8" w:rsidR="007069F1" w:rsidRPr="007069F1" w:rsidRDefault="007069F1" w:rsidP="007069F1">
      <w:pPr>
        <w:spacing w:before="0"/>
        <w:jc w:val="right"/>
        <w:rPr>
          <w:b/>
          <w:u w:val="single"/>
        </w:rPr>
      </w:pPr>
      <w:r>
        <w:rPr>
          <w:b/>
          <w:u w:val="single"/>
        </w:rPr>
        <w:lastRenderedPageBreak/>
        <w:t>ATTACHMENT</w:t>
      </w:r>
    </w:p>
    <w:p w14:paraId="320BBE39" w14:textId="622014E9" w:rsidR="00C317EE" w:rsidRDefault="00C317EE" w:rsidP="007069F1">
      <w:pPr>
        <w:spacing w:before="0"/>
        <w:rPr>
          <w:b/>
          <w:i/>
          <w:u w:val="single"/>
        </w:rPr>
      </w:pPr>
      <w:r>
        <w:rPr>
          <w:b/>
          <w:u w:val="single"/>
        </w:rPr>
        <w:t xml:space="preserve">Details of the </w:t>
      </w:r>
      <w:r>
        <w:rPr>
          <w:b/>
          <w:i/>
          <w:u w:val="single"/>
        </w:rPr>
        <w:t>Tax and Superannuation Laws Amendment (Terminal Medical Condition</w:t>
      </w:r>
      <w:r w:rsidR="00232CAF">
        <w:rPr>
          <w:b/>
          <w:i/>
          <w:u w:val="single"/>
        </w:rPr>
        <w:t>s</w:t>
      </w:r>
      <w:r>
        <w:rPr>
          <w:b/>
          <w:i/>
          <w:u w:val="single"/>
        </w:rPr>
        <w:t>) Regulation 2015</w:t>
      </w:r>
    </w:p>
    <w:p w14:paraId="100F1041" w14:textId="2611DBC9" w:rsidR="007069F1" w:rsidRDefault="007069F1" w:rsidP="007069F1">
      <w:pPr>
        <w:spacing w:before="0"/>
        <w:rPr>
          <w:u w:val="single"/>
        </w:rPr>
      </w:pPr>
      <w:r>
        <w:rPr>
          <w:u w:val="single"/>
        </w:rPr>
        <w:t xml:space="preserve">Section 1 – Name of Regulation </w:t>
      </w:r>
    </w:p>
    <w:p w14:paraId="16296253" w14:textId="13160552" w:rsidR="007069F1" w:rsidRDefault="007069F1" w:rsidP="007069F1">
      <w:pPr>
        <w:spacing w:before="0"/>
      </w:pPr>
      <w:r>
        <w:t xml:space="preserve">This section provides that the title of the Regulation is the </w:t>
      </w:r>
      <w:r>
        <w:rPr>
          <w:i/>
        </w:rPr>
        <w:t>Tax and Superannuation Laws Amendment (Terminal Medical Condition</w:t>
      </w:r>
      <w:r w:rsidR="00232CAF">
        <w:rPr>
          <w:i/>
        </w:rPr>
        <w:t>s</w:t>
      </w:r>
      <w:r>
        <w:rPr>
          <w:i/>
        </w:rPr>
        <w:t xml:space="preserve">) Regulation 2015 </w:t>
      </w:r>
      <w:r w:rsidR="00232CAF">
        <w:t>(</w:t>
      </w:r>
      <w:r>
        <w:t xml:space="preserve">Regulation). </w:t>
      </w:r>
    </w:p>
    <w:p w14:paraId="409AABD9" w14:textId="59D3E91A" w:rsidR="007069F1" w:rsidRDefault="007069F1" w:rsidP="007069F1">
      <w:pPr>
        <w:spacing w:before="0"/>
      </w:pPr>
      <w:r>
        <w:rPr>
          <w:u w:val="single"/>
        </w:rPr>
        <w:t xml:space="preserve">Section 2 – Commencement </w:t>
      </w:r>
    </w:p>
    <w:p w14:paraId="31A26DE0" w14:textId="150B2133" w:rsidR="007069F1" w:rsidRDefault="007069F1" w:rsidP="007069F1">
      <w:pPr>
        <w:spacing w:before="0"/>
      </w:pPr>
      <w:r>
        <w:t>This section provides that each provision of the Regulation specified in column 1 of the table commences, or is taken to have commenced, in accordance with column 2 of the table, and that any other statement in column 2 has effect according to its terms.</w:t>
      </w:r>
    </w:p>
    <w:p w14:paraId="3F5E05A3" w14:textId="46773725" w:rsidR="007069F1" w:rsidRDefault="007069F1" w:rsidP="007069F1">
      <w:pPr>
        <w:spacing w:before="0"/>
        <w:rPr>
          <w:u w:val="single"/>
        </w:rPr>
      </w:pPr>
      <w:r>
        <w:rPr>
          <w:u w:val="single"/>
        </w:rPr>
        <w:t>Section 3 – Authority</w:t>
      </w:r>
    </w:p>
    <w:p w14:paraId="670552FA" w14:textId="021F01D5" w:rsidR="007069F1" w:rsidRDefault="007069F1" w:rsidP="007069F1">
      <w:pPr>
        <w:spacing w:before="0"/>
      </w:pPr>
      <w:r>
        <w:t>This section provides that the Regulation is made under the</w:t>
      </w:r>
      <w:r w:rsidRPr="007069F1">
        <w:rPr>
          <w:i/>
        </w:rPr>
        <w:t xml:space="preserve"> </w:t>
      </w:r>
      <w:r>
        <w:rPr>
          <w:i/>
        </w:rPr>
        <w:t>Income Tax Assessment Act 1997</w:t>
      </w:r>
      <w:r>
        <w:t xml:space="preserve">, the </w:t>
      </w:r>
      <w:r>
        <w:rPr>
          <w:i/>
        </w:rPr>
        <w:t xml:space="preserve">Retirement Savings Accounts Act 1997 </w:t>
      </w:r>
      <w:r>
        <w:t xml:space="preserve">and the </w:t>
      </w:r>
      <w:r>
        <w:rPr>
          <w:i/>
        </w:rPr>
        <w:t>Superannuation Industry (Supervision) Act 1993</w:t>
      </w:r>
      <w:r>
        <w:t xml:space="preserve">. </w:t>
      </w:r>
    </w:p>
    <w:p w14:paraId="44F18F9B" w14:textId="6085E7DF" w:rsidR="007069F1" w:rsidRDefault="007069F1" w:rsidP="007069F1">
      <w:pPr>
        <w:spacing w:before="0"/>
      </w:pPr>
      <w:r>
        <w:rPr>
          <w:u w:val="single"/>
        </w:rPr>
        <w:t xml:space="preserve">Section 4 – Schedule </w:t>
      </w:r>
    </w:p>
    <w:p w14:paraId="0C1D4BF4" w14:textId="250FAE74" w:rsidR="007069F1" w:rsidRDefault="007069F1" w:rsidP="007069F1">
      <w:pPr>
        <w:spacing w:before="0"/>
      </w:pPr>
      <w:r>
        <w:t xml:space="preserve">This section provides that each instrument that is specified in a Schedule to this instrument is amended or repealed as set out in the applicable items in the Schedule concerned, and any other item in a Schedule to this instrument has effect according to its terms. </w:t>
      </w:r>
    </w:p>
    <w:p w14:paraId="71354E74" w14:textId="44B27A1D" w:rsidR="007069F1" w:rsidRDefault="007069F1" w:rsidP="007069F1">
      <w:pPr>
        <w:spacing w:before="0"/>
        <w:rPr>
          <w:b/>
        </w:rPr>
      </w:pPr>
      <w:r>
        <w:rPr>
          <w:b/>
        </w:rPr>
        <w:t>Schedule 1 – Amendments</w:t>
      </w:r>
    </w:p>
    <w:p w14:paraId="4C695B22" w14:textId="77777777" w:rsidR="007069F1" w:rsidRDefault="007069F1" w:rsidP="007069F1">
      <w:pPr>
        <w:rPr>
          <w:u w:val="single"/>
        </w:rPr>
      </w:pPr>
      <w:r>
        <w:rPr>
          <w:u w:val="single"/>
        </w:rPr>
        <w:t>Amendments to definition of ‘terminal medical condition’</w:t>
      </w:r>
    </w:p>
    <w:p w14:paraId="06240FC5" w14:textId="77777777" w:rsidR="00B36279" w:rsidRDefault="00B36279" w:rsidP="00B36279">
      <w:r>
        <w:t xml:space="preserve">The Regulation amends the </w:t>
      </w:r>
      <w:r>
        <w:rPr>
          <w:i/>
        </w:rPr>
        <w:t xml:space="preserve">Income Tax Assessment Regulations 1997 </w:t>
      </w:r>
      <w:r>
        <w:t>(</w:t>
      </w:r>
      <w:proofErr w:type="spellStart"/>
      <w:r>
        <w:t>ITAR</w:t>
      </w:r>
      <w:proofErr w:type="spellEnd"/>
      <w:r>
        <w:t xml:space="preserve">), the </w:t>
      </w:r>
      <w:r w:rsidRPr="002E3E44">
        <w:rPr>
          <w:i/>
        </w:rPr>
        <w:t>Retirement</w:t>
      </w:r>
      <w:r>
        <w:rPr>
          <w:i/>
        </w:rPr>
        <w:t xml:space="preserve"> Savings Accounts Regulations 1997 </w:t>
      </w:r>
      <w:r>
        <w:t>(</w:t>
      </w:r>
      <w:proofErr w:type="spellStart"/>
      <w:r>
        <w:t>RSAR</w:t>
      </w:r>
      <w:proofErr w:type="spellEnd"/>
      <w:r>
        <w:t xml:space="preserve">) and the </w:t>
      </w:r>
      <w:r>
        <w:rPr>
          <w:i/>
        </w:rPr>
        <w:t>Superannuation Industry (Supervision) Regulations 1994</w:t>
      </w:r>
      <w:r>
        <w:t xml:space="preserve"> (</w:t>
      </w:r>
      <w:proofErr w:type="spellStart"/>
      <w:r>
        <w:t>SISR</w:t>
      </w:r>
      <w:proofErr w:type="spellEnd"/>
      <w:r>
        <w:t>) to extend the certification period for a terminal medical condition for the purposes of releasing benefits from superannuation and the tax-free treatment of those benefits.</w:t>
      </w:r>
    </w:p>
    <w:p w14:paraId="307D9A83" w14:textId="6446352D" w:rsidR="00B36279" w:rsidRDefault="00073A2E" w:rsidP="00B36279">
      <w:r>
        <w:t xml:space="preserve">Section 303-10 of the </w:t>
      </w:r>
      <w:r w:rsidR="00B36279">
        <w:rPr>
          <w:i/>
        </w:rPr>
        <w:t xml:space="preserve">Income Tax Assessment Act 1997 </w:t>
      </w:r>
      <w:r w:rsidR="00B36279">
        <w:t>(</w:t>
      </w:r>
      <w:proofErr w:type="spellStart"/>
      <w:r w:rsidR="00B36279">
        <w:t>ITAA</w:t>
      </w:r>
      <w:proofErr w:type="spellEnd"/>
      <w:r w:rsidR="00B36279">
        <w:t xml:space="preserve">) provides that a superannuation lump sum paid to a person who has a terminal medical condition is non-assessable and non-exempt income (tax-free). </w:t>
      </w:r>
    </w:p>
    <w:p w14:paraId="5D9D51EE" w14:textId="5CA853BC" w:rsidR="00B36279" w:rsidRDefault="00B36279" w:rsidP="00B36279">
      <w:r>
        <w:t xml:space="preserve">The </w:t>
      </w:r>
      <w:proofErr w:type="spellStart"/>
      <w:r>
        <w:t>RSAR</w:t>
      </w:r>
      <w:proofErr w:type="spellEnd"/>
      <w:r>
        <w:t xml:space="preserve"> and </w:t>
      </w:r>
      <w:proofErr w:type="spellStart"/>
      <w:r>
        <w:t>SISR</w:t>
      </w:r>
      <w:proofErr w:type="spellEnd"/>
      <w:r>
        <w:t xml:space="preserve"> contain conditions of release that allow persons </w:t>
      </w:r>
      <w:r w:rsidR="00271A1C">
        <w:t>with</w:t>
      </w:r>
      <w:r>
        <w:t xml:space="preserve"> a terminal medical condition to access the full amount of their superannuation benefits without restriction. </w:t>
      </w:r>
    </w:p>
    <w:p w14:paraId="775CF618" w14:textId="754DE2FB" w:rsidR="00B36279" w:rsidRDefault="00B36279" w:rsidP="00B36279">
      <w:r>
        <w:t xml:space="preserve">The </w:t>
      </w:r>
      <w:proofErr w:type="spellStart"/>
      <w:r>
        <w:t>ITAR</w:t>
      </w:r>
      <w:proofErr w:type="spellEnd"/>
      <w:r>
        <w:t xml:space="preserve">, </w:t>
      </w:r>
      <w:proofErr w:type="spellStart"/>
      <w:r>
        <w:t>RSAR</w:t>
      </w:r>
      <w:proofErr w:type="spellEnd"/>
      <w:r>
        <w:t xml:space="preserve"> and </w:t>
      </w:r>
      <w:proofErr w:type="spellStart"/>
      <w:r>
        <w:t>SISR</w:t>
      </w:r>
      <w:proofErr w:type="spellEnd"/>
      <w:r>
        <w:t xml:space="preserve"> each contain the same definition of ‘terminal medical condition’. This definition prescribes that a terminal medical condition exists if two registered medical practitioners</w:t>
      </w:r>
      <w:r w:rsidR="003B6668">
        <w:t>, at least one of whom is a specialist,</w:t>
      </w:r>
      <w:r>
        <w:t xml:space="preserve"> have certified that a person suffers from an illness or injury that is likely to result in their death within the certification period of 12 months or less. </w:t>
      </w:r>
    </w:p>
    <w:p w14:paraId="4459E05E" w14:textId="7472FDD3" w:rsidR="00B36279" w:rsidRDefault="00B36279" w:rsidP="00B36279">
      <w:r>
        <w:t xml:space="preserve">Items 1, 2 and 3 amend the definition of ‘terminal medical condition’ in paragraph 303-10.01(a) of the </w:t>
      </w:r>
      <w:proofErr w:type="spellStart"/>
      <w:r>
        <w:t>ITAR</w:t>
      </w:r>
      <w:proofErr w:type="spellEnd"/>
      <w:r>
        <w:t xml:space="preserve">, paragraph </w:t>
      </w:r>
      <w:proofErr w:type="spellStart"/>
      <w:r>
        <w:t>4.01A</w:t>
      </w:r>
      <w:proofErr w:type="spellEnd"/>
      <w:r>
        <w:t xml:space="preserve">(a) of the </w:t>
      </w:r>
      <w:proofErr w:type="spellStart"/>
      <w:r>
        <w:t>RSAR</w:t>
      </w:r>
      <w:proofErr w:type="spellEnd"/>
      <w:r>
        <w:t xml:space="preserve"> and paragraph </w:t>
      </w:r>
      <w:proofErr w:type="spellStart"/>
      <w:r>
        <w:t>6.01A</w:t>
      </w:r>
      <w:proofErr w:type="spellEnd"/>
      <w:r>
        <w:t xml:space="preserve">(a) of the </w:t>
      </w:r>
      <w:proofErr w:type="spellStart"/>
      <w:r>
        <w:t>SISR</w:t>
      </w:r>
      <w:proofErr w:type="spellEnd"/>
      <w:r>
        <w:t xml:space="preserve"> respectively to increase the</w:t>
      </w:r>
      <w:r w:rsidR="00271A1C">
        <w:t xml:space="preserve"> maximum</w:t>
      </w:r>
      <w:r>
        <w:t xml:space="preserve"> certification period from 12 to 24</w:t>
      </w:r>
      <w:r w:rsidR="003B6668">
        <w:t> </w:t>
      </w:r>
      <w:r>
        <w:t xml:space="preserve">months. </w:t>
      </w:r>
    </w:p>
    <w:p w14:paraId="14BE6C32" w14:textId="5BAC10A4" w:rsidR="00545676" w:rsidRPr="007069F1" w:rsidRDefault="00545676" w:rsidP="00CE0ACF">
      <w:pPr>
        <w:spacing w:before="0" w:after="0"/>
        <w:rPr>
          <w:b/>
          <w:u w:val="single"/>
        </w:rPr>
      </w:pPr>
    </w:p>
    <w:p w14:paraId="755CDB3E" w14:textId="77777777" w:rsidR="006E3B26" w:rsidRDefault="00545676" w:rsidP="006E3B26">
      <w:pPr>
        <w:pStyle w:val="Heading3"/>
      </w:pPr>
      <w:r>
        <w:rPr>
          <w:b w:val="0"/>
        </w:rPr>
        <w:tab/>
      </w:r>
      <w:r w:rsidR="006E3B26">
        <w:t>Statement of Compatibility with Human Rights</w:t>
      </w:r>
    </w:p>
    <w:p w14:paraId="5AEB7C45" w14:textId="77777777" w:rsidR="00E4438C" w:rsidRPr="00E4438C" w:rsidRDefault="00E4438C" w:rsidP="00E4438C">
      <w:pPr>
        <w:jc w:val="center"/>
        <w:rPr>
          <w:i/>
        </w:rPr>
      </w:pPr>
      <w:r w:rsidRPr="00E4438C">
        <w:rPr>
          <w:i/>
        </w:rPr>
        <w:t>Prepared in accordance with Part 3 of the Human Rights (Parliamentary Scrutiny) Act 2011</w:t>
      </w:r>
    </w:p>
    <w:p w14:paraId="78075660" w14:textId="7307547E" w:rsidR="00653E66" w:rsidRPr="00503E44" w:rsidRDefault="00653E66" w:rsidP="00653E66">
      <w:pPr>
        <w:tabs>
          <w:tab w:val="left" w:pos="1418"/>
        </w:tabs>
        <w:spacing w:after="240"/>
        <w:jc w:val="center"/>
        <w:rPr>
          <w:i/>
        </w:rPr>
      </w:pPr>
      <w:r>
        <w:rPr>
          <w:i/>
        </w:rPr>
        <w:t>Tax and Superannuation Laws Amendment (Terminal Medical Condition</w:t>
      </w:r>
      <w:r w:rsidR="00232CAF">
        <w:rPr>
          <w:i/>
        </w:rPr>
        <w:t>s</w:t>
      </w:r>
      <w:r>
        <w:rPr>
          <w:i/>
        </w:rPr>
        <w:t>) Regulation 2015</w:t>
      </w:r>
    </w:p>
    <w:p w14:paraId="29065599" w14:textId="77777777" w:rsidR="00E4438C" w:rsidRDefault="00E4438C" w:rsidP="00E4438C">
      <w:r>
        <w:t xml:space="preserve">This Legislative Instrument is compatible with the human rights and freedoms recognised or declared in the international instruments listed in section 3 of the </w:t>
      </w:r>
      <w:r w:rsidRPr="00E4438C">
        <w:rPr>
          <w:i/>
        </w:rPr>
        <w:t>Human Rights (Parliamentary Scrutiny) Act 2011</w:t>
      </w:r>
      <w:r>
        <w:t>.</w:t>
      </w:r>
    </w:p>
    <w:p w14:paraId="730E8786" w14:textId="77777777" w:rsidR="00E4438C" w:rsidRDefault="00E4438C" w:rsidP="00E4438C">
      <w:pPr>
        <w:pStyle w:val="Heading4"/>
      </w:pPr>
      <w:r>
        <w:t xml:space="preserve">Overview of the </w:t>
      </w:r>
      <w:r w:rsidRPr="00E4438C">
        <w:t>Legislative</w:t>
      </w:r>
      <w:r>
        <w:t xml:space="preserve"> Instrument</w:t>
      </w:r>
    </w:p>
    <w:p w14:paraId="69E5ADB7" w14:textId="4ED6C785" w:rsidR="00653E66" w:rsidRDefault="00653E66" w:rsidP="00653E66">
      <w:pPr>
        <w:pStyle w:val="NormalWeb"/>
        <w:shd w:val="clear" w:color="auto" w:fill="FFFFFF"/>
        <w:rPr>
          <w:rFonts w:ascii="Lato" w:hAnsi="Lato" w:cs="Helvetica"/>
          <w:lang w:val="en-US"/>
        </w:rPr>
      </w:pPr>
      <w:r>
        <w:t xml:space="preserve">The purpose of the </w:t>
      </w:r>
      <w:r w:rsidRPr="0094689C">
        <w:rPr>
          <w:i/>
        </w:rPr>
        <w:t>Tax and Superannuation Laws Amendment (Terminal Medical Condition</w:t>
      </w:r>
      <w:r w:rsidR="00232CAF">
        <w:rPr>
          <w:i/>
        </w:rPr>
        <w:t>s</w:t>
      </w:r>
      <w:r w:rsidRPr="0094689C">
        <w:rPr>
          <w:i/>
        </w:rPr>
        <w:t>) Regulation 2015</w:t>
      </w:r>
      <w:r>
        <w:t xml:space="preserve"> (the Regulation) is to extend the certification period for a terminal medical condition for the purposes of releasing benefits from superannuation and the tax-free treatment of those benefits.</w:t>
      </w:r>
      <w:r w:rsidRPr="00653E66">
        <w:t xml:space="preserve"> </w:t>
      </w:r>
      <w:r w:rsidRPr="00653E66">
        <w:rPr>
          <w:rFonts w:ascii="Lato" w:hAnsi="Lato" w:cs="Helvetica"/>
          <w:lang w:val="en-US"/>
        </w:rPr>
        <w:t>Under the current provision</w:t>
      </w:r>
      <w:r>
        <w:rPr>
          <w:rFonts w:ascii="Lato" w:hAnsi="Lato" w:cs="Helvetica"/>
          <w:lang w:val="en-US"/>
        </w:rPr>
        <w:t xml:space="preserve">s, </w:t>
      </w:r>
      <w:r w:rsidRPr="00653E66">
        <w:rPr>
          <w:rFonts w:ascii="Lato" w:hAnsi="Lato" w:cs="Helvetica"/>
          <w:lang w:val="en-US"/>
        </w:rPr>
        <w:t>a person with a terminal</w:t>
      </w:r>
      <w:r>
        <w:rPr>
          <w:rFonts w:ascii="Lato" w:hAnsi="Lato" w:cs="Helvetica"/>
          <w:lang w:val="en-US"/>
        </w:rPr>
        <w:t xml:space="preserve"> medical condition is required to obtain certification </w:t>
      </w:r>
      <w:r w:rsidRPr="00653E66">
        <w:rPr>
          <w:rFonts w:ascii="Lato" w:hAnsi="Lato" w:cs="Helvetica"/>
          <w:lang w:val="en-US"/>
        </w:rPr>
        <w:t xml:space="preserve">from medical specialists </w:t>
      </w:r>
      <w:r>
        <w:rPr>
          <w:rFonts w:ascii="Lato" w:hAnsi="Lato" w:cs="Helvetica"/>
          <w:lang w:val="en-US"/>
        </w:rPr>
        <w:t xml:space="preserve">that </w:t>
      </w:r>
      <w:r w:rsidRPr="00653E66">
        <w:rPr>
          <w:rFonts w:ascii="Lato" w:hAnsi="Lato" w:cs="Helvetica"/>
          <w:lang w:val="en-US"/>
        </w:rPr>
        <w:t>they have less than 12 months to live.</w:t>
      </w:r>
      <w:r>
        <w:rPr>
          <w:rFonts w:ascii="Lato" w:hAnsi="Lato" w:cs="Helvetica"/>
          <w:lang w:val="en-US"/>
        </w:rPr>
        <w:t xml:space="preserve"> </w:t>
      </w:r>
    </w:p>
    <w:p w14:paraId="38A07767" w14:textId="455913C7" w:rsidR="00653E66" w:rsidRDefault="00653E66" w:rsidP="00653E66">
      <w:pPr>
        <w:pStyle w:val="NormalWeb"/>
        <w:shd w:val="clear" w:color="auto" w:fill="FFFFFF"/>
        <w:rPr>
          <w:rFonts w:ascii="Lato" w:hAnsi="Lato" w:cs="Helvetica"/>
          <w:lang w:val="en-US"/>
        </w:rPr>
      </w:pPr>
      <w:r>
        <w:rPr>
          <w:rFonts w:ascii="Lato" w:hAnsi="Lato" w:cs="Helvetica"/>
          <w:lang w:val="en-US"/>
        </w:rPr>
        <w:t xml:space="preserve">The Regulation will amend the </w:t>
      </w:r>
      <w:r>
        <w:rPr>
          <w:i/>
        </w:rPr>
        <w:t xml:space="preserve">Income Tax Assessment Regulations 1997, </w:t>
      </w:r>
      <w:r>
        <w:t xml:space="preserve">the </w:t>
      </w:r>
      <w:r w:rsidRPr="002E3E44">
        <w:rPr>
          <w:i/>
        </w:rPr>
        <w:t>Retirement</w:t>
      </w:r>
      <w:r>
        <w:rPr>
          <w:i/>
        </w:rPr>
        <w:t xml:space="preserve"> Savings Accounts Regulations 1997</w:t>
      </w:r>
      <w:r>
        <w:t xml:space="preserve"> and the </w:t>
      </w:r>
      <w:r>
        <w:rPr>
          <w:i/>
        </w:rPr>
        <w:t>Superannuation Industry (Supervision) Regulations 1994</w:t>
      </w:r>
      <w:r>
        <w:t xml:space="preserve"> to </w:t>
      </w:r>
      <w:r>
        <w:rPr>
          <w:rFonts w:ascii="Lato" w:hAnsi="Lato" w:cs="Helvetica"/>
          <w:lang w:val="en-US"/>
        </w:rPr>
        <w:t xml:space="preserve">extend the certification period to 24 months. This will allow terminally ill patients to access their superannuation benefits </w:t>
      </w:r>
      <w:r w:rsidR="000C25EE">
        <w:rPr>
          <w:rFonts w:ascii="Lato" w:hAnsi="Lato" w:cs="Helvetica"/>
          <w:lang w:val="en-US"/>
        </w:rPr>
        <w:t xml:space="preserve">tax-free </w:t>
      </w:r>
      <w:r>
        <w:rPr>
          <w:rFonts w:ascii="Lato" w:hAnsi="Lato" w:cs="Helvetica"/>
          <w:lang w:val="en-US"/>
        </w:rPr>
        <w:t>earlier.</w:t>
      </w:r>
    </w:p>
    <w:p w14:paraId="2882EFBF" w14:textId="77777777" w:rsidR="00E4438C" w:rsidRDefault="00E4438C" w:rsidP="00E4438C">
      <w:pPr>
        <w:pStyle w:val="Heading4"/>
      </w:pPr>
      <w:r>
        <w:t>Human rights implications</w:t>
      </w:r>
    </w:p>
    <w:p w14:paraId="3B1CB157" w14:textId="14BC0F26" w:rsidR="00060718" w:rsidRPr="00060718" w:rsidRDefault="00060718" w:rsidP="00060718">
      <w:pPr>
        <w:tabs>
          <w:tab w:val="num" w:pos="1985"/>
        </w:tabs>
      </w:pPr>
      <w:r>
        <w:t>The Regulation interacts</w:t>
      </w:r>
      <w:r w:rsidRPr="00060718">
        <w:t xml:space="preserve"> with the right to social security as recognised in </w:t>
      </w:r>
      <w:r w:rsidRPr="00060718">
        <w:rPr>
          <w:lang w:val="en"/>
        </w:rPr>
        <w:t>Article 9 of the International Covenant on Economic, Social and Cultural Rights (</w:t>
      </w:r>
      <w:proofErr w:type="spellStart"/>
      <w:r w:rsidRPr="00060718">
        <w:rPr>
          <w:lang w:val="en"/>
        </w:rPr>
        <w:t>ICESCR</w:t>
      </w:r>
      <w:proofErr w:type="spellEnd"/>
      <w:r w:rsidRPr="00060718">
        <w:rPr>
          <w:lang w:val="en"/>
        </w:rPr>
        <w:t xml:space="preserve">), and the right to an adequate standard of living in Article 11 of the </w:t>
      </w:r>
      <w:proofErr w:type="spellStart"/>
      <w:r w:rsidRPr="00060718">
        <w:rPr>
          <w:lang w:val="en"/>
        </w:rPr>
        <w:t>ICESCR</w:t>
      </w:r>
      <w:proofErr w:type="spellEnd"/>
      <w:r w:rsidRPr="00060718">
        <w:rPr>
          <w:lang w:val="en"/>
        </w:rPr>
        <w:t>.</w:t>
      </w:r>
    </w:p>
    <w:p w14:paraId="1A46ED86" w14:textId="45174A8C" w:rsidR="0076229D" w:rsidRDefault="00060718" w:rsidP="00E4438C">
      <w:r>
        <w:t xml:space="preserve">The amendments made by the Regulation </w:t>
      </w:r>
      <w:r w:rsidR="000C25EE">
        <w:t xml:space="preserve">promote an individual’s right to social security and the right to an adequate standard of living by allowing a person with a terminal medical condition to access their superannuation benefits tax-free earlier. </w:t>
      </w:r>
    </w:p>
    <w:p w14:paraId="690459C5" w14:textId="77777777" w:rsidR="00E4438C" w:rsidRDefault="00E4438C" w:rsidP="00E4438C">
      <w:pPr>
        <w:pStyle w:val="Heading4"/>
      </w:pPr>
      <w:r>
        <w:t>Conclusion</w:t>
      </w:r>
    </w:p>
    <w:p w14:paraId="66F4C543" w14:textId="77777777" w:rsidR="00E4438C" w:rsidRDefault="00E4438C" w:rsidP="00E4438C">
      <w:r>
        <w:t>This Legislative Instrument is compatible with human rights as it does not raise any human rights issues.</w:t>
      </w:r>
    </w:p>
    <w:sectPr w:rsidR="00E4438C" w:rsidSect="00392BBA">
      <w:head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B06B9" w14:textId="77777777" w:rsidR="003B6668" w:rsidRDefault="003B6668" w:rsidP="006E4330">
      <w:pPr>
        <w:spacing w:before="0" w:after="0"/>
      </w:pPr>
      <w:r>
        <w:separator/>
      </w:r>
    </w:p>
  </w:endnote>
  <w:endnote w:type="continuationSeparator" w:id="0">
    <w:p w14:paraId="168405C0" w14:textId="77777777" w:rsidR="003B6668" w:rsidRDefault="003B6668" w:rsidP="006E4330">
      <w:pPr>
        <w:spacing w:before="0" w:after="0"/>
      </w:pPr>
      <w:r>
        <w:continuationSeparator/>
      </w:r>
    </w:p>
  </w:endnote>
  <w:endnote w:type="continuationNotice" w:id="1">
    <w:p w14:paraId="1C8ACAD9" w14:textId="77777777" w:rsidR="003B6668" w:rsidRDefault="003B66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3F1A8" w14:textId="77777777" w:rsidR="003B6668" w:rsidRDefault="003B6668" w:rsidP="006E4330">
      <w:pPr>
        <w:spacing w:before="0" w:after="0"/>
      </w:pPr>
      <w:r>
        <w:separator/>
      </w:r>
    </w:p>
  </w:footnote>
  <w:footnote w:type="continuationSeparator" w:id="0">
    <w:p w14:paraId="55CBF471" w14:textId="77777777" w:rsidR="003B6668" w:rsidRDefault="003B6668" w:rsidP="006E4330">
      <w:pPr>
        <w:spacing w:before="0" w:after="0"/>
      </w:pPr>
      <w:r>
        <w:continuationSeparator/>
      </w:r>
    </w:p>
  </w:footnote>
  <w:footnote w:type="continuationNotice" w:id="1">
    <w:p w14:paraId="3AF28D36" w14:textId="77777777" w:rsidR="003B6668" w:rsidRDefault="003B666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75215"/>
      <w:docPartObj>
        <w:docPartGallery w:val="Page Numbers (Top of Page)"/>
        <w:docPartUnique/>
      </w:docPartObj>
    </w:sdtPr>
    <w:sdtEndPr>
      <w:rPr>
        <w:noProof/>
      </w:rPr>
    </w:sdtEndPr>
    <w:sdtContent>
      <w:p w14:paraId="5BCF0F79" w14:textId="335FD944" w:rsidR="003B6668" w:rsidRDefault="003B6668">
        <w:pPr>
          <w:pStyle w:val="Header"/>
          <w:jc w:val="center"/>
        </w:pPr>
        <w:r>
          <w:fldChar w:fldCharType="begin"/>
        </w:r>
        <w:r>
          <w:instrText xml:space="preserve"> PAGE   \* MERGEFORMAT </w:instrText>
        </w:r>
        <w:r>
          <w:fldChar w:fldCharType="separate"/>
        </w:r>
        <w:r w:rsidR="007005FB">
          <w:rPr>
            <w:noProof/>
          </w:rPr>
          <w:t>1</w:t>
        </w:r>
        <w:r>
          <w:rPr>
            <w:noProof/>
          </w:rPr>
          <w:fldChar w:fldCharType="end"/>
        </w:r>
      </w:p>
    </w:sdtContent>
  </w:sdt>
  <w:p w14:paraId="7835E417" w14:textId="77777777" w:rsidR="003B6668" w:rsidRDefault="003B6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67"/>
    <w:rsid w:val="00006C98"/>
    <w:rsid w:val="00016EA2"/>
    <w:rsid w:val="000457AF"/>
    <w:rsid w:val="00060718"/>
    <w:rsid w:val="00073A2E"/>
    <w:rsid w:val="00095211"/>
    <w:rsid w:val="00095319"/>
    <w:rsid w:val="000A07AA"/>
    <w:rsid w:val="000A1E65"/>
    <w:rsid w:val="000B47E3"/>
    <w:rsid w:val="000C10DF"/>
    <w:rsid w:val="000C25EE"/>
    <w:rsid w:val="00101997"/>
    <w:rsid w:val="00113B45"/>
    <w:rsid w:val="001228DA"/>
    <w:rsid w:val="0013703C"/>
    <w:rsid w:val="00141B10"/>
    <w:rsid w:val="001E6A74"/>
    <w:rsid w:val="001F41D0"/>
    <w:rsid w:val="00220F16"/>
    <w:rsid w:val="00232CAF"/>
    <w:rsid w:val="00254C5B"/>
    <w:rsid w:val="00271A1C"/>
    <w:rsid w:val="00273C84"/>
    <w:rsid w:val="002D3944"/>
    <w:rsid w:val="002E3E44"/>
    <w:rsid w:val="002F5EBB"/>
    <w:rsid w:val="003342CD"/>
    <w:rsid w:val="00335042"/>
    <w:rsid w:val="003475B4"/>
    <w:rsid w:val="00392BBA"/>
    <w:rsid w:val="00395DDF"/>
    <w:rsid w:val="003B6668"/>
    <w:rsid w:val="00454E3B"/>
    <w:rsid w:val="004927D9"/>
    <w:rsid w:val="00495111"/>
    <w:rsid w:val="004A6CF5"/>
    <w:rsid w:val="004B70CE"/>
    <w:rsid w:val="004E39E1"/>
    <w:rsid w:val="004F6532"/>
    <w:rsid w:val="00503E44"/>
    <w:rsid w:val="00515283"/>
    <w:rsid w:val="00545676"/>
    <w:rsid w:val="0055675D"/>
    <w:rsid w:val="005833BE"/>
    <w:rsid w:val="005951DB"/>
    <w:rsid w:val="005A0305"/>
    <w:rsid w:val="005D7D5A"/>
    <w:rsid w:val="005E25ED"/>
    <w:rsid w:val="0060130D"/>
    <w:rsid w:val="0060536C"/>
    <w:rsid w:val="00614F1A"/>
    <w:rsid w:val="0064129F"/>
    <w:rsid w:val="00653E66"/>
    <w:rsid w:val="00656992"/>
    <w:rsid w:val="00666768"/>
    <w:rsid w:val="00677693"/>
    <w:rsid w:val="00690571"/>
    <w:rsid w:val="006A5F39"/>
    <w:rsid w:val="006E24C8"/>
    <w:rsid w:val="006E3B26"/>
    <w:rsid w:val="006E4330"/>
    <w:rsid w:val="006E7C8A"/>
    <w:rsid w:val="007005FB"/>
    <w:rsid w:val="007069F1"/>
    <w:rsid w:val="0076229D"/>
    <w:rsid w:val="007A22F9"/>
    <w:rsid w:val="007A7A54"/>
    <w:rsid w:val="007D2200"/>
    <w:rsid w:val="007E018D"/>
    <w:rsid w:val="007E55E7"/>
    <w:rsid w:val="00807E7D"/>
    <w:rsid w:val="00831675"/>
    <w:rsid w:val="008558C7"/>
    <w:rsid w:val="00865617"/>
    <w:rsid w:val="0088467C"/>
    <w:rsid w:val="00887933"/>
    <w:rsid w:val="008C489F"/>
    <w:rsid w:val="008D16F7"/>
    <w:rsid w:val="008E67C6"/>
    <w:rsid w:val="008F47DD"/>
    <w:rsid w:val="00910A38"/>
    <w:rsid w:val="0094689C"/>
    <w:rsid w:val="0096257A"/>
    <w:rsid w:val="00980D17"/>
    <w:rsid w:val="009A6256"/>
    <w:rsid w:val="009B3799"/>
    <w:rsid w:val="009D7736"/>
    <w:rsid w:val="009E2F86"/>
    <w:rsid w:val="009F6CD9"/>
    <w:rsid w:val="00A12209"/>
    <w:rsid w:val="00A36DF3"/>
    <w:rsid w:val="00A532DD"/>
    <w:rsid w:val="00A53EFF"/>
    <w:rsid w:val="00A80BCF"/>
    <w:rsid w:val="00AC4337"/>
    <w:rsid w:val="00B07B0C"/>
    <w:rsid w:val="00B36279"/>
    <w:rsid w:val="00B47290"/>
    <w:rsid w:val="00B95601"/>
    <w:rsid w:val="00BC6DA1"/>
    <w:rsid w:val="00BD61A2"/>
    <w:rsid w:val="00BE484D"/>
    <w:rsid w:val="00C317EE"/>
    <w:rsid w:val="00C33674"/>
    <w:rsid w:val="00C35B6C"/>
    <w:rsid w:val="00C37E05"/>
    <w:rsid w:val="00C55D29"/>
    <w:rsid w:val="00C64020"/>
    <w:rsid w:val="00C92C57"/>
    <w:rsid w:val="00CE0ACF"/>
    <w:rsid w:val="00CF5EFB"/>
    <w:rsid w:val="00D2024B"/>
    <w:rsid w:val="00D34626"/>
    <w:rsid w:val="00D4257A"/>
    <w:rsid w:val="00D46A67"/>
    <w:rsid w:val="00D63FB8"/>
    <w:rsid w:val="00D76C7F"/>
    <w:rsid w:val="00D86283"/>
    <w:rsid w:val="00DC0CDE"/>
    <w:rsid w:val="00DC7FDB"/>
    <w:rsid w:val="00E017AD"/>
    <w:rsid w:val="00E0624D"/>
    <w:rsid w:val="00E4438C"/>
    <w:rsid w:val="00E457F3"/>
    <w:rsid w:val="00EB7E71"/>
    <w:rsid w:val="00F109D4"/>
    <w:rsid w:val="00F31F36"/>
    <w:rsid w:val="00F85E31"/>
    <w:rsid w:val="00FA1139"/>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2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6E7C8A"/>
    <w:rPr>
      <w:sz w:val="16"/>
      <w:szCs w:val="16"/>
    </w:rPr>
  </w:style>
  <w:style w:type="paragraph" w:styleId="CommentText">
    <w:name w:val="annotation text"/>
    <w:basedOn w:val="Normal"/>
    <w:link w:val="CommentTextChar"/>
    <w:uiPriority w:val="99"/>
    <w:semiHidden/>
    <w:unhideWhenUsed/>
    <w:rsid w:val="006E7C8A"/>
    <w:rPr>
      <w:sz w:val="20"/>
    </w:rPr>
  </w:style>
  <w:style w:type="character" w:customStyle="1" w:styleId="CommentTextChar">
    <w:name w:val="Comment Text Char"/>
    <w:basedOn w:val="DefaultParagraphFont"/>
    <w:link w:val="CommentText"/>
    <w:uiPriority w:val="99"/>
    <w:semiHidden/>
    <w:rsid w:val="006E7C8A"/>
  </w:style>
  <w:style w:type="paragraph" w:styleId="CommentSubject">
    <w:name w:val="annotation subject"/>
    <w:basedOn w:val="CommentText"/>
    <w:next w:val="CommentText"/>
    <w:link w:val="CommentSubjectChar"/>
    <w:uiPriority w:val="99"/>
    <w:semiHidden/>
    <w:unhideWhenUsed/>
    <w:rsid w:val="006E7C8A"/>
    <w:rPr>
      <w:b/>
      <w:bCs/>
    </w:rPr>
  </w:style>
  <w:style w:type="character" w:customStyle="1" w:styleId="CommentSubjectChar">
    <w:name w:val="Comment Subject Char"/>
    <w:basedOn w:val="CommentTextChar"/>
    <w:link w:val="CommentSubject"/>
    <w:uiPriority w:val="99"/>
    <w:semiHidden/>
    <w:rsid w:val="006E7C8A"/>
    <w:rPr>
      <w:b/>
      <w:bCs/>
    </w:rPr>
  </w:style>
  <w:style w:type="paragraph" w:styleId="NormalWeb">
    <w:name w:val="Normal (Web)"/>
    <w:basedOn w:val="Normal"/>
    <w:uiPriority w:val="99"/>
    <w:unhideWhenUsed/>
    <w:rsid w:val="00653E66"/>
    <w:pPr>
      <w:spacing w:before="0" w:after="150"/>
    </w:pPr>
    <w:rPr>
      <w:szCs w:val="24"/>
    </w:rPr>
  </w:style>
  <w:style w:type="paragraph" w:styleId="Header">
    <w:name w:val="header"/>
    <w:basedOn w:val="Normal"/>
    <w:link w:val="HeaderChar"/>
    <w:uiPriority w:val="99"/>
    <w:unhideWhenUsed/>
    <w:rsid w:val="006E4330"/>
    <w:pPr>
      <w:tabs>
        <w:tab w:val="center" w:pos="4513"/>
        <w:tab w:val="right" w:pos="9026"/>
      </w:tabs>
      <w:spacing w:before="0" w:after="0"/>
    </w:pPr>
  </w:style>
  <w:style w:type="character" w:customStyle="1" w:styleId="HeaderChar">
    <w:name w:val="Header Char"/>
    <w:basedOn w:val="DefaultParagraphFont"/>
    <w:link w:val="Header"/>
    <w:uiPriority w:val="99"/>
    <w:rsid w:val="006E4330"/>
    <w:rPr>
      <w:sz w:val="24"/>
    </w:rPr>
  </w:style>
  <w:style w:type="paragraph" w:styleId="Footer">
    <w:name w:val="footer"/>
    <w:basedOn w:val="Normal"/>
    <w:link w:val="FooterChar"/>
    <w:uiPriority w:val="99"/>
    <w:unhideWhenUsed/>
    <w:rsid w:val="006E4330"/>
    <w:pPr>
      <w:tabs>
        <w:tab w:val="center" w:pos="4513"/>
        <w:tab w:val="right" w:pos="9026"/>
      </w:tabs>
      <w:spacing w:before="0" w:after="0"/>
    </w:pPr>
  </w:style>
  <w:style w:type="character" w:customStyle="1" w:styleId="FooterChar">
    <w:name w:val="Footer Char"/>
    <w:basedOn w:val="DefaultParagraphFont"/>
    <w:link w:val="Footer"/>
    <w:uiPriority w:val="99"/>
    <w:rsid w:val="006E433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styleId="CommentReference">
    <w:name w:val="annotation reference"/>
    <w:basedOn w:val="DefaultParagraphFont"/>
    <w:uiPriority w:val="99"/>
    <w:semiHidden/>
    <w:unhideWhenUsed/>
    <w:rsid w:val="006E7C8A"/>
    <w:rPr>
      <w:sz w:val="16"/>
      <w:szCs w:val="16"/>
    </w:rPr>
  </w:style>
  <w:style w:type="paragraph" w:styleId="CommentText">
    <w:name w:val="annotation text"/>
    <w:basedOn w:val="Normal"/>
    <w:link w:val="CommentTextChar"/>
    <w:uiPriority w:val="99"/>
    <w:semiHidden/>
    <w:unhideWhenUsed/>
    <w:rsid w:val="006E7C8A"/>
    <w:rPr>
      <w:sz w:val="20"/>
    </w:rPr>
  </w:style>
  <w:style w:type="character" w:customStyle="1" w:styleId="CommentTextChar">
    <w:name w:val="Comment Text Char"/>
    <w:basedOn w:val="DefaultParagraphFont"/>
    <w:link w:val="CommentText"/>
    <w:uiPriority w:val="99"/>
    <w:semiHidden/>
    <w:rsid w:val="006E7C8A"/>
  </w:style>
  <w:style w:type="paragraph" w:styleId="CommentSubject">
    <w:name w:val="annotation subject"/>
    <w:basedOn w:val="CommentText"/>
    <w:next w:val="CommentText"/>
    <w:link w:val="CommentSubjectChar"/>
    <w:uiPriority w:val="99"/>
    <w:semiHidden/>
    <w:unhideWhenUsed/>
    <w:rsid w:val="006E7C8A"/>
    <w:rPr>
      <w:b/>
      <w:bCs/>
    </w:rPr>
  </w:style>
  <w:style w:type="character" w:customStyle="1" w:styleId="CommentSubjectChar">
    <w:name w:val="Comment Subject Char"/>
    <w:basedOn w:val="CommentTextChar"/>
    <w:link w:val="CommentSubject"/>
    <w:uiPriority w:val="99"/>
    <w:semiHidden/>
    <w:rsid w:val="006E7C8A"/>
    <w:rPr>
      <w:b/>
      <w:bCs/>
    </w:rPr>
  </w:style>
  <w:style w:type="paragraph" w:styleId="NormalWeb">
    <w:name w:val="Normal (Web)"/>
    <w:basedOn w:val="Normal"/>
    <w:uiPriority w:val="99"/>
    <w:unhideWhenUsed/>
    <w:rsid w:val="00653E66"/>
    <w:pPr>
      <w:spacing w:before="0" w:after="150"/>
    </w:pPr>
    <w:rPr>
      <w:szCs w:val="24"/>
    </w:rPr>
  </w:style>
  <w:style w:type="paragraph" w:styleId="Header">
    <w:name w:val="header"/>
    <w:basedOn w:val="Normal"/>
    <w:link w:val="HeaderChar"/>
    <w:uiPriority w:val="99"/>
    <w:unhideWhenUsed/>
    <w:rsid w:val="006E4330"/>
    <w:pPr>
      <w:tabs>
        <w:tab w:val="center" w:pos="4513"/>
        <w:tab w:val="right" w:pos="9026"/>
      </w:tabs>
      <w:spacing w:before="0" w:after="0"/>
    </w:pPr>
  </w:style>
  <w:style w:type="character" w:customStyle="1" w:styleId="HeaderChar">
    <w:name w:val="Header Char"/>
    <w:basedOn w:val="DefaultParagraphFont"/>
    <w:link w:val="Header"/>
    <w:uiPriority w:val="99"/>
    <w:rsid w:val="006E4330"/>
    <w:rPr>
      <w:sz w:val="24"/>
    </w:rPr>
  </w:style>
  <w:style w:type="paragraph" w:styleId="Footer">
    <w:name w:val="footer"/>
    <w:basedOn w:val="Normal"/>
    <w:link w:val="FooterChar"/>
    <w:uiPriority w:val="99"/>
    <w:unhideWhenUsed/>
    <w:rsid w:val="006E4330"/>
    <w:pPr>
      <w:tabs>
        <w:tab w:val="center" w:pos="4513"/>
        <w:tab w:val="right" w:pos="9026"/>
      </w:tabs>
      <w:spacing w:before="0" w:after="0"/>
    </w:pPr>
  </w:style>
  <w:style w:type="character" w:customStyle="1" w:styleId="FooterChar">
    <w:name w:val="Footer Char"/>
    <w:basedOn w:val="DefaultParagraphFont"/>
    <w:link w:val="Footer"/>
    <w:uiPriority w:val="99"/>
    <w:rsid w:val="006E43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11</Value>
    </TaxCatchAll>
    <_dlc_DocId xmlns="9f7bc583-7cbe-45b9-a2bd-8bbb6543b37e">2014RG-86-14932</_dlc_DocId>
    <_dlc_DocIdUrl xmlns="9f7bc583-7cbe-45b9-a2bd-8bbb6543b37e">
      <Url>http://tweb/sites/rg/ldp/lmu/_layouts/15/DocIdRedir.aspx?ID=2014RG-86-14932</Url>
      <Description>2014RG-86-14932</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19" ma:contentTypeDescription=" " ma:contentTypeScope="" ma:versionID="a682023c0372fd80f246bc2ddd41ab6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a0810852fcff98aaa9c19b15de1ced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489A-D335-4B58-8491-2413BC91E734}">
  <ds:schemaRefs>
    <ds:schemaRef ds:uri="http://schemas.microsoft.com/office/2006/metadata/properties"/>
    <ds:schemaRef ds:uri="http://schemas.microsoft.com/office/infopath/2007/PartnerControls"/>
    <ds:schemaRef ds:uri="9f7bc583-7cbe-45b9-a2bd-8bbb6543b37e"/>
    <ds:schemaRef ds:uri="http://schemas.microsoft.com/sharepoint/v4"/>
  </ds:schemaRefs>
</ds:datastoreItem>
</file>

<file path=customXml/itemProps2.xml><?xml version="1.0" encoding="utf-8"?>
<ds:datastoreItem xmlns:ds="http://schemas.openxmlformats.org/officeDocument/2006/customXml" ds:itemID="{D021F37B-14E0-4226-AB3A-DBB52592DAE4}">
  <ds:schemaRefs>
    <ds:schemaRef ds:uri="http://schemas.microsoft.com/sharepoint/v3/contenttype/forms"/>
  </ds:schemaRefs>
</ds:datastoreItem>
</file>

<file path=customXml/itemProps3.xml><?xml version="1.0" encoding="utf-8"?>
<ds:datastoreItem xmlns:ds="http://schemas.openxmlformats.org/officeDocument/2006/customXml" ds:itemID="{05DA4EB5-3C7A-48F7-B6A1-2B46D430D091}">
  <ds:schemaRefs>
    <ds:schemaRef ds:uri="http://schemas.microsoft.com/sharepoint/events"/>
  </ds:schemaRefs>
</ds:datastoreItem>
</file>

<file path=customXml/itemProps4.xml><?xml version="1.0" encoding="utf-8"?>
<ds:datastoreItem xmlns:ds="http://schemas.openxmlformats.org/officeDocument/2006/customXml" ds:itemID="{A29E647F-1169-41F7-BF19-5459C0AAF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E8627-6FDD-49DF-AD14-C34F86A1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ExCo-Explanatory Statement.dotm</Template>
  <TotalTime>1</TotalTime>
  <Pages>4</Pages>
  <Words>1368</Words>
  <Characters>7771</Characters>
  <Application>Microsoft Office Word</Application>
  <DocSecurity>0</DocSecurity>
  <Lines>706</Lines>
  <Paragraphs>380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King, Ashlea</dc:creator>
  <cp:lastModifiedBy>Gibson, Vikki</cp:lastModifiedBy>
  <cp:revision>2</cp:revision>
  <cp:lastPrinted>2015-05-27T05:58:00Z</cp:lastPrinted>
  <dcterms:created xsi:type="dcterms:W3CDTF">2015-06-22T07:23:00Z</dcterms:created>
  <dcterms:modified xsi:type="dcterms:W3CDTF">2015-06-22T07:23:00Z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-1820307878</vt:i4>
  </property>
  <property fmtid="{D5CDD505-2E9C-101B-9397-08002B2CF9AE}" pid="3" name="_NewReviewCycle">
    <vt:lpwstr/>
  </property>
  <property fmtid="{D5CDD505-2E9C-101B-9397-08002B2CF9AE}" pid="4" name="_EmailSubject">
    <vt:lpwstr>EXCO papers: terminal medical condition (RGR44/075)</vt:lpwstr>
  </property>
  <property fmtid="{D5CDD505-2E9C-101B-9397-08002B2CF9AE}" pid="5" name="_AuthorEmail">
    <vt:lpwstr>Ashlea.King@treasury.gov.au</vt:lpwstr>
  </property>
  <property fmtid="{D5CDD505-2E9C-101B-9397-08002B2CF9AE}" pid="6" name="_AuthorEmailDisplayName">
    <vt:lpwstr>King, Ashlea</vt:lpwstr>
  </property>
  <property fmtid="{D5CDD505-2E9C-101B-9397-08002B2CF9AE}" pid="7" name="ContentTypeId">
    <vt:lpwstr>0x01010036BB8DE7EC542E42A8B2E98CC20CB69700A0A840AFAB52624689FA9AA81E9EF0D1</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32d6de0a-593d-4dae-b17b-246db35e9b7f</vt:lpwstr>
  </property>
  <property fmtid="{D5CDD505-2E9C-101B-9397-08002B2CF9AE}" pid="10" name="_PreviousAdHocReviewCycleID">
    <vt:i4>467699365</vt:i4>
  </property>
  <property fmtid="{D5CDD505-2E9C-101B-9397-08002B2CF9AE}" pid="11" name="_ReviewingToolsShownOnce">
    <vt:lpwstr/>
  </property>
</Properties>
</file>