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5F" w:rsidRPr="00172BEB" w:rsidRDefault="00F11A5F" w:rsidP="00F11A5F">
      <w:pPr>
        <w:pStyle w:val="Heading1"/>
      </w:pPr>
      <w:r>
        <w:t>Ombudsman Amendment (Prescribed Authorities) Regulation 2015</w:t>
      </w:r>
    </w:p>
    <w:p w:rsidR="006A15E7" w:rsidRDefault="00F11A5F" w:rsidP="001F206C">
      <w:pPr>
        <w:pStyle w:val="Heading1"/>
      </w:pPr>
      <w:r w:rsidRPr="00172BEB">
        <w:t>EXPLANATORY STATEMENT</w:t>
      </w:r>
    </w:p>
    <w:p w:rsidR="00C942AB" w:rsidRPr="00C942AB" w:rsidRDefault="00C942AB" w:rsidP="00C942AB">
      <w:pPr>
        <w:spacing w:before="100" w:beforeAutospacing="1" w:after="100" w:afterAutospacing="1" w:line="240" w:lineRule="auto"/>
        <w:jc w:val="center"/>
        <w:rPr>
          <w:rFonts w:eastAsia="Times New Roman"/>
          <w:sz w:val="24"/>
          <w:szCs w:val="24"/>
          <w:lang w:eastAsia="en-AU"/>
        </w:rPr>
      </w:pPr>
      <w:r w:rsidRPr="00C942AB">
        <w:rPr>
          <w:rFonts w:eastAsia="Times New Roman"/>
          <w:b/>
          <w:bCs/>
          <w:sz w:val="24"/>
          <w:szCs w:val="24"/>
          <w:u w:val="single"/>
          <w:lang w:eastAsia="en-AU"/>
        </w:rPr>
        <w:t xml:space="preserve">Select Legislative Instrument </w:t>
      </w:r>
      <w:r w:rsidR="00FD32CE">
        <w:rPr>
          <w:rFonts w:eastAsia="Times New Roman"/>
          <w:b/>
          <w:bCs/>
          <w:sz w:val="24"/>
          <w:szCs w:val="24"/>
          <w:u w:val="single"/>
          <w:lang w:eastAsia="en-AU"/>
        </w:rPr>
        <w:t>No. 105</w:t>
      </w:r>
      <w:bookmarkStart w:id="0" w:name="_GoBack"/>
      <w:bookmarkEnd w:id="0"/>
      <w:r w:rsidR="00734AAA">
        <w:rPr>
          <w:rFonts w:eastAsia="Times New Roman"/>
          <w:b/>
          <w:bCs/>
          <w:sz w:val="24"/>
          <w:szCs w:val="24"/>
          <w:u w:val="single"/>
          <w:lang w:eastAsia="en-AU"/>
        </w:rPr>
        <w:t xml:space="preserve">, </w:t>
      </w:r>
      <w:r w:rsidRPr="00C942AB">
        <w:rPr>
          <w:rFonts w:eastAsia="Times New Roman"/>
          <w:b/>
          <w:bCs/>
          <w:sz w:val="24"/>
          <w:szCs w:val="24"/>
          <w:u w:val="single"/>
          <w:lang w:eastAsia="en-AU"/>
        </w:rPr>
        <w:t>201</w:t>
      </w:r>
      <w:r w:rsidR="00734AAA">
        <w:rPr>
          <w:rFonts w:eastAsia="Times New Roman"/>
          <w:b/>
          <w:bCs/>
          <w:sz w:val="24"/>
          <w:szCs w:val="24"/>
          <w:u w:val="single"/>
          <w:lang w:eastAsia="en-AU"/>
        </w:rPr>
        <w:t>5</w:t>
      </w:r>
    </w:p>
    <w:p w:rsidR="00F11A5F" w:rsidRPr="00172BEB" w:rsidRDefault="00F11A5F" w:rsidP="00F11A5F">
      <w:pPr>
        <w:spacing w:before="180" w:line="240" w:lineRule="auto"/>
        <w:jc w:val="center"/>
        <w:rPr>
          <w:i/>
        </w:rPr>
      </w:pPr>
      <w:r w:rsidRPr="00172BEB">
        <w:t xml:space="preserve">Issued under the Authority of the </w:t>
      </w:r>
      <w:r>
        <w:t>Parliamentary Secretary to the Prime Minister</w:t>
      </w:r>
      <w:r w:rsidRPr="00172BEB">
        <w:t xml:space="preserve"> </w:t>
      </w:r>
      <w:r w:rsidRPr="00172BEB">
        <w:br/>
        <w:t xml:space="preserve">in compliance with section 26 of the </w:t>
      </w:r>
      <w:r w:rsidRPr="00172BEB">
        <w:rPr>
          <w:i/>
        </w:rPr>
        <w:t>Legislative Instruments Act 2003</w:t>
      </w:r>
    </w:p>
    <w:p w:rsidR="00F11A5F" w:rsidRPr="00172BEB" w:rsidRDefault="00F11A5F" w:rsidP="00F11A5F">
      <w:pPr>
        <w:pBdr>
          <w:bottom w:val="single" w:sz="4" w:space="1" w:color="auto"/>
        </w:pBdr>
        <w:spacing w:after="240"/>
        <w:jc w:val="center"/>
      </w:pPr>
    </w:p>
    <w:p w:rsidR="00F11A5F" w:rsidRPr="002045D9" w:rsidRDefault="00F11A5F" w:rsidP="004D7E6F">
      <w:pPr>
        <w:pStyle w:val="Heading2"/>
        <w:spacing w:before="0"/>
        <w:rPr>
          <w:szCs w:val="24"/>
        </w:rPr>
      </w:pPr>
      <w:r w:rsidRPr="002045D9">
        <w:rPr>
          <w:szCs w:val="24"/>
        </w:rPr>
        <w:t>OUTLINE</w:t>
      </w:r>
    </w:p>
    <w:p w:rsidR="006A15E7" w:rsidRDefault="006A15E7" w:rsidP="004D7E6F">
      <w:pPr>
        <w:ind w:right="91"/>
        <w:rPr>
          <w:sz w:val="24"/>
          <w:szCs w:val="24"/>
        </w:rPr>
      </w:pPr>
    </w:p>
    <w:p w:rsidR="00F11A5F" w:rsidRPr="002045D9" w:rsidRDefault="00F11A5F" w:rsidP="004D7E6F">
      <w:pPr>
        <w:ind w:right="91"/>
        <w:rPr>
          <w:sz w:val="24"/>
          <w:szCs w:val="24"/>
        </w:rPr>
      </w:pPr>
      <w:r w:rsidRPr="002045D9">
        <w:rPr>
          <w:sz w:val="24"/>
          <w:szCs w:val="24"/>
        </w:rPr>
        <w:t xml:space="preserve">The </w:t>
      </w:r>
      <w:r w:rsidRPr="002045D9">
        <w:rPr>
          <w:i/>
          <w:sz w:val="24"/>
          <w:szCs w:val="24"/>
        </w:rPr>
        <w:t>Ombudsman Act 1976</w:t>
      </w:r>
      <w:r w:rsidRPr="002045D9">
        <w:rPr>
          <w:sz w:val="24"/>
          <w:szCs w:val="24"/>
        </w:rPr>
        <w:t xml:space="preserve"> (the Act) established the Office of the Commonwealth Ombudsman as a Statutory Agency to investigate complaints, review administrative action and inspect and report on statutory compliance in relation to Australian Government entities and prescribed private sector organisations.</w:t>
      </w:r>
    </w:p>
    <w:p w:rsidR="00F11A5F" w:rsidRPr="002045D9" w:rsidRDefault="00F11A5F" w:rsidP="004D7E6F">
      <w:pPr>
        <w:ind w:right="91"/>
        <w:rPr>
          <w:sz w:val="24"/>
          <w:szCs w:val="24"/>
        </w:rPr>
      </w:pPr>
    </w:p>
    <w:p w:rsidR="00F11A5F" w:rsidRPr="002045D9" w:rsidRDefault="00F11A5F" w:rsidP="004D7E6F">
      <w:pPr>
        <w:ind w:right="91"/>
        <w:rPr>
          <w:sz w:val="24"/>
          <w:szCs w:val="24"/>
        </w:rPr>
      </w:pPr>
      <w:r w:rsidRPr="002045D9">
        <w:rPr>
          <w:sz w:val="24"/>
          <w:szCs w:val="24"/>
        </w:rPr>
        <w:t>Section 38 of the Act provides that the Governor-General may make regulations, not inconsistent with this Act, prescribing all matters that are required or permitted by this Act to be prescribed or are necessary or convenient to be prescribed for carrying out or giving effect to this Act and, in particular, prescribing matters in connexion with fees and expenses of witnesses appearing before the Ombudsman.</w:t>
      </w:r>
    </w:p>
    <w:p w:rsidR="00F11A5F" w:rsidRPr="002045D9" w:rsidRDefault="00F11A5F" w:rsidP="004D7E6F">
      <w:pPr>
        <w:ind w:right="91"/>
        <w:rPr>
          <w:sz w:val="24"/>
          <w:szCs w:val="24"/>
        </w:rPr>
      </w:pPr>
    </w:p>
    <w:p w:rsidR="00F11A5F" w:rsidRPr="002045D9" w:rsidRDefault="00F11A5F" w:rsidP="004D7E6F">
      <w:pPr>
        <w:ind w:right="91"/>
        <w:rPr>
          <w:sz w:val="24"/>
          <w:szCs w:val="24"/>
        </w:rPr>
      </w:pPr>
      <w:r w:rsidRPr="002045D9">
        <w:rPr>
          <w:sz w:val="24"/>
          <w:szCs w:val="24"/>
        </w:rPr>
        <w:t xml:space="preserve">Sections 3(1)(a)(iii) and 3(1)(c)(ii) of the Act, under the definition of ‘prescribed authority’, allow Governor-General to prescribe in the regulations bodies and persons that are not taken to be prescribed authorities for the purposes of the Act. Section 3(5A) of the Act allows the Governor-General to prescribe in the regulations that action taken by an officer of a Department, in the furtherance of the duties of an office prescribed in regulations not to be a prescribed authority, is deemed not to be action taken by that Department for the purposes of the Act. </w:t>
      </w:r>
    </w:p>
    <w:p w:rsidR="00F11A5F" w:rsidRPr="002045D9" w:rsidRDefault="00F11A5F" w:rsidP="004D7E6F">
      <w:pPr>
        <w:ind w:right="91"/>
        <w:rPr>
          <w:sz w:val="24"/>
          <w:szCs w:val="24"/>
        </w:rPr>
      </w:pPr>
    </w:p>
    <w:p w:rsidR="00F11A5F" w:rsidRPr="002045D9" w:rsidRDefault="00F11A5F" w:rsidP="004D7E6F">
      <w:pPr>
        <w:ind w:right="91"/>
        <w:rPr>
          <w:sz w:val="24"/>
          <w:szCs w:val="24"/>
        </w:rPr>
      </w:pPr>
      <w:r w:rsidRPr="002045D9">
        <w:rPr>
          <w:sz w:val="24"/>
          <w:szCs w:val="24"/>
        </w:rPr>
        <w:t xml:space="preserve">The </w:t>
      </w:r>
      <w:r w:rsidRPr="002045D9">
        <w:rPr>
          <w:i/>
          <w:sz w:val="24"/>
          <w:szCs w:val="24"/>
        </w:rPr>
        <w:t>Ombudsman Regulations 1977</w:t>
      </w:r>
      <w:r w:rsidRPr="002045D9">
        <w:rPr>
          <w:sz w:val="24"/>
          <w:szCs w:val="24"/>
        </w:rPr>
        <w:t xml:space="preserve"> (the Principal Regulations) prescribe bodies and persons that are not taken to be prescribed authorities for the purposes of the Act.</w:t>
      </w:r>
    </w:p>
    <w:p w:rsidR="00F11A5F" w:rsidRPr="002045D9" w:rsidRDefault="00F11A5F" w:rsidP="004D7E6F">
      <w:pPr>
        <w:ind w:right="91"/>
        <w:rPr>
          <w:sz w:val="24"/>
          <w:szCs w:val="24"/>
        </w:rPr>
      </w:pPr>
    </w:p>
    <w:p w:rsidR="00F11A5F" w:rsidRPr="002045D9" w:rsidRDefault="00F11A5F" w:rsidP="004D7E6F">
      <w:pPr>
        <w:pStyle w:val="1NumberPointsStyle"/>
        <w:numPr>
          <w:ilvl w:val="0"/>
          <w:numId w:val="0"/>
        </w:numPr>
        <w:spacing w:after="0"/>
        <w:rPr>
          <w:szCs w:val="24"/>
        </w:rPr>
      </w:pPr>
      <w:r w:rsidRPr="002045D9">
        <w:rPr>
          <w:szCs w:val="24"/>
        </w:rPr>
        <w:t>The Regulation</w:t>
      </w:r>
      <w:r w:rsidR="00DD731C">
        <w:rPr>
          <w:szCs w:val="24"/>
        </w:rPr>
        <w:t xml:space="preserve"> </w:t>
      </w:r>
      <w:r w:rsidRPr="002045D9">
        <w:rPr>
          <w:szCs w:val="24"/>
        </w:rPr>
        <w:t>amend</w:t>
      </w:r>
      <w:r w:rsidR="00DD731C">
        <w:rPr>
          <w:szCs w:val="24"/>
        </w:rPr>
        <w:t>s</w:t>
      </w:r>
      <w:r w:rsidRPr="002045D9">
        <w:rPr>
          <w:szCs w:val="24"/>
        </w:rPr>
        <w:t xml:space="preserve"> the Principal Regulations so that the actions taken by the Australian Government Solicitor (AGS) and officers of the Attorney</w:t>
      </w:r>
      <w:r w:rsidRPr="002045D9">
        <w:rPr>
          <w:szCs w:val="24"/>
        </w:rPr>
        <w:noBreakHyphen/>
        <w:t>General’s Department in furtherance of the duties of the AGS remain exempt from the jurisdiction of the Commonwealth Ombudsman following the consolidation of the AGS into the Attorney</w:t>
      </w:r>
      <w:r w:rsidR="005E476A">
        <w:rPr>
          <w:szCs w:val="24"/>
        </w:rPr>
        <w:noBreakHyphen/>
      </w:r>
      <w:r w:rsidRPr="002045D9">
        <w:rPr>
          <w:szCs w:val="24"/>
        </w:rPr>
        <w:t xml:space="preserve">General’s Department as a result of the </w:t>
      </w:r>
      <w:r w:rsidRPr="002045D9">
        <w:rPr>
          <w:i/>
          <w:szCs w:val="24"/>
        </w:rPr>
        <w:t>Judiciary Amendment Act 2015</w:t>
      </w:r>
      <w:r w:rsidRPr="002045D9">
        <w:rPr>
          <w:szCs w:val="24"/>
        </w:rPr>
        <w:t xml:space="preserve">. The amendments retain the Ombudsman’s public interest disclosure functions in relation to the AGS. The Regulation </w:t>
      </w:r>
      <w:r w:rsidR="00AC3A81">
        <w:rPr>
          <w:szCs w:val="24"/>
        </w:rPr>
        <w:t>also repeal</w:t>
      </w:r>
      <w:r w:rsidR="00DD731C">
        <w:rPr>
          <w:szCs w:val="24"/>
        </w:rPr>
        <w:t>s</w:t>
      </w:r>
      <w:r w:rsidR="00AC3A81">
        <w:rPr>
          <w:szCs w:val="24"/>
        </w:rPr>
        <w:t xml:space="preserve"> subregulation </w:t>
      </w:r>
      <w:r w:rsidRPr="002045D9">
        <w:rPr>
          <w:szCs w:val="24"/>
        </w:rPr>
        <w:t>4(2) of the Principal Regulations, which is no longer relevant because Medibank Private is no longer a Commonwealth-controlled company.</w:t>
      </w:r>
    </w:p>
    <w:p w:rsidR="004D7E6F" w:rsidRPr="002045D9" w:rsidRDefault="004D7E6F" w:rsidP="004D7E6F">
      <w:pPr>
        <w:ind w:right="91"/>
        <w:rPr>
          <w:sz w:val="24"/>
          <w:szCs w:val="24"/>
        </w:rPr>
      </w:pPr>
    </w:p>
    <w:p w:rsidR="00F11A5F" w:rsidRPr="002045D9" w:rsidRDefault="00F11A5F" w:rsidP="004D7E6F">
      <w:pPr>
        <w:ind w:right="91"/>
        <w:rPr>
          <w:sz w:val="24"/>
          <w:szCs w:val="24"/>
        </w:rPr>
      </w:pPr>
      <w:r w:rsidRPr="002045D9">
        <w:rPr>
          <w:sz w:val="24"/>
          <w:szCs w:val="24"/>
        </w:rPr>
        <w:t>The Regulation:</w:t>
      </w:r>
    </w:p>
    <w:p w:rsidR="00F11A5F" w:rsidRPr="002045D9" w:rsidRDefault="00F11A5F" w:rsidP="004D7E6F">
      <w:pPr>
        <w:ind w:right="91"/>
        <w:rPr>
          <w:sz w:val="24"/>
          <w:szCs w:val="24"/>
        </w:rPr>
      </w:pPr>
    </w:p>
    <w:p w:rsidR="00F11A5F" w:rsidRPr="002045D9" w:rsidRDefault="00F11A5F" w:rsidP="004D7E6F">
      <w:pPr>
        <w:pStyle w:val="HB-dotpoint"/>
        <w:tabs>
          <w:tab w:val="left" w:pos="6804"/>
        </w:tabs>
        <w:spacing w:before="0"/>
        <w:rPr>
          <w:szCs w:val="24"/>
        </w:rPr>
      </w:pPr>
      <w:r w:rsidRPr="002045D9">
        <w:rPr>
          <w:szCs w:val="24"/>
        </w:rPr>
        <w:t>remove</w:t>
      </w:r>
      <w:r w:rsidR="001908ED">
        <w:rPr>
          <w:szCs w:val="24"/>
        </w:rPr>
        <w:t>s</w:t>
      </w:r>
      <w:r w:rsidRPr="002045D9">
        <w:rPr>
          <w:szCs w:val="24"/>
        </w:rPr>
        <w:t xml:space="preserve"> the reference to the AGS as a body that is not taken to be a prescribed authority for the purposes of the Act;</w:t>
      </w:r>
    </w:p>
    <w:p w:rsidR="00F11A5F" w:rsidRPr="002045D9" w:rsidRDefault="00F11A5F" w:rsidP="004D7E6F">
      <w:pPr>
        <w:pStyle w:val="HB-dotpoint"/>
        <w:tabs>
          <w:tab w:val="left" w:pos="6804"/>
        </w:tabs>
        <w:spacing w:before="0"/>
        <w:rPr>
          <w:szCs w:val="24"/>
        </w:rPr>
      </w:pPr>
      <w:r w:rsidRPr="002045D9">
        <w:rPr>
          <w:szCs w:val="24"/>
        </w:rPr>
        <w:lastRenderedPageBreak/>
        <w:t>remove</w:t>
      </w:r>
      <w:r w:rsidR="001908ED">
        <w:rPr>
          <w:szCs w:val="24"/>
        </w:rPr>
        <w:t>s</w:t>
      </w:r>
      <w:r w:rsidRPr="002045D9">
        <w:rPr>
          <w:szCs w:val="24"/>
        </w:rPr>
        <w:t xml:space="preserve"> the reference to the Chief Executive Officer of the AGS as a person who is not taken to be a prescribed authority for the purposes of the Act;</w:t>
      </w:r>
    </w:p>
    <w:p w:rsidR="00F11A5F" w:rsidRPr="002045D9" w:rsidRDefault="00F11A5F" w:rsidP="004D7E6F">
      <w:pPr>
        <w:pStyle w:val="HB-dotpoint"/>
        <w:tabs>
          <w:tab w:val="left" w:pos="6804"/>
        </w:tabs>
        <w:spacing w:before="0"/>
        <w:rPr>
          <w:szCs w:val="24"/>
        </w:rPr>
      </w:pPr>
      <w:r w:rsidRPr="002045D9">
        <w:rPr>
          <w:szCs w:val="24"/>
        </w:rPr>
        <w:t>prescribe</w:t>
      </w:r>
      <w:r w:rsidR="001908ED">
        <w:rPr>
          <w:szCs w:val="24"/>
        </w:rPr>
        <w:t>s</w:t>
      </w:r>
      <w:r w:rsidRPr="002045D9">
        <w:rPr>
          <w:szCs w:val="24"/>
        </w:rPr>
        <w:t xml:space="preserve"> the AGS as a person that is not taken to be a prescribed authority for the purposes of the Act; and</w:t>
      </w:r>
    </w:p>
    <w:p w:rsidR="00F11A5F" w:rsidRPr="002045D9" w:rsidRDefault="00F11A5F" w:rsidP="004D7E6F">
      <w:pPr>
        <w:pStyle w:val="HB-dotpoint"/>
        <w:tabs>
          <w:tab w:val="left" w:pos="6804"/>
        </w:tabs>
        <w:spacing w:before="0"/>
        <w:rPr>
          <w:szCs w:val="24"/>
        </w:rPr>
      </w:pPr>
      <w:r w:rsidRPr="002045D9">
        <w:rPr>
          <w:szCs w:val="24"/>
        </w:rPr>
        <w:t>prescribe</w:t>
      </w:r>
      <w:r w:rsidR="001908ED">
        <w:rPr>
          <w:szCs w:val="24"/>
        </w:rPr>
        <w:t>s</w:t>
      </w:r>
      <w:r w:rsidRPr="002045D9">
        <w:rPr>
          <w:szCs w:val="24"/>
        </w:rPr>
        <w:t xml:space="preserve"> that action taken by the AGS or any other officer of the Attorney-General’s Department in furtherance of the duties of the AGS is deemed not to be action taken by the Attorney-General’s Department for the purposes of the Act, except in relation to the Ombudsman’s public interest disclosure functions.</w:t>
      </w:r>
    </w:p>
    <w:p w:rsidR="00F11A5F" w:rsidRPr="002045D9" w:rsidRDefault="00F11A5F" w:rsidP="004D7E6F">
      <w:pPr>
        <w:ind w:right="91"/>
        <w:rPr>
          <w:sz w:val="24"/>
          <w:szCs w:val="24"/>
        </w:rPr>
      </w:pPr>
    </w:p>
    <w:p w:rsidR="00F11A5F" w:rsidRPr="002045D9" w:rsidRDefault="00F11A5F" w:rsidP="004D7E6F">
      <w:pPr>
        <w:tabs>
          <w:tab w:val="left" w:pos="6521"/>
        </w:tabs>
        <w:ind w:right="91"/>
        <w:rPr>
          <w:sz w:val="24"/>
          <w:szCs w:val="24"/>
        </w:rPr>
      </w:pPr>
      <w:r w:rsidRPr="002045D9">
        <w:rPr>
          <w:sz w:val="24"/>
          <w:szCs w:val="24"/>
        </w:rPr>
        <w:t xml:space="preserve">Details of the Regulations are set out in </w:t>
      </w:r>
      <w:r w:rsidRPr="002045D9">
        <w:rPr>
          <w:sz w:val="24"/>
          <w:szCs w:val="24"/>
          <w:u w:val="single"/>
        </w:rPr>
        <w:t>Attachment</w:t>
      </w:r>
      <w:r w:rsidR="007918B7" w:rsidRPr="002045D9">
        <w:rPr>
          <w:sz w:val="24"/>
          <w:szCs w:val="24"/>
          <w:u w:val="single"/>
        </w:rPr>
        <w:t xml:space="preserve"> A</w:t>
      </w:r>
      <w:r w:rsidRPr="002045D9">
        <w:rPr>
          <w:sz w:val="24"/>
          <w:szCs w:val="24"/>
        </w:rPr>
        <w:t>.</w:t>
      </w:r>
    </w:p>
    <w:p w:rsidR="00F11A5F" w:rsidRPr="002045D9" w:rsidRDefault="00F11A5F" w:rsidP="004D7E6F">
      <w:pPr>
        <w:tabs>
          <w:tab w:val="left" w:pos="6521"/>
        </w:tabs>
        <w:ind w:right="91"/>
        <w:rPr>
          <w:sz w:val="24"/>
          <w:szCs w:val="24"/>
        </w:rPr>
      </w:pPr>
    </w:p>
    <w:p w:rsidR="00F11A5F" w:rsidRPr="002045D9" w:rsidRDefault="00F11A5F" w:rsidP="004D7E6F">
      <w:pPr>
        <w:tabs>
          <w:tab w:val="left" w:pos="6521"/>
        </w:tabs>
        <w:ind w:right="91"/>
        <w:rPr>
          <w:sz w:val="24"/>
          <w:szCs w:val="24"/>
        </w:rPr>
      </w:pPr>
      <w:r w:rsidRPr="002045D9">
        <w:rPr>
          <w:sz w:val="24"/>
          <w:szCs w:val="24"/>
        </w:rPr>
        <w:t xml:space="preserve">The Act specifies no conditions that need to be satisfied before the power to make the Regulations may be exercised. </w:t>
      </w:r>
    </w:p>
    <w:p w:rsidR="00F11A5F" w:rsidRPr="002045D9" w:rsidRDefault="00F11A5F" w:rsidP="004D7E6F">
      <w:pPr>
        <w:tabs>
          <w:tab w:val="left" w:pos="6521"/>
        </w:tabs>
        <w:ind w:right="91"/>
        <w:rPr>
          <w:sz w:val="24"/>
          <w:szCs w:val="24"/>
        </w:rPr>
      </w:pPr>
    </w:p>
    <w:p w:rsidR="00F11A5F" w:rsidRPr="002045D9" w:rsidRDefault="00F11A5F" w:rsidP="004D7E6F">
      <w:pPr>
        <w:tabs>
          <w:tab w:val="left" w:pos="6521"/>
        </w:tabs>
        <w:ind w:right="91"/>
        <w:rPr>
          <w:sz w:val="24"/>
          <w:szCs w:val="24"/>
        </w:rPr>
      </w:pPr>
      <w:r w:rsidRPr="002045D9">
        <w:rPr>
          <w:sz w:val="24"/>
          <w:szCs w:val="24"/>
        </w:rPr>
        <w:t xml:space="preserve">The </w:t>
      </w:r>
      <w:r w:rsidR="00AA3BAA">
        <w:rPr>
          <w:sz w:val="24"/>
          <w:szCs w:val="24"/>
        </w:rPr>
        <w:t xml:space="preserve">Regulation is a </w:t>
      </w:r>
      <w:r w:rsidRPr="002045D9">
        <w:rPr>
          <w:sz w:val="24"/>
          <w:szCs w:val="24"/>
        </w:rPr>
        <w:t xml:space="preserve">legislative instrument for the purposes of the </w:t>
      </w:r>
      <w:r w:rsidRPr="002045D9">
        <w:rPr>
          <w:i/>
          <w:sz w:val="24"/>
          <w:szCs w:val="24"/>
        </w:rPr>
        <w:t>Legislative Instruments Act 2003</w:t>
      </w:r>
      <w:r w:rsidRPr="002045D9">
        <w:rPr>
          <w:sz w:val="24"/>
          <w:szCs w:val="24"/>
        </w:rPr>
        <w:t>.</w:t>
      </w:r>
    </w:p>
    <w:p w:rsidR="00F11A5F" w:rsidRPr="002045D9" w:rsidRDefault="00F11A5F" w:rsidP="004D7E6F">
      <w:pPr>
        <w:tabs>
          <w:tab w:val="left" w:pos="6521"/>
        </w:tabs>
        <w:ind w:right="91"/>
        <w:rPr>
          <w:sz w:val="24"/>
          <w:szCs w:val="24"/>
        </w:rPr>
      </w:pPr>
    </w:p>
    <w:p w:rsidR="00F11A5F" w:rsidRPr="002045D9" w:rsidRDefault="00F11A5F" w:rsidP="00D40863">
      <w:pPr>
        <w:ind w:right="91"/>
        <w:rPr>
          <w:sz w:val="24"/>
          <w:szCs w:val="24"/>
        </w:rPr>
      </w:pPr>
      <w:r w:rsidRPr="002045D9">
        <w:rPr>
          <w:sz w:val="24"/>
          <w:szCs w:val="24"/>
        </w:rPr>
        <w:t xml:space="preserve">The Regulations commence </w:t>
      </w:r>
      <w:r w:rsidR="00D40863" w:rsidRPr="002045D9">
        <w:rPr>
          <w:sz w:val="24"/>
          <w:szCs w:val="24"/>
        </w:rPr>
        <w:t xml:space="preserve">on the later of 1 July 2015 and the day Schedules 1 to 3 </w:t>
      </w:r>
      <w:r w:rsidR="005E119F">
        <w:rPr>
          <w:sz w:val="24"/>
          <w:szCs w:val="24"/>
        </w:rPr>
        <w:t>to</w:t>
      </w:r>
      <w:r w:rsidR="00D40863" w:rsidRPr="002045D9">
        <w:rPr>
          <w:sz w:val="24"/>
          <w:szCs w:val="24"/>
        </w:rPr>
        <w:t xml:space="preserve"> the </w:t>
      </w:r>
      <w:r w:rsidR="00D40863" w:rsidRPr="002045D9">
        <w:rPr>
          <w:i/>
          <w:sz w:val="24"/>
          <w:szCs w:val="24"/>
        </w:rPr>
        <w:t>Judiciary Amendment Act 2015</w:t>
      </w:r>
      <w:r w:rsidR="00D40863" w:rsidRPr="002045D9">
        <w:rPr>
          <w:sz w:val="24"/>
          <w:szCs w:val="24"/>
        </w:rPr>
        <w:t xml:space="preserve"> commence. </w:t>
      </w:r>
    </w:p>
    <w:p w:rsidR="00F11A5F" w:rsidRPr="002045D9" w:rsidRDefault="00F11A5F" w:rsidP="004D7E6F">
      <w:pPr>
        <w:tabs>
          <w:tab w:val="left" w:pos="6521"/>
        </w:tabs>
        <w:ind w:right="91"/>
        <w:rPr>
          <w:sz w:val="24"/>
          <w:szCs w:val="24"/>
        </w:rPr>
      </w:pPr>
    </w:p>
    <w:p w:rsidR="00F11A5F" w:rsidRPr="002045D9" w:rsidRDefault="00F11A5F" w:rsidP="004D7E6F">
      <w:pPr>
        <w:pStyle w:val="Heading2"/>
        <w:spacing w:before="0"/>
        <w:rPr>
          <w:szCs w:val="24"/>
        </w:rPr>
      </w:pPr>
      <w:r w:rsidRPr="002045D9">
        <w:rPr>
          <w:szCs w:val="24"/>
        </w:rPr>
        <w:t>PROCESS BEFORE REGULATION WAS MADE</w:t>
      </w:r>
    </w:p>
    <w:p w:rsidR="004D7E6F" w:rsidRPr="002045D9" w:rsidRDefault="004D7E6F" w:rsidP="004D7E6F">
      <w:pPr>
        <w:pStyle w:val="Heading3"/>
        <w:spacing w:before="0"/>
        <w:rPr>
          <w:szCs w:val="24"/>
        </w:rPr>
      </w:pPr>
    </w:p>
    <w:p w:rsidR="00F11A5F" w:rsidRPr="002045D9" w:rsidRDefault="00F11A5F" w:rsidP="004D7E6F">
      <w:pPr>
        <w:pStyle w:val="Heading3"/>
        <w:spacing w:before="0"/>
        <w:rPr>
          <w:szCs w:val="24"/>
        </w:rPr>
      </w:pPr>
      <w:r w:rsidRPr="002045D9">
        <w:rPr>
          <w:szCs w:val="24"/>
        </w:rPr>
        <w:t>Regulatory impact analysis</w:t>
      </w:r>
    </w:p>
    <w:p w:rsidR="004D7E6F" w:rsidRPr="002045D9" w:rsidRDefault="004D7E6F" w:rsidP="004D7E6F">
      <w:pPr>
        <w:spacing w:line="240" w:lineRule="auto"/>
        <w:rPr>
          <w:sz w:val="24"/>
          <w:szCs w:val="24"/>
        </w:rPr>
      </w:pPr>
    </w:p>
    <w:p w:rsidR="007253DE" w:rsidRPr="007253DE" w:rsidRDefault="007253DE" w:rsidP="007253DE">
      <w:pPr>
        <w:tabs>
          <w:tab w:val="left" w:pos="6521"/>
        </w:tabs>
        <w:ind w:right="91"/>
        <w:rPr>
          <w:sz w:val="24"/>
          <w:szCs w:val="24"/>
        </w:rPr>
      </w:pPr>
      <w:r w:rsidRPr="007253DE">
        <w:rPr>
          <w:sz w:val="24"/>
          <w:szCs w:val="24"/>
        </w:rPr>
        <w:t>The Office of Best Practice Regulation (OBPR) has been consulted and has advised that a regulatory impact statement is not required.</w:t>
      </w:r>
    </w:p>
    <w:p w:rsidR="004D7E6F" w:rsidRPr="002045D9" w:rsidRDefault="004D7E6F" w:rsidP="004D7E6F">
      <w:pPr>
        <w:pStyle w:val="Heading3"/>
        <w:spacing w:before="0"/>
        <w:rPr>
          <w:szCs w:val="24"/>
        </w:rPr>
      </w:pPr>
    </w:p>
    <w:p w:rsidR="00F11A5F" w:rsidRPr="002045D9" w:rsidRDefault="00F11A5F" w:rsidP="004D7E6F">
      <w:pPr>
        <w:pStyle w:val="Heading3"/>
        <w:spacing w:before="0"/>
        <w:rPr>
          <w:szCs w:val="24"/>
        </w:rPr>
      </w:pPr>
      <w:r w:rsidRPr="002045D9">
        <w:rPr>
          <w:szCs w:val="24"/>
        </w:rPr>
        <w:t>Statement of compatibility with human rights obligations</w:t>
      </w:r>
    </w:p>
    <w:p w:rsidR="00F11A5F" w:rsidRPr="002045D9" w:rsidRDefault="00F11A5F" w:rsidP="004D7E6F">
      <w:pPr>
        <w:rPr>
          <w:sz w:val="24"/>
          <w:szCs w:val="24"/>
        </w:rPr>
      </w:pPr>
    </w:p>
    <w:p w:rsidR="00F11A5F" w:rsidRPr="002045D9" w:rsidRDefault="00F11A5F" w:rsidP="004D7E6F">
      <w:pPr>
        <w:rPr>
          <w:sz w:val="24"/>
          <w:szCs w:val="24"/>
        </w:rPr>
      </w:pPr>
      <w:r w:rsidRPr="002045D9">
        <w:rPr>
          <w:sz w:val="24"/>
          <w:szCs w:val="24"/>
        </w:rPr>
        <w:t xml:space="preserve">This Legislative Instrument is compatible with the human rights and freedoms recognised or declared in the international instruments listed in section 3 of the </w:t>
      </w:r>
      <w:r w:rsidRPr="002045D9">
        <w:rPr>
          <w:i/>
          <w:sz w:val="24"/>
          <w:szCs w:val="24"/>
        </w:rPr>
        <w:t>Human Rights (Parliamentary Scrutiny) Act 2011</w:t>
      </w:r>
      <w:r w:rsidRPr="002045D9">
        <w:rPr>
          <w:sz w:val="24"/>
          <w:szCs w:val="24"/>
        </w:rPr>
        <w:t>.</w:t>
      </w:r>
    </w:p>
    <w:p w:rsidR="00F11A5F" w:rsidRPr="002045D9" w:rsidRDefault="00F11A5F" w:rsidP="004D7E6F">
      <w:pPr>
        <w:rPr>
          <w:sz w:val="24"/>
          <w:szCs w:val="24"/>
        </w:rPr>
      </w:pPr>
    </w:p>
    <w:p w:rsidR="00F11A5F" w:rsidRPr="002045D9" w:rsidRDefault="00F11A5F" w:rsidP="004D7E6F">
      <w:pPr>
        <w:rPr>
          <w:sz w:val="24"/>
          <w:szCs w:val="24"/>
        </w:rPr>
      </w:pPr>
      <w:r w:rsidRPr="002045D9">
        <w:rPr>
          <w:sz w:val="24"/>
          <w:szCs w:val="24"/>
        </w:rPr>
        <w:t xml:space="preserve">The purpose of the Regulations is to amend the Principal Regulations to preserve AGS’s exemption from the Commonwealth Ombudsman’s jurisdiction after AGS is consolidated into </w:t>
      </w:r>
      <w:r w:rsidR="001908ED">
        <w:rPr>
          <w:sz w:val="24"/>
          <w:szCs w:val="24"/>
        </w:rPr>
        <w:t>the Attorney-General’s Department</w:t>
      </w:r>
      <w:r w:rsidRPr="002045D9">
        <w:rPr>
          <w:sz w:val="24"/>
          <w:szCs w:val="24"/>
        </w:rPr>
        <w:t xml:space="preserve">. </w:t>
      </w:r>
    </w:p>
    <w:p w:rsidR="00F11A5F" w:rsidRPr="002045D9" w:rsidRDefault="00F11A5F" w:rsidP="004D7E6F">
      <w:pPr>
        <w:rPr>
          <w:sz w:val="24"/>
          <w:szCs w:val="24"/>
        </w:rPr>
      </w:pPr>
    </w:p>
    <w:p w:rsidR="00C8342F" w:rsidRPr="002045D9" w:rsidRDefault="00F11A5F" w:rsidP="004D7E6F">
      <w:pPr>
        <w:rPr>
          <w:sz w:val="24"/>
          <w:szCs w:val="24"/>
        </w:rPr>
      </w:pPr>
      <w:r w:rsidRPr="002045D9">
        <w:rPr>
          <w:sz w:val="24"/>
          <w:szCs w:val="24"/>
        </w:rPr>
        <w:t xml:space="preserve">This Legislative Instrument does not engage any of the applicable rights or freedoms. </w:t>
      </w:r>
    </w:p>
    <w:p w:rsidR="00C8342F" w:rsidRPr="002045D9" w:rsidRDefault="00C8342F" w:rsidP="004D7E6F">
      <w:pPr>
        <w:rPr>
          <w:sz w:val="24"/>
          <w:szCs w:val="24"/>
        </w:rPr>
      </w:pPr>
    </w:p>
    <w:p w:rsidR="00F11A5F" w:rsidRPr="002045D9" w:rsidRDefault="00F11A5F" w:rsidP="004D7E6F">
      <w:pPr>
        <w:rPr>
          <w:sz w:val="24"/>
          <w:szCs w:val="24"/>
        </w:rPr>
      </w:pPr>
      <w:r w:rsidRPr="002045D9">
        <w:rPr>
          <w:sz w:val="24"/>
          <w:szCs w:val="24"/>
        </w:rPr>
        <w:t>This Legislative Instrument is compatible with human rights as it does not raise any human rights issues.</w:t>
      </w:r>
    </w:p>
    <w:p w:rsidR="004D7E6F" w:rsidRPr="002045D9" w:rsidRDefault="004D7E6F" w:rsidP="004D7E6F">
      <w:pPr>
        <w:pStyle w:val="Heading3"/>
        <w:spacing w:before="0"/>
        <w:rPr>
          <w:szCs w:val="24"/>
        </w:rPr>
      </w:pPr>
    </w:p>
    <w:p w:rsidR="00F11A5F" w:rsidRPr="002045D9" w:rsidRDefault="00F11A5F" w:rsidP="004D7E6F">
      <w:pPr>
        <w:pStyle w:val="Heading3"/>
        <w:spacing w:before="0"/>
        <w:rPr>
          <w:szCs w:val="24"/>
        </w:rPr>
      </w:pPr>
      <w:r w:rsidRPr="002045D9">
        <w:rPr>
          <w:szCs w:val="24"/>
        </w:rPr>
        <w:t>Consultation before making</w:t>
      </w:r>
    </w:p>
    <w:p w:rsidR="007918B7" w:rsidRPr="002045D9" w:rsidRDefault="007918B7" w:rsidP="004D7E6F">
      <w:pPr>
        <w:rPr>
          <w:sz w:val="24"/>
          <w:szCs w:val="24"/>
        </w:rPr>
      </w:pPr>
    </w:p>
    <w:p w:rsidR="00C4025E" w:rsidRPr="002045D9" w:rsidRDefault="00F11A5F" w:rsidP="004D7E6F">
      <w:pPr>
        <w:pStyle w:val="1NumberPointsStyle"/>
        <w:numPr>
          <w:ilvl w:val="0"/>
          <w:numId w:val="0"/>
        </w:numPr>
        <w:spacing w:after="0"/>
        <w:rPr>
          <w:szCs w:val="24"/>
        </w:rPr>
      </w:pPr>
      <w:r w:rsidRPr="002045D9">
        <w:rPr>
          <w:szCs w:val="24"/>
        </w:rPr>
        <w:t xml:space="preserve">Under section 17 of the </w:t>
      </w:r>
      <w:r w:rsidR="009F5265" w:rsidRPr="002045D9">
        <w:rPr>
          <w:i/>
          <w:szCs w:val="24"/>
        </w:rPr>
        <w:t>Legislative Instruments Act 2003</w:t>
      </w:r>
      <w:r w:rsidRPr="002045D9">
        <w:rPr>
          <w:szCs w:val="24"/>
        </w:rPr>
        <w:t xml:space="preserve">, consultation must occur before legislative instruments are made, unless it is unnecessary or inappropriate to do so as set out in section 18 of the </w:t>
      </w:r>
      <w:r w:rsidR="00B84970" w:rsidRPr="002045D9">
        <w:rPr>
          <w:i/>
          <w:szCs w:val="24"/>
        </w:rPr>
        <w:t>Legislative Instruments Act 2003</w:t>
      </w:r>
      <w:r w:rsidRPr="002045D9">
        <w:rPr>
          <w:szCs w:val="24"/>
        </w:rPr>
        <w:t xml:space="preserve">. All relevant agencies have </w:t>
      </w:r>
      <w:r w:rsidR="00CB43F1" w:rsidRPr="002045D9">
        <w:rPr>
          <w:szCs w:val="24"/>
        </w:rPr>
        <w:t xml:space="preserve">been consulted. The </w:t>
      </w:r>
      <w:r w:rsidRPr="002045D9">
        <w:rPr>
          <w:szCs w:val="24"/>
        </w:rPr>
        <w:t xml:space="preserve">Regulation does not significantly alter existing arrangements and, therefore, consultation is unnecessary under section 18 of the </w:t>
      </w:r>
      <w:r w:rsidR="00B84970" w:rsidRPr="002045D9">
        <w:rPr>
          <w:i/>
          <w:szCs w:val="24"/>
        </w:rPr>
        <w:t>Legislative Instruments Act 2003</w:t>
      </w:r>
      <w:r w:rsidRPr="002045D9">
        <w:rPr>
          <w:szCs w:val="24"/>
        </w:rPr>
        <w:t>.</w:t>
      </w:r>
    </w:p>
    <w:p w:rsidR="0070045B" w:rsidRPr="002045D9" w:rsidRDefault="00F11A5F" w:rsidP="004D7E6F">
      <w:pPr>
        <w:pStyle w:val="Heading2"/>
        <w:spacing w:before="0"/>
        <w:ind w:left="0" w:firstLine="0"/>
        <w:jc w:val="right"/>
        <w:rPr>
          <w:szCs w:val="24"/>
        </w:rPr>
      </w:pPr>
      <w:r w:rsidRPr="002045D9">
        <w:rPr>
          <w:rStyle w:val="Heading1Char"/>
          <w:sz w:val="24"/>
          <w:szCs w:val="24"/>
        </w:rPr>
        <w:br w:type="page"/>
      </w:r>
      <w:r w:rsidRPr="002045D9">
        <w:rPr>
          <w:szCs w:val="24"/>
        </w:rPr>
        <w:lastRenderedPageBreak/>
        <w:tab/>
      </w:r>
      <w:r w:rsidRPr="002045D9">
        <w:rPr>
          <w:szCs w:val="24"/>
        </w:rPr>
        <w:tab/>
      </w:r>
      <w:r w:rsidRPr="002045D9">
        <w:rPr>
          <w:szCs w:val="24"/>
        </w:rPr>
        <w:tab/>
      </w:r>
      <w:r w:rsidRPr="002045D9">
        <w:rPr>
          <w:szCs w:val="24"/>
        </w:rPr>
        <w:tab/>
      </w:r>
      <w:r w:rsidRPr="002045D9">
        <w:rPr>
          <w:szCs w:val="24"/>
        </w:rPr>
        <w:tab/>
      </w:r>
      <w:r w:rsidRPr="002045D9">
        <w:rPr>
          <w:szCs w:val="24"/>
        </w:rPr>
        <w:tab/>
        <w:t xml:space="preserve">       </w:t>
      </w:r>
      <w:r w:rsidRPr="002045D9">
        <w:rPr>
          <w:szCs w:val="24"/>
          <w:u w:val="single"/>
        </w:rPr>
        <w:t>ATTACHMENT A</w:t>
      </w:r>
    </w:p>
    <w:p w:rsidR="0070045B" w:rsidRPr="002045D9" w:rsidRDefault="0070045B" w:rsidP="004D7E6F">
      <w:pPr>
        <w:rPr>
          <w:sz w:val="24"/>
          <w:szCs w:val="24"/>
        </w:rPr>
      </w:pPr>
    </w:p>
    <w:p w:rsidR="0070045B" w:rsidRPr="002045D9" w:rsidRDefault="0070045B" w:rsidP="004D7E6F">
      <w:pPr>
        <w:ind w:right="91"/>
        <w:rPr>
          <w:sz w:val="24"/>
          <w:szCs w:val="24"/>
        </w:rPr>
      </w:pPr>
      <w:r w:rsidRPr="002045D9">
        <w:rPr>
          <w:b/>
          <w:sz w:val="24"/>
          <w:szCs w:val="24"/>
        </w:rPr>
        <w:t xml:space="preserve">Details of the </w:t>
      </w:r>
      <w:r w:rsidRPr="002045D9">
        <w:rPr>
          <w:b/>
          <w:i/>
          <w:sz w:val="24"/>
          <w:szCs w:val="24"/>
        </w:rPr>
        <w:t>Ombudsman Amendment (Prescribed Authorities) Regulation 2015</w:t>
      </w:r>
    </w:p>
    <w:p w:rsidR="0070045B" w:rsidRPr="002045D9" w:rsidRDefault="0070045B" w:rsidP="004D7E6F">
      <w:pPr>
        <w:rPr>
          <w:sz w:val="24"/>
          <w:szCs w:val="24"/>
        </w:rPr>
      </w:pPr>
    </w:p>
    <w:p w:rsidR="0070045B" w:rsidRPr="002045D9" w:rsidRDefault="0070045B" w:rsidP="004D7E6F">
      <w:pPr>
        <w:ind w:right="91"/>
        <w:rPr>
          <w:sz w:val="24"/>
          <w:szCs w:val="24"/>
        </w:rPr>
      </w:pPr>
      <w:r w:rsidRPr="002045D9">
        <w:rPr>
          <w:sz w:val="24"/>
          <w:szCs w:val="24"/>
          <w:u w:val="single"/>
        </w:rPr>
        <w:t xml:space="preserve">Regulation 1 – Name </w:t>
      </w:r>
    </w:p>
    <w:p w:rsidR="0070045B" w:rsidRPr="002045D9" w:rsidRDefault="0070045B" w:rsidP="004D7E6F">
      <w:pPr>
        <w:ind w:right="91"/>
        <w:rPr>
          <w:sz w:val="24"/>
          <w:szCs w:val="24"/>
        </w:rPr>
      </w:pPr>
    </w:p>
    <w:p w:rsidR="0070045B" w:rsidRPr="002045D9" w:rsidRDefault="0070045B" w:rsidP="004D7E6F">
      <w:pPr>
        <w:ind w:right="91"/>
        <w:rPr>
          <w:sz w:val="24"/>
          <w:szCs w:val="24"/>
        </w:rPr>
      </w:pPr>
      <w:r w:rsidRPr="002045D9">
        <w:rPr>
          <w:sz w:val="24"/>
          <w:szCs w:val="24"/>
        </w:rPr>
        <w:t>This section provide</w:t>
      </w:r>
      <w:r w:rsidR="00385530">
        <w:rPr>
          <w:sz w:val="24"/>
          <w:szCs w:val="24"/>
        </w:rPr>
        <w:t>s</w:t>
      </w:r>
      <w:r w:rsidRPr="002045D9">
        <w:rPr>
          <w:sz w:val="24"/>
          <w:szCs w:val="24"/>
        </w:rPr>
        <w:t xml:space="preserve"> that the title of the Regulations is the </w:t>
      </w:r>
      <w:r w:rsidRPr="002045D9">
        <w:rPr>
          <w:i/>
          <w:sz w:val="24"/>
          <w:szCs w:val="24"/>
        </w:rPr>
        <w:t>Ombudsman Amendment (Prescribed Authorities) Regulation 2015</w:t>
      </w:r>
      <w:r w:rsidRPr="002045D9">
        <w:rPr>
          <w:sz w:val="24"/>
          <w:szCs w:val="24"/>
        </w:rPr>
        <w:t>.</w:t>
      </w:r>
    </w:p>
    <w:p w:rsidR="0070045B" w:rsidRPr="002045D9" w:rsidRDefault="0070045B" w:rsidP="004D7E6F">
      <w:pPr>
        <w:ind w:right="91"/>
        <w:rPr>
          <w:sz w:val="24"/>
          <w:szCs w:val="24"/>
        </w:rPr>
      </w:pPr>
    </w:p>
    <w:p w:rsidR="0070045B" w:rsidRPr="002045D9" w:rsidRDefault="0070045B" w:rsidP="004D7E6F">
      <w:pPr>
        <w:ind w:right="91"/>
        <w:rPr>
          <w:sz w:val="24"/>
          <w:szCs w:val="24"/>
          <w:u w:val="single"/>
        </w:rPr>
      </w:pPr>
      <w:r w:rsidRPr="002045D9">
        <w:rPr>
          <w:sz w:val="24"/>
          <w:szCs w:val="24"/>
          <w:u w:val="single"/>
        </w:rPr>
        <w:t>Regulation 2 – Commencement</w:t>
      </w:r>
    </w:p>
    <w:p w:rsidR="0070045B" w:rsidRPr="002045D9" w:rsidRDefault="0070045B" w:rsidP="004D7E6F">
      <w:pPr>
        <w:ind w:right="91"/>
        <w:rPr>
          <w:sz w:val="24"/>
          <w:szCs w:val="24"/>
        </w:rPr>
      </w:pPr>
    </w:p>
    <w:p w:rsidR="0070045B" w:rsidRPr="002045D9" w:rsidRDefault="0070045B" w:rsidP="004D7E6F">
      <w:pPr>
        <w:ind w:right="91"/>
        <w:rPr>
          <w:sz w:val="24"/>
          <w:szCs w:val="24"/>
        </w:rPr>
      </w:pPr>
      <w:r w:rsidRPr="002045D9">
        <w:rPr>
          <w:sz w:val="24"/>
          <w:szCs w:val="24"/>
        </w:rPr>
        <w:t>This section provide</w:t>
      </w:r>
      <w:r w:rsidR="00385530">
        <w:rPr>
          <w:sz w:val="24"/>
          <w:szCs w:val="24"/>
        </w:rPr>
        <w:t>s</w:t>
      </w:r>
      <w:r w:rsidRPr="002045D9">
        <w:rPr>
          <w:sz w:val="24"/>
          <w:szCs w:val="24"/>
        </w:rPr>
        <w:t xml:space="preserve"> for the Regulations to commence on the later of 1 July 2015 and the day Schedules 1 to 3 of the </w:t>
      </w:r>
      <w:r w:rsidRPr="002045D9">
        <w:rPr>
          <w:i/>
          <w:sz w:val="24"/>
          <w:szCs w:val="24"/>
        </w:rPr>
        <w:t>Judiciary Amendment Act 2015</w:t>
      </w:r>
      <w:r w:rsidRPr="002045D9">
        <w:rPr>
          <w:sz w:val="24"/>
          <w:szCs w:val="24"/>
        </w:rPr>
        <w:t xml:space="preserve"> commence. </w:t>
      </w:r>
    </w:p>
    <w:p w:rsidR="0070045B" w:rsidRPr="002045D9" w:rsidRDefault="0070045B" w:rsidP="004D7E6F">
      <w:pPr>
        <w:ind w:right="91"/>
        <w:rPr>
          <w:sz w:val="24"/>
          <w:szCs w:val="24"/>
        </w:rPr>
      </w:pPr>
    </w:p>
    <w:p w:rsidR="0070045B" w:rsidRPr="002045D9" w:rsidRDefault="0070045B" w:rsidP="004D7E6F">
      <w:pPr>
        <w:ind w:right="91"/>
        <w:rPr>
          <w:sz w:val="24"/>
          <w:szCs w:val="24"/>
        </w:rPr>
      </w:pPr>
      <w:r w:rsidRPr="002045D9">
        <w:rPr>
          <w:sz w:val="24"/>
          <w:szCs w:val="24"/>
          <w:u w:val="single"/>
        </w:rPr>
        <w:t xml:space="preserve">Regulation 3 – Authority </w:t>
      </w:r>
    </w:p>
    <w:p w:rsidR="0070045B" w:rsidRPr="002045D9" w:rsidRDefault="0070045B" w:rsidP="004D7E6F">
      <w:pPr>
        <w:tabs>
          <w:tab w:val="left" w:pos="1845"/>
        </w:tabs>
        <w:ind w:right="91"/>
        <w:rPr>
          <w:sz w:val="24"/>
          <w:szCs w:val="24"/>
        </w:rPr>
      </w:pPr>
      <w:r w:rsidRPr="002045D9">
        <w:rPr>
          <w:sz w:val="24"/>
          <w:szCs w:val="24"/>
        </w:rPr>
        <w:tab/>
      </w:r>
    </w:p>
    <w:p w:rsidR="0070045B" w:rsidRPr="002045D9" w:rsidRDefault="0070045B" w:rsidP="004D7E6F">
      <w:pPr>
        <w:ind w:right="91"/>
        <w:rPr>
          <w:sz w:val="24"/>
          <w:szCs w:val="24"/>
        </w:rPr>
      </w:pPr>
      <w:r w:rsidRPr="002045D9">
        <w:rPr>
          <w:sz w:val="24"/>
          <w:szCs w:val="24"/>
        </w:rPr>
        <w:t>This section provide</w:t>
      </w:r>
      <w:r w:rsidR="00385530">
        <w:rPr>
          <w:sz w:val="24"/>
          <w:szCs w:val="24"/>
        </w:rPr>
        <w:t>s</w:t>
      </w:r>
      <w:r w:rsidRPr="002045D9">
        <w:rPr>
          <w:sz w:val="24"/>
          <w:szCs w:val="24"/>
        </w:rPr>
        <w:t xml:space="preserve"> that the instrument is made under the </w:t>
      </w:r>
      <w:r w:rsidRPr="002045D9">
        <w:rPr>
          <w:i/>
          <w:sz w:val="24"/>
          <w:szCs w:val="24"/>
        </w:rPr>
        <w:t>Ombudsman Act 1976</w:t>
      </w:r>
      <w:r w:rsidRPr="002045D9">
        <w:rPr>
          <w:sz w:val="24"/>
          <w:szCs w:val="24"/>
        </w:rPr>
        <w:t>.</w:t>
      </w:r>
    </w:p>
    <w:p w:rsidR="0070045B" w:rsidRPr="002045D9" w:rsidRDefault="0070045B" w:rsidP="004D7E6F">
      <w:pPr>
        <w:ind w:right="91"/>
        <w:rPr>
          <w:sz w:val="24"/>
          <w:szCs w:val="24"/>
        </w:rPr>
      </w:pPr>
      <w:r w:rsidRPr="002045D9">
        <w:rPr>
          <w:sz w:val="24"/>
          <w:szCs w:val="24"/>
        </w:rPr>
        <w:t xml:space="preserve"> </w:t>
      </w:r>
    </w:p>
    <w:p w:rsidR="0070045B" w:rsidRPr="002045D9" w:rsidRDefault="0070045B" w:rsidP="004D7E6F">
      <w:pPr>
        <w:ind w:right="91"/>
        <w:rPr>
          <w:sz w:val="24"/>
          <w:szCs w:val="24"/>
          <w:u w:val="single"/>
        </w:rPr>
      </w:pPr>
      <w:r w:rsidRPr="002045D9">
        <w:rPr>
          <w:sz w:val="24"/>
          <w:szCs w:val="24"/>
          <w:u w:val="single"/>
        </w:rPr>
        <w:t>Regulation 4 - Amendment of</w:t>
      </w:r>
      <w:r w:rsidRPr="002045D9">
        <w:rPr>
          <w:i/>
          <w:sz w:val="24"/>
          <w:szCs w:val="24"/>
          <w:u w:val="single"/>
        </w:rPr>
        <w:t xml:space="preserve"> Ombudsman Regulations 1977</w:t>
      </w:r>
    </w:p>
    <w:p w:rsidR="0070045B" w:rsidRPr="002045D9" w:rsidRDefault="0070045B" w:rsidP="004D7E6F">
      <w:pPr>
        <w:ind w:right="91"/>
        <w:rPr>
          <w:sz w:val="24"/>
          <w:szCs w:val="24"/>
        </w:rPr>
      </w:pPr>
    </w:p>
    <w:p w:rsidR="0070045B" w:rsidRPr="002045D9" w:rsidRDefault="0070045B" w:rsidP="004D7E6F">
      <w:pPr>
        <w:ind w:right="91"/>
        <w:rPr>
          <w:sz w:val="24"/>
          <w:szCs w:val="24"/>
        </w:rPr>
      </w:pPr>
      <w:r w:rsidRPr="002045D9">
        <w:rPr>
          <w:sz w:val="24"/>
          <w:szCs w:val="24"/>
        </w:rPr>
        <w:t>This section provide</w:t>
      </w:r>
      <w:r w:rsidR="00D16A34">
        <w:rPr>
          <w:sz w:val="24"/>
          <w:szCs w:val="24"/>
        </w:rPr>
        <w:t>s</w:t>
      </w:r>
      <w:r w:rsidRPr="002045D9">
        <w:rPr>
          <w:sz w:val="24"/>
          <w:szCs w:val="24"/>
        </w:rPr>
        <w:t xml:space="preserve"> that the </w:t>
      </w:r>
      <w:r w:rsidRPr="002045D9">
        <w:rPr>
          <w:i/>
          <w:sz w:val="24"/>
          <w:szCs w:val="24"/>
        </w:rPr>
        <w:t>Ombudsman Regulations 1977</w:t>
      </w:r>
      <w:r w:rsidRPr="002045D9">
        <w:rPr>
          <w:sz w:val="24"/>
          <w:szCs w:val="24"/>
        </w:rPr>
        <w:t xml:space="preserve"> (the Principal Regulations) are amended or repealed as set out in the Schedule.</w:t>
      </w:r>
    </w:p>
    <w:p w:rsidR="0070045B" w:rsidRPr="002045D9" w:rsidRDefault="0070045B" w:rsidP="004D7E6F">
      <w:pPr>
        <w:ind w:right="91"/>
        <w:rPr>
          <w:sz w:val="24"/>
          <w:szCs w:val="24"/>
        </w:rPr>
      </w:pPr>
    </w:p>
    <w:p w:rsidR="0070045B" w:rsidRPr="002045D9" w:rsidRDefault="0070045B" w:rsidP="004D7E6F">
      <w:pPr>
        <w:ind w:right="91"/>
        <w:rPr>
          <w:sz w:val="24"/>
          <w:szCs w:val="24"/>
        </w:rPr>
      </w:pPr>
      <w:r w:rsidRPr="002045D9">
        <w:rPr>
          <w:sz w:val="24"/>
          <w:szCs w:val="24"/>
          <w:u w:val="single"/>
        </w:rPr>
        <w:t>Schedule – Amendments</w:t>
      </w:r>
    </w:p>
    <w:p w:rsidR="0070045B" w:rsidRPr="002045D9" w:rsidRDefault="0070045B" w:rsidP="004D7E6F">
      <w:pPr>
        <w:ind w:right="91"/>
        <w:rPr>
          <w:sz w:val="24"/>
          <w:szCs w:val="24"/>
        </w:rPr>
      </w:pPr>
    </w:p>
    <w:p w:rsidR="0070045B" w:rsidRPr="002045D9" w:rsidRDefault="0070045B" w:rsidP="004D7E6F">
      <w:pPr>
        <w:ind w:right="91"/>
        <w:rPr>
          <w:b/>
          <w:sz w:val="24"/>
          <w:szCs w:val="24"/>
        </w:rPr>
      </w:pPr>
      <w:r w:rsidRPr="002045D9">
        <w:rPr>
          <w:b/>
          <w:sz w:val="24"/>
          <w:szCs w:val="24"/>
        </w:rPr>
        <w:t>Item [1] – Subregulation 4(1)</w:t>
      </w:r>
    </w:p>
    <w:p w:rsidR="0070045B" w:rsidRPr="002045D9" w:rsidRDefault="0070045B" w:rsidP="004D7E6F">
      <w:pPr>
        <w:ind w:right="91"/>
        <w:rPr>
          <w:b/>
          <w:sz w:val="24"/>
          <w:szCs w:val="24"/>
        </w:rPr>
      </w:pPr>
    </w:p>
    <w:p w:rsidR="0070045B" w:rsidRPr="002045D9" w:rsidRDefault="0070045B" w:rsidP="004D7E6F">
      <w:pPr>
        <w:ind w:right="91"/>
        <w:rPr>
          <w:sz w:val="24"/>
          <w:szCs w:val="24"/>
        </w:rPr>
      </w:pPr>
      <w:r w:rsidRPr="002045D9">
        <w:rPr>
          <w:sz w:val="24"/>
          <w:szCs w:val="24"/>
        </w:rPr>
        <w:t>This item omit</w:t>
      </w:r>
      <w:r w:rsidR="00582D21">
        <w:rPr>
          <w:sz w:val="24"/>
          <w:szCs w:val="24"/>
        </w:rPr>
        <w:t>s</w:t>
      </w:r>
      <w:r w:rsidRPr="002045D9">
        <w:rPr>
          <w:sz w:val="24"/>
          <w:szCs w:val="24"/>
        </w:rPr>
        <w:t xml:space="preserve"> “(1)” in the existing subregulation 4(1) of the Principal Regulations. </w:t>
      </w:r>
    </w:p>
    <w:p w:rsidR="0070045B" w:rsidRPr="002045D9" w:rsidRDefault="0070045B" w:rsidP="004D7E6F">
      <w:pPr>
        <w:ind w:right="91"/>
        <w:rPr>
          <w:b/>
          <w:sz w:val="24"/>
          <w:szCs w:val="24"/>
        </w:rPr>
      </w:pPr>
    </w:p>
    <w:p w:rsidR="0070045B" w:rsidRPr="002045D9" w:rsidRDefault="0070045B" w:rsidP="004D7E6F">
      <w:pPr>
        <w:ind w:right="91"/>
        <w:rPr>
          <w:sz w:val="24"/>
          <w:szCs w:val="24"/>
        </w:rPr>
      </w:pPr>
      <w:r w:rsidRPr="002045D9">
        <w:rPr>
          <w:b/>
          <w:sz w:val="24"/>
          <w:szCs w:val="24"/>
        </w:rPr>
        <w:t xml:space="preserve">Item [2] – Subregulation 4(2) </w:t>
      </w:r>
    </w:p>
    <w:p w:rsidR="0070045B" w:rsidRPr="002045D9" w:rsidRDefault="0070045B" w:rsidP="004D7E6F">
      <w:pPr>
        <w:ind w:right="91"/>
        <w:rPr>
          <w:sz w:val="24"/>
          <w:szCs w:val="24"/>
        </w:rPr>
      </w:pPr>
    </w:p>
    <w:p w:rsidR="0070045B" w:rsidRPr="002045D9" w:rsidRDefault="0070045B" w:rsidP="004D7E6F">
      <w:pPr>
        <w:ind w:right="91"/>
        <w:rPr>
          <w:sz w:val="24"/>
          <w:szCs w:val="24"/>
        </w:rPr>
      </w:pPr>
      <w:r w:rsidRPr="002045D9">
        <w:rPr>
          <w:sz w:val="24"/>
          <w:szCs w:val="24"/>
        </w:rPr>
        <w:t xml:space="preserve">Existing subregulation 4(2) of the Principal Regulations provides that the nominated company for Part 2 of the </w:t>
      </w:r>
      <w:r w:rsidRPr="002045D9">
        <w:rPr>
          <w:i/>
          <w:sz w:val="24"/>
          <w:szCs w:val="24"/>
        </w:rPr>
        <w:t xml:space="preserve">Health Insurance Commission (Reform and Separation of Functions) Act 1997 </w:t>
      </w:r>
      <w:r w:rsidRPr="002045D9">
        <w:rPr>
          <w:sz w:val="24"/>
          <w:szCs w:val="24"/>
        </w:rPr>
        <w:t>is to be taken not to be a prescribed authority for paragraph 3AB(1)(b) of the Act. This item repeal</w:t>
      </w:r>
      <w:r w:rsidR="00582D21">
        <w:rPr>
          <w:sz w:val="24"/>
          <w:szCs w:val="24"/>
        </w:rPr>
        <w:t>s</w:t>
      </w:r>
      <w:r w:rsidRPr="002045D9">
        <w:rPr>
          <w:sz w:val="24"/>
          <w:szCs w:val="24"/>
        </w:rPr>
        <w:t xml:space="preserve"> subregulation 4(2). </w:t>
      </w:r>
    </w:p>
    <w:p w:rsidR="0070045B" w:rsidRPr="002045D9" w:rsidRDefault="0070045B" w:rsidP="004D7E6F">
      <w:pPr>
        <w:ind w:right="91"/>
        <w:rPr>
          <w:sz w:val="24"/>
          <w:szCs w:val="24"/>
        </w:rPr>
      </w:pPr>
    </w:p>
    <w:p w:rsidR="0070045B" w:rsidRPr="002045D9" w:rsidRDefault="0070045B" w:rsidP="004D7E6F">
      <w:pPr>
        <w:ind w:right="91"/>
        <w:rPr>
          <w:b/>
          <w:sz w:val="24"/>
          <w:szCs w:val="24"/>
        </w:rPr>
      </w:pPr>
      <w:r w:rsidRPr="002045D9">
        <w:rPr>
          <w:b/>
          <w:sz w:val="24"/>
          <w:szCs w:val="24"/>
        </w:rPr>
        <w:t>Item [3] – After regulation 6</w:t>
      </w:r>
    </w:p>
    <w:p w:rsidR="0070045B" w:rsidRPr="002045D9" w:rsidRDefault="0070045B" w:rsidP="004D7E6F">
      <w:pPr>
        <w:ind w:right="91"/>
        <w:rPr>
          <w:sz w:val="24"/>
          <w:szCs w:val="24"/>
        </w:rPr>
      </w:pPr>
    </w:p>
    <w:p w:rsidR="0070045B" w:rsidRPr="002045D9" w:rsidRDefault="0070045B" w:rsidP="004D7E6F">
      <w:pPr>
        <w:ind w:right="91"/>
        <w:rPr>
          <w:sz w:val="24"/>
          <w:szCs w:val="24"/>
        </w:rPr>
      </w:pPr>
      <w:r w:rsidRPr="002045D9">
        <w:rPr>
          <w:sz w:val="24"/>
          <w:szCs w:val="24"/>
        </w:rPr>
        <w:t>This item insert</w:t>
      </w:r>
      <w:r w:rsidR="00582D21">
        <w:rPr>
          <w:sz w:val="24"/>
          <w:szCs w:val="24"/>
        </w:rPr>
        <w:t>s</w:t>
      </w:r>
      <w:r w:rsidRPr="002045D9">
        <w:rPr>
          <w:sz w:val="24"/>
          <w:szCs w:val="24"/>
        </w:rPr>
        <w:t xml:space="preserve"> a new regulation 6A after regulation 6 in the Principal Regulations. </w:t>
      </w:r>
    </w:p>
    <w:p w:rsidR="0070045B" w:rsidRPr="002045D9" w:rsidRDefault="0070045B" w:rsidP="004D7E6F">
      <w:pPr>
        <w:ind w:right="91"/>
        <w:rPr>
          <w:sz w:val="24"/>
          <w:szCs w:val="24"/>
        </w:rPr>
      </w:pPr>
    </w:p>
    <w:p w:rsidR="0070045B" w:rsidRPr="002045D9" w:rsidRDefault="0070045B" w:rsidP="004D7E6F">
      <w:pPr>
        <w:ind w:right="91"/>
        <w:rPr>
          <w:sz w:val="24"/>
          <w:szCs w:val="24"/>
        </w:rPr>
      </w:pPr>
      <w:r w:rsidRPr="002045D9">
        <w:rPr>
          <w:sz w:val="24"/>
          <w:szCs w:val="24"/>
        </w:rPr>
        <w:t>Subregulation 6A(1) provide</w:t>
      </w:r>
      <w:r w:rsidR="00582D21">
        <w:rPr>
          <w:sz w:val="24"/>
          <w:szCs w:val="24"/>
        </w:rPr>
        <w:t>s</w:t>
      </w:r>
      <w:r w:rsidRPr="002045D9">
        <w:rPr>
          <w:sz w:val="24"/>
          <w:szCs w:val="24"/>
        </w:rPr>
        <w:t xml:space="preserve"> that, for the purposes of subsection 3(5A) of the Act, action taken by </w:t>
      </w:r>
      <w:r w:rsidR="005F502A">
        <w:rPr>
          <w:sz w:val="24"/>
          <w:szCs w:val="24"/>
        </w:rPr>
        <w:t xml:space="preserve">the </w:t>
      </w:r>
      <w:r w:rsidR="002C3A5A">
        <w:rPr>
          <w:sz w:val="24"/>
          <w:szCs w:val="24"/>
        </w:rPr>
        <w:t>Australian Government Solicitor</w:t>
      </w:r>
      <w:r w:rsidR="005F502A">
        <w:rPr>
          <w:sz w:val="24"/>
          <w:szCs w:val="24"/>
        </w:rPr>
        <w:t xml:space="preserve"> or any other </w:t>
      </w:r>
      <w:r w:rsidRPr="002045D9">
        <w:rPr>
          <w:sz w:val="24"/>
          <w:szCs w:val="24"/>
        </w:rPr>
        <w:t>officer of the Attorney-General’s Department in furtherance of the duties of the Australian Government Solicitor is deemed not to be action taken by the Attorney-General’s Department. Subregulation 6A(2) provide</w:t>
      </w:r>
      <w:r w:rsidR="007352B5">
        <w:rPr>
          <w:sz w:val="24"/>
          <w:szCs w:val="24"/>
        </w:rPr>
        <w:t>s</w:t>
      </w:r>
      <w:r w:rsidRPr="002045D9">
        <w:rPr>
          <w:sz w:val="24"/>
          <w:szCs w:val="24"/>
        </w:rPr>
        <w:t xml:space="preserve"> that subregulation 6A(1) does not apply to action that is disclosable conduct to which subsection 5A(1) of the Act applies. </w:t>
      </w:r>
    </w:p>
    <w:p w:rsidR="0070045B" w:rsidRPr="002045D9" w:rsidRDefault="0070045B" w:rsidP="004D7E6F">
      <w:pPr>
        <w:rPr>
          <w:b/>
          <w:sz w:val="24"/>
          <w:szCs w:val="24"/>
        </w:rPr>
      </w:pPr>
    </w:p>
    <w:p w:rsidR="0070045B" w:rsidRPr="002045D9" w:rsidRDefault="0070045B" w:rsidP="004D7E6F">
      <w:pPr>
        <w:rPr>
          <w:sz w:val="24"/>
          <w:szCs w:val="24"/>
        </w:rPr>
      </w:pPr>
      <w:r w:rsidRPr="002045D9">
        <w:rPr>
          <w:b/>
          <w:sz w:val="24"/>
          <w:szCs w:val="24"/>
        </w:rPr>
        <w:br w:type="column"/>
        <w:t>Item [4] – Schedule 1</w:t>
      </w:r>
    </w:p>
    <w:p w:rsidR="00311D3A" w:rsidRPr="002045D9" w:rsidRDefault="00311D3A" w:rsidP="004D7E6F">
      <w:pPr>
        <w:rPr>
          <w:sz w:val="24"/>
          <w:szCs w:val="24"/>
        </w:rPr>
      </w:pPr>
    </w:p>
    <w:p w:rsidR="0070045B" w:rsidRPr="002045D9" w:rsidRDefault="0070045B" w:rsidP="004D7E6F">
      <w:pPr>
        <w:rPr>
          <w:sz w:val="24"/>
          <w:szCs w:val="24"/>
        </w:rPr>
      </w:pPr>
      <w:r w:rsidRPr="002045D9">
        <w:rPr>
          <w:sz w:val="24"/>
          <w:szCs w:val="24"/>
        </w:rPr>
        <w:t>Existing Schedule 1 of the Principal Regulations provides that the Australian Government Solicitor is a body that is not to be taken to be a prescribed authority for the purposes of the Act. This item omit</w:t>
      </w:r>
      <w:r w:rsidR="006625D6">
        <w:rPr>
          <w:sz w:val="24"/>
          <w:szCs w:val="24"/>
        </w:rPr>
        <w:t>s</w:t>
      </w:r>
      <w:r w:rsidRPr="002045D9">
        <w:rPr>
          <w:sz w:val="24"/>
          <w:szCs w:val="24"/>
        </w:rPr>
        <w:t xml:space="preserve"> the reference to the Australian Government Solicitor.</w:t>
      </w:r>
    </w:p>
    <w:p w:rsidR="00311D3A" w:rsidRPr="002045D9" w:rsidRDefault="00311D3A" w:rsidP="004D7E6F">
      <w:pPr>
        <w:rPr>
          <w:sz w:val="24"/>
          <w:szCs w:val="24"/>
        </w:rPr>
      </w:pPr>
    </w:p>
    <w:p w:rsidR="0070045B" w:rsidRPr="002045D9" w:rsidRDefault="0070045B" w:rsidP="004D7E6F">
      <w:pPr>
        <w:rPr>
          <w:sz w:val="24"/>
          <w:szCs w:val="24"/>
        </w:rPr>
      </w:pPr>
      <w:r w:rsidRPr="002045D9">
        <w:rPr>
          <w:b/>
          <w:sz w:val="24"/>
          <w:szCs w:val="24"/>
        </w:rPr>
        <w:t>Item [5] – Schedule 3</w:t>
      </w:r>
    </w:p>
    <w:p w:rsidR="00311D3A" w:rsidRPr="002045D9" w:rsidRDefault="00311D3A" w:rsidP="004D7E6F">
      <w:pPr>
        <w:rPr>
          <w:sz w:val="24"/>
          <w:szCs w:val="24"/>
        </w:rPr>
      </w:pPr>
    </w:p>
    <w:p w:rsidR="0070045B" w:rsidRPr="002045D9" w:rsidRDefault="0070045B" w:rsidP="004D7E6F">
      <w:pPr>
        <w:rPr>
          <w:sz w:val="24"/>
          <w:szCs w:val="24"/>
        </w:rPr>
      </w:pPr>
      <w:r w:rsidRPr="002045D9">
        <w:rPr>
          <w:sz w:val="24"/>
          <w:szCs w:val="24"/>
        </w:rPr>
        <w:t>Existing Schedule 3 of the Principal Regulations provides that the Chief Executive Officer of the Australian Government Solicitor is a person who is not to be taken to be a prescribed authority for the purposes of the Act. This item insert</w:t>
      </w:r>
      <w:r w:rsidR="00BF334D">
        <w:rPr>
          <w:sz w:val="24"/>
          <w:szCs w:val="24"/>
        </w:rPr>
        <w:t>s</w:t>
      </w:r>
      <w:r w:rsidRPr="002045D9">
        <w:rPr>
          <w:sz w:val="24"/>
          <w:szCs w:val="24"/>
        </w:rPr>
        <w:t xml:space="preserve"> the reference to the Australian Government Solicitor. </w:t>
      </w:r>
    </w:p>
    <w:p w:rsidR="00311D3A" w:rsidRPr="002045D9" w:rsidRDefault="00311D3A" w:rsidP="004D7E6F">
      <w:pPr>
        <w:rPr>
          <w:b/>
          <w:sz w:val="24"/>
          <w:szCs w:val="24"/>
        </w:rPr>
      </w:pPr>
    </w:p>
    <w:p w:rsidR="0070045B" w:rsidRPr="002045D9" w:rsidRDefault="0070045B" w:rsidP="004D7E6F">
      <w:pPr>
        <w:rPr>
          <w:sz w:val="24"/>
          <w:szCs w:val="24"/>
        </w:rPr>
      </w:pPr>
      <w:r w:rsidRPr="002045D9">
        <w:rPr>
          <w:b/>
          <w:sz w:val="24"/>
          <w:szCs w:val="24"/>
        </w:rPr>
        <w:t>Item [6] – Schedule 3</w:t>
      </w:r>
    </w:p>
    <w:p w:rsidR="00311D3A" w:rsidRPr="002045D9" w:rsidRDefault="00311D3A" w:rsidP="004D7E6F">
      <w:pPr>
        <w:rPr>
          <w:sz w:val="24"/>
          <w:szCs w:val="24"/>
        </w:rPr>
      </w:pPr>
    </w:p>
    <w:p w:rsidR="00F11A5F" w:rsidRPr="002045D9" w:rsidRDefault="0070045B" w:rsidP="004D7E6F">
      <w:pPr>
        <w:rPr>
          <w:sz w:val="24"/>
          <w:szCs w:val="24"/>
        </w:rPr>
      </w:pPr>
      <w:r w:rsidRPr="002045D9">
        <w:rPr>
          <w:sz w:val="24"/>
          <w:szCs w:val="24"/>
        </w:rPr>
        <w:t>Existing Schedule 3 of the Principal Regulations provides that the Chief Executive Officer of the Australian Government Solicitor is a person who is not to be taken to be a prescribed authority for the purposes of the Act. This item omit</w:t>
      </w:r>
      <w:r w:rsidR="00F64A8D">
        <w:rPr>
          <w:sz w:val="24"/>
          <w:szCs w:val="24"/>
        </w:rPr>
        <w:t>s</w:t>
      </w:r>
      <w:r w:rsidRPr="002045D9">
        <w:rPr>
          <w:sz w:val="24"/>
          <w:szCs w:val="24"/>
        </w:rPr>
        <w:t xml:space="preserve"> the reference to the Chief Executive Officer of the Australian Government Solicitor.</w:t>
      </w:r>
    </w:p>
    <w:sectPr w:rsidR="00F11A5F" w:rsidRPr="002045D9" w:rsidSect="000D4EDF">
      <w:footerReference w:type="even" r:id="rId8"/>
      <w:footerReference w:type="default" r:id="rId9"/>
      <w:footerReference w:type="first" r:id="rId10"/>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5F" w:rsidRDefault="00F11A5F" w:rsidP="00F11A5F">
      <w:pPr>
        <w:spacing w:line="240" w:lineRule="auto"/>
      </w:pPr>
      <w:r>
        <w:separator/>
      </w:r>
    </w:p>
  </w:endnote>
  <w:endnote w:type="continuationSeparator" w:id="0">
    <w:p w:rsidR="00F11A5F" w:rsidRDefault="00F11A5F" w:rsidP="00F11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2F" w:rsidRDefault="00F00222" w:rsidP="000D4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72BEB" w:rsidRDefault="00FD32CE" w:rsidP="000D4EDF">
    <w:pPr>
      <w:pStyle w:val="Footer"/>
      <w:ind w:right="360"/>
    </w:pPr>
  </w:p>
  <w:p w:rsidR="00F8672F" w:rsidRPr="00172BEB" w:rsidRDefault="00F00222" w:rsidP="00172BEB">
    <w:pPr>
      <w:pStyle w:val="Footer"/>
      <w:ind w:right="360"/>
      <w:jc w:val="right"/>
      <w:rPr>
        <w:i/>
        <w:sz w:val="18"/>
      </w:rPr>
    </w:pPr>
    <w:r>
      <w:rPr>
        <w:i/>
        <w:sz w:val="18"/>
      </w:rPr>
      <w:fldChar w:fldCharType="begin"/>
    </w:r>
    <w:r>
      <w:rPr>
        <w:i/>
        <w:sz w:val="18"/>
      </w:rPr>
      <w:instrText xml:space="preserve"> FILENAME \p \* MERGEFORMAT </w:instrText>
    </w:r>
    <w:r>
      <w:rPr>
        <w:i/>
        <w:sz w:val="18"/>
      </w:rPr>
      <w:fldChar w:fldCharType="separate"/>
    </w:r>
    <w:r w:rsidR="002045D9">
      <w:rPr>
        <w:i/>
        <w:noProof/>
        <w:sz w:val="18"/>
      </w:rPr>
      <w:t>G:\Government\Access &amp; Admin Review\Ombudsman\CHANGES to the Ombudsman Act (e.g. Consequential Amendments)\Judiciary Amendment Bill 2015\PSPM Briefing\Explanatory Statement.docx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731555">
      <w:rPr>
        <w:i/>
        <w:noProof/>
        <w:sz w:val="18"/>
      </w:rPr>
      <w:t>25/6/2015 4:14 PM</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2F" w:rsidRPr="000B0D5F" w:rsidRDefault="00FD32CE" w:rsidP="00A4294E">
    <w:pPr>
      <w:pStyle w:val="Footer"/>
      <w:tabs>
        <w:tab w:val="clear" w:pos="4153"/>
        <w:tab w:val="clear" w:pos="8306"/>
        <w:tab w:val="left" w:pos="7680"/>
      </w:tabs>
      <w:ind w:right="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EB" w:rsidRDefault="00FD32CE">
    <w:pPr>
      <w:pStyle w:val="Footer"/>
    </w:pPr>
  </w:p>
  <w:p w:rsidR="00172BEB" w:rsidRPr="00172BEB" w:rsidRDefault="00F00222" w:rsidP="00172BEB">
    <w:pPr>
      <w:pStyle w:val="Footer"/>
      <w:rPr>
        <w:i/>
        <w:sz w:val="18"/>
      </w:rPr>
    </w:pPr>
    <w:r>
      <w:rPr>
        <w:i/>
        <w:sz w:val="18"/>
      </w:rPr>
      <w:fldChar w:fldCharType="begin"/>
    </w:r>
    <w:r>
      <w:rPr>
        <w:i/>
        <w:sz w:val="18"/>
      </w:rPr>
      <w:instrText xml:space="preserve"> FILENAME \p \* MERGEFORMAT </w:instrText>
    </w:r>
    <w:r>
      <w:rPr>
        <w:i/>
        <w:sz w:val="18"/>
      </w:rPr>
      <w:fldChar w:fldCharType="separate"/>
    </w:r>
    <w:r w:rsidR="002045D9">
      <w:rPr>
        <w:i/>
        <w:noProof/>
        <w:sz w:val="18"/>
      </w:rPr>
      <w:t>G:\Government\Access &amp; Admin Review\Ombudsman\CHANGES to the Ombudsman Act (e.g. Consequential Amendments)\Judiciary Amendment Bill 2015\PSPM Briefing\Explanatory Statement.docx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731555">
      <w:rPr>
        <w:i/>
        <w:noProof/>
        <w:sz w:val="18"/>
      </w:rPr>
      <w:t>25/6/2015 4:14 PM</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5F" w:rsidRDefault="00F11A5F" w:rsidP="00F11A5F">
      <w:pPr>
        <w:spacing w:line="240" w:lineRule="auto"/>
      </w:pPr>
      <w:r>
        <w:separator/>
      </w:r>
    </w:p>
  </w:footnote>
  <w:footnote w:type="continuationSeparator" w:id="0">
    <w:p w:rsidR="00F11A5F" w:rsidRDefault="00F11A5F" w:rsidP="00F11A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11A"/>
    <w:multiLevelType w:val="multilevel"/>
    <w:tmpl w:val="EA5E96EA"/>
    <w:numStyleLink w:val="KeyPoints"/>
  </w:abstractNum>
  <w:abstractNum w:abstractNumId="1">
    <w:nsid w:val="2DB24A9E"/>
    <w:multiLevelType w:val="hybridMultilevel"/>
    <w:tmpl w:val="A000C3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3">
    <w:nsid w:val="4C2B60FB"/>
    <w:multiLevelType w:val="hybridMultilevel"/>
    <w:tmpl w:val="8E08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cs="Times New Roman" w:hint="default"/>
        <w:sz w:val="22"/>
      </w:rPr>
    </w:lvl>
    <w:lvl w:ilvl="1">
      <w:start w:val="1"/>
      <w:numFmt w:val="lowerLetter"/>
      <w:lvlText w:val="%2."/>
      <w:lvlJc w:val="left"/>
      <w:pPr>
        <w:ind w:left="737" w:hanging="368"/>
      </w:pPr>
    </w:lvl>
    <w:lvl w:ilvl="2">
      <w:start w:val="1"/>
      <w:numFmt w:val="lowerRoman"/>
      <w:lvlText w:val="%3."/>
      <w:lvlJc w:val="left"/>
      <w:pPr>
        <w:ind w:left="1106" w:hanging="369"/>
      </w:pPr>
    </w:lvl>
    <w:lvl w:ilvl="3">
      <w:start w:val="1"/>
      <w:numFmt w:val="none"/>
      <w:lvlText w:val=""/>
      <w:lvlJc w:val="left"/>
      <w:pPr>
        <w:ind w:left="1111" w:hanging="5"/>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lvlOverride w:ilvl="0">
      <w:startOverride w:val="1"/>
      <w:lvl w:ilvl="0">
        <w:start w:val="1"/>
        <w:numFmt w:val="decimal"/>
        <w:lvlText w:val="%1."/>
        <w:lvlJc w:val="left"/>
        <w:pPr>
          <w:ind w:left="369" w:hanging="369"/>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num>
  <w:num w:numId="6">
    <w:abstractNumId w:val="0"/>
    <w:lvlOverride w:ilvl="0">
      <w:startOverride w:val="1"/>
      <w:lvl w:ilvl="0">
        <w:start w:val="1"/>
        <w:numFmt w:val="decimal"/>
        <w:lvlText w:val="%1."/>
        <w:lvlJc w:val="left"/>
        <w:pPr>
          <w:ind w:left="369" w:hanging="369"/>
        </w:pPr>
        <w:rPr>
          <w:rFonts w:ascii="Tahoma" w:hAnsi="Tahoma" w:cs="Tahoma"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5F"/>
    <w:rsid w:val="00010278"/>
    <w:rsid w:val="00021010"/>
    <w:rsid w:val="000516DE"/>
    <w:rsid w:val="0006423B"/>
    <w:rsid w:val="00093EC0"/>
    <w:rsid w:val="000A0446"/>
    <w:rsid w:val="000B0D29"/>
    <w:rsid w:val="000C2F49"/>
    <w:rsid w:val="000C38E8"/>
    <w:rsid w:val="0012175F"/>
    <w:rsid w:val="00121CD4"/>
    <w:rsid w:val="001908ED"/>
    <w:rsid w:val="001B24D6"/>
    <w:rsid w:val="001B5924"/>
    <w:rsid w:val="001E2D0E"/>
    <w:rsid w:val="001F206C"/>
    <w:rsid w:val="002045D9"/>
    <w:rsid w:val="00256D3C"/>
    <w:rsid w:val="002674D2"/>
    <w:rsid w:val="00294EB5"/>
    <w:rsid w:val="002C3A5A"/>
    <w:rsid w:val="00311AEB"/>
    <w:rsid w:val="00311D3A"/>
    <w:rsid w:val="00322517"/>
    <w:rsid w:val="00326DA0"/>
    <w:rsid w:val="00383E2A"/>
    <w:rsid w:val="00385530"/>
    <w:rsid w:val="00387E93"/>
    <w:rsid w:val="003A12A3"/>
    <w:rsid w:val="003D5429"/>
    <w:rsid w:val="003D67D5"/>
    <w:rsid w:val="00406F3E"/>
    <w:rsid w:val="00474ECD"/>
    <w:rsid w:val="004821A0"/>
    <w:rsid w:val="004D0412"/>
    <w:rsid w:val="004D7E6F"/>
    <w:rsid w:val="004E4290"/>
    <w:rsid w:val="00582D21"/>
    <w:rsid w:val="005E0D64"/>
    <w:rsid w:val="005E119F"/>
    <w:rsid w:val="005E476A"/>
    <w:rsid w:val="005F4FA4"/>
    <w:rsid w:val="005F502A"/>
    <w:rsid w:val="00624790"/>
    <w:rsid w:val="006625D6"/>
    <w:rsid w:val="00662A78"/>
    <w:rsid w:val="00685496"/>
    <w:rsid w:val="00694029"/>
    <w:rsid w:val="006A15E7"/>
    <w:rsid w:val="006E5E5A"/>
    <w:rsid w:val="006F3A8D"/>
    <w:rsid w:val="0070045B"/>
    <w:rsid w:val="007253DE"/>
    <w:rsid w:val="00731555"/>
    <w:rsid w:val="00734AAA"/>
    <w:rsid w:val="007352B5"/>
    <w:rsid w:val="00774F68"/>
    <w:rsid w:val="007820C1"/>
    <w:rsid w:val="00783FD5"/>
    <w:rsid w:val="007918B7"/>
    <w:rsid w:val="00797FF8"/>
    <w:rsid w:val="007B12AC"/>
    <w:rsid w:val="007C2E9F"/>
    <w:rsid w:val="007D2E02"/>
    <w:rsid w:val="007D6A22"/>
    <w:rsid w:val="008118FD"/>
    <w:rsid w:val="008208B3"/>
    <w:rsid w:val="00822858"/>
    <w:rsid w:val="0085631B"/>
    <w:rsid w:val="0086368C"/>
    <w:rsid w:val="008A4F24"/>
    <w:rsid w:val="008B4F2E"/>
    <w:rsid w:val="009123AD"/>
    <w:rsid w:val="00930F0B"/>
    <w:rsid w:val="00937CC5"/>
    <w:rsid w:val="00990222"/>
    <w:rsid w:val="009A3761"/>
    <w:rsid w:val="009C2E03"/>
    <w:rsid w:val="009F5265"/>
    <w:rsid w:val="00A35A72"/>
    <w:rsid w:val="00A73DAB"/>
    <w:rsid w:val="00A836C0"/>
    <w:rsid w:val="00AA03FD"/>
    <w:rsid w:val="00AA149A"/>
    <w:rsid w:val="00AA3BAA"/>
    <w:rsid w:val="00AC3A81"/>
    <w:rsid w:val="00AD0CCA"/>
    <w:rsid w:val="00AD5AB9"/>
    <w:rsid w:val="00AF6902"/>
    <w:rsid w:val="00B2456E"/>
    <w:rsid w:val="00B57C07"/>
    <w:rsid w:val="00B649B1"/>
    <w:rsid w:val="00B72AFB"/>
    <w:rsid w:val="00B84970"/>
    <w:rsid w:val="00B86E31"/>
    <w:rsid w:val="00B94494"/>
    <w:rsid w:val="00BB2D80"/>
    <w:rsid w:val="00BC4F27"/>
    <w:rsid w:val="00BE7CB5"/>
    <w:rsid w:val="00BF1302"/>
    <w:rsid w:val="00BF334D"/>
    <w:rsid w:val="00C12085"/>
    <w:rsid w:val="00C4025E"/>
    <w:rsid w:val="00C8342F"/>
    <w:rsid w:val="00C942AB"/>
    <w:rsid w:val="00C96661"/>
    <w:rsid w:val="00CB43F1"/>
    <w:rsid w:val="00CB4A47"/>
    <w:rsid w:val="00CC2879"/>
    <w:rsid w:val="00CE67C6"/>
    <w:rsid w:val="00CF5CE9"/>
    <w:rsid w:val="00D06429"/>
    <w:rsid w:val="00D16A34"/>
    <w:rsid w:val="00D40863"/>
    <w:rsid w:val="00DA0817"/>
    <w:rsid w:val="00DB41EE"/>
    <w:rsid w:val="00DD2FC9"/>
    <w:rsid w:val="00DD731C"/>
    <w:rsid w:val="00DF594A"/>
    <w:rsid w:val="00E539D3"/>
    <w:rsid w:val="00E54AAC"/>
    <w:rsid w:val="00E62514"/>
    <w:rsid w:val="00EA72B0"/>
    <w:rsid w:val="00ED09FE"/>
    <w:rsid w:val="00ED6BFC"/>
    <w:rsid w:val="00EE73D5"/>
    <w:rsid w:val="00F00222"/>
    <w:rsid w:val="00F11A5F"/>
    <w:rsid w:val="00F64A8D"/>
    <w:rsid w:val="00F770B9"/>
    <w:rsid w:val="00F80FEF"/>
    <w:rsid w:val="00F90A53"/>
    <w:rsid w:val="00F96704"/>
    <w:rsid w:val="00FB3579"/>
    <w:rsid w:val="00FC42A0"/>
    <w:rsid w:val="00FD32CE"/>
    <w:rsid w:val="00FE5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A5F"/>
    <w:pPr>
      <w:spacing w:after="0" w:line="260" w:lineRule="atLeast"/>
    </w:pPr>
    <w:rPr>
      <w:rFonts w:ascii="Times New Roman" w:eastAsia="Calibri" w:hAnsi="Times New Roman" w:cs="Times New Roman"/>
      <w:szCs w:val="20"/>
    </w:rPr>
  </w:style>
  <w:style w:type="paragraph" w:styleId="Heading1">
    <w:name w:val="heading 1"/>
    <w:basedOn w:val="Heading2"/>
    <w:next w:val="Normal"/>
    <w:link w:val="Heading1Char"/>
    <w:qFormat/>
    <w:rsid w:val="00F11A5F"/>
    <w:pPr>
      <w:ind w:left="0" w:firstLine="0"/>
      <w:jc w:val="center"/>
      <w:outlineLvl w:val="0"/>
    </w:pPr>
    <w:rPr>
      <w:rFonts w:ascii="Times New Roman" w:hAnsi="Times New Roman"/>
      <w:sz w:val="28"/>
    </w:rPr>
  </w:style>
  <w:style w:type="paragraph" w:styleId="Heading2">
    <w:name w:val="heading 2"/>
    <w:basedOn w:val="Normal"/>
    <w:next w:val="Normal"/>
    <w:link w:val="Heading2Char"/>
    <w:qFormat/>
    <w:rsid w:val="00F11A5F"/>
    <w:pPr>
      <w:spacing w:before="360"/>
      <w:ind w:left="1452" w:hanging="1452"/>
      <w:outlineLvl w:val="1"/>
    </w:pPr>
    <w:rPr>
      <w:rFonts w:ascii="Times" w:hAnsi="Times"/>
      <w:b/>
      <w:sz w:val="24"/>
    </w:rPr>
  </w:style>
  <w:style w:type="paragraph" w:styleId="Heading3">
    <w:name w:val="heading 3"/>
    <w:basedOn w:val="Heading2"/>
    <w:next w:val="Normal"/>
    <w:link w:val="Heading3Char"/>
    <w:qFormat/>
    <w:rsid w:val="00F11A5F"/>
    <w:pPr>
      <w:keepNext/>
      <w:spacing w:before="280"/>
      <w:outlineLvl w:val="2"/>
    </w:pPr>
  </w:style>
  <w:style w:type="paragraph" w:styleId="Heading4">
    <w:name w:val="heading 4"/>
    <w:basedOn w:val="Normal"/>
    <w:next w:val="Normal"/>
    <w:link w:val="Heading4Char"/>
    <w:uiPriority w:val="9"/>
    <w:semiHidden/>
    <w:unhideWhenUsed/>
    <w:qFormat/>
    <w:rsid w:val="00F11A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A5F"/>
    <w:rPr>
      <w:rFonts w:ascii="Times New Roman" w:eastAsia="Calibri" w:hAnsi="Times New Roman" w:cs="Times New Roman"/>
      <w:b/>
      <w:sz w:val="28"/>
      <w:szCs w:val="20"/>
    </w:rPr>
  </w:style>
  <w:style w:type="character" w:customStyle="1" w:styleId="Heading2Char">
    <w:name w:val="Heading 2 Char"/>
    <w:basedOn w:val="DefaultParagraphFont"/>
    <w:link w:val="Heading2"/>
    <w:rsid w:val="00F11A5F"/>
    <w:rPr>
      <w:rFonts w:ascii="Times" w:eastAsia="Calibri" w:hAnsi="Times" w:cs="Times New Roman"/>
      <w:b/>
      <w:sz w:val="24"/>
      <w:szCs w:val="20"/>
    </w:rPr>
  </w:style>
  <w:style w:type="character" w:customStyle="1" w:styleId="Heading3Char">
    <w:name w:val="Heading 3 Char"/>
    <w:basedOn w:val="DefaultParagraphFont"/>
    <w:link w:val="Heading3"/>
    <w:rsid w:val="00F11A5F"/>
    <w:rPr>
      <w:rFonts w:ascii="Times" w:eastAsia="Calibri" w:hAnsi="Times" w:cs="Times New Roman"/>
      <w:b/>
      <w:sz w:val="24"/>
      <w:szCs w:val="20"/>
    </w:rPr>
  </w:style>
  <w:style w:type="character" w:styleId="Hyperlink">
    <w:name w:val="Hyperlink"/>
    <w:uiPriority w:val="99"/>
    <w:rsid w:val="00F11A5F"/>
    <w:rPr>
      <w:color w:val="0000FF"/>
      <w:u w:val="single"/>
    </w:rPr>
  </w:style>
  <w:style w:type="paragraph" w:styleId="Footer">
    <w:name w:val="footer"/>
    <w:link w:val="FooterChar"/>
    <w:rsid w:val="00F11A5F"/>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F11A5F"/>
    <w:rPr>
      <w:rFonts w:ascii="Times New Roman" w:eastAsia="Times New Roman" w:hAnsi="Times New Roman" w:cs="Times New Roman"/>
      <w:szCs w:val="24"/>
      <w:lang w:eastAsia="en-AU"/>
    </w:rPr>
  </w:style>
  <w:style w:type="paragraph" w:customStyle="1" w:styleId="Notes">
    <w:name w:val="Notes"/>
    <w:basedOn w:val="Normal"/>
    <w:link w:val="NotesChar"/>
    <w:qFormat/>
    <w:rsid w:val="00F11A5F"/>
    <w:rPr>
      <w:i/>
    </w:rPr>
  </w:style>
  <w:style w:type="character" w:customStyle="1" w:styleId="NotesChar">
    <w:name w:val="Notes Char"/>
    <w:link w:val="Notes"/>
    <w:rsid w:val="00F11A5F"/>
    <w:rPr>
      <w:rFonts w:ascii="Times New Roman" w:eastAsia="Calibri" w:hAnsi="Times New Roman" w:cs="Times New Roman"/>
      <w:i/>
      <w:szCs w:val="20"/>
    </w:rPr>
  </w:style>
  <w:style w:type="character" w:styleId="PageNumber">
    <w:name w:val="page number"/>
    <w:rsid w:val="00F11A5F"/>
  </w:style>
  <w:style w:type="character" w:customStyle="1" w:styleId="CharAmPartText">
    <w:name w:val="CharAmPartText"/>
    <w:uiPriority w:val="1"/>
    <w:qFormat/>
    <w:rsid w:val="00F11A5F"/>
  </w:style>
  <w:style w:type="paragraph" w:customStyle="1" w:styleId="notedraft">
    <w:name w:val="note(draft)"/>
    <w:aliases w:val="nd"/>
    <w:basedOn w:val="Normal"/>
    <w:rsid w:val="00F11A5F"/>
    <w:pPr>
      <w:spacing w:before="240" w:line="240" w:lineRule="auto"/>
      <w:ind w:left="284" w:hanging="284"/>
    </w:pPr>
    <w:rPr>
      <w:rFonts w:eastAsia="Times New Roman"/>
      <w:i/>
      <w:sz w:val="24"/>
      <w:lang w:eastAsia="en-AU"/>
    </w:rPr>
  </w:style>
  <w:style w:type="paragraph" w:styleId="BalloonText">
    <w:name w:val="Balloon Text"/>
    <w:basedOn w:val="Normal"/>
    <w:link w:val="BalloonTextChar"/>
    <w:uiPriority w:val="99"/>
    <w:semiHidden/>
    <w:unhideWhenUsed/>
    <w:rsid w:val="00F11A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5F"/>
    <w:rPr>
      <w:rFonts w:ascii="Tahoma" w:eastAsia="Calibri" w:hAnsi="Tahoma" w:cs="Tahoma"/>
      <w:sz w:val="16"/>
      <w:szCs w:val="16"/>
    </w:rPr>
  </w:style>
  <w:style w:type="paragraph" w:styleId="Header">
    <w:name w:val="header"/>
    <w:basedOn w:val="Normal"/>
    <w:link w:val="HeaderChar"/>
    <w:uiPriority w:val="99"/>
    <w:unhideWhenUsed/>
    <w:rsid w:val="00F11A5F"/>
    <w:pPr>
      <w:tabs>
        <w:tab w:val="center" w:pos="4513"/>
        <w:tab w:val="right" w:pos="9026"/>
      </w:tabs>
      <w:spacing w:line="240" w:lineRule="auto"/>
    </w:pPr>
  </w:style>
  <w:style w:type="character" w:customStyle="1" w:styleId="HeaderChar">
    <w:name w:val="Header Char"/>
    <w:basedOn w:val="DefaultParagraphFont"/>
    <w:link w:val="Header"/>
    <w:uiPriority w:val="99"/>
    <w:rsid w:val="00F11A5F"/>
    <w:rPr>
      <w:rFonts w:ascii="Times New Roman" w:eastAsia="Calibri" w:hAnsi="Times New Roman" w:cs="Times New Roman"/>
      <w:szCs w:val="20"/>
    </w:rPr>
  </w:style>
  <w:style w:type="paragraph" w:customStyle="1" w:styleId="HB-dotpoint">
    <w:name w:val="HB - dotpoint"/>
    <w:basedOn w:val="Normal"/>
    <w:rsid w:val="00F11A5F"/>
    <w:pPr>
      <w:numPr>
        <w:numId w:val="3"/>
      </w:numPr>
      <w:spacing w:before="180" w:line="240" w:lineRule="auto"/>
    </w:pPr>
    <w:rPr>
      <w:rFonts w:eastAsia="Times New Roman"/>
      <w:sz w:val="24"/>
      <w:lang w:eastAsia="en-AU"/>
    </w:rPr>
  </w:style>
  <w:style w:type="character" w:customStyle="1" w:styleId="1NumberPointsStyleChar">
    <w:name w:val="1. Number Points Style Char"/>
    <w:link w:val="1NumberPointsStyle"/>
    <w:locked/>
    <w:rsid w:val="00F11A5F"/>
    <w:rPr>
      <w:rFonts w:ascii="Times New Roman" w:eastAsia="Times New Roman" w:hAnsi="Times New Roman" w:cs="Times New Roman"/>
      <w:sz w:val="24"/>
    </w:rPr>
  </w:style>
  <w:style w:type="paragraph" w:customStyle="1" w:styleId="1NumberPointsStyle">
    <w:name w:val="1. Number Points Style"/>
    <w:basedOn w:val="Normal"/>
    <w:link w:val="1NumberPointsStyleChar"/>
    <w:qFormat/>
    <w:rsid w:val="00F11A5F"/>
    <w:pPr>
      <w:numPr>
        <w:numId w:val="5"/>
      </w:numPr>
      <w:spacing w:after="200" w:line="240" w:lineRule="auto"/>
    </w:pPr>
    <w:rPr>
      <w:rFonts w:eastAsia="Times New Roman"/>
      <w:sz w:val="24"/>
      <w:szCs w:val="22"/>
    </w:rPr>
  </w:style>
  <w:style w:type="numbering" w:customStyle="1" w:styleId="KeyPoints">
    <w:name w:val="Key Points"/>
    <w:uiPriority w:val="99"/>
    <w:rsid w:val="00F11A5F"/>
    <w:pPr>
      <w:numPr>
        <w:numId w:val="5"/>
      </w:numPr>
    </w:pPr>
  </w:style>
  <w:style w:type="character" w:customStyle="1" w:styleId="Heading4Char">
    <w:name w:val="Heading 4 Char"/>
    <w:basedOn w:val="DefaultParagraphFont"/>
    <w:link w:val="Heading4"/>
    <w:uiPriority w:val="9"/>
    <w:semiHidden/>
    <w:rsid w:val="00F11A5F"/>
    <w:rPr>
      <w:rFonts w:asciiTheme="majorHAnsi" w:eastAsiaTheme="majorEastAsia" w:hAnsiTheme="majorHAnsi" w:cstheme="majorBidi"/>
      <w:b/>
      <w:bCs/>
      <w:i/>
      <w:i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A5F"/>
    <w:pPr>
      <w:spacing w:after="0" w:line="260" w:lineRule="atLeast"/>
    </w:pPr>
    <w:rPr>
      <w:rFonts w:ascii="Times New Roman" w:eastAsia="Calibri" w:hAnsi="Times New Roman" w:cs="Times New Roman"/>
      <w:szCs w:val="20"/>
    </w:rPr>
  </w:style>
  <w:style w:type="paragraph" w:styleId="Heading1">
    <w:name w:val="heading 1"/>
    <w:basedOn w:val="Heading2"/>
    <w:next w:val="Normal"/>
    <w:link w:val="Heading1Char"/>
    <w:qFormat/>
    <w:rsid w:val="00F11A5F"/>
    <w:pPr>
      <w:ind w:left="0" w:firstLine="0"/>
      <w:jc w:val="center"/>
      <w:outlineLvl w:val="0"/>
    </w:pPr>
    <w:rPr>
      <w:rFonts w:ascii="Times New Roman" w:hAnsi="Times New Roman"/>
      <w:sz w:val="28"/>
    </w:rPr>
  </w:style>
  <w:style w:type="paragraph" w:styleId="Heading2">
    <w:name w:val="heading 2"/>
    <w:basedOn w:val="Normal"/>
    <w:next w:val="Normal"/>
    <w:link w:val="Heading2Char"/>
    <w:qFormat/>
    <w:rsid w:val="00F11A5F"/>
    <w:pPr>
      <w:spacing w:before="360"/>
      <w:ind w:left="1452" w:hanging="1452"/>
      <w:outlineLvl w:val="1"/>
    </w:pPr>
    <w:rPr>
      <w:rFonts w:ascii="Times" w:hAnsi="Times"/>
      <w:b/>
      <w:sz w:val="24"/>
    </w:rPr>
  </w:style>
  <w:style w:type="paragraph" w:styleId="Heading3">
    <w:name w:val="heading 3"/>
    <w:basedOn w:val="Heading2"/>
    <w:next w:val="Normal"/>
    <w:link w:val="Heading3Char"/>
    <w:qFormat/>
    <w:rsid w:val="00F11A5F"/>
    <w:pPr>
      <w:keepNext/>
      <w:spacing w:before="280"/>
      <w:outlineLvl w:val="2"/>
    </w:pPr>
  </w:style>
  <w:style w:type="paragraph" w:styleId="Heading4">
    <w:name w:val="heading 4"/>
    <w:basedOn w:val="Normal"/>
    <w:next w:val="Normal"/>
    <w:link w:val="Heading4Char"/>
    <w:uiPriority w:val="9"/>
    <w:semiHidden/>
    <w:unhideWhenUsed/>
    <w:qFormat/>
    <w:rsid w:val="00F11A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A5F"/>
    <w:rPr>
      <w:rFonts w:ascii="Times New Roman" w:eastAsia="Calibri" w:hAnsi="Times New Roman" w:cs="Times New Roman"/>
      <w:b/>
      <w:sz w:val="28"/>
      <w:szCs w:val="20"/>
    </w:rPr>
  </w:style>
  <w:style w:type="character" w:customStyle="1" w:styleId="Heading2Char">
    <w:name w:val="Heading 2 Char"/>
    <w:basedOn w:val="DefaultParagraphFont"/>
    <w:link w:val="Heading2"/>
    <w:rsid w:val="00F11A5F"/>
    <w:rPr>
      <w:rFonts w:ascii="Times" w:eastAsia="Calibri" w:hAnsi="Times" w:cs="Times New Roman"/>
      <w:b/>
      <w:sz w:val="24"/>
      <w:szCs w:val="20"/>
    </w:rPr>
  </w:style>
  <w:style w:type="character" w:customStyle="1" w:styleId="Heading3Char">
    <w:name w:val="Heading 3 Char"/>
    <w:basedOn w:val="DefaultParagraphFont"/>
    <w:link w:val="Heading3"/>
    <w:rsid w:val="00F11A5F"/>
    <w:rPr>
      <w:rFonts w:ascii="Times" w:eastAsia="Calibri" w:hAnsi="Times" w:cs="Times New Roman"/>
      <w:b/>
      <w:sz w:val="24"/>
      <w:szCs w:val="20"/>
    </w:rPr>
  </w:style>
  <w:style w:type="character" w:styleId="Hyperlink">
    <w:name w:val="Hyperlink"/>
    <w:uiPriority w:val="99"/>
    <w:rsid w:val="00F11A5F"/>
    <w:rPr>
      <w:color w:val="0000FF"/>
      <w:u w:val="single"/>
    </w:rPr>
  </w:style>
  <w:style w:type="paragraph" w:styleId="Footer">
    <w:name w:val="footer"/>
    <w:link w:val="FooterChar"/>
    <w:rsid w:val="00F11A5F"/>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F11A5F"/>
    <w:rPr>
      <w:rFonts w:ascii="Times New Roman" w:eastAsia="Times New Roman" w:hAnsi="Times New Roman" w:cs="Times New Roman"/>
      <w:szCs w:val="24"/>
      <w:lang w:eastAsia="en-AU"/>
    </w:rPr>
  </w:style>
  <w:style w:type="paragraph" w:customStyle="1" w:styleId="Notes">
    <w:name w:val="Notes"/>
    <w:basedOn w:val="Normal"/>
    <w:link w:val="NotesChar"/>
    <w:qFormat/>
    <w:rsid w:val="00F11A5F"/>
    <w:rPr>
      <w:i/>
    </w:rPr>
  </w:style>
  <w:style w:type="character" w:customStyle="1" w:styleId="NotesChar">
    <w:name w:val="Notes Char"/>
    <w:link w:val="Notes"/>
    <w:rsid w:val="00F11A5F"/>
    <w:rPr>
      <w:rFonts w:ascii="Times New Roman" w:eastAsia="Calibri" w:hAnsi="Times New Roman" w:cs="Times New Roman"/>
      <w:i/>
      <w:szCs w:val="20"/>
    </w:rPr>
  </w:style>
  <w:style w:type="character" w:styleId="PageNumber">
    <w:name w:val="page number"/>
    <w:rsid w:val="00F11A5F"/>
  </w:style>
  <w:style w:type="character" w:customStyle="1" w:styleId="CharAmPartText">
    <w:name w:val="CharAmPartText"/>
    <w:uiPriority w:val="1"/>
    <w:qFormat/>
    <w:rsid w:val="00F11A5F"/>
  </w:style>
  <w:style w:type="paragraph" w:customStyle="1" w:styleId="notedraft">
    <w:name w:val="note(draft)"/>
    <w:aliases w:val="nd"/>
    <w:basedOn w:val="Normal"/>
    <w:rsid w:val="00F11A5F"/>
    <w:pPr>
      <w:spacing w:before="240" w:line="240" w:lineRule="auto"/>
      <w:ind w:left="284" w:hanging="284"/>
    </w:pPr>
    <w:rPr>
      <w:rFonts w:eastAsia="Times New Roman"/>
      <w:i/>
      <w:sz w:val="24"/>
      <w:lang w:eastAsia="en-AU"/>
    </w:rPr>
  </w:style>
  <w:style w:type="paragraph" w:styleId="BalloonText">
    <w:name w:val="Balloon Text"/>
    <w:basedOn w:val="Normal"/>
    <w:link w:val="BalloonTextChar"/>
    <w:uiPriority w:val="99"/>
    <w:semiHidden/>
    <w:unhideWhenUsed/>
    <w:rsid w:val="00F11A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5F"/>
    <w:rPr>
      <w:rFonts w:ascii="Tahoma" w:eastAsia="Calibri" w:hAnsi="Tahoma" w:cs="Tahoma"/>
      <w:sz w:val="16"/>
      <w:szCs w:val="16"/>
    </w:rPr>
  </w:style>
  <w:style w:type="paragraph" w:styleId="Header">
    <w:name w:val="header"/>
    <w:basedOn w:val="Normal"/>
    <w:link w:val="HeaderChar"/>
    <w:uiPriority w:val="99"/>
    <w:unhideWhenUsed/>
    <w:rsid w:val="00F11A5F"/>
    <w:pPr>
      <w:tabs>
        <w:tab w:val="center" w:pos="4513"/>
        <w:tab w:val="right" w:pos="9026"/>
      </w:tabs>
      <w:spacing w:line="240" w:lineRule="auto"/>
    </w:pPr>
  </w:style>
  <w:style w:type="character" w:customStyle="1" w:styleId="HeaderChar">
    <w:name w:val="Header Char"/>
    <w:basedOn w:val="DefaultParagraphFont"/>
    <w:link w:val="Header"/>
    <w:uiPriority w:val="99"/>
    <w:rsid w:val="00F11A5F"/>
    <w:rPr>
      <w:rFonts w:ascii="Times New Roman" w:eastAsia="Calibri" w:hAnsi="Times New Roman" w:cs="Times New Roman"/>
      <w:szCs w:val="20"/>
    </w:rPr>
  </w:style>
  <w:style w:type="paragraph" w:customStyle="1" w:styleId="HB-dotpoint">
    <w:name w:val="HB - dotpoint"/>
    <w:basedOn w:val="Normal"/>
    <w:rsid w:val="00F11A5F"/>
    <w:pPr>
      <w:numPr>
        <w:numId w:val="3"/>
      </w:numPr>
      <w:spacing w:before="180" w:line="240" w:lineRule="auto"/>
    </w:pPr>
    <w:rPr>
      <w:rFonts w:eastAsia="Times New Roman"/>
      <w:sz w:val="24"/>
      <w:lang w:eastAsia="en-AU"/>
    </w:rPr>
  </w:style>
  <w:style w:type="character" w:customStyle="1" w:styleId="1NumberPointsStyleChar">
    <w:name w:val="1. Number Points Style Char"/>
    <w:link w:val="1NumberPointsStyle"/>
    <w:locked/>
    <w:rsid w:val="00F11A5F"/>
    <w:rPr>
      <w:rFonts w:ascii="Times New Roman" w:eastAsia="Times New Roman" w:hAnsi="Times New Roman" w:cs="Times New Roman"/>
      <w:sz w:val="24"/>
    </w:rPr>
  </w:style>
  <w:style w:type="paragraph" w:customStyle="1" w:styleId="1NumberPointsStyle">
    <w:name w:val="1. Number Points Style"/>
    <w:basedOn w:val="Normal"/>
    <w:link w:val="1NumberPointsStyleChar"/>
    <w:qFormat/>
    <w:rsid w:val="00F11A5F"/>
    <w:pPr>
      <w:numPr>
        <w:numId w:val="5"/>
      </w:numPr>
      <w:spacing w:after="200" w:line="240" w:lineRule="auto"/>
    </w:pPr>
    <w:rPr>
      <w:rFonts w:eastAsia="Times New Roman"/>
      <w:sz w:val="24"/>
      <w:szCs w:val="22"/>
    </w:rPr>
  </w:style>
  <w:style w:type="numbering" w:customStyle="1" w:styleId="KeyPoints">
    <w:name w:val="Key Points"/>
    <w:uiPriority w:val="99"/>
    <w:rsid w:val="00F11A5F"/>
    <w:pPr>
      <w:numPr>
        <w:numId w:val="5"/>
      </w:numPr>
    </w:pPr>
  </w:style>
  <w:style w:type="character" w:customStyle="1" w:styleId="Heading4Char">
    <w:name w:val="Heading 4 Char"/>
    <w:basedOn w:val="DefaultParagraphFont"/>
    <w:link w:val="Heading4"/>
    <w:uiPriority w:val="9"/>
    <w:semiHidden/>
    <w:rsid w:val="00F11A5F"/>
    <w:rPr>
      <w:rFonts w:asciiTheme="majorHAnsi" w:eastAsiaTheme="majorEastAsia" w:hAnsiTheme="majorHAnsi" w:cstheme="majorBidi"/>
      <w:b/>
      <w:bCs/>
      <w:i/>
      <w:i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8507">
      <w:bodyDiv w:val="1"/>
      <w:marLeft w:val="0"/>
      <w:marRight w:val="0"/>
      <w:marTop w:val="0"/>
      <w:marBottom w:val="0"/>
      <w:divBdr>
        <w:top w:val="none" w:sz="0" w:space="0" w:color="auto"/>
        <w:left w:val="none" w:sz="0" w:space="0" w:color="auto"/>
        <w:bottom w:val="none" w:sz="0" w:space="0" w:color="auto"/>
        <w:right w:val="none" w:sz="0" w:space="0" w:color="auto"/>
      </w:divBdr>
    </w:div>
    <w:div w:id="258107243">
      <w:bodyDiv w:val="1"/>
      <w:marLeft w:val="0"/>
      <w:marRight w:val="0"/>
      <w:marTop w:val="0"/>
      <w:marBottom w:val="0"/>
      <w:divBdr>
        <w:top w:val="none" w:sz="0" w:space="0" w:color="auto"/>
        <w:left w:val="none" w:sz="0" w:space="0" w:color="auto"/>
        <w:bottom w:val="none" w:sz="0" w:space="0" w:color="auto"/>
        <w:right w:val="none" w:sz="0" w:space="0" w:color="auto"/>
      </w:divBdr>
      <w:divsChild>
        <w:div w:id="1768774362">
          <w:marLeft w:val="0"/>
          <w:marRight w:val="0"/>
          <w:marTop w:val="0"/>
          <w:marBottom w:val="0"/>
          <w:divBdr>
            <w:top w:val="none" w:sz="0" w:space="0" w:color="auto"/>
            <w:left w:val="none" w:sz="0" w:space="0" w:color="auto"/>
            <w:bottom w:val="none" w:sz="0" w:space="0" w:color="auto"/>
            <w:right w:val="none" w:sz="0" w:space="0" w:color="auto"/>
          </w:divBdr>
          <w:divsChild>
            <w:div w:id="98374743">
              <w:marLeft w:val="0"/>
              <w:marRight w:val="0"/>
              <w:marTop w:val="0"/>
              <w:marBottom w:val="0"/>
              <w:divBdr>
                <w:top w:val="none" w:sz="0" w:space="0" w:color="auto"/>
                <w:left w:val="none" w:sz="0" w:space="0" w:color="auto"/>
                <w:bottom w:val="none" w:sz="0" w:space="0" w:color="auto"/>
                <w:right w:val="none" w:sz="0" w:space="0" w:color="auto"/>
              </w:divBdr>
              <w:divsChild>
                <w:div w:id="1731927022">
                  <w:marLeft w:val="0"/>
                  <w:marRight w:val="0"/>
                  <w:marTop w:val="0"/>
                  <w:marBottom w:val="0"/>
                  <w:divBdr>
                    <w:top w:val="none" w:sz="0" w:space="0" w:color="auto"/>
                    <w:left w:val="none" w:sz="0" w:space="0" w:color="auto"/>
                    <w:bottom w:val="none" w:sz="0" w:space="0" w:color="auto"/>
                    <w:right w:val="none" w:sz="0" w:space="0" w:color="auto"/>
                  </w:divBdr>
                  <w:divsChild>
                    <w:div w:id="927616181">
                      <w:marLeft w:val="0"/>
                      <w:marRight w:val="0"/>
                      <w:marTop w:val="0"/>
                      <w:marBottom w:val="0"/>
                      <w:divBdr>
                        <w:top w:val="none" w:sz="0" w:space="0" w:color="auto"/>
                        <w:left w:val="none" w:sz="0" w:space="0" w:color="auto"/>
                        <w:bottom w:val="none" w:sz="0" w:space="0" w:color="auto"/>
                        <w:right w:val="none" w:sz="0" w:space="0" w:color="auto"/>
                      </w:divBdr>
                      <w:divsChild>
                        <w:div w:id="1393237089">
                          <w:marLeft w:val="0"/>
                          <w:marRight w:val="0"/>
                          <w:marTop w:val="0"/>
                          <w:marBottom w:val="0"/>
                          <w:divBdr>
                            <w:top w:val="single" w:sz="6" w:space="0" w:color="828282"/>
                            <w:left w:val="single" w:sz="6" w:space="0" w:color="828282"/>
                            <w:bottom w:val="single" w:sz="6" w:space="0" w:color="828282"/>
                            <w:right w:val="single" w:sz="6" w:space="0" w:color="828282"/>
                          </w:divBdr>
                          <w:divsChild>
                            <w:div w:id="1101995429">
                              <w:marLeft w:val="0"/>
                              <w:marRight w:val="0"/>
                              <w:marTop w:val="0"/>
                              <w:marBottom w:val="0"/>
                              <w:divBdr>
                                <w:top w:val="none" w:sz="0" w:space="0" w:color="auto"/>
                                <w:left w:val="none" w:sz="0" w:space="0" w:color="auto"/>
                                <w:bottom w:val="none" w:sz="0" w:space="0" w:color="auto"/>
                                <w:right w:val="none" w:sz="0" w:space="0" w:color="auto"/>
                              </w:divBdr>
                              <w:divsChild>
                                <w:div w:id="1705404034">
                                  <w:marLeft w:val="0"/>
                                  <w:marRight w:val="0"/>
                                  <w:marTop w:val="0"/>
                                  <w:marBottom w:val="0"/>
                                  <w:divBdr>
                                    <w:top w:val="none" w:sz="0" w:space="0" w:color="auto"/>
                                    <w:left w:val="none" w:sz="0" w:space="0" w:color="auto"/>
                                    <w:bottom w:val="none" w:sz="0" w:space="0" w:color="auto"/>
                                    <w:right w:val="none" w:sz="0" w:space="0" w:color="auto"/>
                                  </w:divBdr>
                                  <w:divsChild>
                                    <w:div w:id="1809936885">
                                      <w:marLeft w:val="0"/>
                                      <w:marRight w:val="0"/>
                                      <w:marTop w:val="0"/>
                                      <w:marBottom w:val="0"/>
                                      <w:divBdr>
                                        <w:top w:val="none" w:sz="0" w:space="0" w:color="auto"/>
                                        <w:left w:val="none" w:sz="0" w:space="0" w:color="auto"/>
                                        <w:bottom w:val="none" w:sz="0" w:space="0" w:color="auto"/>
                                        <w:right w:val="none" w:sz="0" w:space="0" w:color="auto"/>
                                      </w:divBdr>
                                      <w:divsChild>
                                        <w:div w:id="1703702507">
                                          <w:marLeft w:val="0"/>
                                          <w:marRight w:val="0"/>
                                          <w:marTop w:val="0"/>
                                          <w:marBottom w:val="0"/>
                                          <w:divBdr>
                                            <w:top w:val="none" w:sz="0" w:space="0" w:color="auto"/>
                                            <w:left w:val="none" w:sz="0" w:space="0" w:color="auto"/>
                                            <w:bottom w:val="none" w:sz="0" w:space="0" w:color="auto"/>
                                            <w:right w:val="none" w:sz="0" w:space="0" w:color="auto"/>
                                          </w:divBdr>
                                          <w:divsChild>
                                            <w:div w:id="1488127509">
                                              <w:marLeft w:val="0"/>
                                              <w:marRight w:val="0"/>
                                              <w:marTop w:val="0"/>
                                              <w:marBottom w:val="0"/>
                                              <w:divBdr>
                                                <w:top w:val="none" w:sz="0" w:space="0" w:color="auto"/>
                                                <w:left w:val="none" w:sz="0" w:space="0" w:color="auto"/>
                                                <w:bottom w:val="none" w:sz="0" w:space="0" w:color="auto"/>
                                                <w:right w:val="none" w:sz="0" w:space="0" w:color="auto"/>
                                              </w:divBdr>
                                              <w:divsChild>
                                                <w:div w:id="1377123378">
                                                  <w:marLeft w:val="0"/>
                                                  <w:marRight w:val="0"/>
                                                  <w:marTop w:val="0"/>
                                                  <w:marBottom w:val="0"/>
                                                  <w:divBdr>
                                                    <w:top w:val="none" w:sz="0" w:space="0" w:color="auto"/>
                                                    <w:left w:val="none" w:sz="0" w:space="0" w:color="auto"/>
                                                    <w:bottom w:val="none" w:sz="0" w:space="0" w:color="auto"/>
                                                    <w:right w:val="none" w:sz="0" w:space="0" w:color="auto"/>
                                                  </w:divBdr>
                                                  <w:divsChild>
                                                    <w:div w:id="5635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623743">
      <w:bodyDiv w:val="1"/>
      <w:marLeft w:val="0"/>
      <w:marRight w:val="0"/>
      <w:marTop w:val="0"/>
      <w:marBottom w:val="0"/>
      <w:divBdr>
        <w:top w:val="none" w:sz="0" w:space="0" w:color="auto"/>
        <w:left w:val="none" w:sz="0" w:space="0" w:color="auto"/>
        <w:bottom w:val="none" w:sz="0" w:space="0" w:color="auto"/>
        <w:right w:val="none" w:sz="0" w:space="0" w:color="auto"/>
      </w:divBdr>
    </w:div>
    <w:div w:id="1031416196">
      <w:bodyDiv w:val="1"/>
      <w:marLeft w:val="0"/>
      <w:marRight w:val="0"/>
      <w:marTop w:val="0"/>
      <w:marBottom w:val="0"/>
      <w:divBdr>
        <w:top w:val="none" w:sz="0" w:space="0" w:color="auto"/>
        <w:left w:val="none" w:sz="0" w:space="0" w:color="auto"/>
        <w:bottom w:val="none" w:sz="0" w:space="0" w:color="auto"/>
        <w:right w:val="none" w:sz="0" w:space="0" w:color="auto"/>
      </w:divBdr>
    </w:div>
    <w:div w:id="1590389345">
      <w:bodyDiv w:val="1"/>
      <w:marLeft w:val="0"/>
      <w:marRight w:val="0"/>
      <w:marTop w:val="0"/>
      <w:marBottom w:val="0"/>
      <w:divBdr>
        <w:top w:val="none" w:sz="0" w:space="0" w:color="auto"/>
        <w:left w:val="none" w:sz="0" w:space="0" w:color="auto"/>
        <w:bottom w:val="none" w:sz="0" w:space="0" w:color="auto"/>
        <w:right w:val="none" w:sz="0" w:space="0" w:color="auto"/>
      </w:divBdr>
      <w:divsChild>
        <w:div w:id="834607392">
          <w:marLeft w:val="0"/>
          <w:marRight w:val="0"/>
          <w:marTop w:val="0"/>
          <w:marBottom w:val="0"/>
          <w:divBdr>
            <w:top w:val="none" w:sz="0" w:space="0" w:color="auto"/>
            <w:left w:val="none" w:sz="0" w:space="0" w:color="auto"/>
            <w:bottom w:val="none" w:sz="0" w:space="0" w:color="auto"/>
            <w:right w:val="none" w:sz="0" w:space="0" w:color="auto"/>
          </w:divBdr>
          <w:divsChild>
            <w:div w:id="294602201">
              <w:marLeft w:val="0"/>
              <w:marRight w:val="0"/>
              <w:marTop w:val="0"/>
              <w:marBottom w:val="0"/>
              <w:divBdr>
                <w:top w:val="none" w:sz="0" w:space="0" w:color="auto"/>
                <w:left w:val="none" w:sz="0" w:space="0" w:color="auto"/>
                <w:bottom w:val="none" w:sz="0" w:space="0" w:color="auto"/>
                <w:right w:val="none" w:sz="0" w:space="0" w:color="auto"/>
              </w:divBdr>
              <w:divsChild>
                <w:div w:id="468090419">
                  <w:marLeft w:val="0"/>
                  <w:marRight w:val="0"/>
                  <w:marTop w:val="0"/>
                  <w:marBottom w:val="0"/>
                  <w:divBdr>
                    <w:top w:val="none" w:sz="0" w:space="0" w:color="auto"/>
                    <w:left w:val="none" w:sz="0" w:space="0" w:color="auto"/>
                    <w:bottom w:val="none" w:sz="0" w:space="0" w:color="auto"/>
                    <w:right w:val="none" w:sz="0" w:space="0" w:color="auto"/>
                  </w:divBdr>
                  <w:divsChild>
                    <w:div w:id="1998261456">
                      <w:marLeft w:val="0"/>
                      <w:marRight w:val="0"/>
                      <w:marTop w:val="0"/>
                      <w:marBottom w:val="0"/>
                      <w:divBdr>
                        <w:top w:val="none" w:sz="0" w:space="0" w:color="auto"/>
                        <w:left w:val="none" w:sz="0" w:space="0" w:color="auto"/>
                        <w:bottom w:val="none" w:sz="0" w:space="0" w:color="auto"/>
                        <w:right w:val="none" w:sz="0" w:space="0" w:color="auto"/>
                      </w:divBdr>
                      <w:divsChild>
                        <w:div w:id="570698681">
                          <w:marLeft w:val="0"/>
                          <w:marRight w:val="0"/>
                          <w:marTop w:val="0"/>
                          <w:marBottom w:val="0"/>
                          <w:divBdr>
                            <w:top w:val="single" w:sz="6" w:space="0" w:color="828282"/>
                            <w:left w:val="single" w:sz="6" w:space="0" w:color="828282"/>
                            <w:bottom w:val="single" w:sz="6" w:space="0" w:color="828282"/>
                            <w:right w:val="single" w:sz="6" w:space="0" w:color="828282"/>
                          </w:divBdr>
                          <w:divsChild>
                            <w:div w:id="1876382460">
                              <w:marLeft w:val="0"/>
                              <w:marRight w:val="0"/>
                              <w:marTop w:val="0"/>
                              <w:marBottom w:val="0"/>
                              <w:divBdr>
                                <w:top w:val="none" w:sz="0" w:space="0" w:color="auto"/>
                                <w:left w:val="none" w:sz="0" w:space="0" w:color="auto"/>
                                <w:bottom w:val="none" w:sz="0" w:space="0" w:color="auto"/>
                                <w:right w:val="none" w:sz="0" w:space="0" w:color="auto"/>
                              </w:divBdr>
                              <w:divsChild>
                                <w:div w:id="1507398103">
                                  <w:marLeft w:val="0"/>
                                  <w:marRight w:val="0"/>
                                  <w:marTop w:val="0"/>
                                  <w:marBottom w:val="0"/>
                                  <w:divBdr>
                                    <w:top w:val="none" w:sz="0" w:space="0" w:color="auto"/>
                                    <w:left w:val="none" w:sz="0" w:space="0" w:color="auto"/>
                                    <w:bottom w:val="none" w:sz="0" w:space="0" w:color="auto"/>
                                    <w:right w:val="none" w:sz="0" w:space="0" w:color="auto"/>
                                  </w:divBdr>
                                  <w:divsChild>
                                    <w:div w:id="1516921175">
                                      <w:marLeft w:val="0"/>
                                      <w:marRight w:val="0"/>
                                      <w:marTop w:val="0"/>
                                      <w:marBottom w:val="0"/>
                                      <w:divBdr>
                                        <w:top w:val="none" w:sz="0" w:space="0" w:color="auto"/>
                                        <w:left w:val="none" w:sz="0" w:space="0" w:color="auto"/>
                                        <w:bottom w:val="none" w:sz="0" w:space="0" w:color="auto"/>
                                        <w:right w:val="none" w:sz="0" w:space="0" w:color="auto"/>
                                      </w:divBdr>
                                      <w:divsChild>
                                        <w:div w:id="1993636100">
                                          <w:marLeft w:val="0"/>
                                          <w:marRight w:val="0"/>
                                          <w:marTop w:val="0"/>
                                          <w:marBottom w:val="0"/>
                                          <w:divBdr>
                                            <w:top w:val="none" w:sz="0" w:space="0" w:color="auto"/>
                                            <w:left w:val="none" w:sz="0" w:space="0" w:color="auto"/>
                                            <w:bottom w:val="none" w:sz="0" w:space="0" w:color="auto"/>
                                            <w:right w:val="none" w:sz="0" w:space="0" w:color="auto"/>
                                          </w:divBdr>
                                          <w:divsChild>
                                            <w:div w:id="1845626490">
                                              <w:marLeft w:val="0"/>
                                              <w:marRight w:val="0"/>
                                              <w:marTop w:val="0"/>
                                              <w:marBottom w:val="0"/>
                                              <w:divBdr>
                                                <w:top w:val="none" w:sz="0" w:space="0" w:color="auto"/>
                                                <w:left w:val="none" w:sz="0" w:space="0" w:color="auto"/>
                                                <w:bottom w:val="none" w:sz="0" w:space="0" w:color="auto"/>
                                                <w:right w:val="none" w:sz="0" w:space="0" w:color="auto"/>
                                              </w:divBdr>
                                              <w:divsChild>
                                                <w:div w:id="978344058">
                                                  <w:marLeft w:val="0"/>
                                                  <w:marRight w:val="0"/>
                                                  <w:marTop w:val="0"/>
                                                  <w:marBottom w:val="0"/>
                                                  <w:divBdr>
                                                    <w:top w:val="none" w:sz="0" w:space="0" w:color="auto"/>
                                                    <w:left w:val="none" w:sz="0" w:space="0" w:color="auto"/>
                                                    <w:bottom w:val="none" w:sz="0" w:space="0" w:color="auto"/>
                                                    <w:right w:val="none" w:sz="0" w:space="0" w:color="auto"/>
                                                  </w:divBdr>
                                                  <w:divsChild>
                                                    <w:div w:id="4919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01606">
      <w:bodyDiv w:val="1"/>
      <w:marLeft w:val="0"/>
      <w:marRight w:val="0"/>
      <w:marTop w:val="0"/>
      <w:marBottom w:val="0"/>
      <w:divBdr>
        <w:top w:val="none" w:sz="0" w:space="0" w:color="auto"/>
        <w:left w:val="none" w:sz="0" w:space="0" w:color="auto"/>
        <w:bottom w:val="none" w:sz="0" w:space="0" w:color="auto"/>
        <w:right w:val="none" w:sz="0" w:space="0" w:color="auto"/>
      </w:divBdr>
    </w:div>
    <w:div w:id="19035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Elizabeth</dc:creator>
  <cp:lastModifiedBy>Gibson, Vikki</cp:lastModifiedBy>
  <cp:revision>3</cp:revision>
  <cp:lastPrinted>2015-06-16T08:33:00Z</cp:lastPrinted>
  <dcterms:created xsi:type="dcterms:W3CDTF">2015-06-25T06:15:00Z</dcterms:created>
  <dcterms:modified xsi:type="dcterms:W3CDTF">2015-06-25T06:15:00Z</dcterms:modified>
</cp:coreProperties>
</file>