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4F9" w:rsidRPr="00063C9E" w:rsidRDefault="003E64F9" w:rsidP="003E64F9">
      <w:pPr>
        <w:pStyle w:val="Heading1"/>
        <w:spacing w:before="120" w:after="240"/>
        <w:jc w:val="center"/>
        <w:rPr>
          <w:rFonts w:ascii="Times New Roman" w:hAnsi="Times New Roman" w:cs="Times New Roman"/>
          <w:sz w:val="24"/>
          <w:szCs w:val="24"/>
        </w:rPr>
      </w:pPr>
      <w:r w:rsidRPr="00063C9E">
        <w:rPr>
          <w:rFonts w:ascii="Times New Roman" w:hAnsi="Times New Roman" w:cs="Times New Roman"/>
          <w:sz w:val="24"/>
          <w:szCs w:val="24"/>
        </w:rPr>
        <w:t>EXPLANATORY STATEMENT</w:t>
      </w:r>
    </w:p>
    <w:p w:rsidR="003E64F9" w:rsidRPr="00063C9E" w:rsidRDefault="003E64F9" w:rsidP="003E64F9">
      <w:pPr>
        <w:jc w:val="center"/>
        <w:rPr>
          <w:b/>
        </w:rPr>
      </w:pPr>
      <w:r w:rsidRPr="00063C9E">
        <w:rPr>
          <w:b/>
        </w:rPr>
        <w:t>Issued by the Authority of the Minister for Finance</w:t>
      </w:r>
    </w:p>
    <w:p w:rsidR="003E64F9" w:rsidRPr="00063C9E" w:rsidRDefault="003E64F9" w:rsidP="003E64F9">
      <w:pPr>
        <w:jc w:val="center"/>
        <w:rPr>
          <w:b/>
        </w:rPr>
      </w:pPr>
    </w:p>
    <w:p w:rsidR="003E64F9" w:rsidRDefault="003E64F9" w:rsidP="003E64F9">
      <w:pPr>
        <w:jc w:val="center"/>
        <w:rPr>
          <w:i/>
        </w:rPr>
      </w:pPr>
      <w:r w:rsidRPr="00063C9E">
        <w:rPr>
          <w:i/>
        </w:rPr>
        <w:t xml:space="preserve">Public Governance, Performance and Accountability Act 2013 </w:t>
      </w:r>
    </w:p>
    <w:p w:rsidR="000B2CD2" w:rsidRDefault="000B2CD2" w:rsidP="003E64F9">
      <w:pPr>
        <w:jc w:val="center"/>
        <w:rPr>
          <w:i/>
        </w:rPr>
      </w:pPr>
    </w:p>
    <w:p w:rsidR="000B2CD2" w:rsidRPr="00063C9E" w:rsidRDefault="000B2CD2" w:rsidP="003E64F9">
      <w:pPr>
        <w:jc w:val="center"/>
        <w:rPr>
          <w:i/>
        </w:rPr>
      </w:pPr>
      <w:r>
        <w:rPr>
          <w:i/>
        </w:rPr>
        <w:t>Public Governance, Performance and Accountability Act (Consequential and Transitional Provisions) Act 2014</w:t>
      </w:r>
    </w:p>
    <w:p w:rsidR="003E64F9" w:rsidRPr="00063C9E" w:rsidRDefault="003E64F9" w:rsidP="003E64F9">
      <w:pPr>
        <w:jc w:val="center"/>
        <w:rPr>
          <w:i/>
        </w:rPr>
      </w:pPr>
    </w:p>
    <w:p w:rsidR="003E64F9" w:rsidRPr="00063C9E" w:rsidRDefault="003E64F9" w:rsidP="003E64F9">
      <w:pPr>
        <w:jc w:val="center"/>
      </w:pPr>
      <w:r w:rsidRPr="00063C9E">
        <w:rPr>
          <w:i/>
        </w:rPr>
        <w:t xml:space="preserve">Public Governance, Performance and Accountability Legislation Amendment </w:t>
      </w:r>
      <w:r w:rsidR="0023456A">
        <w:rPr>
          <w:i/>
        </w:rPr>
        <w:t xml:space="preserve">(Officials and Other Measures) </w:t>
      </w:r>
      <w:r w:rsidRPr="00063C9E">
        <w:rPr>
          <w:i/>
        </w:rPr>
        <w:t>Rule 2015</w:t>
      </w:r>
    </w:p>
    <w:p w:rsidR="003E64F9" w:rsidRPr="00063C9E" w:rsidRDefault="003E64F9" w:rsidP="003E64F9"/>
    <w:p w:rsidR="003E64F9" w:rsidRPr="00063C9E" w:rsidRDefault="003E64F9" w:rsidP="003E64F9">
      <w:pPr>
        <w:rPr>
          <w:lang w:val="en-AU"/>
        </w:rPr>
      </w:pPr>
      <w:r w:rsidRPr="00063C9E">
        <w:rPr>
          <w:lang w:val="en-AU"/>
        </w:rPr>
        <w:t xml:space="preserve">The </w:t>
      </w:r>
      <w:r w:rsidRPr="00063C9E">
        <w:rPr>
          <w:i/>
          <w:lang w:val="en-AU"/>
        </w:rPr>
        <w:t>Public Governance, Performance and Accountability Act 2013</w:t>
      </w:r>
      <w:r w:rsidRPr="00063C9E">
        <w:rPr>
          <w:lang w:val="en-AU"/>
        </w:rPr>
        <w:t xml:space="preserve"> (PGPA Act) sets out a framework for regulating resource management by the Commonwealth and relevant entities. </w:t>
      </w:r>
      <w:r w:rsidRPr="00063C9E">
        <w:t>Section 101 of the PGPA Act provides that the Finance Minister may make rules by legislative instrument to prescribe matters giving effect to the Act.</w:t>
      </w:r>
    </w:p>
    <w:p w:rsidR="003E64F9" w:rsidRDefault="003E64F9" w:rsidP="003E64F9">
      <w:pPr>
        <w:autoSpaceDE w:val="0"/>
        <w:autoSpaceDN w:val="0"/>
      </w:pPr>
    </w:p>
    <w:p w:rsidR="00ED0C0C" w:rsidRPr="00063C9E" w:rsidRDefault="00ED0C0C" w:rsidP="00ED0C0C">
      <w:pPr>
        <w:tabs>
          <w:tab w:val="left" w:pos="567"/>
          <w:tab w:val="left" w:pos="1276"/>
        </w:tabs>
      </w:pPr>
      <w:r>
        <w:t>T</w:t>
      </w:r>
      <w:r w:rsidRPr="00063C9E">
        <w:t xml:space="preserve">he </w:t>
      </w:r>
      <w:r>
        <w:rPr>
          <w:i/>
        </w:rPr>
        <w:t xml:space="preserve">Public Governance, Performance and Accountability (Consequential and Transitional Provisions) Act 2014 </w:t>
      </w:r>
      <w:r>
        <w:t xml:space="preserve">deals with consequential and transitional matters in connection with the PGPA Act. </w:t>
      </w:r>
      <w:r w:rsidRPr="00063C9E">
        <w:t xml:space="preserve">Item 6 of Schedule 14 of </w:t>
      </w:r>
      <w:r>
        <w:t xml:space="preserve">the </w:t>
      </w:r>
      <w:r w:rsidRPr="00063C9E">
        <w:t xml:space="preserve">CTP Act provides that the Finance Minister may, by legislative instrument, make rules prescribing matters required or permitted by the CTP Act and the PGPA Act.  </w:t>
      </w:r>
    </w:p>
    <w:p w:rsidR="00ED0C0C" w:rsidRPr="00063C9E" w:rsidRDefault="00ED0C0C" w:rsidP="003E64F9">
      <w:pPr>
        <w:autoSpaceDE w:val="0"/>
        <w:autoSpaceDN w:val="0"/>
      </w:pPr>
    </w:p>
    <w:p w:rsidR="003E64F9" w:rsidRPr="00063C9E" w:rsidRDefault="003E64F9" w:rsidP="003E64F9">
      <w:pPr>
        <w:autoSpaceDE w:val="0"/>
        <w:autoSpaceDN w:val="0"/>
      </w:pPr>
      <w:r w:rsidRPr="00063C9E">
        <w:t xml:space="preserve">Under subsection 33(3) of the </w:t>
      </w:r>
      <w:r w:rsidRPr="00063C9E">
        <w:rPr>
          <w:i/>
        </w:rPr>
        <w:t>Acts Interpretation Act 1901</w:t>
      </w:r>
      <w:r w:rsidRPr="00063C9E">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rsidR="003E64F9" w:rsidRPr="00063C9E" w:rsidRDefault="003E64F9" w:rsidP="003E64F9">
      <w:pPr>
        <w:autoSpaceDE w:val="0"/>
        <w:autoSpaceDN w:val="0"/>
      </w:pPr>
    </w:p>
    <w:p w:rsidR="00687425" w:rsidRDefault="003E64F9" w:rsidP="0023456A">
      <w:r w:rsidRPr="00063C9E">
        <w:t xml:space="preserve">The </w:t>
      </w:r>
      <w:r w:rsidR="0023456A" w:rsidRPr="00063C9E">
        <w:rPr>
          <w:i/>
        </w:rPr>
        <w:t xml:space="preserve">Public Governance, Performance and Accountability Legislation Amendment </w:t>
      </w:r>
      <w:r w:rsidR="0023456A">
        <w:rPr>
          <w:i/>
        </w:rPr>
        <w:t xml:space="preserve">(Officials and Other Measures) </w:t>
      </w:r>
      <w:r w:rsidR="0023456A" w:rsidRPr="00063C9E">
        <w:rPr>
          <w:i/>
        </w:rPr>
        <w:t>Rule 2015</w:t>
      </w:r>
      <w:r w:rsidRPr="00063C9E">
        <w:rPr>
          <w:i/>
        </w:rPr>
        <w:t xml:space="preserve"> </w:t>
      </w:r>
      <w:r w:rsidR="0023456A">
        <w:t>(Officials and Other Measures</w:t>
      </w:r>
      <w:r w:rsidR="00571095" w:rsidRPr="00063C9E">
        <w:t xml:space="preserve"> Rule</w:t>
      </w:r>
      <w:r w:rsidRPr="00063C9E">
        <w:t>)</w:t>
      </w:r>
      <w:r w:rsidR="0082638D" w:rsidRPr="00063C9E">
        <w:t xml:space="preserve"> </w:t>
      </w:r>
      <w:r w:rsidR="00A51624">
        <w:t>would</w:t>
      </w:r>
      <w:r w:rsidR="0082638D" w:rsidRPr="00063C9E">
        <w:t xml:space="preserve"> amend </w:t>
      </w:r>
      <w:r w:rsidR="00A51624">
        <w:t xml:space="preserve">the </w:t>
      </w:r>
      <w:r w:rsidR="00F3757C">
        <w:rPr>
          <w:i/>
        </w:rPr>
        <w:t xml:space="preserve">Public Governance, Performance and Accountability Rule 2014 </w:t>
      </w:r>
      <w:r w:rsidR="0023456A">
        <w:t xml:space="preserve">(PGPA Rule) </w:t>
      </w:r>
      <w:r w:rsidR="00A51624">
        <w:t xml:space="preserve">and the </w:t>
      </w:r>
      <w:r w:rsidR="00A51624">
        <w:rPr>
          <w:i/>
        </w:rPr>
        <w:t xml:space="preserve">Public Governance, Performance and Accountability (Consequential and Transitional Provisions) Rule 2014 </w:t>
      </w:r>
      <w:r w:rsidR="00A51624">
        <w:t xml:space="preserve">(CTP Rule).  The </w:t>
      </w:r>
      <w:r w:rsidR="00ED0C0C">
        <w:t>Officials and Other Measures Rule</w:t>
      </w:r>
      <w:r w:rsidR="00CA12F2">
        <w:t xml:space="preserve"> </w:t>
      </w:r>
      <w:r w:rsidR="004A1F1B">
        <w:t>make</w:t>
      </w:r>
      <w:r w:rsidR="00CA12F2">
        <w:t>s</w:t>
      </w:r>
      <w:r w:rsidR="004A1F1B">
        <w:t xml:space="preserve"> amendments </w:t>
      </w:r>
      <w:r w:rsidR="00A172DD">
        <w:t>relating to</w:t>
      </w:r>
      <w:r w:rsidR="00D513B7" w:rsidRPr="00063C9E">
        <w:t>:</w:t>
      </w:r>
    </w:p>
    <w:p w:rsidR="00687425" w:rsidRDefault="00A51624">
      <w:pPr>
        <w:pStyle w:val="ListParagraph"/>
        <w:numPr>
          <w:ilvl w:val="0"/>
          <w:numId w:val="5"/>
        </w:numPr>
      </w:pPr>
      <w:r>
        <w:t>the</w:t>
      </w:r>
      <w:r w:rsidRPr="00063C9E">
        <w:t xml:space="preserve"> </w:t>
      </w:r>
      <w:r w:rsidR="00D513B7" w:rsidRPr="00063C9E">
        <w:t xml:space="preserve">prescription </w:t>
      </w:r>
      <w:r>
        <w:t xml:space="preserve">of </w:t>
      </w:r>
      <w:r w:rsidR="00D513B7" w:rsidRPr="00063C9E">
        <w:t>officials</w:t>
      </w:r>
      <w:r>
        <w:t>;</w:t>
      </w:r>
      <w:r w:rsidR="0082638D" w:rsidRPr="00063C9E">
        <w:t xml:space="preserve"> </w:t>
      </w:r>
    </w:p>
    <w:p w:rsidR="00687425" w:rsidRDefault="004A1F1B">
      <w:pPr>
        <w:pStyle w:val="ListParagraph"/>
        <w:numPr>
          <w:ilvl w:val="0"/>
          <w:numId w:val="5"/>
        </w:numPr>
      </w:pPr>
      <w:r>
        <w:t xml:space="preserve">the treatment of </w:t>
      </w:r>
      <w:r w:rsidR="008D3C9E">
        <w:t xml:space="preserve">the Australian </w:t>
      </w:r>
      <w:proofErr w:type="spellStart"/>
      <w:r w:rsidR="008D3C9E">
        <w:t>Defence</w:t>
      </w:r>
      <w:proofErr w:type="spellEnd"/>
      <w:r w:rsidR="008D3C9E">
        <w:t xml:space="preserve"> Force </w:t>
      </w:r>
      <w:r>
        <w:t xml:space="preserve">Cadets for </w:t>
      </w:r>
      <w:r w:rsidR="0023456A">
        <w:t>the purposes of the finance </w:t>
      </w:r>
      <w:r w:rsidR="000B2CD2">
        <w:t>law;</w:t>
      </w:r>
    </w:p>
    <w:p w:rsidR="00687425" w:rsidRDefault="00A172DD">
      <w:pPr>
        <w:pStyle w:val="ListParagraph"/>
        <w:numPr>
          <w:ilvl w:val="0"/>
          <w:numId w:val="5"/>
        </w:numPr>
      </w:pPr>
      <w:r>
        <w:t xml:space="preserve">the membership of the </w:t>
      </w:r>
      <w:r w:rsidR="00776EAE" w:rsidRPr="00063C9E">
        <w:t>advisory committee</w:t>
      </w:r>
      <w:r>
        <w:t xml:space="preserve"> on </w:t>
      </w:r>
      <w:proofErr w:type="spellStart"/>
      <w:r>
        <w:t>authori</w:t>
      </w:r>
      <w:r w:rsidR="004A1F1B">
        <w:t>s</w:t>
      </w:r>
      <w:r>
        <w:t>ations</w:t>
      </w:r>
      <w:proofErr w:type="spellEnd"/>
      <w:r>
        <w:t xml:space="preserve"> and payments by the Finance Minister;</w:t>
      </w:r>
    </w:p>
    <w:p w:rsidR="00687425" w:rsidRDefault="00CA12F2">
      <w:pPr>
        <w:pStyle w:val="ListParagraph"/>
        <w:numPr>
          <w:ilvl w:val="0"/>
          <w:numId w:val="5"/>
        </w:numPr>
      </w:pPr>
      <w:r>
        <w:t>transitional</w:t>
      </w:r>
      <w:r w:rsidR="0023456A">
        <w:t xml:space="preserve"> </w:t>
      </w:r>
      <w:r w:rsidR="00776EAE" w:rsidRPr="00063C9E">
        <w:t>financial reporting</w:t>
      </w:r>
      <w:r w:rsidR="0023456A">
        <w:t xml:space="preserve"> arrangements</w:t>
      </w:r>
      <w:r w:rsidR="00A172DD">
        <w:t>; and</w:t>
      </w:r>
    </w:p>
    <w:p w:rsidR="00687425" w:rsidRDefault="00776EAE">
      <w:pPr>
        <w:pStyle w:val="ListParagraph"/>
        <w:numPr>
          <w:ilvl w:val="0"/>
          <w:numId w:val="5"/>
        </w:numPr>
      </w:pPr>
      <w:proofErr w:type="gramStart"/>
      <w:r w:rsidRPr="00063C9E">
        <w:t>audit</w:t>
      </w:r>
      <w:proofErr w:type="gramEnd"/>
      <w:r w:rsidRPr="00063C9E">
        <w:t xml:space="preserve"> committee</w:t>
      </w:r>
      <w:r w:rsidR="00A172DD">
        <w:t xml:space="preserve"> membership.</w:t>
      </w:r>
    </w:p>
    <w:p w:rsidR="00D513B7" w:rsidRPr="00063C9E" w:rsidRDefault="00D513B7" w:rsidP="003E64F9"/>
    <w:p w:rsidR="00D513B7" w:rsidRPr="00063C9E" w:rsidRDefault="00D513B7" w:rsidP="00D513B7">
      <w:pPr>
        <w:rPr>
          <w:b/>
        </w:rPr>
      </w:pPr>
      <w:r w:rsidRPr="00063C9E">
        <w:rPr>
          <w:b/>
        </w:rPr>
        <w:t>Prescription of officials</w:t>
      </w:r>
    </w:p>
    <w:p w:rsidR="00D513B7" w:rsidRPr="00063C9E" w:rsidRDefault="00D513B7" w:rsidP="00D513B7">
      <w:r w:rsidRPr="00063C9E">
        <w:t xml:space="preserve">There are provisions in the PGPA Act that permit a person, or a person in a class to be prescribed by an Act, or the rules under the PGPA Act, as an official of a Commonwealth entity. </w:t>
      </w:r>
      <w:r w:rsidR="00330183">
        <w:t xml:space="preserve"> </w:t>
      </w:r>
      <w:r w:rsidRPr="00063C9E">
        <w:t>Paragraphs 13(3</w:t>
      </w:r>
      <w:proofErr w:type="gramStart"/>
      <w:r w:rsidRPr="00063C9E">
        <w:t>)(</w:t>
      </w:r>
      <w:proofErr w:type="gramEnd"/>
      <w:r w:rsidRPr="00063C9E">
        <w:t>c) and 13(4)(d) (for non-listed Commonwealth entities), and subsection 13(5) of the PGPA Act (for listed Commonwealth entities) provide a mechanism for prescribing that particular individuals, or classes of individuals, are officials.</w:t>
      </w:r>
    </w:p>
    <w:p w:rsidR="00D513B7" w:rsidRPr="00063C9E" w:rsidRDefault="00D513B7" w:rsidP="00D513B7">
      <w:pPr>
        <w:rPr>
          <w:lang w:val="en-AU"/>
        </w:rPr>
      </w:pPr>
    </w:p>
    <w:p w:rsidR="00D513B7" w:rsidRPr="00063C9E" w:rsidRDefault="00D513B7" w:rsidP="00ED0C0C">
      <w:r w:rsidRPr="00063C9E">
        <w:rPr>
          <w:lang w:val="en-AU"/>
        </w:rPr>
        <w:t xml:space="preserve">Section 9 of the PGPA Rule </w:t>
      </w:r>
      <w:r w:rsidR="00A172DD">
        <w:rPr>
          <w:lang w:val="en-AU"/>
        </w:rPr>
        <w:t>is</w:t>
      </w:r>
      <w:r w:rsidRPr="00063C9E">
        <w:rPr>
          <w:lang w:val="en-AU"/>
        </w:rPr>
        <w:t xml:space="preserve"> made under paragraphs 13(3</w:t>
      </w:r>
      <w:proofErr w:type="gramStart"/>
      <w:r w:rsidRPr="00063C9E">
        <w:rPr>
          <w:lang w:val="en-AU"/>
        </w:rPr>
        <w:t>)(</w:t>
      </w:r>
      <w:proofErr w:type="gramEnd"/>
      <w:r w:rsidRPr="00063C9E">
        <w:rPr>
          <w:lang w:val="en-AU"/>
        </w:rPr>
        <w:t xml:space="preserve">c) and 13(4)(d) of the PGPA Act, prescribing certain persons to be officials of a non-listed Commonwealth entity. </w:t>
      </w:r>
      <w:r w:rsidR="00330183">
        <w:rPr>
          <w:lang w:val="en-AU"/>
        </w:rPr>
        <w:t xml:space="preserve"> </w:t>
      </w:r>
    </w:p>
    <w:p w:rsidR="00D513B7" w:rsidRPr="00063C9E" w:rsidRDefault="00D513B7" w:rsidP="00D513B7"/>
    <w:p w:rsidR="00D513B7" w:rsidRPr="00063C9E" w:rsidRDefault="00CA12F2" w:rsidP="00D513B7">
      <w:r>
        <w:t>T</w:t>
      </w:r>
      <w:r w:rsidR="00D513B7" w:rsidRPr="00063C9E">
        <w:t xml:space="preserve">he </w:t>
      </w:r>
      <w:r w:rsidR="00ED0C0C">
        <w:t>Officials and Other Measures Rule</w:t>
      </w:r>
      <w:r w:rsidR="00D513B7" w:rsidRPr="00063C9E">
        <w:t xml:space="preserve"> </w:t>
      </w:r>
      <w:r w:rsidR="00ED0C0C">
        <w:t>amends section 9 of the PGPA Rule to provide</w:t>
      </w:r>
      <w:r w:rsidR="00D513B7" w:rsidRPr="00063C9E">
        <w:t xml:space="preserve"> a mechanism for the </w:t>
      </w:r>
      <w:proofErr w:type="gramStart"/>
      <w:r w:rsidR="00D513B7" w:rsidRPr="00063C9E">
        <w:t>accountab</w:t>
      </w:r>
      <w:r w:rsidR="00AA1948">
        <w:t>le</w:t>
      </w:r>
      <w:proofErr w:type="gramEnd"/>
      <w:r w:rsidR="00D513B7" w:rsidRPr="00063C9E">
        <w:t xml:space="preserve"> authority of a non</w:t>
      </w:r>
      <w:r w:rsidR="00D513B7" w:rsidRPr="00063C9E">
        <w:noBreakHyphen/>
      </w:r>
      <w:proofErr w:type="spellStart"/>
      <w:r w:rsidR="00D513B7" w:rsidRPr="00063C9E">
        <w:t>corporate</w:t>
      </w:r>
      <w:proofErr w:type="spellEnd"/>
      <w:r w:rsidR="00D513B7" w:rsidRPr="00063C9E">
        <w:t xml:space="preserve"> Commonwealth entity (NCCE) to engage a person, who is not part of a Commonwealth entity, to exercise powers, functions or duties under the PGPA Act or PGPA</w:t>
      </w:r>
      <w:r w:rsidR="00AA1948">
        <w:t> </w:t>
      </w:r>
      <w:r w:rsidR="00D513B7" w:rsidRPr="00063C9E">
        <w:t>Rule on behalf of the</w:t>
      </w:r>
      <w:r w:rsidR="00893113" w:rsidRPr="00063C9E">
        <w:t xml:space="preserve"> NCCE. </w:t>
      </w:r>
      <w:r w:rsidR="00330183">
        <w:t xml:space="preserve"> </w:t>
      </w:r>
      <w:r w:rsidR="00893113" w:rsidRPr="00063C9E">
        <w:t xml:space="preserve">Under this mechanism, </w:t>
      </w:r>
      <w:r w:rsidR="00D513B7" w:rsidRPr="00063C9E">
        <w:t xml:space="preserve">the </w:t>
      </w:r>
      <w:proofErr w:type="gramStart"/>
      <w:r w:rsidR="00D513B7" w:rsidRPr="00063C9E">
        <w:t>accountable</w:t>
      </w:r>
      <w:proofErr w:type="gramEnd"/>
      <w:r w:rsidR="00D513B7" w:rsidRPr="00063C9E">
        <w:t xml:space="preserve"> authority must </w:t>
      </w:r>
      <w:r w:rsidR="00893113" w:rsidRPr="00063C9E">
        <w:t xml:space="preserve">implement </w:t>
      </w:r>
      <w:r w:rsidR="00AA1948">
        <w:t>arrangements</w:t>
      </w:r>
      <w:r w:rsidR="00AA1948" w:rsidRPr="00063C9E">
        <w:t xml:space="preserve"> </w:t>
      </w:r>
      <w:r w:rsidR="00893113" w:rsidRPr="00063C9E">
        <w:t>that identify such a person</w:t>
      </w:r>
      <w:r w:rsidR="00ED0C0C">
        <w:t xml:space="preserve"> by name</w:t>
      </w:r>
      <w:r w:rsidR="006068ED" w:rsidRPr="00063C9E">
        <w:t>, and thereby prescribe the person as an official of the NCCE</w:t>
      </w:r>
      <w:r w:rsidR="00893113" w:rsidRPr="00063C9E">
        <w:t>.</w:t>
      </w:r>
      <w:r w:rsidR="00330183">
        <w:t xml:space="preserve"> </w:t>
      </w:r>
      <w:r w:rsidR="00893113" w:rsidRPr="00063C9E">
        <w:t xml:space="preserve"> </w:t>
      </w:r>
      <w:r w:rsidR="00D513B7" w:rsidRPr="00063C9E">
        <w:t xml:space="preserve">The </w:t>
      </w:r>
      <w:proofErr w:type="gramStart"/>
      <w:r w:rsidR="00D513B7" w:rsidRPr="00063C9E">
        <w:t>accountable</w:t>
      </w:r>
      <w:proofErr w:type="gramEnd"/>
      <w:r w:rsidR="00D513B7" w:rsidRPr="00063C9E">
        <w:t xml:space="preserve"> authority </w:t>
      </w:r>
      <w:r w:rsidR="00AA1948">
        <w:t>w</w:t>
      </w:r>
      <w:r w:rsidR="00E37F27">
        <w:t>ould</w:t>
      </w:r>
      <w:r w:rsidR="00AA1948" w:rsidRPr="00063C9E">
        <w:t xml:space="preserve"> </w:t>
      </w:r>
      <w:r w:rsidR="00D513B7" w:rsidRPr="00063C9E">
        <w:t>only</w:t>
      </w:r>
      <w:r w:rsidR="00AA1948">
        <w:t xml:space="preserve"> need to</w:t>
      </w:r>
      <w:r w:rsidR="00D513B7" w:rsidRPr="00063C9E">
        <w:t xml:space="preserve"> prescribe the person as an official of the NCCE if it is intended that the individual exercise a power, function or duty under the PGPA Act or PGPA Rule. </w:t>
      </w:r>
    </w:p>
    <w:p w:rsidR="00AA1948" w:rsidRDefault="00AA1948" w:rsidP="00D513B7"/>
    <w:p w:rsidR="00AA1948" w:rsidRPr="00AA1948" w:rsidRDefault="00AA1948" w:rsidP="00D513B7">
      <w:pPr>
        <w:rPr>
          <w:b/>
        </w:rPr>
      </w:pPr>
      <w:r>
        <w:rPr>
          <w:b/>
        </w:rPr>
        <w:t xml:space="preserve">Treatment of Cadets for the purposes of the </w:t>
      </w:r>
      <w:r w:rsidR="004A1F1B">
        <w:rPr>
          <w:b/>
        </w:rPr>
        <w:t>finance law</w:t>
      </w:r>
    </w:p>
    <w:p w:rsidR="00D513B7" w:rsidRPr="00063C9E" w:rsidRDefault="00AA1948" w:rsidP="00D513B7">
      <w:r>
        <w:t>The</w:t>
      </w:r>
      <w:r w:rsidR="00D513B7" w:rsidRPr="00063C9E">
        <w:t xml:space="preserve"> </w:t>
      </w:r>
      <w:r w:rsidR="00ED0C0C">
        <w:t>Officials and Other Measures Rule</w:t>
      </w:r>
      <w:r w:rsidR="00D513B7" w:rsidRPr="00063C9E">
        <w:t xml:space="preserve"> gives effect to the policy </w:t>
      </w:r>
      <w:r>
        <w:t xml:space="preserve">intention </w:t>
      </w:r>
      <w:r w:rsidR="00D513B7" w:rsidRPr="00063C9E">
        <w:t xml:space="preserve">of the Department of </w:t>
      </w:r>
      <w:proofErr w:type="spellStart"/>
      <w:r w:rsidR="00D513B7" w:rsidRPr="00063C9E">
        <w:t>Defence</w:t>
      </w:r>
      <w:proofErr w:type="spellEnd"/>
      <w:r>
        <w:t xml:space="preserve"> (</w:t>
      </w:r>
      <w:proofErr w:type="spellStart"/>
      <w:r>
        <w:t>Defence</w:t>
      </w:r>
      <w:proofErr w:type="spellEnd"/>
      <w:r>
        <w:t>)</w:t>
      </w:r>
      <w:r w:rsidR="00D513B7" w:rsidRPr="00063C9E">
        <w:t xml:space="preserve"> </w:t>
      </w:r>
      <w:r w:rsidR="00ED0C0C">
        <w:t>that</w:t>
      </w:r>
      <w:r w:rsidR="00D513B7" w:rsidRPr="00063C9E">
        <w:t xml:space="preserve"> officers, instructors and cadets of the Australian </w:t>
      </w:r>
      <w:proofErr w:type="spellStart"/>
      <w:r w:rsidR="00D513B7" w:rsidRPr="00063C9E">
        <w:t>Defence</w:t>
      </w:r>
      <w:proofErr w:type="spellEnd"/>
      <w:r w:rsidR="00D513B7" w:rsidRPr="00063C9E">
        <w:t xml:space="preserve"> Force Cadets </w:t>
      </w:r>
      <w:r w:rsidR="00ED0C0C">
        <w:t xml:space="preserve">should not be classified </w:t>
      </w:r>
      <w:r w:rsidR="00D513B7" w:rsidRPr="00063C9E">
        <w:t xml:space="preserve">as officials of </w:t>
      </w:r>
      <w:proofErr w:type="spellStart"/>
      <w:r w:rsidR="00D513B7" w:rsidRPr="00063C9E">
        <w:t>Defence</w:t>
      </w:r>
      <w:proofErr w:type="spellEnd"/>
      <w:r w:rsidR="00D513B7" w:rsidRPr="00063C9E">
        <w:t xml:space="preserve">. </w:t>
      </w:r>
      <w:r w:rsidR="00330183">
        <w:t xml:space="preserve"> </w:t>
      </w:r>
      <w:r w:rsidR="00D513B7" w:rsidRPr="00063C9E">
        <w:t xml:space="preserve">The </w:t>
      </w:r>
      <w:r w:rsidR="00ED0C0C">
        <w:t>Officials and Other Measures Rule</w:t>
      </w:r>
      <w:r w:rsidR="00D513B7" w:rsidRPr="00063C9E">
        <w:t xml:space="preserve"> </w:t>
      </w:r>
      <w:r w:rsidR="00ED0C0C">
        <w:t>repeals</w:t>
      </w:r>
      <w:r w:rsidR="00ED0C0C" w:rsidRPr="00063C9E">
        <w:t xml:space="preserve"> </w:t>
      </w:r>
      <w:r w:rsidR="00D513B7" w:rsidRPr="00063C9E">
        <w:t xml:space="preserve">item 3(b) in subsection 9(1) </w:t>
      </w:r>
      <w:r w:rsidR="000B2CD2">
        <w:t xml:space="preserve">of the PGPA Rule </w:t>
      </w:r>
      <w:r w:rsidR="00D513B7" w:rsidRPr="00063C9E">
        <w:t xml:space="preserve">which prescribes officers, instructors and cadets of the Australian </w:t>
      </w:r>
      <w:proofErr w:type="spellStart"/>
      <w:r w:rsidR="00D513B7" w:rsidRPr="00063C9E">
        <w:t>Defence</w:t>
      </w:r>
      <w:proofErr w:type="spellEnd"/>
      <w:r w:rsidR="00D513B7" w:rsidRPr="00063C9E">
        <w:t xml:space="preserve"> Force Cadets as officials. </w:t>
      </w:r>
      <w:r w:rsidR="00330183">
        <w:t xml:space="preserve"> </w:t>
      </w:r>
      <w:r w:rsidR="00ED0C0C">
        <w:t>T</w:t>
      </w:r>
      <w:r w:rsidR="000B2CD2">
        <w:t xml:space="preserve">he </w:t>
      </w:r>
      <w:r w:rsidR="00ED0C0C">
        <w:t>Officials and Other Measures Rule</w:t>
      </w:r>
      <w:r w:rsidR="00D513B7" w:rsidRPr="00063C9E">
        <w:t xml:space="preserve"> </w:t>
      </w:r>
      <w:r w:rsidR="00ED0C0C">
        <w:t xml:space="preserve">also </w:t>
      </w:r>
      <w:r w:rsidR="00D513B7" w:rsidRPr="00063C9E">
        <w:t xml:space="preserve">inserts </w:t>
      </w:r>
      <w:r w:rsidR="00ED0C0C">
        <w:t>a new item 2 in subsection 9(2) of the PGPA Rule to exclude explicitly</w:t>
      </w:r>
      <w:r w:rsidR="00D513B7" w:rsidRPr="00063C9E">
        <w:t xml:space="preserve"> officers, instructors and cadets of the Australian </w:t>
      </w:r>
      <w:proofErr w:type="spellStart"/>
      <w:r w:rsidR="00D513B7" w:rsidRPr="00063C9E">
        <w:t>Defence</w:t>
      </w:r>
      <w:proofErr w:type="spellEnd"/>
      <w:r w:rsidR="00D513B7" w:rsidRPr="00063C9E">
        <w:t xml:space="preserve"> Force Cadets from being </w:t>
      </w:r>
      <w:r w:rsidR="00ED0C0C">
        <w:t xml:space="preserve">classified as </w:t>
      </w:r>
      <w:r w:rsidR="00D513B7" w:rsidRPr="00063C9E">
        <w:t xml:space="preserve">officials of </w:t>
      </w:r>
      <w:proofErr w:type="spellStart"/>
      <w:r w:rsidR="00D513B7" w:rsidRPr="00063C9E">
        <w:t>Defence</w:t>
      </w:r>
      <w:proofErr w:type="spellEnd"/>
      <w:r w:rsidR="00D513B7" w:rsidRPr="00063C9E">
        <w:t>.</w:t>
      </w:r>
    </w:p>
    <w:p w:rsidR="00D513B7" w:rsidRPr="00063C9E" w:rsidRDefault="00D513B7" w:rsidP="00D513B7"/>
    <w:p w:rsidR="00571095" w:rsidRPr="00063C9E" w:rsidRDefault="00776EAE" w:rsidP="00D513B7">
      <w:pPr>
        <w:rPr>
          <w:b/>
        </w:rPr>
      </w:pPr>
      <w:r w:rsidRPr="00063C9E">
        <w:rPr>
          <w:b/>
        </w:rPr>
        <w:t>Advisory Committee</w:t>
      </w:r>
      <w:r w:rsidR="00AA1948">
        <w:rPr>
          <w:b/>
        </w:rPr>
        <w:t xml:space="preserve"> on </w:t>
      </w:r>
      <w:proofErr w:type="spellStart"/>
      <w:r w:rsidR="00AA1948">
        <w:rPr>
          <w:b/>
        </w:rPr>
        <w:t>authorisations</w:t>
      </w:r>
      <w:proofErr w:type="spellEnd"/>
      <w:r w:rsidR="00AA1948">
        <w:rPr>
          <w:b/>
        </w:rPr>
        <w:t xml:space="preserve"> and payments by the Finance Minister</w:t>
      </w:r>
    </w:p>
    <w:p w:rsidR="00AA1948" w:rsidRDefault="00AA1948" w:rsidP="00D513B7">
      <w:proofErr w:type="gramStart"/>
      <w:r>
        <w:t xml:space="preserve">Section 24 of the PGPA Rule sets out requirements around </w:t>
      </w:r>
      <w:proofErr w:type="spellStart"/>
      <w:r>
        <w:t>authorisations</w:t>
      </w:r>
      <w:proofErr w:type="spellEnd"/>
      <w:r>
        <w:t xml:space="preserve"> by the Finance Minister concerning certain payments.</w:t>
      </w:r>
      <w:proofErr w:type="gramEnd"/>
      <w:r>
        <w:t xml:space="preserve">  </w:t>
      </w:r>
    </w:p>
    <w:p w:rsidR="00AA1948" w:rsidRDefault="00AA1948" w:rsidP="00D513B7"/>
    <w:p w:rsidR="00AA1948" w:rsidRDefault="006068ED" w:rsidP="00D513B7">
      <w:r w:rsidRPr="00063C9E">
        <w:t>S</w:t>
      </w:r>
      <w:r w:rsidR="00AA1948">
        <w:t>ubs</w:t>
      </w:r>
      <w:r w:rsidRPr="00063C9E">
        <w:t>ection 24</w:t>
      </w:r>
      <w:r w:rsidR="00AA1948">
        <w:t>(2)</w:t>
      </w:r>
      <w:r w:rsidRPr="00063C9E">
        <w:t xml:space="preserve"> of the PGPA Rule requires the Finance Minister to consider a report of </w:t>
      </w:r>
      <w:r w:rsidR="00AA1948">
        <w:t>the</w:t>
      </w:r>
      <w:r w:rsidR="00AA1948" w:rsidRPr="00063C9E">
        <w:t xml:space="preserve"> </w:t>
      </w:r>
      <w:r w:rsidRPr="00063C9E">
        <w:t>advisory committee</w:t>
      </w:r>
      <w:r w:rsidR="00AA1948">
        <w:t>, established under subsection 24(3),</w:t>
      </w:r>
      <w:r w:rsidRPr="00063C9E">
        <w:t xml:space="preserve"> before making certain </w:t>
      </w:r>
      <w:proofErr w:type="spellStart"/>
      <w:r w:rsidR="00EB54F1">
        <w:t>authorisations</w:t>
      </w:r>
      <w:proofErr w:type="spellEnd"/>
      <w:r w:rsidR="00EB54F1">
        <w:t xml:space="preserve">, </w:t>
      </w:r>
      <w:r w:rsidR="00AA1948">
        <w:t>for example waivers, set-offs and act of grace payments that involve amounts above $500</w:t>
      </w:r>
      <w:r w:rsidR="00ED0C0C">
        <w:t xml:space="preserve"> </w:t>
      </w:r>
      <w:r w:rsidR="00AA1948">
        <w:t>000</w:t>
      </w:r>
      <w:r w:rsidR="000B3984" w:rsidRPr="00063C9E">
        <w:t xml:space="preserve">. </w:t>
      </w:r>
    </w:p>
    <w:p w:rsidR="00AA1948" w:rsidRDefault="00AA1948" w:rsidP="00D513B7"/>
    <w:p w:rsidR="00776EAE" w:rsidRPr="00063C9E" w:rsidRDefault="000B3984" w:rsidP="00D513B7">
      <w:r w:rsidRPr="00063C9E">
        <w:t xml:space="preserve">Under </w:t>
      </w:r>
      <w:r w:rsidR="00AA1948">
        <w:t>subsection</w:t>
      </w:r>
      <w:r w:rsidR="00AA1948" w:rsidRPr="00063C9E">
        <w:t xml:space="preserve"> </w:t>
      </w:r>
      <w:r w:rsidRPr="00063C9E">
        <w:t>24</w:t>
      </w:r>
      <w:r w:rsidR="00AA1948">
        <w:t>(3)</w:t>
      </w:r>
      <w:r w:rsidRPr="00063C9E">
        <w:t xml:space="preserve"> of the PGPA Rule, the advisory committee must consist of particular </w:t>
      </w:r>
      <w:r w:rsidR="00ED0C0C">
        <w:t>members</w:t>
      </w:r>
      <w:r w:rsidRPr="00063C9E">
        <w:t xml:space="preserve">. </w:t>
      </w:r>
      <w:r w:rsidR="00330183">
        <w:t xml:space="preserve"> </w:t>
      </w:r>
      <w:r w:rsidRPr="00063C9E">
        <w:t xml:space="preserve">The </w:t>
      </w:r>
      <w:r w:rsidR="00ED0C0C">
        <w:t>Officials and Other Measures Rule</w:t>
      </w:r>
      <w:r w:rsidRPr="00063C9E">
        <w:t xml:space="preserve"> </w:t>
      </w:r>
      <w:r w:rsidR="00ED0C0C">
        <w:t>amends</w:t>
      </w:r>
      <w:r w:rsidR="000B2CD2">
        <w:t xml:space="preserve"> </w:t>
      </w:r>
      <w:r w:rsidR="00F203B5">
        <w:t>subparagraph</w:t>
      </w:r>
      <w:r w:rsidR="00ED0C0C">
        <w:t> </w:t>
      </w:r>
      <w:r w:rsidRPr="00063C9E">
        <w:t>24</w:t>
      </w:r>
      <w:r w:rsidR="00F203B5">
        <w:t>(3)(a)</w:t>
      </w:r>
      <w:r w:rsidRPr="00063C9E">
        <w:t xml:space="preserve"> of the PGPA Rule to replace the </w:t>
      </w:r>
      <w:r w:rsidR="00F203B5">
        <w:t xml:space="preserve">Chief Executive Officer of the </w:t>
      </w:r>
      <w:r w:rsidRPr="00063C9E">
        <w:t xml:space="preserve">Australian Customs and Border Protection Service </w:t>
      </w:r>
      <w:r w:rsidR="00F203B5">
        <w:t>as a member of</w:t>
      </w:r>
      <w:r w:rsidR="00F203B5" w:rsidRPr="00063C9E">
        <w:t xml:space="preserve"> </w:t>
      </w:r>
      <w:r w:rsidRPr="00063C9E">
        <w:t xml:space="preserve">the advisory committee, with the </w:t>
      </w:r>
      <w:r w:rsidR="00F203B5">
        <w:t xml:space="preserve">Secretary of the </w:t>
      </w:r>
      <w:r w:rsidRPr="00063C9E">
        <w:t xml:space="preserve">Department responsible for administering the </w:t>
      </w:r>
      <w:r w:rsidRPr="00063C9E">
        <w:rPr>
          <w:i/>
        </w:rPr>
        <w:t>Infrastructure Australia Act 2008</w:t>
      </w:r>
      <w:r w:rsidR="00330183">
        <w:t>.</w:t>
      </w:r>
      <w:r w:rsidR="00F203B5">
        <w:t xml:space="preserve">  </w:t>
      </w:r>
    </w:p>
    <w:p w:rsidR="00776EAE" w:rsidRPr="00063C9E" w:rsidRDefault="00776EAE" w:rsidP="00D513B7"/>
    <w:p w:rsidR="00776EAE" w:rsidRPr="00063C9E" w:rsidRDefault="00776EAE" w:rsidP="00D513B7">
      <w:pPr>
        <w:rPr>
          <w:b/>
        </w:rPr>
      </w:pPr>
      <w:r w:rsidRPr="00063C9E">
        <w:rPr>
          <w:b/>
        </w:rPr>
        <w:t>Financial Reporting</w:t>
      </w:r>
    </w:p>
    <w:p w:rsidR="0026522B" w:rsidRDefault="00ED0C0C" w:rsidP="00D513B7">
      <w:pPr>
        <w:rPr>
          <w:lang w:val="en-AU"/>
        </w:rPr>
      </w:pPr>
      <w:r>
        <w:t xml:space="preserve">The Officials and Other Measures Rule </w:t>
      </w:r>
      <w:r w:rsidRPr="00063C9E">
        <w:t>repeal</w:t>
      </w:r>
      <w:r>
        <w:t>s</w:t>
      </w:r>
      <w:r w:rsidRPr="00063C9E">
        <w:t xml:space="preserve"> section 10 of the CTP Rule.  Section 10 is a transitional provision under the CTP Rule which related to the preparation of annual financial statements ahead of the commencement of the </w:t>
      </w:r>
      <w:r w:rsidRPr="00063C9E">
        <w:rPr>
          <w:i/>
        </w:rPr>
        <w:t>Public Governance and Accountability (Financial Reporting) Rule 2015</w:t>
      </w:r>
      <w:r>
        <w:rPr>
          <w:i/>
        </w:rPr>
        <w:t xml:space="preserve"> </w:t>
      </w:r>
      <w:r>
        <w:t>(FRR)</w:t>
      </w:r>
      <w:r w:rsidRPr="00063C9E">
        <w:rPr>
          <w:lang w:val="en-AU"/>
        </w:rPr>
        <w:t xml:space="preserve">. </w:t>
      </w:r>
      <w:r>
        <w:rPr>
          <w:lang w:val="en-AU"/>
        </w:rPr>
        <w:t xml:space="preserve"> As the FRR commenced on 12 February 2015, and applies to reporting periods commencing on or after 1 July 2014, section 10 of the CTP Rule is no longer required.  </w:t>
      </w:r>
    </w:p>
    <w:p w:rsidR="0026522B" w:rsidRPr="00063C9E" w:rsidRDefault="0026522B" w:rsidP="00D513B7">
      <w:pPr>
        <w:rPr>
          <w:lang w:val="en-AU"/>
        </w:rPr>
      </w:pPr>
    </w:p>
    <w:p w:rsidR="00EB54F1" w:rsidRDefault="00776EAE" w:rsidP="007F7E25">
      <w:pPr>
        <w:rPr>
          <w:b/>
        </w:rPr>
      </w:pPr>
      <w:r w:rsidRPr="00063C9E">
        <w:rPr>
          <w:b/>
        </w:rPr>
        <w:t>Audit Committee</w:t>
      </w:r>
    </w:p>
    <w:p w:rsidR="00571095" w:rsidRPr="00EB54F1" w:rsidRDefault="00776EAE" w:rsidP="007F7E25">
      <w:pPr>
        <w:rPr>
          <w:b/>
        </w:rPr>
      </w:pPr>
      <w:r w:rsidRPr="00063C9E">
        <w:t xml:space="preserve">The </w:t>
      </w:r>
      <w:r w:rsidR="00ED0C0C">
        <w:t>Officials and Other Measures Rule</w:t>
      </w:r>
      <w:r w:rsidRPr="00063C9E">
        <w:t xml:space="preserve"> amend</w:t>
      </w:r>
      <w:r w:rsidR="00ED0C0C">
        <w:t>s</w:t>
      </w:r>
      <w:r w:rsidRPr="00063C9E">
        <w:t xml:space="preserve"> section 17 of </w:t>
      </w:r>
      <w:r w:rsidRPr="00063C9E">
        <w:rPr>
          <w:lang w:val="en-AU"/>
        </w:rPr>
        <w:t xml:space="preserve">the </w:t>
      </w:r>
      <w:r w:rsidR="000B3984" w:rsidRPr="00063C9E">
        <w:rPr>
          <w:lang w:val="en-AU"/>
        </w:rPr>
        <w:t>PGPA Rule</w:t>
      </w:r>
      <w:r w:rsidR="002808D2">
        <w:rPr>
          <w:lang w:val="en-AU"/>
        </w:rPr>
        <w:t xml:space="preserve"> in relation to audit committees</w:t>
      </w:r>
      <w:r w:rsidR="007F7E25">
        <w:rPr>
          <w:lang w:val="en-AU"/>
        </w:rPr>
        <w:t xml:space="preserve">.  </w:t>
      </w:r>
      <w:r w:rsidRPr="00063C9E">
        <w:t xml:space="preserve">The </w:t>
      </w:r>
      <w:r w:rsidR="00ED0C0C">
        <w:t>Officials and Other Measures Rule</w:t>
      </w:r>
      <w:r w:rsidR="007F7E25">
        <w:t xml:space="preserve"> </w:t>
      </w:r>
      <w:r w:rsidRPr="00063C9E">
        <w:t xml:space="preserve">would </w:t>
      </w:r>
      <w:r w:rsidR="007F7E25">
        <w:t xml:space="preserve">insert a new </w:t>
      </w:r>
      <w:r w:rsidR="007F7E25">
        <w:lastRenderedPageBreak/>
        <w:t>subsection</w:t>
      </w:r>
      <w:r w:rsidR="00C17786">
        <w:t> </w:t>
      </w:r>
      <w:r w:rsidR="007F7E25">
        <w:t xml:space="preserve">17(4A) </w:t>
      </w:r>
      <w:r w:rsidRPr="00063C9E">
        <w:t>to clarify that a person engaged primarily for the purpose of being a member of the audit committee is not to be treated as an official or employee of the entity.</w:t>
      </w:r>
      <w:r w:rsidR="00ED0C0C">
        <w:t xml:space="preserve">  </w:t>
      </w:r>
    </w:p>
    <w:p w:rsidR="007F7E25" w:rsidRPr="007F7E25" w:rsidRDefault="007F7E25" w:rsidP="007F7E25">
      <w:pPr>
        <w:rPr>
          <w:i/>
        </w:rPr>
      </w:pPr>
    </w:p>
    <w:p w:rsidR="00D513B7" w:rsidRPr="00063C9E" w:rsidRDefault="00D513B7" w:rsidP="00D513B7">
      <w:pPr>
        <w:pStyle w:val="ParaNumbering"/>
        <w:rPr>
          <w:szCs w:val="24"/>
        </w:rPr>
      </w:pPr>
      <w:r w:rsidRPr="00063C9E">
        <w:rPr>
          <w:szCs w:val="24"/>
        </w:rPr>
        <w:t xml:space="preserve">Details of the </w:t>
      </w:r>
      <w:r w:rsidR="00ED0C0C">
        <w:rPr>
          <w:szCs w:val="24"/>
        </w:rPr>
        <w:t>Officials and Other Measures Rule</w:t>
      </w:r>
      <w:r w:rsidRPr="00063C9E">
        <w:rPr>
          <w:szCs w:val="24"/>
        </w:rPr>
        <w:t xml:space="preserve"> are set out at </w:t>
      </w:r>
      <w:r w:rsidRPr="00063C9E">
        <w:rPr>
          <w:szCs w:val="24"/>
          <w:u w:val="single"/>
        </w:rPr>
        <w:t>Attachment A</w:t>
      </w:r>
      <w:r w:rsidRPr="00063C9E">
        <w:rPr>
          <w:szCs w:val="24"/>
        </w:rPr>
        <w:t xml:space="preserve">.  A statement of compatibility with human rights is at </w:t>
      </w:r>
      <w:r w:rsidRPr="00063C9E">
        <w:rPr>
          <w:szCs w:val="24"/>
          <w:u w:val="single"/>
        </w:rPr>
        <w:t>Attachment B</w:t>
      </w:r>
      <w:r w:rsidRPr="00063C9E">
        <w:rPr>
          <w:szCs w:val="24"/>
        </w:rPr>
        <w:t xml:space="preserve">.  </w:t>
      </w:r>
    </w:p>
    <w:p w:rsidR="00D513B7" w:rsidRPr="00063C9E" w:rsidRDefault="00D513B7" w:rsidP="00D513B7">
      <w:pPr>
        <w:pStyle w:val="ParaNumbering"/>
        <w:rPr>
          <w:szCs w:val="24"/>
        </w:rPr>
      </w:pPr>
    </w:p>
    <w:p w:rsidR="00D513B7" w:rsidRPr="00063C9E" w:rsidRDefault="00D513B7" w:rsidP="00D513B7">
      <w:pPr>
        <w:pStyle w:val="ParaNumbering"/>
        <w:rPr>
          <w:i/>
          <w:szCs w:val="24"/>
        </w:rPr>
      </w:pPr>
      <w:r w:rsidRPr="00063C9E">
        <w:rPr>
          <w:szCs w:val="24"/>
        </w:rPr>
        <w:t xml:space="preserve">The </w:t>
      </w:r>
      <w:r w:rsidR="00ED0C0C">
        <w:t>Officials and Other Measures Rule</w:t>
      </w:r>
      <w:r w:rsidRPr="00063C9E">
        <w:rPr>
          <w:szCs w:val="24"/>
        </w:rPr>
        <w:t xml:space="preserve"> is a legislative instrument for the purposes of the</w:t>
      </w:r>
      <w:r w:rsidRPr="00063C9E">
        <w:rPr>
          <w:i/>
          <w:szCs w:val="24"/>
        </w:rPr>
        <w:t xml:space="preserve"> Legislative Instruments Act 2003</w:t>
      </w:r>
      <w:r w:rsidR="00B3039C">
        <w:rPr>
          <w:szCs w:val="24"/>
        </w:rPr>
        <w:t xml:space="preserve"> and is </w:t>
      </w:r>
      <w:r w:rsidR="00CA12F2">
        <w:rPr>
          <w:szCs w:val="24"/>
        </w:rPr>
        <w:t>subject to the disallowance provisions in that Act</w:t>
      </w:r>
      <w:r w:rsidRPr="00063C9E">
        <w:rPr>
          <w:i/>
          <w:szCs w:val="24"/>
        </w:rPr>
        <w:t xml:space="preserve">.  </w:t>
      </w:r>
    </w:p>
    <w:p w:rsidR="003E64F9" w:rsidRPr="00063C9E" w:rsidRDefault="003E64F9" w:rsidP="003E64F9"/>
    <w:p w:rsidR="003E64F9" w:rsidRPr="00063C9E" w:rsidRDefault="00776EAE" w:rsidP="003E64F9">
      <w:pPr>
        <w:autoSpaceDE w:val="0"/>
        <w:autoSpaceDN w:val="0"/>
        <w:rPr>
          <w:b/>
        </w:rPr>
      </w:pPr>
      <w:r w:rsidRPr="00063C9E">
        <w:rPr>
          <w:b/>
        </w:rPr>
        <w:t>Consultation</w:t>
      </w:r>
    </w:p>
    <w:p w:rsidR="00776EAE" w:rsidRDefault="00776EAE" w:rsidP="003E64F9">
      <w:pPr>
        <w:autoSpaceDE w:val="0"/>
        <w:autoSpaceDN w:val="0"/>
      </w:pPr>
      <w:r w:rsidRPr="00063C9E">
        <w:t>The amendments relating to the prescription of officials were developed through consultation with entities</w:t>
      </w:r>
      <w:r w:rsidR="008D3C9E">
        <w:t xml:space="preserve"> that</w:t>
      </w:r>
      <w:r w:rsidR="00E65710">
        <w:t xml:space="preserve"> are part of the Governance, Risk Management and Culture Reference Group</w:t>
      </w:r>
      <w:r w:rsidR="00E37F27">
        <w:t xml:space="preserve"> established under the Public Management Reform Agenda</w:t>
      </w:r>
      <w:r w:rsidR="002808D2">
        <w:t>, and the Accountable Authority Instructions Working Group</w:t>
      </w:r>
      <w:r w:rsidR="0022238D">
        <w:t xml:space="preserve">. </w:t>
      </w:r>
      <w:r w:rsidR="0022238D" w:rsidRPr="00063C9E">
        <w:t xml:space="preserve"> </w:t>
      </w:r>
      <w:r w:rsidR="0022238D">
        <w:t>T</w:t>
      </w:r>
      <w:r w:rsidRPr="00063C9E">
        <w:t>he Australian Government Solicitor</w:t>
      </w:r>
      <w:r w:rsidR="008D3C9E">
        <w:t xml:space="preserve"> (AGS)</w:t>
      </w:r>
      <w:r w:rsidR="0022238D">
        <w:t xml:space="preserve"> provided advice on the proposed amendment.</w:t>
      </w:r>
    </w:p>
    <w:p w:rsidR="008D3C9E" w:rsidRDefault="008D3C9E" w:rsidP="003E64F9">
      <w:pPr>
        <w:autoSpaceDE w:val="0"/>
        <w:autoSpaceDN w:val="0"/>
      </w:pPr>
    </w:p>
    <w:p w:rsidR="008D3C9E" w:rsidRPr="00063C9E" w:rsidRDefault="008D3C9E" w:rsidP="003E64F9">
      <w:pPr>
        <w:autoSpaceDE w:val="0"/>
        <w:autoSpaceDN w:val="0"/>
      </w:pPr>
      <w:r>
        <w:t xml:space="preserve">The amendments relating to the treatment of the Australian </w:t>
      </w:r>
      <w:proofErr w:type="spellStart"/>
      <w:r>
        <w:t>Defence</w:t>
      </w:r>
      <w:proofErr w:type="spellEnd"/>
      <w:r>
        <w:t xml:space="preserve"> Force Cadets for the purposes of the finance law were developed in consultation with the </w:t>
      </w:r>
      <w:proofErr w:type="spellStart"/>
      <w:r>
        <w:t>Defence</w:t>
      </w:r>
      <w:proofErr w:type="spellEnd"/>
      <w:r>
        <w:t xml:space="preserve"> and AGS.</w:t>
      </w:r>
    </w:p>
    <w:p w:rsidR="00776EAE" w:rsidRPr="00063C9E" w:rsidRDefault="00776EAE" w:rsidP="003E64F9">
      <w:pPr>
        <w:autoSpaceDE w:val="0"/>
        <w:autoSpaceDN w:val="0"/>
      </w:pPr>
    </w:p>
    <w:p w:rsidR="00776EAE" w:rsidRDefault="00776EAE" w:rsidP="003E64F9">
      <w:pPr>
        <w:autoSpaceDE w:val="0"/>
        <w:autoSpaceDN w:val="0"/>
      </w:pPr>
      <w:r w:rsidRPr="00063C9E">
        <w:t>The amendments</w:t>
      </w:r>
      <w:r w:rsidR="00063C9E">
        <w:t xml:space="preserve"> relating to </w:t>
      </w:r>
      <w:r w:rsidR="0022238D">
        <w:t xml:space="preserve">the </w:t>
      </w:r>
      <w:r w:rsidR="008D3C9E">
        <w:t xml:space="preserve">membership of the </w:t>
      </w:r>
      <w:r w:rsidR="00063C9E">
        <w:t>advisory committee</w:t>
      </w:r>
      <w:r w:rsidR="0022238D">
        <w:t xml:space="preserve"> under section 24 of the PGPA Rule arose as a result of the merger of the Australian Customs and Border Protection Service into the Department of Immigration and Border Protection, </w:t>
      </w:r>
      <w:r w:rsidR="00FD59AB">
        <w:t>effective from</w:t>
      </w:r>
      <w:r w:rsidR="0022238D">
        <w:t xml:space="preserve"> 1 July 2015. </w:t>
      </w:r>
      <w:r w:rsidR="00063C9E">
        <w:t xml:space="preserve"> </w:t>
      </w:r>
      <w:r w:rsidR="0022238D">
        <w:t xml:space="preserve">The Parliamentary Secretary to the Minister for Finance, the Hon Michael McCormack MP, sought and received the agreement of the Minister for Infrastructure and Regional Development, the Hon Warren Truss MP, for the Secretary of the Department of Infrastructure and Regional Development to become the new member of the advisory committee. </w:t>
      </w:r>
    </w:p>
    <w:p w:rsidR="00330183" w:rsidRPr="00063C9E" w:rsidRDefault="00330183" w:rsidP="003E64F9">
      <w:pPr>
        <w:autoSpaceDE w:val="0"/>
        <w:autoSpaceDN w:val="0"/>
      </w:pPr>
    </w:p>
    <w:p w:rsidR="00776EAE" w:rsidRPr="00063C9E" w:rsidRDefault="00776EAE" w:rsidP="00776EAE">
      <w:pPr>
        <w:pStyle w:val="NoSpacing"/>
      </w:pPr>
      <w:r w:rsidRPr="00063C9E">
        <w:t xml:space="preserve">The amendments relating to financial reporting were developed following </w:t>
      </w:r>
      <w:r w:rsidR="00063C9E">
        <w:t xml:space="preserve">earlier consultation undertaken in developing the FRR. </w:t>
      </w:r>
      <w:r w:rsidR="00330183">
        <w:t xml:space="preserve"> </w:t>
      </w:r>
      <w:r w:rsidR="00347A00" w:rsidRPr="00E971C8">
        <w:t xml:space="preserve">This consultation included the Australian National Audit Office </w:t>
      </w:r>
      <w:r w:rsidR="0022238D">
        <w:t xml:space="preserve">(ANAO) </w:t>
      </w:r>
      <w:r w:rsidR="00347A00" w:rsidRPr="00E971C8">
        <w:t>and all Commonwealth reporting entities required to apply the FRR in preparing their financial statements.</w:t>
      </w:r>
      <w:r w:rsidR="00330183">
        <w:t xml:space="preserve"> </w:t>
      </w:r>
      <w:r w:rsidR="00347A00" w:rsidRPr="00E971C8">
        <w:t xml:space="preserve"> </w:t>
      </w:r>
    </w:p>
    <w:p w:rsidR="00776EAE" w:rsidRPr="00063C9E" w:rsidRDefault="00776EAE" w:rsidP="00776EAE">
      <w:pPr>
        <w:pStyle w:val="NoSpacing"/>
      </w:pPr>
    </w:p>
    <w:p w:rsidR="00997607" w:rsidRPr="00063C9E" w:rsidRDefault="00997607" w:rsidP="00776EAE">
      <w:pPr>
        <w:pStyle w:val="NoSpacing"/>
      </w:pPr>
      <w:r w:rsidRPr="00063C9E">
        <w:t xml:space="preserve">The amendments relating to audit committees were raised by a number of non-corporate Commonwealth entities. </w:t>
      </w:r>
      <w:r w:rsidR="00330183">
        <w:t xml:space="preserve"> </w:t>
      </w:r>
      <w:r w:rsidRPr="00063C9E">
        <w:t xml:space="preserve">The Department of Finance investigated the breadth of the implications arising from the issue and subsequently consulted with the </w:t>
      </w:r>
      <w:r w:rsidR="0022238D">
        <w:t>ANAO</w:t>
      </w:r>
      <w:r w:rsidRPr="00063C9E">
        <w:t xml:space="preserve"> and the Governance, Risk Management and Culture Reference Group.  </w:t>
      </w:r>
    </w:p>
    <w:p w:rsidR="00997607" w:rsidRPr="00063C9E" w:rsidRDefault="00997607" w:rsidP="00776EAE">
      <w:pPr>
        <w:pStyle w:val="NoSpacing"/>
      </w:pPr>
    </w:p>
    <w:p w:rsidR="00776EAE" w:rsidRPr="00063C9E" w:rsidRDefault="00776EAE" w:rsidP="00776EAE">
      <w:pPr>
        <w:pStyle w:val="NoSpacing"/>
        <w:rPr>
          <w:bCs/>
        </w:rPr>
      </w:pPr>
      <w:r w:rsidRPr="00063C9E">
        <w:t xml:space="preserve">All amendments under the </w:t>
      </w:r>
      <w:r w:rsidR="00ED0C0C">
        <w:t>Officials and Other Measures Rule</w:t>
      </w:r>
      <w:r w:rsidRPr="00063C9E">
        <w:t xml:space="preserve"> were drafted by the Office of Parliamentary Counsel.</w:t>
      </w:r>
    </w:p>
    <w:p w:rsidR="003E64F9" w:rsidRPr="00063C9E" w:rsidRDefault="003E64F9" w:rsidP="00776EAE">
      <w:pPr>
        <w:pStyle w:val="NoSpacing"/>
      </w:pPr>
    </w:p>
    <w:p w:rsidR="00DA164C" w:rsidRPr="00063C9E" w:rsidRDefault="00DA164C"/>
    <w:p w:rsidR="002767A4" w:rsidRDefault="002767A4">
      <w:pPr>
        <w:sectPr w:rsidR="002767A4" w:rsidSect="0004505E">
          <w:headerReference w:type="default" r:id="rId8"/>
          <w:footerReference w:type="default" r:id="rId9"/>
          <w:headerReference w:type="first" r:id="rId10"/>
          <w:pgSz w:w="11906" w:h="16838" w:code="9"/>
          <w:pgMar w:top="1440" w:right="1440" w:bottom="1440" w:left="1440" w:header="709" w:footer="709" w:gutter="0"/>
          <w:pgNumType w:start="1"/>
          <w:cols w:space="708"/>
          <w:titlePg/>
          <w:docGrid w:linePitch="360"/>
        </w:sectPr>
      </w:pPr>
    </w:p>
    <w:p w:rsidR="007F7E25" w:rsidRPr="007F7E25" w:rsidRDefault="007F7E25" w:rsidP="007F7E25">
      <w:pPr>
        <w:spacing w:after="200" w:line="276" w:lineRule="auto"/>
        <w:ind w:left="1440"/>
        <w:jc w:val="right"/>
      </w:pPr>
      <w:r w:rsidRPr="00063C9E">
        <w:rPr>
          <w:b/>
          <w:u w:val="single"/>
        </w:rPr>
        <w:lastRenderedPageBreak/>
        <w:t>Attachment A</w:t>
      </w:r>
    </w:p>
    <w:p w:rsidR="007F7E25" w:rsidRPr="00063C9E" w:rsidRDefault="007F7E25" w:rsidP="007F7E25">
      <w:pPr>
        <w:pStyle w:val="NoSpacing"/>
        <w:rPr>
          <w:b/>
        </w:rPr>
      </w:pPr>
    </w:p>
    <w:p w:rsidR="007F7E25" w:rsidRPr="00063C9E" w:rsidRDefault="007F7E25" w:rsidP="007F7E25">
      <w:pPr>
        <w:pStyle w:val="NoSpacing"/>
        <w:rPr>
          <w:b/>
          <w:u w:val="single"/>
        </w:rPr>
      </w:pPr>
      <w:r w:rsidRPr="00063C9E">
        <w:rPr>
          <w:b/>
          <w:u w:val="single"/>
        </w:rPr>
        <w:t xml:space="preserve">Details of the </w:t>
      </w:r>
      <w:r w:rsidRPr="00063C9E">
        <w:rPr>
          <w:b/>
          <w:i/>
          <w:u w:val="single"/>
        </w:rPr>
        <w:t xml:space="preserve">Public Governance, Performance and Accountability Legislation Amendment </w:t>
      </w:r>
      <w:r w:rsidR="00ED0C0C">
        <w:rPr>
          <w:b/>
          <w:i/>
          <w:u w:val="single"/>
        </w:rPr>
        <w:t xml:space="preserve">(Officials and Other Measures) </w:t>
      </w:r>
      <w:r w:rsidRPr="00063C9E">
        <w:rPr>
          <w:b/>
          <w:i/>
          <w:u w:val="single"/>
        </w:rPr>
        <w:t>Rule 2015</w:t>
      </w:r>
    </w:p>
    <w:p w:rsidR="007F7E25" w:rsidRPr="00063C9E" w:rsidRDefault="007F7E25" w:rsidP="007F7E25">
      <w:pPr>
        <w:pStyle w:val="NoSpacing"/>
        <w:rPr>
          <w:b/>
          <w:i/>
        </w:rPr>
      </w:pPr>
    </w:p>
    <w:p w:rsidR="007F7E25" w:rsidRPr="00063C9E" w:rsidRDefault="007F7E25" w:rsidP="007F7E25">
      <w:pPr>
        <w:rPr>
          <w:b/>
          <w:lang w:val="en-AU"/>
        </w:rPr>
      </w:pPr>
      <w:r w:rsidRPr="00063C9E">
        <w:rPr>
          <w:b/>
          <w:lang w:val="en-AU"/>
        </w:rPr>
        <w:t>Section 1—Name of rule</w:t>
      </w:r>
    </w:p>
    <w:p w:rsidR="007F7E25" w:rsidRPr="00063C9E" w:rsidRDefault="007F7E25" w:rsidP="007F7E25">
      <w:pPr>
        <w:rPr>
          <w:lang w:val="en-AU"/>
        </w:rPr>
      </w:pPr>
    </w:p>
    <w:p w:rsidR="007F7E25" w:rsidRPr="00063C9E" w:rsidRDefault="007F7E25" w:rsidP="007F7E25">
      <w:pPr>
        <w:rPr>
          <w:i/>
        </w:rPr>
      </w:pPr>
      <w:r w:rsidRPr="00063C9E">
        <w:rPr>
          <w:lang w:val="en-AU"/>
        </w:rPr>
        <w:t>This section provides that the title of the rule is the</w:t>
      </w:r>
      <w:r w:rsidRPr="00063C9E">
        <w:rPr>
          <w:i/>
        </w:rPr>
        <w:t xml:space="preserve"> Public Governance, Performance and Accountability Legislation Amendment </w:t>
      </w:r>
      <w:r w:rsidR="00ED0C0C">
        <w:rPr>
          <w:i/>
        </w:rPr>
        <w:t xml:space="preserve">(Officials and Other Measures) </w:t>
      </w:r>
      <w:r w:rsidRPr="00063C9E">
        <w:rPr>
          <w:i/>
        </w:rPr>
        <w:t>Rule 2015</w:t>
      </w:r>
      <w:r w:rsidRPr="00063C9E">
        <w:rPr>
          <w:lang w:val="en-AU"/>
        </w:rPr>
        <w:t>.</w:t>
      </w:r>
    </w:p>
    <w:p w:rsidR="007F7E25" w:rsidRPr="00063C9E" w:rsidRDefault="007F7E25" w:rsidP="007F7E25">
      <w:pPr>
        <w:rPr>
          <w:lang w:val="en-AU"/>
        </w:rPr>
      </w:pPr>
    </w:p>
    <w:p w:rsidR="007F7E25" w:rsidRPr="00063C9E" w:rsidRDefault="007F7E25" w:rsidP="007F7E25">
      <w:pPr>
        <w:rPr>
          <w:b/>
          <w:lang w:val="en-AU"/>
        </w:rPr>
      </w:pPr>
      <w:r w:rsidRPr="00063C9E">
        <w:rPr>
          <w:b/>
          <w:lang w:val="en-AU"/>
        </w:rPr>
        <w:t xml:space="preserve">Section 2—Commencement </w:t>
      </w:r>
    </w:p>
    <w:p w:rsidR="007F7E25" w:rsidRPr="00063C9E" w:rsidRDefault="007F7E25" w:rsidP="007F7E25">
      <w:pPr>
        <w:rPr>
          <w:lang w:val="en-AU"/>
        </w:rPr>
      </w:pPr>
    </w:p>
    <w:p w:rsidR="007F7E25" w:rsidRPr="004A1F1B" w:rsidRDefault="007F7E25" w:rsidP="007F7E25">
      <w:r w:rsidRPr="00977D04">
        <w:rPr>
          <w:lang w:val="en-AU"/>
        </w:rPr>
        <w:t xml:space="preserve">This section </w:t>
      </w:r>
      <w:r>
        <w:rPr>
          <w:lang w:val="en-AU"/>
        </w:rPr>
        <w:t>provides that each provision of the</w:t>
      </w:r>
      <w:r w:rsidRPr="00977D04">
        <w:rPr>
          <w:lang w:val="en-AU"/>
        </w:rPr>
        <w:t xml:space="preserve"> </w:t>
      </w:r>
      <w:r>
        <w:rPr>
          <w:lang w:val="en-AU"/>
        </w:rPr>
        <w:t>instrument</w:t>
      </w:r>
      <w:r w:rsidRPr="00977D04">
        <w:rPr>
          <w:lang w:val="en-AU"/>
        </w:rPr>
        <w:t xml:space="preserve"> </w:t>
      </w:r>
      <w:r>
        <w:rPr>
          <w:lang w:val="en-AU"/>
        </w:rPr>
        <w:t xml:space="preserve">specified in column 1 of the table </w:t>
      </w:r>
      <w:r w:rsidRPr="00977D04">
        <w:t>commences</w:t>
      </w:r>
      <w:r>
        <w:t>, or is taken to have commenced,</w:t>
      </w:r>
      <w:r w:rsidRPr="00977D04">
        <w:t xml:space="preserve"> </w:t>
      </w:r>
      <w:r>
        <w:t>in accordance with column 2 of the table.</w:t>
      </w:r>
    </w:p>
    <w:p w:rsidR="007F7E25" w:rsidRDefault="007F7E25" w:rsidP="007F7E25">
      <w:pPr>
        <w:rPr>
          <w:lang w:val="en-AU"/>
        </w:rPr>
      </w:pPr>
    </w:p>
    <w:p w:rsidR="007F7E25" w:rsidRPr="00063C9E" w:rsidRDefault="007F7E25" w:rsidP="007F7E25">
      <w:pPr>
        <w:rPr>
          <w:lang w:val="en-AU"/>
        </w:rPr>
      </w:pPr>
      <w:r>
        <w:rPr>
          <w:lang w:val="en-AU"/>
        </w:rPr>
        <w:t>Specifically:</w:t>
      </w:r>
    </w:p>
    <w:p w:rsidR="007F7E25" w:rsidRPr="00063C9E" w:rsidRDefault="007F7E25" w:rsidP="007F7E25">
      <w:pPr>
        <w:pStyle w:val="ListParagraph"/>
        <w:numPr>
          <w:ilvl w:val="0"/>
          <w:numId w:val="2"/>
        </w:numPr>
      </w:pPr>
      <w:r w:rsidRPr="00063C9E">
        <w:rPr>
          <w:lang w:val="en-AU"/>
        </w:rPr>
        <w:t>Sections 1 to 4 of the instrument commences on the day after the instrument is registered</w:t>
      </w:r>
      <w:r>
        <w:rPr>
          <w:lang w:val="en-AU"/>
        </w:rPr>
        <w:t>;</w:t>
      </w:r>
    </w:p>
    <w:p w:rsidR="007F7E25" w:rsidRPr="00063C9E" w:rsidRDefault="007F7E25" w:rsidP="007F7E25">
      <w:pPr>
        <w:pStyle w:val="ListParagraph"/>
        <w:numPr>
          <w:ilvl w:val="0"/>
          <w:numId w:val="2"/>
        </w:numPr>
      </w:pPr>
      <w:r w:rsidRPr="00063C9E">
        <w:t>Schedule 1, Part 1 of the instrument commences on 1 July 2015</w:t>
      </w:r>
      <w:r>
        <w:t>; and</w:t>
      </w:r>
    </w:p>
    <w:p w:rsidR="007F7E25" w:rsidRPr="00063C9E" w:rsidRDefault="007F7E25" w:rsidP="007F7E25">
      <w:pPr>
        <w:pStyle w:val="ListParagraph"/>
        <w:numPr>
          <w:ilvl w:val="0"/>
          <w:numId w:val="2"/>
        </w:numPr>
      </w:pPr>
      <w:r w:rsidRPr="00063C9E">
        <w:t>Schedule 1, Part 2 of the instrument commences on the day after the instrument is registered.</w:t>
      </w:r>
    </w:p>
    <w:p w:rsidR="007F7E25" w:rsidRPr="00063C9E" w:rsidRDefault="007F7E25" w:rsidP="007F7E25">
      <w:pPr>
        <w:rPr>
          <w:lang w:val="en-AU"/>
        </w:rPr>
      </w:pPr>
    </w:p>
    <w:p w:rsidR="007F7E25" w:rsidRPr="00063C9E" w:rsidRDefault="007F7E25" w:rsidP="007F7E25">
      <w:pPr>
        <w:rPr>
          <w:b/>
          <w:i/>
          <w:lang w:val="en-AU"/>
        </w:rPr>
      </w:pPr>
      <w:r w:rsidRPr="00063C9E">
        <w:rPr>
          <w:b/>
          <w:lang w:val="en-AU"/>
        </w:rPr>
        <w:t>Section 3—Authority</w:t>
      </w:r>
      <w:r w:rsidRPr="00063C9E">
        <w:rPr>
          <w:b/>
          <w:i/>
          <w:lang w:val="en-AU"/>
        </w:rPr>
        <w:t xml:space="preserve"> </w:t>
      </w:r>
    </w:p>
    <w:p w:rsidR="007F7E25" w:rsidRPr="00063C9E" w:rsidRDefault="007F7E25" w:rsidP="007F7E25">
      <w:pPr>
        <w:rPr>
          <w:lang w:val="en-AU"/>
        </w:rPr>
      </w:pPr>
    </w:p>
    <w:p w:rsidR="007F7E25" w:rsidRPr="00063C9E" w:rsidRDefault="007F7E25" w:rsidP="007F7E25">
      <w:proofErr w:type="gramStart"/>
      <w:r w:rsidRPr="00063C9E">
        <w:rPr>
          <w:lang w:val="en-AU"/>
        </w:rPr>
        <w:t xml:space="preserve">This section states that the instrument is made under the </w:t>
      </w:r>
      <w:r w:rsidRPr="00063C9E">
        <w:rPr>
          <w:i/>
          <w:lang w:val="en-AU"/>
        </w:rPr>
        <w:t>Public Governance,</w:t>
      </w:r>
      <w:r w:rsidRPr="00063C9E">
        <w:rPr>
          <w:i/>
        </w:rPr>
        <w:t xml:space="preserve"> Performance and Accountability Act 2013 </w:t>
      </w:r>
      <w:r>
        <w:t xml:space="preserve">(PGPA Act) </w:t>
      </w:r>
      <w:r w:rsidRPr="00063C9E">
        <w:t xml:space="preserve">and the </w:t>
      </w:r>
      <w:r w:rsidRPr="00063C9E">
        <w:rPr>
          <w:i/>
        </w:rPr>
        <w:t>Public Governance, Performance and Accountability (Consequential and Transitional Provisions) Act 2014</w:t>
      </w:r>
      <w:r>
        <w:rPr>
          <w:i/>
        </w:rPr>
        <w:t xml:space="preserve"> </w:t>
      </w:r>
      <w:r>
        <w:t>(CTP Act)</w:t>
      </w:r>
      <w:r w:rsidRPr="00063C9E">
        <w:t>.</w:t>
      </w:r>
      <w:proofErr w:type="gramEnd"/>
    </w:p>
    <w:p w:rsidR="007F7E25" w:rsidRPr="00063C9E" w:rsidRDefault="007F7E25" w:rsidP="007F7E25">
      <w:pPr>
        <w:rPr>
          <w:lang w:val="en-AU"/>
        </w:rPr>
      </w:pPr>
    </w:p>
    <w:p w:rsidR="007F7E25" w:rsidRPr="00063C9E" w:rsidRDefault="007F7E25" w:rsidP="007F7E25">
      <w:pPr>
        <w:rPr>
          <w:b/>
          <w:i/>
          <w:lang w:val="en-AU"/>
        </w:rPr>
      </w:pPr>
      <w:r w:rsidRPr="00063C9E">
        <w:rPr>
          <w:b/>
          <w:lang w:val="en-AU"/>
        </w:rPr>
        <w:t>Section 4—Schedules</w:t>
      </w:r>
      <w:r w:rsidRPr="00063C9E">
        <w:rPr>
          <w:b/>
          <w:i/>
          <w:lang w:val="en-AU"/>
        </w:rPr>
        <w:t xml:space="preserve"> </w:t>
      </w:r>
    </w:p>
    <w:p w:rsidR="007F7E25" w:rsidRPr="00063C9E" w:rsidRDefault="007F7E25" w:rsidP="007F7E25">
      <w:pPr>
        <w:rPr>
          <w:lang w:val="en-AU"/>
        </w:rPr>
      </w:pPr>
    </w:p>
    <w:p w:rsidR="007F7E25" w:rsidRPr="00063C9E" w:rsidRDefault="007F7E25" w:rsidP="007F7E25">
      <w:r w:rsidRPr="00063C9E">
        <w:t>This section provides that each legislative instrument that is specified in a Schedule to this Rule is amended or repealed as set out, and that any item in a Schedule to this instrument operates or is applied as specified in the Schedule.</w:t>
      </w:r>
    </w:p>
    <w:p w:rsidR="007F7E25" w:rsidRPr="00063C9E" w:rsidRDefault="007F7E25" w:rsidP="007F7E25"/>
    <w:p w:rsidR="007F7E25" w:rsidRPr="00063C9E" w:rsidRDefault="007F7E25" w:rsidP="007F7E25">
      <w:pPr>
        <w:rPr>
          <w:b/>
        </w:rPr>
      </w:pPr>
      <w:r w:rsidRPr="00063C9E">
        <w:rPr>
          <w:b/>
        </w:rPr>
        <w:t>Schedule 1 – Amendments</w:t>
      </w:r>
    </w:p>
    <w:p w:rsidR="007F7E25" w:rsidRPr="00063C9E" w:rsidRDefault="007F7E25" w:rsidP="007F7E25">
      <w:pPr>
        <w:rPr>
          <w:b/>
        </w:rPr>
      </w:pPr>
    </w:p>
    <w:p w:rsidR="007F7E25" w:rsidRPr="00063C9E" w:rsidRDefault="007F7E25" w:rsidP="007F7E25">
      <w:pPr>
        <w:rPr>
          <w:b/>
        </w:rPr>
      </w:pPr>
      <w:r w:rsidRPr="00063C9E">
        <w:rPr>
          <w:b/>
        </w:rPr>
        <w:t>Part 1 – Amendments commencing 1 July 2015</w:t>
      </w:r>
    </w:p>
    <w:p w:rsidR="007F7E25" w:rsidRPr="00063C9E" w:rsidRDefault="007F7E25" w:rsidP="007F7E25">
      <w:pPr>
        <w:rPr>
          <w:b/>
        </w:rPr>
      </w:pPr>
    </w:p>
    <w:p w:rsidR="007F7E25" w:rsidRPr="00063C9E" w:rsidRDefault="007F7E25" w:rsidP="007F7E25">
      <w:pPr>
        <w:rPr>
          <w:b/>
          <w:i/>
        </w:rPr>
      </w:pPr>
      <w:r w:rsidRPr="00063C9E">
        <w:rPr>
          <w:b/>
          <w:i/>
        </w:rPr>
        <w:t>Public Governance, Performance and Accountability Rule 2014</w:t>
      </w:r>
    </w:p>
    <w:p w:rsidR="007F7E25" w:rsidRPr="00063C9E" w:rsidRDefault="007F7E25" w:rsidP="007F7E25">
      <w:pPr>
        <w:rPr>
          <w:b/>
          <w:lang w:val="en-AU"/>
        </w:rPr>
      </w:pPr>
    </w:p>
    <w:p w:rsidR="007F7E25" w:rsidRPr="00063C9E" w:rsidRDefault="007F7E25" w:rsidP="007F7E25">
      <w:pPr>
        <w:rPr>
          <w:b/>
          <w:lang w:val="en-AU"/>
        </w:rPr>
      </w:pPr>
      <w:r w:rsidRPr="00063C9E">
        <w:rPr>
          <w:b/>
          <w:lang w:val="en-AU"/>
        </w:rPr>
        <w:t xml:space="preserve">Item 1 – </w:t>
      </w:r>
      <w:r>
        <w:rPr>
          <w:b/>
          <w:lang w:val="en-AU"/>
        </w:rPr>
        <w:t>S</w:t>
      </w:r>
      <w:r w:rsidRPr="00063C9E">
        <w:rPr>
          <w:b/>
          <w:lang w:val="en-AU"/>
        </w:rPr>
        <w:t xml:space="preserve">ection 9 </w:t>
      </w:r>
    </w:p>
    <w:p w:rsidR="007F7E25" w:rsidRPr="00063C9E" w:rsidRDefault="007F7E25" w:rsidP="007F7E25">
      <w:pPr>
        <w:rPr>
          <w:b/>
          <w:lang w:val="en-AU"/>
        </w:rPr>
      </w:pPr>
    </w:p>
    <w:p w:rsidR="007F7E25" w:rsidRPr="004A1F1B" w:rsidRDefault="007F7E25" w:rsidP="007F7E25">
      <w:pPr>
        <w:pStyle w:val="NoSpacing"/>
        <w:rPr>
          <w:b/>
        </w:rPr>
      </w:pPr>
      <w:r w:rsidRPr="00063C9E">
        <w:t xml:space="preserve">This </w:t>
      </w:r>
      <w:r>
        <w:t>item amend</w:t>
      </w:r>
      <w:r w:rsidR="00CA12F2">
        <w:t>s</w:t>
      </w:r>
      <w:r>
        <w:t xml:space="preserve"> section 9 of the </w:t>
      </w:r>
      <w:r w:rsidRPr="00FA687A">
        <w:rPr>
          <w:i/>
        </w:rPr>
        <w:t>Public Governance, Performance and Accountability Rule 2014</w:t>
      </w:r>
      <w:r>
        <w:t xml:space="preserve"> (PGPA Rule)</w:t>
      </w:r>
      <w:r>
        <w:rPr>
          <w:b/>
        </w:rPr>
        <w:t xml:space="preserve"> </w:t>
      </w:r>
      <w:r w:rsidRPr="00FA687A">
        <w:t>to</w:t>
      </w:r>
      <w:r>
        <w:rPr>
          <w:b/>
        </w:rPr>
        <w:t xml:space="preserve"> </w:t>
      </w:r>
      <w:r>
        <w:t xml:space="preserve">omit the text “officials of a Commonwealth entity (other than a listed entity)” and substitute the text “official of a Commonwealth entity”.  This would </w:t>
      </w:r>
      <w:r w:rsidRPr="00063C9E">
        <w:t>clarif</w:t>
      </w:r>
      <w:r>
        <w:t>y</w:t>
      </w:r>
      <w:r w:rsidRPr="00063C9E">
        <w:t xml:space="preserve"> that section </w:t>
      </w:r>
      <w:r w:rsidR="00FD59AB">
        <w:t>9 prescribes certain persons, or classes of</w:t>
      </w:r>
      <w:r w:rsidRPr="00063C9E">
        <w:t xml:space="preserve"> persons, to be, or not to be, officials of a Commonwealth entity.</w:t>
      </w:r>
    </w:p>
    <w:p w:rsidR="007F7E25" w:rsidRPr="00063C9E" w:rsidRDefault="007F7E25" w:rsidP="007F7E25">
      <w:pPr>
        <w:pStyle w:val="NoSpacing"/>
      </w:pPr>
    </w:p>
    <w:p w:rsidR="007F7E25" w:rsidRDefault="007F7E25" w:rsidP="007F7E25">
      <w:pPr>
        <w:keepNext/>
        <w:keepLines/>
        <w:rPr>
          <w:b/>
          <w:lang w:val="en-AU"/>
        </w:rPr>
      </w:pPr>
      <w:r w:rsidRPr="00063C9E">
        <w:rPr>
          <w:b/>
          <w:lang w:val="en-AU"/>
        </w:rPr>
        <w:lastRenderedPageBreak/>
        <w:t xml:space="preserve">Item 2 – </w:t>
      </w:r>
      <w:r>
        <w:rPr>
          <w:b/>
          <w:lang w:val="en-AU"/>
        </w:rPr>
        <w:t>S</w:t>
      </w:r>
      <w:r w:rsidRPr="00063C9E">
        <w:rPr>
          <w:b/>
          <w:lang w:val="en-AU"/>
        </w:rPr>
        <w:t xml:space="preserve">ection 9 </w:t>
      </w:r>
    </w:p>
    <w:p w:rsidR="007F7E25" w:rsidRDefault="007F7E25" w:rsidP="007F7E25">
      <w:pPr>
        <w:keepNext/>
        <w:keepLines/>
      </w:pPr>
    </w:p>
    <w:p w:rsidR="007F7E25" w:rsidRDefault="007F7E25" w:rsidP="007F7E25">
      <w:pPr>
        <w:keepNext/>
        <w:keepLines/>
      </w:pPr>
      <w:r w:rsidRPr="00063C9E">
        <w:t xml:space="preserve">This </w:t>
      </w:r>
      <w:r>
        <w:t xml:space="preserve">item inserts “, and subsection 13(5)” after “(4)(d)” in section 9 of the PGPA Rule, and would </w:t>
      </w:r>
      <w:r w:rsidRPr="00063C9E">
        <w:t>clarif</w:t>
      </w:r>
      <w:r>
        <w:t>y</w:t>
      </w:r>
      <w:r w:rsidRPr="00063C9E">
        <w:t xml:space="preserve"> that section 9 is made under paragraphs 13(3)(c), 13(4)(d) and subsection 13(5) of the </w:t>
      </w:r>
      <w:r>
        <w:t>PGPA</w:t>
      </w:r>
      <w:r w:rsidRPr="00063C9E">
        <w:t xml:space="preserve"> Act. </w:t>
      </w:r>
    </w:p>
    <w:p w:rsidR="007F7E25" w:rsidRDefault="007F7E25" w:rsidP="007F7E25">
      <w:pPr>
        <w:keepNext/>
        <w:keepLines/>
      </w:pPr>
    </w:p>
    <w:p w:rsidR="007F7E25" w:rsidRDefault="007F7E25" w:rsidP="007F7E25">
      <w:pPr>
        <w:keepNext/>
        <w:keepLines/>
      </w:pPr>
      <w:r w:rsidRPr="00063C9E">
        <w:t>Th</w:t>
      </w:r>
      <w:r>
        <w:t>e intention of this</w:t>
      </w:r>
      <w:r w:rsidRPr="00063C9E">
        <w:t xml:space="preserve"> item</w:t>
      </w:r>
      <w:r>
        <w:t xml:space="preserve"> is to </w:t>
      </w:r>
      <w:r w:rsidRPr="00063C9E">
        <w:t>enable a person to be prescribed as an official of a listed Commonwealth entity or a non</w:t>
      </w:r>
      <w:r w:rsidRPr="00063C9E">
        <w:noBreakHyphen/>
      </w:r>
      <w:proofErr w:type="spellStart"/>
      <w:r w:rsidRPr="00063C9E">
        <w:t>listed</w:t>
      </w:r>
      <w:proofErr w:type="spellEnd"/>
      <w:r w:rsidRPr="00063C9E">
        <w:t xml:space="preserve"> Commonwealth entity.  </w:t>
      </w:r>
    </w:p>
    <w:p w:rsidR="007F7E25" w:rsidRPr="00063C9E" w:rsidRDefault="007F7E25" w:rsidP="007F7E25"/>
    <w:p w:rsidR="007F7E25" w:rsidRPr="00063C9E" w:rsidRDefault="007F7E25" w:rsidP="007F7E25">
      <w:pPr>
        <w:rPr>
          <w:b/>
        </w:rPr>
      </w:pPr>
      <w:r w:rsidRPr="00063C9E">
        <w:rPr>
          <w:b/>
        </w:rPr>
        <w:t xml:space="preserve">Item 3 – </w:t>
      </w:r>
      <w:r>
        <w:rPr>
          <w:b/>
        </w:rPr>
        <w:t>S</w:t>
      </w:r>
      <w:r w:rsidRPr="00063C9E">
        <w:rPr>
          <w:b/>
        </w:rPr>
        <w:t>ubsection 9(1)</w:t>
      </w:r>
      <w:r>
        <w:rPr>
          <w:b/>
        </w:rPr>
        <w:t xml:space="preserve"> (after table item 1)</w:t>
      </w:r>
    </w:p>
    <w:p w:rsidR="007F7E25" w:rsidRPr="00063C9E" w:rsidRDefault="007F7E25" w:rsidP="007F7E25">
      <w:pPr>
        <w:rPr>
          <w:b/>
        </w:rPr>
      </w:pPr>
    </w:p>
    <w:p w:rsidR="007F7E25" w:rsidRPr="00063C9E" w:rsidRDefault="007F7E25" w:rsidP="007F7E25">
      <w:r>
        <w:t>Item 3</w:t>
      </w:r>
      <w:r w:rsidRPr="00063C9E">
        <w:t xml:space="preserve"> insert</w:t>
      </w:r>
      <w:r w:rsidR="00CA12F2">
        <w:t>s</w:t>
      </w:r>
      <w:r w:rsidRPr="00063C9E">
        <w:t xml:space="preserve"> </w:t>
      </w:r>
      <w:r w:rsidR="002808D2">
        <w:t xml:space="preserve">a new </w:t>
      </w:r>
      <w:r w:rsidRPr="00063C9E">
        <w:t xml:space="preserve">item 1A </w:t>
      </w:r>
      <w:r>
        <w:t xml:space="preserve">after table </w:t>
      </w:r>
      <w:r w:rsidR="002808D2">
        <w:t>item 1</w:t>
      </w:r>
      <w:r w:rsidR="00C17786">
        <w:t xml:space="preserve"> </w:t>
      </w:r>
      <w:r w:rsidRPr="00063C9E">
        <w:t>u</w:t>
      </w:r>
      <w:r>
        <w:t>nder subsection</w:t>
      </w:r>
      <w:r w:rsidRPr="00063C9E">
        <w:t xml:space="preserve"> 9(1)</w:t>
      </w:r>
      <w:r>
        <w:t xml:space="preserve"> of the PGPA Rule. This would</w:t>
      </w:r>
      <w:r w:rsidRPr="00063C9E">
        <w:t xml:space="preserve"> provide a mechanism for the </w:t>
      </w:r>
      <w:proofErr w:type="gramStart"/>
      <w:r w:rsidRPr="00063C9E">
        <w:t>accountable</w:t>
      </w:r>
      <w:proofErr w:type="gramEnd"/>
      <w:r w:rsidRPr="00063C9E">
        <w:t xml:space="preserve"> authority of a non-corporate Commonwealth entity (NCCE) to engage a person </w:t>
      </w:r>
      <w:r>
        <w:t>who is not part of</w:t>
      </w:r>
      <w:r w:rsidRPr="00063C9E">
        <w:t xml:space="preserve"> a Commonwealth entity to exercise powers under the PGPA Act or the PGPA Rule on behalf of the NCCE. </w:t>
      </w:r>
    </w:p>
    <w:p w:rsidR="007F7E25" w:rsidRPr="00063C9E" w:rsidRDefault="007F7E25" w:rsidP="007F7E25"/>
    <w:p w:rsidR="007F7E25" w:rsidRDefault="007F7E25" w:rsidP="007F7E25">
      <w:pPr>
        <w:spacing w:after="120"/>
      </w:pPr>
      <w:r w:rsidRPr="00063C9E">
        <w:t xml:space="preserve">Paragraphs (a) and (b) in subsection 9(1) of the PGPA Rule specify which persons can be prescribed as officials by an </w:t>
      </w:r>
      <w:proofErr w:type="gramStart"/>
      <w:r w:rsidRPr="00063C9E">
        <w:t>accountable</w:t>
      </w:r>
      <w:proofErr w:type="gramEnd"/>
      <w:r w:rsidRPr="00063C9E">
        <w:t xml:space="preserve"> authority of a NCCE</w:t>
      </w:r>
      <w:r>
        <w:t>:</w:t>
      </w:r>
    </w:p>
    <w:p w:rsidR="007F7E25" w:rsidRDefault="007F7E25" w:rsidP="007F7E25">
      <w:pPr>
        <w:pStyle w:val="ListParagraph"/>
        <w:numPr>
          <w:ilvl w:val="0"/>
          <w:numId w:val="3"/>
        </w:numPr>
        <w:spacing w:after="120"/>
        <w:ind w:left="714" w:hanging="357"/>
        <w:contextualSpacing w:val="0"/>
      </w:pPr>
      <w:r w:rsidRPr="00063C9E">
        <w:t>Subparagraph 1A(a)(</w:t>
      </w:r>
      <w:proofErr w:type="spellStart"/>
      <w:r w:rsidRPr="00063C9E">
        <w:t>i</w:t>
      </w:r>
      <w:proofErr w:type="spellEnd"/>
      <w:r w:rsidRPr="00063C9E">
        <w:t xml:space="preserve">) </w:t>
      </w:r>
      <w:r>
        <w:t>would permit</w:t>
      </w:r>
      <w:r w:rsidRPr="00063C9E">
        <w:t xml:space="preserve"> the accountable authority of a NCCE to prescribe a natural person who is a consultant or independent contractor as an official of the entity to provide services to the NCCE. Subparagraph </w:t>
      </w:r>
      <w:proofErr w:type="gramStart"/>
      <w:r>
        <w:t>1A</w:t>
      </w:r>
      <w:r w:rsidRPr="00063C9E">
        <w:t>(</w:t>
      </w:r>
      <w:proofErr w:type="gramEnd"/>
      <w:r w:rsidRPr="00063C9E">
        <w:t xml:space="preserve">a)(ii) </w:t>
      </w:r>
      <w:r>
        <w:t>would</w:t>
      </w:r>
      <w:r w:rsidRPr="00063C9E">
        <w:t xml:space="preserve"> permit the prescription of an employee of a contractor company. </w:t>
      </w:r>
      <w:r>
        <w:t xml:space="preserve"> </w:t>
      </w:r>
      <w:r w:rsidRPr="00063C9E">
        <w:t>This subparagraph caters for situations where a consultant or independent contractor enters into an arrangement with a NCCE, under which an employee of the consultant or independent contractor provides the services to the NCCE.</w:t>
      </w:r>
    </w:p>
    <w:p w:rsidR="007F7E25" w:rsidRPr="00063C9E" w:rsidRDefault="007F7E25" w:rsidP="007F7E25">
      <w:pPr>
        <w:pStyle w:val="ListParagraph"/>
        <w:numPr>
          <w:ilvl w:val="0"/>
          <w:numId w:val="3"/>
        </w:numPr>
      </w:pPr>
      <w:r w:rsidRPr="00063C9E">
        <w:t xml:space="preserve">Paragraph 1A(b) </w:t>
      </w:r>
      <w:r>
        <w:t xml:space="preserve">would </w:t>
      </w:r>
      <w:r w:rsidRPr="00063C9E">
        <w:t xml:space="preserve">permit </w:t>
      </w:r>
      <w:r>
        <w:t>the</w:t>
      </w:r>
      <w:r w:rsidRPr="00063C9E">
        <w:t xml:space="preserve"> accountable authority of a NCCE to prescribe a person as an official, if the accountable authority intends that the consultant or independent contractor exercise a power, function or duty under the PGPA Act or PGPA Rule. </w:t>
      </w:r>
    </w:p>
    <w:p w:rsidR="007F7E25" w:rsidRPr="00063C9E" w:rsidRDefault="007F7E25" w:rsidP="007F7E25"/>
    <w:p w:rsidR="007F7E25" w:rsidRPr="00063C9E" w:rsidRDefault="007F7E25" w:rsidP="007F7E25">
      <w:pPr>
        <w:rPr>
          <w:lang w:val="en-AU"/>
        </w:rPr>
      </w:pPr>
      <w:r w:rsidRPr="00063C9E">
        <w:t>P</w:t>
      </w:r>
      <w:proofErr w:type="spellStart"/>
      <w:r w:rsidRPr="00063C9E">
        <w:rPr>
          <w:lang w:val="en-AU"/>
        </w:rPr>
        <w:t>aragraph</w:t>
      </w:r>
      <w:proofErr w:type="spellEnd"/>
      <w:r w:rsidRPr="00063C9E">
        <w:rPr>
          <w:lang w:val="en-AU"/>
        </w:rPr>
        <w:t xml:space="preserve"> (c) specifies that </w:t>
      </w:r>
      <w:r>
        <w:rPr>
          <w:lang w:val="en-AU"/>
        </w:rPr>
        <w:t>the</w:t>
      </w:r>
      <w:r w:rsidRPr="00063C9E">
        <w:rPr>
          <w:lang w:val="en-AU"/>
        </w:rPr>
        <w:t xml:space="preserve"> </w:t>
      </w:r>
      <w:proofErr w:type="gramStart"/>
      <w:r w:rsidRPr="00063C9E">
        <w:rPr>
          <w:lang w:val="en-AU"/>
        </w:rPr>
        <w:t>accountable</w:t>
      </w:r>
      <w:proofErr w:type="gramEnd"/>
      <w:r w:rsidRPr="00063C9E">
        <w:rPr>
          <w:lang w:val="en-AU"/>
        </w:rPr>
        <w:t xml:space="preserve"> authority of a NCCE is to prescribe a person as an official by implementing a mechanism that identifies the person </w:t>
      </w:r>
      <w:r w:rsidR="002808D2">
        <w:rPr>
          <w:lang w:val="en-AU"/>
        </w:rPr>
        <w:t xml:space="preserve">by name </w:t>
      </w:r>
      <w:r w:rsidRPr="00063C9E">
        <w:rPr>
          <w:lang w:val="en-AU"/>
        </w:rPr>
        <w:t>as an official of the NCCE.</w:t>
      </w:r>
    </w:p>
    <w:p w:rsidR="007F7E25" w:rsidRPr="00063C9E" w:rsidRDefault="007F7E25" w:rsidP="007F7E25">
      <w:pPr>
        <w:rPr>
          <w:lang w:val="en-AU"/>
        </w:rPr>
      </w:pPr>
    </w:p>
    <w:p w:rsidR="007F7E25" w:rsidRPr="00063C9E" w:rsidRDefault="007F7E25" w:rsidP="007F7E25">
      <w:r w:rsidRPr="00063C9E">
        <w:t xml:space="preserve">Once the </w:t>
      </w:r>
      <w:proofErr w:type="gramStart"/>
      <w:r w:rsidRPr="00063C9E">
        <w:t>accountable</w:t>
      </w:r>
      <w:proofErr w:type="gramEnd"/>
      <w:r w:rsidRPr="00063C9E">
        <w:t xml:space="preserve"> authority of a NCCE has prescribed a person as an official, the accountable authority must delegate the relevant powers, functions or duties under the PGPA</w:t>
      </w:r>
      <w:r>
        <w:t> </w:t>
      </w:r>
      <w:r w:rsidRPr="00063C9E">
        <w:t xml:space="preserve">Act or PGPA Rule to the person. </w:t>
      </w:r>
      <w:r>
        <w:t xml:space="preserve"> </w:t>
      </w:r>
      <w:r w:rsidRPr="00063C9E">
        <w:t xml:space="preserve">This will enable the person to exercise the relevant powers, functions and duties under the PGPA Act or PGPA Rule on behalf of the entity.  </w:t>
      </w:r>
    </w:p>
    <w:p w:rsidR="007F7E25" w:rsidRPr="00063C9E" w:rsidRDefault="007F7E25" w:rsidP="007F7E25"/>
    <w:p w:rsidR="007F7E25" w:rsidRPr="00063C9E" w:rsidRDefault="007F7E25" w:rsidP="007F7E25">
      <w:pPr>
        <w:rPr>
          <w:b/>
        </w:rPr>
      </w:pPr>
      <w:r w:rsidRPr="00063C9E">
        <w:rPr>
          <w:b/>
        </w:rPr>
        <w:t xml:space="preserve">Item 4 – </w:t>
      </w:r>
      <w:r>
        <w:rPr>
          <w:b/>
        </w:rPr>
        <w:t>P</w:t>
      </w:r>
      <w:r w:rsidRPr="00063C9E">
        <w:rPr>
          <w:b/>
        </w:rPr>
        <w:t>aragraph 24(3</w:t>
      </w:r>
      <w:proofErr w:type="gramStart"/>
      <w:r w:rsidRPr="00063C9E">
        <w:rPr>
          <w:b/>
        </w:rPr>
        <w:t>)(</w:t>
      </w:r>
      <w:proofErr w:type="gramEnd"/>
      <w:r w:rsidRPr="00063C9E">
        <w:rPr>
          <w:b/>
        </w:rPr>
        <w:t>a)</w:t>
      </w:r>
    </w:p>
    <w:p w:rsidR="007F7E25" w:rsidRPr="00063C9E" w:rsidRDefault="007F7E25" w:rsidP="007F7E25">
      <w:pPr>
        <w:rPr>
          <w:b/>
        </w:rPr>
      </w:pPr>
    </w:p>
    <w:p w:rsidR="007F7E25" w:rsidRDefault="00CA12F2" w:rsidP="007F7E25">
      <w:r>
        <w:t>This item</w:t>
      </w:r>
      <w:r w:rsidR="007F7E25" w:rsidRPr="00063C9E">
        <w:t xml:space="preserve"> </w:t>
      </w:r>
      <w:r w:rsidR="007F7E25">
        <w:t>amend</w:t>
      </w:r>
      <w:r>
        <w:t>s</w:t>
      </w:r>
      <w:r w:rsidR="007F7E25" w:rsidRPr="00063C9E">
        <w:t xml:space="preserve"> paragraph 24(3</w:t>
      </w:r>
      <w:proofErr w:type="gramStart"/>
      <w:r w:rsidR="007F7E25" w:rsidRPr="00063C9E">
        <w:t>)(</w:t>
      </w:r>
      <w:proofErr w:type="gramEnd"/>
      <w:r w:rsidR="007F7E25" w:rsidRPr="00063C9E">
        <w:t xml:space="preserve">a) </w:t>
      </w:r>
      <w:r w:rsidR="007F7E25">
        <w:t xml:space="preserve">of the PGPA Rule </w:t>
      </w:r>
      <w:r w:rsidR="007F7E25" w:rsidRPr="00063C9E">
        <w:t xml:space="preserve">to specify that the advisory committee must include </w:t>
      </w:r>
      <w:r w:rsidR="002808D2">
        <w:t>“</w:t>
      </w:r>
      <w:r w:rsidR="007F7E25" w:rsidRPr="00063C9E">
        <w:t xml:space="preserve">the Secretary of the Department (Infrastructure Secretary) responsible for administering the </w:t>
      </w:r>
      <w:r w:rsidR="007F7E25" w:rsidRPr="00063C9E">
        <w:rPr>
          <w:i/>
        </w:rPr>
        <w:t>Infrastructure Australia Act</w:t>
      </w:r>
      <w:r w:rsidR="007F7E25">
        <w:rPr>
          <w:i/>
        </w:rPr>
        <w:t> </w:t>
      </w:r>
      <w:r w:rsidR="007F7E25" w:rsidRPr="00063C9E">
        <w:rPr>
          <w:i/>
        </w:rPr>
        <w:t>2008</w:t>
      </w:r>
      <w:r w:rsidR="007F7E25" w:rsidRPr="00063C9E">
        <w:t>.</w:t>
      </w:r>
      <w:r w:rsidR="002808D2">
        <w:t>”</w:t>
      </w:r>
    </w:p>
    <w:p w:rsidR="007F7E25" w:rsidRDefault="007F7E25" w:rsidP="007F7E25"/>
    <w:p w:rsidR="007F7E25" w:rsidRPr="00063C9E" w:rsidRDefault="007F7E25" w:rsidP="007F7E25">
      <w:r>
        <w:t xml:space="preserve">The Finance Minister is required to consider a report of the advisory committee before making an </w:t>
      </w:r>
      <w:proofErr w:type="spellStart"/>
      <w:r>
        <w:t>authorisation</w:t>
      </w:r>
      <w:proofErr w:type="spellEnd"/>
      <w:r>
        <w:t xml:space="preserve"> relating to a waiver, set-off and act of grace</w:t>
      </w:r>
      <w:r w:rsidR="002808D2">
        <w:t xml:space="preserve"> payments</w:t>
      </w:r>
      <w:r>
        <w:t xml:space="preserve">, where it involves an amount greater </w:t>
      </w:r>
      <w:r w:rsidR="00CA12F2">
        <w:t xml:space="preserve">than </w:t>
      </w:r>
      <w:r>
        <w:t>$500 000.</w:t>
      </w:r>
    </w:p>
    <w:p w:rsidR="007F7E25" w:rsidRPr="00063C9E" w:rsidRDefault="007F7E25" w:rsidP="007F7E25">
      <w:pPr>
        <w:rPr>
          <w:b/>
        </w:rPr>
      </w:pPr>
    </w:p>
    <w:p w:rsidR="007F7E25" w:rsidRPr="00063C9E" w:rsidRDefault="007F7E25" w:rsidP="007F7E25">
      <w:pPr>
        <w:rPr>
          <w:b/>
        </w:rPr>
      </w:pPr>
      <w:r w:rsidRPr="00063C9E">
        <w:rPr>
          <w:b/>
        </w:rPr>
        <w:lastRenderedPageBreak/>
        <w:t xml:space="preserve">Item 5 – </w:t>
      </w:r>
      <w:r>
        <w:rPr>
          <w:b/>
        </w:rPr>
        <w:t>S</w:t>
      </w:r>
      <w:r w:rsidRPr="00063C9E">
        <w:rPr>
          <w:b/>
        </w:rPr>
        <w:t>ubparagraph 24(3</w:t>
      </w:r>
      <w:proofErr w:type="gramStart"/>
      <w:r w:rsidRPr="00063C9E">
        <w:rPr>
          <w:b/>
        </w:rPr>
        <w:t>)(</w:t>
      </w:r>
      <w:proofErr w:type="gramEnd"/>
      <w:r w:rsidRPr="00063C9E">
        <w:rPr>
          <w:b/>
        </w:rPr>
        <w:t>c)(ii)</w:t>
      </w:r>
    </w:p>
    <w:p w:rsidR="007F7E25" w:rsidRPr="00063C9E" w:rsidRDefault="007F7E25" w:rsidP="007F7E25"/>
    <w:p w:rsidR="007F7E25" w:rsidRDefault="00CA12F2" w:rsidP="007F7E25">
      <w:r>
        <w:t xml:space="preserve">Item 5 </w:t>
      </w:r>
      <w:r w:rsidR="007F7E25">
        <w:t>omit</w:t>
      </w:r>
      <w:r>
        <w:t>s</w:t>
      </w:r>
      <w:r w:rsidR="007F7E25">
        <w:t xml:space="preserve"> “Australian Customs and Border Protection Service” from subparagraph 24(3</w:t>
      </w:r>
      <w:proofErr w:type="gramStart"/>
      <w:r w:rsidR="007F7E25">
        <w:t>)(</w:t>
      </w:r>
      <w:proofErr w:type="gramEnd"/>
      <w:r w:rsidR="007F7E25">
        <w:t>c)(ii) of the PGPA Rule and substitute</w:t>
      </w:r>
      <w:r>
        <w:t>s</w:t>
      </w:r>
      <w:r w:rsidR="007F7E25">
        <w:t xml:space="preserve"> “Infrastructure Department”.</w:t>
      </w:r>
    </w:p>
    <w:p w:rsidR="007F7E25" w:rsidRDefault="007F7E25" w:rsidP="007F7E25"/>
    <w:p w:rsidR="007F7E25" w:rsidRDefault="007F7E25" w:rsidP="007F7E25">
      <w:r w:rsidRPr="00063C9E">
        <w:t>This item</w:t>
      </w:r>
      <w:r w:rsidR="00CA12F2">
        <w:t xml:space="preserve"> </w:t>
      </w:r>
      <w:r>
        <w:t>provide</w:t>
      </w:r>
      <w:r w:rsidR="00CA12F2">
        <w:t>s</w:t>
      </w:r>
      <w:r>
        <w:t xml:space="preserve"> that the </w:t>
      </w:r>
      <w:proofErr w:type="gramStart"/>
      <w:r>
        <w:t>accountable</w:t>
      </w:r>
      <w:proofErr w:type="gramEnd"/>
      <w:r>
        <w:t xml:space="preserve"> authority of a Commonwealth entity, nominated by the Finance Minister in writing, is to act as a member of the advisory committee where there is no Commonwealth entity responsible for the matter to which the </w:t>
      </w:r>
      <w:proofErr w:type="spellStart"/>
      <w:r>
        <w:t>authorisation</w:t>
      </w:r>
      <w:proofErr w:type="spellEnd"/>
      <w:r>
        <w:t xml:space="preserve"> relates or if the Infrastructure Department is responsible for the matter.</w:t>
      </w:r>
    </w:p>
    <w:p w:rsidR="007F7E25" w:rsidRPr="00063C9E" w:rsidRDefault="007F7E25" w:rsidP="007F7E25">
      <w:pPr>
        <w:rPr>
          <w:b/>
        </w:rPr>
      </w:pPr>
    </w:p>
    <w:p w:rsidR="007F7E25" w:rsidRPr="00063C9E" w:rsidRDefault="007F7E25" w:rsidP="007F7E25">
      <w:pPr>
        <w:rPr>
          <w:b/>
        </w:rPr>
      </w:pPr>
      <w:r w:rsidRPr="00063C9E">
        <w:rPr>
          <w:b/>
        </w:rPr>
        <w:t>Part 2 – Amendments commencing day after registration</w:t>
      </w:r>
    </w:p>
    <w:p w:rsidR="007F7E25" w:rsidRPr="00063C9E" w:rsidRDefault="007F7E25" w:rsidP="007F7E25">
      <w:pPr>
        <w:pStyle w:val="NoSpacing"/>
        <w:rPr>
          <w:b/>
          <w:i/>
          <w:lang w:val="en-AU"/>
        </w:rPr>
      </w:pPr>
    </w:p>
    <w:p w:rsidR="007F7E25" w:rsidRPr="00063C9E" w:rsidRDefault="007F7E25" w:rsidP="007F7E25">
      <w:pPr>
        <w:pStyle w:val="NoSpacing"/>
        <w:rPr>
          <w:b/>
          <w:i/>
          <w:lang w:val="en-AU"/>
        </w:rPr>
      </w:pPr>
      <w:r w:rsidRPr="00063C9E">
        <w:rPr>
          <w:b/>
          <w:i/>
          <w:lang w:val="en-AU"/>
        </w:rPr>
        <w:t>Public Governance, Performance and Accountability (Consequential and Transitional Provisions) Rule 2014</w:t>
      </w:r>
    </w:p>
    <w:p w:rsidR="007F7E25" w:rsidRPr="00063C9E" w:rsidRDefault="007F7E25" w:rsidP="007F7E25">
      <w:pPr>
        <w:pStyle w:val="NoSpacing"/>
        <w:rPr>
          <w:b/>
          <w:i/>
          <w:lang w:val="en-AU"/>
        </w:rPr>
      </w:pPr>
    </w:p>
    <w:p w:rsidR="007F7E25" w:rsidRPr="00063C9E" w:rsidRDefault="007F7E25" w:rsidP="007F7E25">
      <w:pPr>
        <w:rPr>
          <w:b/>
        </w:rPr>
      </w:pPr>
      <w:r w:rsidRPr="00063C9E">
        <w:rPr>
          <w:b/>
        </w:rPr>
        <w:t xml:space="preserve">Item 6 – </w:t>
      </w:r>
      <w:r>
        <w:rPr>
          <w:b/>
        </w:rPr>
        <w:t>S</w:t>
      </w:r>
      <w:r w:rsidRPr="00063C9E">
        <w:rPr>
          <w:b/>
        </w:rPr>
        <w:t>ection 10</w:t>
      </w:r>
    </w:p>
    <w:p w:rsidR="007F7E25" w:rsidRPr="00063C9E" w:rsidRDefault="007F7E25" w:rsidP="007F7E25"/>
    <w:p w:rsidR="007F7E25" w:rsidRPr="00063C9E" w:rsidRDefault="007F7E25" w:rsidP="007F7E25">
      <w:pPr>
        <w:rPr>
          <w:lang w:val="en-AU"/>
        </w:rPr>
      </w:pPr>
      <w:r w:rsidRPr="00063C9E">
        <w:t xml:space="preserve">This </w:t>
      </w:r>
      <w:r w:rsidR="00CA12F2">
        <w:t xml:space="preserve">item </w:t>
      </w:r>
      <w:r w:rsidRPr="00063C9E">
        <w:t>repeal</w:t>
      </w:r>
      <w:r w:rsidR="00CA12F2">
        <w:t>s</w:t>
      </w:r>
      <w:r w:rsidRPr="00063C9E">
        <w:t xml:space="preserve"> section 10 of the </w:t>
      </w:r>
      <w:r w:rsidRPr="00063C9E">
        <w:rPr>
          <w:i/>
        </w:rPr>
        <w:t xml:space="preserve">Public Governance, Performance and Accountability (Consequential and Transitional Provisions) Rule 2014 </w:t>
      </w:r>
      <w:r w:rsidRPr="00063C9E">
        <w:t xml:space="preserve">(CTP Rule).  Section 10 is a transitional provision under the CTP Rule which related to the preparation of annual financial statements ahead of the commencement of the </w:t>
      </w:r>
      <w:r w:rsidRPr="00063C9E">
        <w:rPr>
          <w:i/>
        </w:rPr>
        <w:t>Public Governance and Accountability (Financial Reporting) Rule 2015</w:t>
      </w:r>
      <w:r>
        <w:rPr>
          <w:i/>
        </w:rPr>
        <w:t xml:space="preserve"> </w:t>
      </w:r>
      <w:r>
        <w:t>(FRR)</w:t>
      </w:r>
      <w:r w:rsidRPr="00063C9E">
        <w:rPr>
          <w:lang w:val="en-AU"/>
        </w:rPr>
        <w:t xml:space="preserve">. </w:t>
      </w:r>
      <w:r w:rsidR="00FD59AB">
        <w:rPr>
          <w:lang w:val="en-AU"/>
        </w:rPr>
        <w:t xml:space="preserve"> As the FRR commenced on 12 </w:t>
      </w:r>
      <w:r>
        <w:rPr>
          <w:lang w:val="en-AU"/>
        </w:rPr>
        <w:t>February 2015, and applies to reporting periods commencing on or after 1 July 2014, section 10</w:t>
      </w:r>
      <w:r w:rsidR="00ED0C0C">
        <w:rPr>
          <w:lang w:val="en-AU"/>
        </w:rPr>
        <w:t xml:space="preserve"> of the CTP Rule</w:t>
      </w:r>
      <w:r>
        <w:rPr>
          <w:lang w:val="en-AU"/>
        </w:rPr>
        <w:t xml:space="preserve"> is no longer required.  </w:t>
      </w:r>
    </w:p>
    <w:p w:rsidR="007F7E25" w:rsidRPr="00063C9E" w:rsidRDefault="007F7E25" w:rsidP="007F7E25">
      <w:pPr>
        <w:pStyle w:val="NoSpacing"/>
        <w:rPr>
          <w:lang w:val="en-AU"/>
        </w:rPr>
      </w:pPr>
    </w:p>
    <w:p w:rsidR="007F7E25" w:rsidRPr="00063C9E" w:rsidRDefault="007F7E25" w:rsidP="007F7E25">
      <w:pPr>
        <w:spacing w:after="200" w:line="276" w:lineRule="auto"/>
        <w:rPr>
          <w:lang w:val="en-AU"/>
        </w:rPr>
      </w:pPr>
      <w:r w:rsidRPr="00063C9E">
        <w:rPr>
          <w:b/>
          <w:i/>
          <w:lang w:val="en-AU"/>
        </w:rPr>
        <w:t>Public Governance, Performance and Accountability Rule 2014</w:t>
      </w:r>
    </w:p>
    <w:p w:rsidR="007F7E25" w:rsidRPr="00063C9E" w:rsidRDefault="007F7E25" w:rsidP="007F7E25">
      <w:pPr>
        <w:rPr>
          <w:b/>
          <w:lang w:val="en-AU"/>
        </w:rPr>
      </w:pPr>
      <w:r w:rsidRPr="00063C9E">
        <w:rPr>
          <w:b/>
          <w:lang w:val="en-AU"/>
        </w:rPr>
        <w:t xml:space="preserve">Item 7 – </w:t>
      </w:r>
      <w:r>
        <w:rPr>
          <w:b/>
          <w:lang w:val="en-AU"/>
        </w:rPr>
        <w:t>S</w:t>
      </w:r>
      <w:r w:rsidRPr="00063C9E">
        <w:rPr>
          <w:b/>
          <w:lang w:val="en-AU"/>
        </w:rPr>
        <w:t xml:space="preserve">ubsection 9(1) </w:t>
      </w:r>
      <w:r>
        <w:rPr>
          <w:b/>
          <w:lang w:val="en-AU"/>
        </w:rPr>
        <w:t>(table item 3)</w:t>
      </w:r>
    </w:p>
    <w:p w:rsidR="007F7E25" w:rsidRPr="00063C9E" w:rsidRDefault="007F7E25" w:rsidP="007F7E25">
      <w:pPr>
        <w:rPr>
          <w:b/>
          <w:lang w:val="en-AU"/>
        </w:rPr>
      </w:pPr>
    </w:p>
    <w:p w:rsidR="007F7E25" w:rsidRDefault="007F7E25" w:rsidP="007F7E25">
      <w:pPr>
        <w:pStyle w:val="NoSpacing"/>
      </w:pPr>
      <w:r w:rsidRPr="00063C9E">
        <w:t xml:space="preserve">This </w:t>
      </w:r>
      <w:r w:rsidR="00CA12F2">
        <w:t xml:space="preserve">item </w:t>
      </w:r>
      <w:r>
        <w:t>repeal</w:t>
      </w:r>
      <w:r w:rsidR="00CA12F2">
        <w:t>s</w:t>
      </w:r>
      <w:r>
        <w:t xml:space="preserve"> table</w:t>
      </w:r>
      <w:r w:rsidRPr="00063C9E">
        <w:t xml:space="preserve"> item 3</w:t>
      </w:r>
      <w:r>
        <w:t xml:space="preserve"> in subsection 9(1) of the PGPA Rule and substitute</w:t>
      </w:r>
      <w:r w:rsidR="00C17786">
        <w:t>s</w:t>
      </w:r>
      <w:r>
        <w:t xml:space="preserve"> a new table item 3 that no longer prescribes </w:t>
      </w:r>
      <w:r w:rsidRPr="00063C9E">
        <w:t xml:space="preserve">an officer, instructor or cadet in the Australian Air Force Cadets, the Australian Army Cadets, or the Australian Navy Cadets, as an official of the Department of </w:t>
      </w:r>
      <w:proofErr w:type="spellStart"/>
      <w:r w:rsidRPr="00063C9E">
        <w:t>Defence</w:t>
      </w:r>
      <w:proofErr w:type="spellEnd"/>
      <w:r>
        <w:t xml:space="preserve"> (</w:t>
      </w:r>
      <w:proofErr w:type="spellStart"/>
      <w:r>
        <w:t>Defence</w:t>
      </w:r>
      <w:proofErr w:type="spellEnd"/>
      <w:r>
        <w:t>)</w:t>
      </w:r>
      <w:r w:rsidRPr="00063C9E">
        <w:t>.</w:t>
      </w:r>
      <w:r>
        <w:t xml:space="preserve">  </w:t>
      </w:r>
    </w:p>
    <w:p w:rsidR="007F7E25" w:rsidRDefault="007F7E25" w:rsidP="007F7E25">
      <w:pPr>
        <w:pStyle w:val="NoSpacing"/>
      </w:pPr>
    </w:p>
    <w:p w:rsidR="007F7E25" w:rsidRPr="00063C9E" w:rsidRDefault="007F7E25" w:rsidP="007F7E25">
      <w:pPr>
        <w:pStyle w:val="NoSpacing"/>
      </w:pPr>
      <w:r>
        <w:t xml:space="preserve">Table item 3 will continue to prescribe a member of the Australian </w:t>
      </w:r>
      <w:proofErr w:type="spellStart"/>
      <w:r>
        <w:t>Defence</w:t>
      </w:r>
      <w:proofErr w:type="spellEnd"/>
      <w:r>
        <w:t xml:space="preserve"> Force as an official of </w:t>
      </w:r>
      <w:proofErr w:type="spellStart"/>
      <w:r>
        <w:t>Defence</w:t>
      </w:r>
      <w:proofErr w:type="spellEnd"/>
      <w:r>
        <w:t xml:space="preserve">, unless the member’s services are made available to the Chief Executive Officer of the </w:t>
      </w:r>
      <w:proofErr w:type="spellStart"/>
      <w:r>
        <w:t>Defence</w:t>
      </w:r>
      <w:proofErr w:type="spellEnd"/>
      <w:r>
        <w:t xml:space="preserve"> Materiel </w:t>
      </w:r>
      <w:proofErr w:type="spellStart"/>
      <w:r>
        <w:t>Organisation</w:t>
      </w:r>
      <w:proofErr w:type="spellEnd"/>
      <w:r>
        <w:t xml:space="preserve">. </w:t>
      </w:r>
    </w:p>
    <w:p w:rsidR="007F7E25" w:rsidRPr="00063C9E" w:rsidRDefault="007F7E25" w:rsidP="007F7E25">
      <w:pPr>
        <w:pStyle w:val="NoSpacing"/>
        <w:rPr>
          <w:b/>
          <w:i/>
        </w:rPr>
      </w:pPr>
    </w:p>
    <w:p w:rsidR="007F7E25" w:rsidRPr="00063C9E" w:rsidRDefault="007F7E25" w:rsidP="007F7E25">
      <w:pPr>
        <w:rPr>
          <w:b/>
          <w:lang w:val="en-AU"/>
        </w:rPr>
      </w:pPr>
      <w:r w:rsidRPr="00063C9E">
        <w:rPr>
          <w:b/>
          <w:lang w:val="en-AU"/>
        </w:rPr>
        <w:t xml:space="preserve">Item 8 – </w:t>
      </w:r>
      <w:r>
        <w:rPr>
          <w:b/>
          <w:lang w:val="en-AU"/>
        </w:rPr>
        <w:t>S</w:t>
      </w:r>
      <w:r w:rsidRPr="00063C9E">
        <w:rPr>
          <w:b/>
          <w:lang w:val="en-AU"/>
        </w:rPr>
        <w:t xml:space="preserve">ubsection 9(2) </w:t>
      </w:r>
      <w:r>
        <w:rPr>
          <w:b/>
          <w:lang w:val="en-AU"/>
        </w:rPr>
        <w:t>(at the end of the table)</w:t>
      </w:r>
    </w:p>
    <w:p w:rsidR="007F7E25" w:rsidRPr="00063C9E" w:rsidRDefault="007F7E25" w:rsidP="007F7E25">
      <w:pPr>
        <w:rPr>
          <w:b/>
          <w:lang w:val="en-AU"/>
        </w:rPr>
      </w:pPr>
    </w:p>
    <w:p w:rsidR="007F7E25" w:rsidRPr="00063C9E" w:rsidRDefault="007F7E25" w:rsidP="007F7E25">
      <w:pPr>
        <w:pStyle w:val="NoSpacing"/>
      </w:pPr>
      <w:r w:rsidRPr="00063C9E">
        <w:t xml:space="preserve">This </w:t>
      </w:r>
      <w:r w:rsidR="00CA12F2">
        <w:t xml:space="preserve">item </w:t>
      </w:r>
      <w:r>
        <w:t>insert</w:t>
      </w:r>
      <w:r w:rsidR="00CA12F2">
        <w:t>s</w:t>
      </w:r>
      <w:r>
        <w:t xml:space="preserve"> a new table</w:t>
      </w:r>
      <w:r w:rsidRPr="00063C9E">
        <w:t xml:space="preserve"> item 2 which specifies that an officer, instructor or cadet in the Australian Air Force Cadets, the Australian Army Cadets, or the Australian Navy Cadets, is not an official of </w:t>
      </w:r>
      <w:proofErr w:type="spellStart"/>
      <w:r w:rsidRPr="00063C9E">
        <w:t>Defence</w:t>
      </w:r>
      <w:proofErr w:type="spellEnd"/>
      <w:r w:rsidRPr="00063C9E">
        <w:t xml:space="preserve">. </w:t>
      </w:r>
    </w:p>
    <w:p w:rsidR="007F7E25" w:rsidRPr="00063C9E" w:rsidRDefault="007F7E25" w:rsidP="007F7E25">
      <w:pPr>
        <w:pStyle w:val="NoSpacing"/>
        <w:rPr>
          <w:b/>
          <w:i/>
        </w:rPr>
      </w:pPr>
    </w:p>
    <w:p w:rsidR="007F7E25" w:rsidRPr="00063C9E" w:rsidRDefault="007F7E25" w:rsidP="007F7E25">
      <w:pPr>
        <w:rPr>
          <w:b/>
          <w:lang w:val="en-AU"/>
        </w:rPr>
      </w:pPr>
      <w:r w:rsidRPr="00063C9E">
        <w:rPr>
          <w:b/>
          <w:lang w:val="en-AU"/>
        </w:rPr>
        <w:t xml:space="preserve">Item 9 – </w:t>
      </w:r>
      <w:r>
        <w:rPr>
          <w:b/>
          <w:lang w:val="en-AU"/>
        </w:rPr>
        <w:t>A</w:t>
      </w:r>
      <w:r w:rsidRPr="00063C9E">
        <w:rPr>
          <w:b/>
          <w:lang w:val="en-AU"/>
        </w:rPr>
        <w:t>fter subsection 17(4)</w:t>
      </w:r>
    </w:p>
    <w:p w:rsidR="007F7E25" w:rsidRPr="00063C9E" w:rsidRDefault="007F7E25" w:rsidP="007F7E25">
      <w:pPr>
        <w:rPr>
          <w:b/>
          <w:lang w:val="en-AU"/>
        </w:rPr>
      </w:pPr>
    </w:p>
    <w:p w:rsidR="007F7E25" w:rsidRPr="00063C9E" w:rsidRDefault="007F7E25" w:rsidP="007F7E25">
      <w:pPr>
        <w:rPr>
          <w:lang w:val="en-AU"/>
        </w:rPr>
      </w:pPr>
      <w:r w:rsidRPr="00063C9E">
        <w:t xml:space="preserve">This item inserts a new subsection 17(4A) to </w:t>
      </w:r>
      <w:r w:rsidRPr="00063C9E">
        <w:rPr>
          <w:lang w:val="en-AU"/>
        </w:rPr>
        <w:t>clarify that a person employed or engaged primarily for the purpose of being a member of the audit committee is to be treated, for the purpose of subsection 17(4), as not being an official or employee of the entity.</w:t>
      </w:r>
    </w:p>
    <w:p w:rsidR="007F7E25" w:rsidRPr="00063C9E" w:rsidRDefault="007F7E25" w:rsidP="007F7E25">
      <w:pPr>
        <w:rPr>
          <w:highlight w:val="yellow"/>
          <w:lang w:val="en-AU"/>
        </w:rPr>
      </w:pPr>
    </w:p>
    <w:p w:rsidR="007F7E25" w:rsidRPr="00063C9E" w:rsidRDefault="007F7E25" w:rsidP="007F7E25">
      <w:pPr>
        <w:rPr>
          <w:b/>
          <w:lang w:val="en-AU"/>
        </w:rPr>
      </w:pPr>
      <w:r w:rsidRPr="00063C9E">
        <w:rPr>
          <w:b/>
          <w:lang w:val="en-AU"/>
        </w:rPr>
        <w:lastRenderedPageBreak/>
        <w:t xml:space="preserve">Item 10 – </w:t>
      </w:r>
      <w:r>
        <w:rPr>
          <w:b/>
          <w:lang w:val="en-AU"/>
        </w:rPr>
        <w:t>Subsection</w:t>
      </w:r>
      <w:r w:rsidRPr="00063C9E">
        <w:rPr>
          <w:b/>
          <w:lang w:val="en-AU"/>
        </w:rPr>
        <w:t xml:space="preserve"> 17(5)</w:t>
      </w:r>
    </w:p>
    <w:p w:rsidR="007F7E25" w:rsidRPr="00063C9E" w:rsidRDefault="007F7E25" w:rsidP="007F7E25"/>
    <w:p w:rsidR="002767A4" w:rsidRPr="002767A4" w:rsidRDefault="007F7E25" w:rsidP="002767A4">
      <w:pPr>
        <w:rPr>
          <w:lang w:val="en-AU"/>
        </w:rPr>
        <w:sectPr w:rsidR="002767A4" w:rsidRPr="002767A4" w:rsidSect="002767A4">
          <w:pgSz w:w="11906" w:h="16838" w:code="9"/>
          <w:pgMar w:top="1440" w:right="1440" w:bottom="1440" w:left="1440" w:header="709" w:footer="709" w:gutter="0"/>
          <w:pgNumType w:start="1"/>
          <w:cols w:space="708"/>
          <w:titlePg/>
          <w:docGrid w:linePitch="360"/>
        </w:sectPr>
      </w:pPr>
      <w:r w:rsidRPr="00063C9E">
        <w:rPr>
          <w:lang w:val="en-AU"/>
        </w:rPr>
        <w:t xml:space="preserve">This item </w:t>
      </w:r>
      <w:r>
        <w:rPr>
          <w:lang w:val="en-AU"/>
        </w:rPr>
        <w:t>make</w:t>
      </w:r>
      <w:r w:rsidR="00CA12F2">
        <w:rPr>
          <w:lang w:val="en-AU"/>
        </w:rPr>
        <w:t>s</w:t>
      </w:r>
      <w:r w:rsidRPr="00063C9E">
        <w:rPr>
          <w:lang w:val="en-AU"/>
        </w:rPr>
        <w:t xml:space="preserve"> a technical amendment to accommod</w:t>
      </w:r>
      <w:r w:rsidR="002767A4">
        <w:rPr>
          <w:lang w:val="en-AU"/>
        </w:rPr>
        <w:t>ate the new subsection 17(4A).</w:t>
      </w:r>
    </w:p>
    <w:p w:rsidR="007F7E25" w:rsidRPr="00063C9E" w:rsidRDefault="007F7E25" w:rsidP="007F7E25">
      <w:pPr>
        <w:pStyle w:val="NoSpacing"/>
        <w:jc w:val="right"/>
        <w:rPr>
          <w:b/>
          <w:u w:val="single"/>
        </w:rPr>
      </w:pPr>
      <w:r w:rsidRPr="00063C9E">
        <w:rPr>
          <w:b/>
          <w:u w:val="single"/>
        </w:rPr>
        <w:lastRenderedPageBreak/>
        <w:t>Attachment B</w:t>
      </w:r>
    </w:p>
    <w:p w:rsidR="007F7E25" w:rsidRPr="00063C9E" w:rsidRDefault="007F7E25" w:rsidP="007F7E25">
      <w:pPr>
        <w:pStyle w:val="NoSpacing"/>
      </w:pPr>
    </w:p>
    <w:p w:rsidR="007F7E25" w:rsidRPr="00063C9E" w:rsidRDefault="007F7E25" w:rsidP="007F7E25">
      <w:pPr>
        <w:pStyle w:val="NoSpacing"/>
        <w:jc w:val="center"/>
        <w:rPr>
          <w:b/>
        </w:rPr>
      </w:pPr>
      <w:r w:rsidRPr="00063C9E">
        <w:rPr>
          <w:b/>
        </w:rPr>
        <w:t>Statement of Compatibility with Human Rights</w:t>
      </w:r>
    </w:p>
    <w:p w:rsidR="007F7E25" w:rsidRPr="00063C9E" w:rsidRDefault="007F7E25" w:rsidP="007F7E25">
      <w:pPr>
        <w:pStyle w:val="NoSpacing"/>
      </w:pPr>
    </w:p>
    <w:p w:rsidR="007F7E25" w:rsidRPr="00063C9E" w:rsidRDefault="007F7E25" w:rsidP="007F7E25">
      <w:pPr>
        <w:pStyle w:val="NoSpacing"/>
        <w:jc w:val="center"/>
        <w:rPr>
          <w:i/>
        </w:rPr>
      </w:pPr>
      <w:r w:rsidRPr="00063C9E">
        <w:t xml:space="preserve">Prepared in accordance with Part 3 of the </w:t>
      </w:r>
      <w:r w:rsidRPr="00063C9E">
        <w:rPr>
          <w:i/>
        </w:rPr>
        <w:t>Human Rights (Parliamentary Scrutiny) Act 2011</w:t>
      </w:r>
    </w:p>
    <w:p w:rsidR="007F7E25" w:rsidRPr="00063C9E" w:rsidRDefault="007F7E25" w:rsidP="007F7E25">
      <w:pPr>
        <w:spacing w:before="200"/>
        <w:rPr>
          <w:b/>
        </w:rPr>
      </w:pPr>
      <w:r w:rsidRPr="00063C9E">
        <w:t xml:space="preserve">The </w:t>
      </w:r>
      <w:r w:rsidR="00ED0C0C" w:rsidRPr="00063C9E">
        <w:rPr>
          <w:i/>
        </w:rPr>
        <w:t xml:space="preserve">Public Governance, Performance and Accountability Legislation Amendment </w:t>
      </w:r>
      <w:r w:rsidR="00ED0C0C">
        <w:rPr>
          <w:i/>
        </w:rPr>
        <w:t xml:space="preserve">(Officials and Other Measures) </w:t>
      </w:r>
      <w:r w:rsidR="00ED0C0C" w:rsidRPr="00063C9E">
        <w:rPr>
          <w:i/>
        </w:rPr>
        <w:t>Rule 2015</w:t>
      </w:r>
      <w:r w:rsidR="00ED0C0C">
        <w:rPr>
          <w:i/>
        </w:rPr>
        <w:t xml:space="preserve"> </w:t>
      </w:r>
      <w:r w:rsidR="00ED0C0C">
        <w:t xml:space="preserve"> (Officials and Other Measures</w:t>
      </w:r>
      <w:r w:rsidRPr="00063C9E">
        <w:t xml:space="preserve"> Rule) is compatible with the human rights and freedoms </w:t>
      </w:r>
      <w:proofErr w:type="spellStart"/>
      <w:r w:rsidRPr="00063C9E">
        <w:t>recognised</w:t>
      </w:r>
      <w:proofErr w:type="spellEnd"/>
      <w:r w:rsidRPr="00063C9E">
        <w:t xml:space="preserve"> or declared in the international instruments listed in section 3 of the </w:t>
      </w:r>
      <w:r w:rsidRPr="00063C9E">
        <w:rPr>
          <w:i/>
        </w:rPr>
        <w:t>Human Rights (Parliamentary Scrutiny) Act 2011.</w:t>
      </w:r>
    </w:p>
    <w:p w:rsidR="007F7E25" w:rsidRPr="00063C9E" w:rsidRDefault="007F7E25" w:rsidP="007F7E25">
      <w:pPr>
        <w:spacing w:before="200"/>
        <w:rPr>
          <w:b/>
        </w:rPr>
      </w:pPr>
      <w:r w:rsidRPr="00063C9E">
        <w:rPr>
          <w:b/>
        </w:rPr>
        <w:t>Overview of the legislative instrument</w:t>
      </w:r>
    </w:p>
    <w:p w:rsidR="007F7E25" w:rsidRPr="00063C9E" w:rsidRDefault="007F7E25" w:rsidP="007F7E25">
      <w:pPr>
        <w:rPr>
          <w:lang w:val="en-AU"/>
        </w:rPr>
      </w:pPr>
      <w:r w:rsidRPr="00063C9E">
        <w:rPr>
          <w:lang w:val="en-AU"/>
        </w:rPr>
        <w:t xml:space="preserve">The </w:t>
      </w:r>
      <w:r w:rsidRPr="00063C9E">
        <w:rPr>
          <w:i/>
          <w:lang w:val="en-AU"/>
        </w:rPr>
        <w:t>Public Governance, Performance and Accountability Act 2013</w:t>
      </w:r>
      <w:r w:rsidRPr="00063C9E">
        <w:rPr>
          <w:lang w:val="en-AU"/>
        </w:rPr>
        <w:t xml:space="preserve"> (PGPA Act) establishes a framework for regulating resource management by the Commonwealth and relevant entities. </w:t>
      </w:r>
      <w:r w:rsidRPr="00063C9E">
        <w:t>Section 101 of the PGPA Act provides that the Finance Minister may make rules by legislative instrument to prescribe matters giving effect to the Act.</w:t>
      </w:r>
    </w:p>
    <w:p w:rsidR="007F7E25" w:rsidRPr="00063C9E" w:rsidRDefault="007F7E25" w:rsidP="007F7E25">
      <w:pPr>
        <w:rPr>
          <w:lang w:val="en-AU"/>
        </w:rPr>
      </w:pPr>
    </w:p>
    <w:p w:rsidR="002808D2" w:rsidRPr="00063C9E" w:rsidRDefault="002808D2" w:rsidP="002808D2">
      <w:pPr>
        <w:tabs>
          <w:tab w:val="left" w:pos="567"/>
          <w:tab w:val="left" w:pos="1276"/>
        </w:tabs>
      </w:pPr>
      <w:proofErr w:type="gramStart"/>
      <w:r>
        <w:t>T</w:t>
      </w:r>
      <w:r w:rsidRPr="00063C9E">
        <w:t xml:space="preserve">he </w:t>
      </w:r>
      <w:r>
        <w:rPr>
          <w:i/>
        </w:rPr>
        <w:t xml:space="preserve">Public Governance, Performance and Accountability (Consequential and Transitional Provisions) Act 2014 </w:t>
      </w:r>
      <w:r>
        <w:t>deals with consequential and transitional matters in connection with the PGPA Act.</w:t>
      </w:r>
      <w:proofErr w:type="gramEnd"/>
      <w:r>
        <w:t xml:space="preserve"> </w:t>
      </w:r>
      <w:r w:rsidRPr="00063C9E">
        <w:t xml:space="preserve">Item 6 of Schedule 14 of </w:t>
      </w:r>
      <w:r>
        <w:t xml:space="preserve">the </w:t>
      </w:r>
      <w:r w:rsidRPr="00063C9E">
        <w:t xml:space="preserve">CTP Act provides that the Finance Minister may, by legislative instrument, make rules prescribing matters required or permitted by the CTP Act and the PGPA Act.  </w:t>
      </w:r>
    </w:p>
    <w:p w:rsidR="002808D2" w:rsidRPr="00063C9E" w:rsidRDefault="002808D2" w:rsidP="002808D2">
      <w:pPr>
        <w:autoSpaceDE w:val="0"/>
        <w:autoSpaceDN w:val="0"/>
      </w:pPr>
    </w:p>
    <w:p w:rsidR="007F7E25" w:rsidRPr="00063C9E" w:rsidRDefault="007F7E25" w:rsidP="007F7E25">
      <w:pPr>
        <w:spacing w:after="120"/>
      </w:pPr>
      <w:r w:rsidRPr="00063C9E">
        <w:t xml:space="preserve">The </w:t>
      </w:r>
      <w:r w:rsidR="00ED0C0C">
        <w:t>Officials and Other Measures Rule</w:t>
      </w:r>
      <w:r w:rsidRPr="00063C9E">
        <w:t xml:space="preserve"> </w:t>
      </w:r>
      <w:r>
        <w:t>would</w:t>
      </w:r>
      <w:r w:rsidRPr="00063C9E">
        <w:t xml:space="preserve"> amend </w:t>
      </w:r>
      <w:r>
        <w:t>the Rule instruments</w:t>
      </w:r>
      <w:r w:rsidRPr="00063C9E">
        <w:t xml:space="preserve"> made under the PGPA Act</w:t>
      </w:r>
      <w:r>
        <w:t xml:space="preserve"> and the </w:t>
      </w:r>
      <w:r>
        <w:rPr>
          <w:i/>
        </w:rPr>
        <w:t xml:space="preserve">Public Governance, Performance and Accountability (Consequential and Transitional Provisions) Act 2014 </w:t>
      </w:r>
      <w:r>
        <w:t>(CTP Act)</w:t>
      </w:r>
      <w:r w:rsidRPr="00063C9E">
        <w:t>,</w:t>
      </w:r>
      <w:r w:rsidR="002808D2">
        <w:t xml:space="preserve"> namely,</w:t>
      </w:r>
      <w:r>
        <w:t xml:space="preserve"> the </w:t>
      </w:r>
      <w:r>
        <w:rPr>
          <w:i/>
        </w:rPr>
        <w:t xml:space="preserve">Public Governance, Performance and Accountability Rule 2014 </w:t>
      </w:r>
      <w:r>
        <w:t xml:space="preserve">(PGPA Rule) and the </w:t>
      </w:r>
      <w:r>
        <w:rPr>
          <w:i/>
        </w:rPr>
        <w:t xml:space="preserve">Public Governance, Performance and Accountability (Consequential and Transitional Provisions) Rule 2014 </w:t>
      </w:r>
      <w:r w:rsidR="00ED0C0C">
        <w:t>(CTP Rule).  The Officials and Other Measures</w:t>
      </w:r>
      <w:r>
        <w:t xml:space="preserve"> Rule would make amendments relating to</w:t>
      </w:r>
      <w:r w:rsidRPr="00063C9E">
        <w:t>:</w:t>
      </w:r>
    </w:p>
    <w:p w:rsidR="007F7E25" w:rsidRDefault="007F7E25" w:rsidP="007F7E25">
      <w:pPr>
        <w:pStyle w:val="ListParagraph"/>
        <w:numPr>
          <w:ilvl w:val="0"/>
          <w:numId w:val="5"/>
        </w:numPr>
      </w:pPr>
      <w:r>
        <w:t>the</w:t>
      </w:r>
      <w:r w:rsidRPr="00063C9E">
        <w:t xml:space="preserve"> prescription </w:t>
      </w:r>
      <w:r>
        <w:t xml:space="preserve">of </w:t>
      </w:r>
      <w:r w:rsidRPr="00063C9E">
        <w:t>officials</w:t>
      </w:r>
      <w:r>
        <w:t>;</w:t>
      </w:r>
      <w:r w:rsidRPr="00063C9E">
        <w:t xml:space="preserve"> </w:t>
      </w:r>
    </w:p>
    <w:p w:rsidR="007F7E25" w:rsidRDefault="007F7E25" w:rsidP="007F7E25">
      <w:pPr>
        <w:pStyle w:val="ListParagraph"/>
        <w:numPr>
          <w:ilvl w:val="0"/>
          <w:numId w:val="5"/>
        </w:numPr>
      </w:pPr>
      <w:r>
        <w:t xml:space="preserve">the treatment of the Australian </w:t>
      </w:r>
      <w:proofErr w:type="spellStart"/>
      <w:r>
        <w:t>Defence</w:t>
      </w:r>
      <w:proofErr w:type="spellEnd"/>
      <w:r>
        <w:t xml:space="preserve"> Force Cadets for the purposes of the finance law;</w:t>
      </w:r>
    </w:p>
    <w:p w:rsidR="007F7E25" w:rsidRDefault="007F7E25" w:rsidP="007F7E25">
      <w:pPr>
        <w:pStyle w:val="ListParagraph"/>
        <w:numPr>
          <w:ilvl w:val="0"/>
          <w:numId w:val="5"/>
        </w:numPr>
      </w:pPr>
      <w:r>
        <w:t xml:space="preserve">the membership of the </w:t>
      </w:r>
      <w:r w:rsidRPr="00063C9E">
        <w:t>advisory committee</w:t>
      </w:r>
      <w:r>
        <w:t xml:space="preserve"> on </w:t>
      </w:r>
      <w:proofErr w:type="spellStart"/>
      <w:r>
        <w:t>authorisations</w:t>
      </w:r>
      <w:proofErr w:type="spellEnd"/>
      <w:r>
        <w:t xml:space="preserve"> and payments by the Finance Minister;</w:t>
      </w:r>
    </w:p>
    <w:p w:rsidR="007F7E25" w:rsidRDefault="00D44716" w:rsidP="007F7E25">
      <w:pPr>
        <w:pStyle w:val="ListParagraph"/>
        <w:numPr>
          <w:ilvl w:val="0"/>
          <w:numId w:val="5"/>
        </w:numPr>
      </w:pPr>
      <w:r>
        <w:t>transitional</w:t>
      </w:r>
      <w:r w:rsidR="002808D2">
        <w:t xml:space="preserve"> </w:t>
      </w:r>
      <w:r w:rsidR="007F7E25" w:rsidRPr="00063C9E">
        <w:t>financial reporting</w:t>
      </w:r>
      <w:r w:rsidR="002808D2">
        <w:t xml:space="preserve"> arrangements</w:t>
      </w:r>
      <w:r w:rsidR="007F7E25">
        <w:t>; and</w:t>
      </w:r>
    </w:p>
    <w:p w:rsidR="007F7E25" w:rsidRDefault="007F7E25" w:rsidP="007F7E25">
      <w:pPr>
        <w:pStyle w:val="ListParagraph"/>
        <w:numPr>
          <w:ilvl w:val="0"/>
          <w:numId w:val="5"/>
        </w:numPr>
      </w:pPr>
      <w:proofErr w:type="gramStart"/>
      <w:r w:rsidRPr="00063C9E">
        <w:t>audit</w:t>
      </w:r>
      <w:proofErr w:type="gramEnd"/>
      <w:r w:rsidRPr="00063C9E">
        <w:t xml:space="preserve"> committee</w:t>
      </w:r>
      <w:r>
        <w:t xml:space="preserve"> membership.</w:t>
      </w:r>
    </w:p>
    <w:p w:rsidR="007F7E25" w:rsidRPr="00063C9E" w:rsidRDefault="007F7E25" w:rsidP="007F7E25"/>
    <w:p w:rsidR="007F7E25" w:rsidRPr="00063C9E" w:rsidRDefault="007F7E25" w:rsidP="007F7E25">
      <w:pPr>
        <w:rPr>
          <w:b/>
        </w:rPr>
      </w:pPr>
      <w:r w:rsidRPr="00063C9E">
        <w:rPr>
          <w:b/>
        </w:rPr>
        <w:t>Human rights implications</w:t>
      </w:r>
    </w:p>
    <w:p w:rsidR="007F7E25" w:rsidRPr="00063C9E" w:rsidRDefault="007F7E25" w:rsidP="007F7E25">
      <w:r w:rsidRPr="00063C9E">
        <w:t>The legislative instrument does not engage any of the applicable rights or freedoms.</w:t>
      </w:r>
    </w:p>
    <w:p w:rsidR="007F7E25" w:rsidRPr="00063C9E" w:rsidRDefault="007F7E25" w:rsidP="007F7E25">
      <w:pPr>
        <w:rPr>
          <w:b/>
        </w:rPr>
      </w:pPr>
    </w:p>
    <w:p w:rsidR="007F7E25" w:rsidRPr="00063C9E" w:rsidRDefault="007F7E25" w:rsidP="007F7E25">
      <w:pPr>
        <w:rPr>
          <w:b/>
        </w:rPr>
      </w:pPr>
      <w:r w:rsidRPr="00063C9E">
        <w:rPr>
          <w:b/>
        </w:rPr>
        <w:t>Conclusion</w:t>
      </w:r>
    </w:p>
    <w:p w:rsidR="007F7E25" w:rsidRPr="00063C9E" w:rsidRDefault="007F7E25" w:rsidP="007F7E25">
      <w:r w:rsidRPr="00063C9E">
        <w:t>The legislative instrument is compatible with human rights as it does not raise any human rights issues.</w:t>
      </w:r>
    </w:p>
    <w:p w:rsidR="007F7E25" w:rsidRPr="00063C9E" w:rsidRDefault="007F7E25" w:rsidP="007F7E25"/>
    <w:p w:rsidR="007F7E25" w:rsidRPr="00063C9E" w:rsidRDefault="007F7E25" w:rsidP="007F7E25">
      <w:pPr>
        <w:pStyle w:val="paranumbering0"/>
        <w:spacing w:before="0" w:beforeAutospacing="0" w:after="0" w:afterAutospacing="0"/>
        <w:jc w:val="center"/>
        <w:rPr>
          <w:b/>
        </w:rPr>
      </w:pPr>
    </w:p>
    <w:p w:rsidR="007F7E25" w:rsidRPr="00063C9E" w:rsidRDefault="007F7E25" w:rsidP="007F7E25">
      <w:pPr>
        <w:pStyle w:val="paranumbering0"/>
        <w:spacing w:before="0" w:beforeAutospacing="0" w:after="0" w:afterAutospacing="0"/>
        <w:jc w:val="center"/>
        <w:rPr>
          <w:b/>
        </w:rPr>
      </w:pPr>
    </w:p>
    <w:p w:rsidR="007F7E25" w:rsidRPr="00063C9E" w:rsidRDefault="007F7E25" w:rsidP="007F7E25">
      <w:pPr>
        <w:pStyle w:val="paranumbering0"/>
        <w:spacing w:before="0" w:beforeAutospacing="0" w:after="0" w:afterAutospacing="0"/>
        <w:jc w:val="center"/>
        <w:rPr>
          <w:b/>
        </w:rPr>
      </w:pPr>
    </w:p>
    <w:p w:rsidR="007F7E25" w:rsidRPr="00063C9E" w:rsidRDefault="007F7E25" w:rsidP="007F7E25">
      <w:pPr>
        <w:pStyle w:val="paranumbering0"/>
        <w:spacing w:before="0" w:beforeAutospacing="0" w:after="0" w:afterAutospacing="0"/>
        <w:jc w:val="center"/>
        <w:rPr>
          <w:b/>
        </w:rPr>
      </w:pPr>
      <w:r w:rsidRPr="00063C9E">
        <w:rPr>
          <w:b/>
        </w:rPr>
        <w:t xml:space="preserve">Senator the Hon Mathias </w:t>
      </w:r>
      <w:proofErr w:type="spellStart"/>
      <w:r w:rsidRPr="00063C9E">
        <w:rPr>
          <w:b/>
        </w:rPr>
        <w:t>Cormann</w:t>
      </w:r>
      <w:proofErr w:type="spellEnd"/>
    </w:p>
    <w:p w:rsidR="00997607" w:rsidRPr="002808D2" w:rsidRDefault="007F7E25" w:rsidP="002808D2">
      <w:pPr>
        <w:pStyle w:val="paranumbering0"/>
        <w:spacing w:before="0" w:beforeAutospacing="0" w:after="0" w:afterAutospacing="0"/>
        <w:jc w:val="center"/>
        <w:rPr>
          <w:b/>
        </w:rPr>
      </w:pPr>
      <w:r w:rsidRPr="00063C9E">
        <w:rPr>
          <w:b/>
        </w:rPr>
        <w:t>Minister for Finance</w:t>
      </w:r>
    </w:p>
    <w:sectPr w:rsidR="00997607" w:rsidRPr="002808D2" w:rsidSect="002767A4">
      <w:pgSz w:w="11906" w:h="16838" w:code="9"/>
      <w:pgMar w:top="1440" w:right="1440" w:bottom="1440" w:left="1440"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0B06" w:rsidRDefault="00520B06" w:rsidP="00063C9E">
      <w:r>
        <w:separator/>
      </w:r>
    </w:p>
  </w:endnote>
  <w:endnote w:type="continuationSeparator" w:id="0">
    <w:p w:rsidR="00520B06" w:rsidRDefault="00520B06" w:rsidP="00063C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C0C" w:rsidRDefault="00ED0C0C">
    <w:pPr>
      <w:pStyle w:val="Footer"/>
      <w:jc w:val="center"/>
    </w:pPr>
  </w:p>
  <w:p w:rsidR="00ED0C0C" w:rsidRDefault="00ED0C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0B06" w:rsidRDefault="00520B06" w:rsidP="00063C9E">
      <w:r>
        <w:separator/>
      </w:r>
    </w:p>
  </w:footnote>
  <w:footnote w:type="continuationSeparator" w:id="0">
    <w:p w:rsidR="00520B06" w:rsidRDefault="00520B06" w:rsidP="00063C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C0C" w:rsidRDefault="003D5472" w:rsidP="0004505E">
    <w:pPr>
      <w:pStyle w:val="Header"/>
      <w:tabs>
        <w:tab w:val="left" w:pos="4977"/>
      </w:tabs>
    </w:pPr>
    <w:sdt>
      <w:sdtPr>
        <w:id w:val="728607423"/>
        <w:docPartObj>
          <w:docPartGallery w:val="Page Numbers (Top of Page)"/>
          <w:docPartUnique/>
        </w:docPartObj>
      </w:sdtPr>
      <w:sdtContent>
        <w:r w:rsidR="00ED0C0C">
          <w:tab/>
        </w:r>
        <w:fldSimple w:instr=" PAGE   \* MERGEFORMAT ">
          <w:r w:rsidR="009778E2">
            <w:rPr>
              <w:noProof/>
            </w:rPr>
            <w:t>2</w:t>
          </w:r>
        </w:fldSimple>
      </w:sdtContent>
    </w:sdt>
    <w:r w:rsidR="00ED0C0C">
      <w:tab/>
    </w:r>
  </w:p>
  <w:p w:rsidR="00ED0C0C" w:rsidRDefault="00ED0C0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C0C" w:rsidRDefault="00ED0C0C">
    <w:pPr>
      <w:pStyle w:val="Header"/>
      <w:jc w:val="center"/>
    </w:pPr>
  </w:p>
  <w:p w:rsidR="00ED0C0C" w:rsidRDefault="00ED0C0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37808"/>
    <w:multiLevelType w:val="hybridMultilevel"/>
    <w:tmpl w:val="5336B5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68C639A"/>
    <w:multiLevelType w:val="hybridMultilevel"/>
    <w:tmpl w:val="7826B848"/>
    <w:lvl w:ilvl="0" w:tplc="BF129D3C">
      <w:numFmt w:val="bullet"/>
      <w:lvlText w:val="-"/>
      <w:lvlJc w:val="left"/>
      <w:pPr>
        <w:ind w:left="720" w:hanging="360"/>
      </w:pPr>
      <w:rPr>
        <w:rFonts w:ascii="Times New Roman" w:eastAsiaTheme="minorEastAsia"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C420D72"/>
    <w:multiLevelType w:val="hybridMultilevel"/>
    <w:tmpl w:val="FB1E4E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3D205A4"/>
    <w:multiLevelType w:val="hybridMultilevel"/>
    <w:tmpl w:val="1EDE9D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6AB743B6"/>
    <w:multiLevelType w:val="hybridMultilevel"/>
    <w:tmpl w:val="A1FCB1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hdrShapeDefaults>
    <o:shapedefaults v:ext="edit" spidmax="19458"/>
  </w:hdrShapeDefaults>
  <w:footnotePr>
    <w:footnote w:id="-1"/>
    <w:footnote w:id="0"/>
  </w:footnotePr>
  <w:endnotePr>
    <w:endnote w:id="-1"/>
    <w:endnote w:id="0"/>
  </w:endnotePr>
  <w:compat/>
  <w:rsids>
    <w:rsidRoot w:val="003E64F9"/>
    <w:rsid w:val="0000138A"/>
    <w:rsid w:val="0000562B"/>
    <w:rsid w:val="00016690"/>
    <w:rsid w:val="00017136"/>
    <w:rsid w:val="000200CF"/>
    <w:rsid w:val="000209F7"/>
    <w:rsid w:val="00020BD0"/>
    <w:rsid w:val="000236C9"/>
    <w:rsid w:val="00024813"/>
    <w:rsid w:val="00024D0A"/>
    <w:rsid w:val="00025954"/>
    <w:rsid w:val="00025D05"/>
    <w:rsid w:val="00027364"/>
    <w:rsid w:val="000274FF"/>
    <w:rsid w:val="00027A9C"/>
    <w:rsid w:val="00030505"/>
    <w:rsid w:val="000305FA"/>
    <w:rsid w:val="00031029"/>
    <w:rsid w:val="00031D99"/>
    <w:rsid w:val="00032CB1"/>
    <w:rsid w:val="0003356E"/>
    <w:rsid w:val="00035EF5"/>
    <w:rsid w:val="00037964"/>
    <w:rsid w:val="000379B4"/>
    <w:rsid w:val="0004136D"/>
    <w:rsid w:val="00041918"/>
    <w:rsid w:val="00041CB2"/>
    <w:rsid w:val="000428F2"/>
    <w:rsid w:val="00043203"/>
    <w:rsid w:val="0004341B"/>
    <w:rsid w:val="000437A3"/>
    <w:rsid w:val="0004505E"/>
    <w:rsid w:val="00045614"/>
    <w:rsid w:val="00046E11"/>
    <w:rsid w:val="000502DB"/>
    <w:rsid w:val="00050309"/>
    <w:rsid w:val="00052A24"/>
    <w:rsid w:val="00053970"/>
    <w:rsid w:val="00055BA8"/>
    <w:rsid w:val="00061E47"/>
    <w:rsid w:val="000626E9"/>
    <w:rsid w:val="0006315A"/>
    <w:rsid w:val="00063C9E"/>
    <w:rsid w:val="00066049"/>
    <w:rsid w:val="00070FB9"/>
    <w:rsid w:val="0007164D"/>
    <w:rsid w:val="00072616"/>
    <w:rsid w:val="00072B13"/>
    <w:rsid w:val="0007310C"/>
    <w:rsid w:val="0007329E"/>
    <w:rsid w:val="00075BE7"/>
    <w:rsid w:val="00076717"/>
    <w:rsid w:val="00077283"/>
    <w:rsid w:val="00077F72"/>
    <w:rsid w:val="00082367"/>
    <w:rsid w:val="00082A3E"/>
    <w:rsid w:val="0008306F"/>
    <w:rsid w:val="000836F6"/>
    <w:rsid w:val="00085AB1"/>
    <w:rsid w:val="000935B0"/>
    <w:rsid w:val="00093C26"/>
    <w:rsid w:val="00095F54"/>
    <w:rsid w:val="0009611E"/>
    <w:rsid w:val="000962A2"/>
    <w:rsid w:val="00097451"/>
    <w:rsid w:val="00097ABA"/>
    <w:rsid w:val="00097F1F"/>
    <w:rsid w:val="00097F3F"/>
    <w:rsid w:val="000A2A3A"/>
    <w:rsid w:val="000A2CE1"/>
    <w:rsid w:val="000A3D7F"/>
    <w:rsid w:val="000A54AE"/>
    <w:rsid w:val="000A6332"/>
    <w:rsid w:val="000A7D59"/>
    <w:rsid w:val="000B100B"/>
    <w:rsid w:val="000B19A3"/>
    <w:rsid w:val="000B2CD2"/>
    <w:rsid w:val="000B3984"/>
    <w:rsid w:val="000B438B"/>
    <w:rsid w:val="000B4868"/>
    <w:rsid w:val="000B486E"/>
    <w:rsid w:val="000B4ED1"/>
    <w:rsid w:val="000B6EB5"/>
    <w:rsid w:val="000C2A3C"/>
    <w:rsid w:val="000C33DA"/>
    <w:rsid w:val="000D1159"/>
    <w:rsid w:val="000D1B54"/>
    <w:rsid w:val="000D2900"/>
    <w:rsid w:val="000D3732"/>
    <w:rsid w:val="000D3914"/>
    <w:rsid w:val="000D5752"/>
    <w:rsid w:val="000D5E62"/>
    <w:rsid w:val="000D640B"/>
    <w:rsid w:val="000E148C"/>
    <w:rsid w:val="000E2AE8"/>
    <w:rsid w:val="000E42C5"/>
    <w:rsid w:val="000E4D7F"/>
    <w:rsid w:val="000E7EA8"/>
    <w:rsid w:val="000F1448"/>
    <w:rsid w:val="000F1863"/>
    <w:rsid w:val="000F1883"/>
    <w:rsid w:val="000F2CB7"/>
    <w:rsid w:val="000F37EC"/>
    <w:rsid w:val="000F42A0"/>
    <w:rsid w:val="001000C4"/>
    <w:rsid w:val="00101F19"/>
    <w:rsid w:val="00103439"/>
    <w:rsid w:val="0010579B"/>
    <w:rsid w:val="00105AD5"/>
    <w:rsid w:val="00105FB4"/>
    <w:rsid w:val="00107AA9"/>
    <w:rsid w:val="00110858"/>
    <w:rsid w:val="0011126F"/>
    <w:rsid w:val="00111F31"/>
    <w:rsid w:val="00111FEC"/>
    <w:rsid w:val="001168C2"/>
    <w:rsid w:val="00122856"/>
    <w:rsid w:val="00125FF4"/>
    <w:rsid w:val="00130C06"/>
    <w:rsid w:val="00131FD7"/>
    <w:rsid w:val="001340F9"/>
    <w:rsid w:val="0013533A"/>
    <w:rsid w:val="00135D7E"/>
    <w:rsid w:val="001367DE"/>
    <w:rsid w:val="00141FE8"/>
    <w:rsid w:val="0014294F"/>
    <w:rsid w:val="00145E67"/>
    <w:rsid w:val="00147325"/>
    <w:rsid w:val="00147703"/>
    <w:rsid w:val="00152C36"/>
    <w:rsid w:val="00155D89"/>
    <w:rsid w:val="00156676"/>
    <w:rsid w:val="00166488"/>
    <w:rsid w:val="00167DE0"/>
    <w:rsid w:val="00171EF0"/>
    <w:rsid w:val="00174A68"/>
    <w:rsid w:val="00174A9E"/>
    <w:rsid w:val="00174BA7"/>
    <w:rsid w:val="001758EE"/>
    <w:rsid w:val="001762E1"/>
    <w:rsid w:val="00176E66"/>
    <w:rsid w:val="00176FFE"/>
    <w:rsid w:val="001778AF"/>
    <w:rsid w:val="00182A0F"/>
    <w:rsid w:val="00183C30"/>
    <w:rsid w:val="00184F2E"/>
    <w:rsid w:val="00187EAE"/>
    <w:rsid w:val="00192235"/>
    <w:rsid w:val="001926F2"/>
    <w:rsid w:val="00192BF3"/>
    <w:rsid w:val="001933F6"/>
    <w:rsid w:val="001936BE"/>
    <w:rsid w:val="00193EEA"/>
    <w:rsid w:val="001942C8"/>
    <w:rsid w:val="00194A27"/>
    <w:rsid w:val="0019502E"/>
    <w:rsid w:val="00196B57"/>
    <w:rsid w:val="001A12D0"/>
    <w:rsid w:val="001A2E7A"/>
    <w:rsid w:val="001A2FB3"/>
    <w:rsid w:val="001A3CEF"/>
    <w:rsid w:val="001A4917"/>
    <w:rsid w:val="001A59B4"/>
    <w:rsid w:val="001A5B13"/>
    <w:rsid w:val="001A6323"/>
    <w:rsid w:val="001A77C4"/>
    <w:rsid w:val="001B017E"/>
    <w:rsid w:val="001B0E11"/>
    <w:rsid w:val="001B1033"/>
    <w:rsid w:val="001B122D"/>
    <w:rsid w:val="001B2C4F"/>
    <w:rsid w:val="001B473A"/>
    <w:rsid w:val="001B52F2"/>
    <w:rsid w:val="001B5B8E"/>
    <w:rsid w:val="001C0468"/>
    <w:rsid w:val="001C2194"/>
    <w:rsid w:val="001C3839"/>
    <w:rsid w:val="001D0C07"/>
    <w:rsid w:val="001D1390"/>
    <w:rsid w:val="001D419F"/>
    <w:rsid w:val="001D4D1B"/>
    <w:rsid w:val="001D66FE"/>
    <w:rsid w:val="001D7161"/>
    <w:rsid w:val="001D7A67"/>
    <w:rsid w:val="001E0BDF"/>
    <w:rsid w:val="001E1B51"/>
    <w:rsid w:val="001E1C6F"/>
    <w:rsid w:val="001E2290"/>
    <w:rsid w:val="001E2495"/>
    <w:rsid w:val="001E3D9D"/>
    <w:rsid w:val="001E500D"/>
    <w:rsid w:val="001E78EC"/>
    <w:rsid w:val="001F0897"/>
    <w:rsid w:val="001F14AF"/>
    <w:rsid w:val="002021CE"/>
    <w:rsid w:val="00202352"/>
    <w:rsid w:val="0020244E"/>
    <w:rsid w:val="00203112"/>
    <w:rsid w:val="002034DF"/>
    <w:rsid w:val="002038E5"/>
    <w:rsid w:val="0020679A"/>
    <w:rsid w:val="00210582"/>
    <w:rsid w:val="00211094"/>
    <w:rsid w:val="0021123D"/>
    <w:rsid w:val="00212BD9"/>
    <w:rsid w:val="00213D7B"/>
    <w:rsid w:val="00214860"/>
    <w:rsid w:val="002149E8"/>
    <w:rsid w:val="00215279"/>
    <w:rsid w:val="00215EC2"/>
    <w:rsid w:val="00217F16"/>
    <w:rsid w:val="00221768"/>
    <w:rsid w:val="002220E6"/>
    <w:rsid w:val="0022238D"/>
    <w:rsid w:val="002225FB"/>
    <w:rsid w:val="00227FDC"/>
    <w:rsid w:val="002307E1"/>
    <w:rsid w:val="002317C4"/>
    <w:rsid w:val="0023456A"/>
    <w:rsid w:val="002346F4"/>
    <w:rsid w:val="002360E8"/>
    <w:rsid w:val="00241A61"/>
    <w:rsid w:val="0024227E"/>
    <w:rsid w:val="002427DC"/>
    <w:rsid w:val="00242DCE"/>
    <w:rsid w:val="00243B3D"/>
    <w:rsid w:val="00244D35"/>
    <w:rsid w:val="002453AB"/>
    <w:rsid w:val="0025195A"/>
    <w:rsid w:val="002539B4"/>
    <w:rsid w:val="00253D00"/>
    <w:rsid w:val="00254F43"/>
    <w:rsid w:val="002573BB"/>
    <w:rsid w:val="002610DA"/>
    <w:rsid w:val="0026427D"/>
    <w:rsid w:val="0026522B"/>
    <w:rsid w:val="00265A16"/>
    <w:rsid w:val="00265C8C"/>
    <w:rsid w:val="00267075"/>
    <w:rsid w:val="002673F1"/>
    <w:rsid w:val="002707FB"/>
    <w:rsid w:val="0027154E"/>
    <w:rsid w:val="00272E52"/>
    <w:rsid w:val="00274435"/>
    <w:rsid w:val="00275443"/>
    <w:rsid w:val="00275B02"/>
    <w:rsid w:val="002767A4"/>
    <w:rsid w:val="002800CE"/>
    <w:rsid w:val="002808D2"/>
    <w:rsid w:val="00291511"/>
    <w:rsid w:val="00293442"/>
    <w:rsid w:val="00294B3F"/>
    <w:rsid w:val="00294FBA"/>
    <w:rsid w:val="00297FF0"/>
    <w:rsid w:val="002A0F8F"/>
    <w:rsid w:val="002A2651"/>
    <w:rsid w:val="002A365B"/>
    <w:rsid w:val="002A3BC9"/>
    <w:rsid w:val="002A7EDE"/>
    <w:rsid w:val="002B005C"/>
    <w:rsid w:val="002B0D32"/>
    <w:rsid w:val="002B11A6"/>
    <w:rsid w:val="002B264E"/>
    <w:rsid w:val="002B4B18"/>
    <w:rsid w:val="002B531A"/>
    <w:rsid w:val="002C1FAE"/>
    <w:rsid w:val="002C2383"/>
    <w:rsid w:val="002C2AD3"/>
    <w:rsid w:val="002C34DF"/>
    <w:rsid w:val="002C534F"/>
    <w:rsid w:val="002C56CD"/>
    <w:rsid w:val="002C737F"/>
    <w:rsid w:val="002C7B17"/>
    <w:rsid w:val="002D241B"/>
    <w:rsid w:val="002D45E6"/>
    <w:rsid w:val="002D5218"/>
    <w:rsid w:val="002D6705"/>
    <w:rsid w:val="002D76F1"/>
    <w:rsid w:val="002E06CD"/>
    <w:rsid w:val="002E4B31"/>
    <w:rsid w:val="002E4C10"/>
    <w:rsid w:val="002E4CAE"/>
    <w:rsid w:val="002E725A"/>
    <w:rsid w:val="002F0593"/>
    <w:rsid w:val="002F0D29"/>
    <w:rsid w:val="002F0DB1"/>
    <w:rsid w:val="002F35FC"/>
    <w:rsid w:val="002F3E1A"/>
    <w:rsid w:val="002F3F7A"/>
    <w:rsid w:val="002F5B33"/>
    <w:rsid w:val="00301A16"/>
    <w:rsid w:val="0030226A"/>
    <w:rsid w:val="0030381B"/>
    <w:rsid w:val="00304A1C"/>
    <w:rsid w:val="00305C2C"/>
    <w:rsid w:val="00306B69"/>
    <w:rsid w:val="00307571"/>
    <w:rsid w:val="0031066F"/>
    <w:rsid w:val="00312786"/>
    <w:rsid w:val="00314EDE"/>
    <w:rsid w:val="00315045"/>
    <w:rsid w:val="00315D4B"/>
    <w:rsid w:val="00320255"/>
    <w:rsid w:val="0032123A"/>
    <w:rsid w:val="00321933"/>
    <w:rsid w:val="00322DF1"/>
    <w:rsid w:val="00324561"/>
    <w:rsid w:val="00324AF2"/>
    <w:rsid w:val="00324F39"/>
    <w:rsid w:val="00325624"/>
    <w:rsid w:val="00325FD5"/>
    <w:rsid w:val="003263B5"/>
    <w:rsid w:val="00326E83"/>
    <w:rsid w:val="00330183"/>
    <w:rsid w:val="00330FB9"/>
    <w:rsid w:val="00331DA7"/>
    <w:rsid w:val="00332724"/>
    <w:rsid w:val="00334D0B"/>
    <w:rsid w:val="0033726B"/>
    <w:rsid w:val="00337A28"/>
    <w:rsid w:val="0034206A"/>
    <w:rsid w:val="003426B7"/>
    <w:rsid w:val="00342CA2"/>
    <w:rsid w:val="00345585"/>
    <w:rsid w:val="0034564C"/>
    <w:rsid w:val="00346199"/>
    <w:rsid w:val="00347A00"/>
    <w:rsid w:val="0035011E"/>
    <w:rsid w:val="0035026F"/>
    <w:rsid w:val="00350579"/>
    <w:rsid w:val="00352766"/>
    <w:rsid w:val="00354382"/>
    <w:rsid w:val="003570EA"/>
    <w:rsid w:val="00357DEF"/>
    <w:rsid w:val="003620B0"/>
    <w:rsid w:val="00363243"/>
    <w:rsid w:val="003639EE"/>
    <w:rsid w:val="003661C2"/>
    <w:rsid w:val="003708B8"/>
    <w:rsid w:val="003710CA"/>
    <w:rsid w:val="00371321"/>
    <w:rsid w:val="00371574"/>
    <w:rsid w:val="00372C7B"/>
    <w:rsid w:val="00376204"/>
    <w:rsid w:val="003765D9"/>
    <w:rsid w:val="003772E2"/>
    <w:rsid w:val="003812EA"/>
    <w:rsid w:val="00381964"/>
    <w:rsid w:val="00383793"/>
    <w:rsid w:val="00385EF6"/>
    <w:rsid w:val="003875A7"/>
    <w:rsid w:val="00387766"/>
    <w:rsid w:val="00387CD3"/>
    <w:rsid w:val="003900FF"/>
    <w:rsid w:val="003916BA"/>
    <w:rsid w:val="00391979"/>
    <w:rsid w:val="0039227C"/>
    <w:rsid w:val="00392EF1"/>
    <w:rsid w:val="00393B66"/>
    <w:rsid w:val="00393DDB"/>
    <w:rsid w:val="00395155"/>
    <w:rsid w:val="00396775"/>
    <w:rsid w:val="00396A7F"/>
    <w:rsid w:val="003A07A5"/>
    <w:rsid w:val="003A0A31"/>
    <w:rsid w:val="003A16BB"/>
    <w:rsid w:val="003A1787"/>
    <w:rsid w:val="003A2761"/>
    <w:rsid w:val="003A36F3"/>
    <w:rsid w:val="003A4C51"/>
    <w:rsid w:val="003A73FB"/>
    <w:rsid w:val="003A760B"/>
    <w:rsid w:val="003B2D12"/>
    <w:rsid w:val="003B33F4"/>
    <w:rsid w:val="003B6E5D"/>
    <w:rsid w:val="003C1231"/>
    <w:rsid w:val="003C3251"/>
    <w:rsid w:val="003C4DF6"/>
    <w:rsid w:val="003C5FC3"/>
    <w:rsid w:val="003C76D7"/>
    <w:rsid w:val="003C7A02"/>
    <w:rsid w:val="003D00A7"/>
    <w:rsid w:val="003D4FC8"/>
    <w:rsid w:val="003D4FE0"/>
    <w:rsid w:val="003D5472"/>
    <w:rsid w:val="003D5689"/>
    <w:rsid w:val="003D7B87"/>
    <w:rsid w:val="003E07D6"/>
    <w:rsid w:val="003E0C9C"/>
    <w:rsid w:val="003E1CF8"/>
    <w:rsid w:val="003E331E"/>
    <w:rsid w:val="003E64F9"/>
    <w:rsid w:val="003E6A13"/>
    <w:rsid w:val="003E7B14"/>
    <w:rsid w:val="003E7BB4"/>
    <w:rsid w:val="003E7C11"/>
    <w:rsid w:val="003F0270"/>
    <w:rsid w:val="003F18BE"/>
    <w:rsid w:val="003F39D8"/>
    <w:rsid w:val="00400828"/>
    <w:rsid w:val="00401647"/>
    <w:rsid w:val="00401A60"/>
    <w:rsid w:val="00402881"/>
    <w:rsid w:val="004038DD"/>
    <w:rsid w:val="004043FA"/>
    <w:rsid w:val="004061A6"/>
    <w:rsid w:val="0040786A"/>
    <w:rsid w:val="004124BB"/>
    <w:rsid w:val="00412E9A"/>
    <w:rsid w:val="0041410B"/>
    <w:rsid w:val="00415313"/>
    <w:rsid w:val="00420558"/>
    <w:rsid w:val="00420B58"/>
    <w:rsid w:val="00421DA5"/>
    <w:rsid w:val="00422B59"/>
    <w:rsid w:val="00422DEC"/>
    <w:rsid w:val="004230A1"/>
    <w:rsid w:val="004238EE"/>
    <w:rsid w:val="00424471"/>
    <w:rsid w:val="0042468B"/>
    <w:rsid w:val="004307B6"/>
    <w:rsid w:val="00431599"/>
    <w:rsid w:val="00432AAB"/>
    <w:rsid w:val="00433FED"/>
    <w:rsid w:val="00435B5A"/>
    <w:rsid w:val="00435F84"/>
    <w:rsid w:val="004368A7"/>
    <w:rsid w:val="004403BB"/>
    <w:rsid w:val="0044615C"/>
    <w:rsid w:val="00446AEF"/>
    <w:rsid w:val="0044702A"/>
    <w:rsid w:val="00456099"/>
    <w:rsid w:val="00456A96"/>
    <w:rsid w:val="00460480"/>
    <w:rsid w:val="00460793"/>
    <w:rsid w:val="00461256"/>
    <w:rsid w:val="0046279E"/>
    <w:rsid w:val="00464E36"/>
    <w:rsid w:val="00466717"/>
    <w:rsid w:val="004668D5"/>
    <w:rsid w:val="004709BB"/>
    <w:rsid w:val="00470F90"/>
    <w:rsid w:val="004710C8"/>
    <w:rsid w:val="0047165B"/>
    <w:rsid w:val="004722A2"/>
    <w:rsid w:val="0047254D"/>
    <w:rsid w:val="00472F3F"/>
    <w:rsid w:val="00474F8B"/>
    <w:rsid w:val="0047573D"/>
    <w:rsid w:val="00480908"/>
    <w:rsid w:val="00481FA8"/>
    <w:rsid w:val="00482C9F"/>
    <w:rsid w:val="00486DEB"/>
    <w:rsid w:val="00486E2C"/>
    <w:rsid w:val="004877BB"/>
    <w:rsid w:val="00491B5D"/>
    <w:rsid w:val="00496DED"/>
    <w:rsid w:val="00497454"/>
    <w:rsid w:val="004A0F06"/>
    <w:rsid w:val="004A1F1B"/>
    <w:rsid w:val="004A32FF"/>
    <w:rsid w:val="004A5FBC"/>
    <w:rsid w:val="004A6CCC"/>
    <w:rsid w:val="004A7090"/>
    <w:rsid w:val="004B14CB"/>
    <w:rsid w:val="004B24D1"/>
    <w:rsid w:val="004B3077"/>
    <w:rsid w:val="004B3705"/>
    <w:rsid w:val="004B3BC6"/>
    <w:rsid w:val="004B4986"/>
    <w:rsid w:val="004B4BE0"/>
    <w:rsid w:val="004B6664"/>
    <w:rsid w:val="004B68A9"/>
    <w:rsid w:val="004B6B5D"/>
    <w:rsid w:val="004B7A7B"/>
    <w:rsid w:val="004C1081"/>
    <w:rsid w:val="004C2503"/>
    <w:rsid w:val="004C4026"/>
    <w:rsid w:val="004C54ED"/>
    <w:rsid w:val="004C5856"/>
    <w:rsid w:val="004C6568"/>
    <w:rsid w:val="004C7FCD"/>
    <w:rsid w:val="004D059A"/>
    <w:rsid w:val="004D14CB"/>
    <w:rsid w:val="004D23B2"/>
    <w:rsid w:val="004D4019"/>
    <w:rsid w:val="004D5760"/>
    <w:rsid w:val="004D64BA"/>
    <w:rsid w:val="004D6929"/>
    <w:rsid w:val="004D7EB0"/>
    <w:rsid w:val="004E34E4"/>
    <w:rsid w:val="004E3E72"/>
    <w:rsid w:val="004E49B1"/>
    <w:rsid w:val="004E4AD1"/>
    <w:rsid w:val="004E56E2"/>
    <w:rsid w:val="004E6ED9"/>
    <w:rsid w:val="004F338B"/>
    <w:rsid w:val="004F401C"/>
    <w:rsid w:val="004F49A5"/>
    <w:rsid w:val="004F573E"/>
    <w:rsid w:val="00500BA5"/>
    <w:rsid w:val="00501CDD"/>
    <w:rsid w:val="00501D0A"/>
    <w:rsid w:val="00501E38"/>
    <w:rsid w:val="00503CCA"/>
    <w:rsid w:val="005057E9"/>
    <w:rsid w:val="005100A5"/>
    <w:rsid w:val="0051153F"/>
    <w:rsid w:val="00511CFF"/>
    <w:rsid w:val="00512A98"/>
    <w:rsid w:val="00515507"/>
    <w:rsid w:val="00515663"/>
    <w:rsid w:val="00517AE1"/>
    <w:rsid w:val="0052002F"/>
    <w:rsid w:val="00520B06"/>
    <w:rsid w:val="00520D23"/>
    <w:rsid w:val="0052493C"/>
    <w:rsid w:val="00525CB3"/>
    <w:rsid w:val="00535D85"/>
    <w:rsid w:val="00535DF5"/>
    <w:rsid w:val="00541D81"/>
    <w:rsid w:val="00541E48"/>
    <w:rsid w:val="00542E7D"/>
    <w:rsid w:val="0054316D"/>
    <w:rsid w:val="005473A7"/>
    <w:rsid w:val="00547E92"/>
    <w:rsid w:val="00550720"/>
    <w:rsid w:val="005521B0"/>
    <w:rsid w:val="00553029"/>
    <w:rsid w:val="00555186"/>
    <w:rsid w:val="0055623C"/>
    <w:rsid w:val="00557342"/>
    <w:rsid w:val="00561302"/>
    <w:rsid w:val="00562496"/>
    <w:rsid w:val="005631F4"/>
    <w:rsid w:val="00563508"/>
    <w:rsid w:val="00566197"/>
    <w:rsid w:val="0056722B"/>
    <w:rsid w:val="00571095"/>
    <w:rsid w:val="0057258D"/>
    <w:rsid w:val="005732B9"/>
    <w:rsid w:val="005733B9"/>
    <w:rsid w:val="00576B68"/>
    <w:rsid w:val="00577155"/>
    <w:rsid w:val="0057717E"/>
    <w:rsid w:val="0058552C"/>
    <w:rsid w:val="005863C0"/>
    <w:rsid w:val="005935B6"/>
    <w:rsid w:val="005935EE"/>
    <w:rsid w:val="0059381A"/>
    <w:rsid w:val="00597C86"/>
    <w:rsid w:val="005A5762"/>
    <w:rsid w:val="005B1C52"/>
    <w:rsid w:val="005B1EA7"/>
    <w:rsid w:val="005B31A6"/>
    <w:rsid w:val="005B4E77"/>
    <w:rsid w:val="005B4EC5"/>
    <w:rsid w:val="005C09AE"/>
    <w:rsid w:val="005C24DE"/>
    <w:rsid w:val="005C3790"/>
    <w:rsid w:val="005C3EFF"/>
    <w:rsid w:val="005C5E00"/>
    <w:rsid w:val="005C6B7F"/>
    <w:rsid w:val="005C7017"/>
    <w:rsid w:val="005D312C"/>
    <w:rsid w:val="005D3CB9"/>
    <w:rsid w:val="005D63E3"/>
    <w:rsid w:val="005E08B2"/>
    <w:rsid w:val="005E11A0"/>
    <w:rsid w:val="005E34DA"/>
    <w:rsid w:val="005E34FC"/>
    <w:rsid w:val="005E3771"/>
    <w:rsid w:val="005E3C2A"/>
    <w:rsid w:val="005E5613"/>
    <w:rsid w:val="005E789B"/>
    <w:rsid w:val="005F0FAB"/>
    <w:rsid w:val="005F181B"/>
    <w:rsid w:val="005F47C2"/>
    <w:rsid w:val="005F5244"/>
    <w:rsid w:val="005F72CD"/>
    <w:rsid w:val="006012CF"/>
    <w:rsid w:val="006041E5"/>
    <w:rsid w:val="00605AC8"/>
    <w:rsid w:val="006068E2"/>
    <w:rsid w:val="006068ED"/>
    <w:rsid w:val="00610743"/>
    <w:rsid w:val="00622E16"/>
    <w:rsid w:val="00625AF4"/>
    <w:rsid w:val="006265DD"/>
    <w:rsid w:val="00626BFD"/>
    <w:rsid w:val="00627CE0"/>
    <w:rsid w:val="006314AD"/>
    <w:rsid w:val="00631662"/>
    <w:rsid w:val="00633011"/>
    <w:rsid w:val="006356F1"/>
    <w:rsid w:val="00635CD2"/>
    <w:rsid w:val="0063630B"/>
    <w:rsid w:val="00636F71"/>
    <w:rsid w:val="00637DF8"/>
    <w:rsid w:val="0064042E"/>
    <w:rsid w:val="006419D1"/>
    <w:rsid w:val="0064758D"/>
    <w:rsid w:val="00647A9C"/>
    <w:rsid w:val="0065121B"/>
    <w:rsid w:val="0065144E"/>
    <w:rsid w:val="00653AD7"/>
    <w:rsid w:val="00653CFB"/>
    <w:rsid w:val="0065424E"/>
    <w:rsid w:val="00654E77"/>
    <w:rsid w:val="00655B79"/>
    <w:rsid w:val="00657B2C"/>
    <w:rsid w:val="006609CE"/>
    <w:rsid w:val="0066107E"/>
    <w:rsid w:val="00662F91"/>
    <w:rsid w:val="00664653"/>
    <w:rsid w:val="00664B42"/>
    <w:rsid w:val="006655BD"/>
    <w:rsid w:val="006656A0"/>
    <w:rsid w:val="00666FEC"/>
    <w:rsid w:val="00672B7E"/>
    <w:rsid w:val="006737BD"/>
    <w:rsid w:val="00674311"/>
    <w:rsid w:val="006749F9"/>
    <w:rsid w:val="00675CCC"/>
    <w:rsid w:val="0067666C"/>
    <w:rsid w:val="006802DC"/>
    <w:rsid w:val="006809C5"/>
    <w:rsid w:val="00680C17"/>
    <w:rsid w:val="00680ED8"/>
    <w:rsid w:val="006847E9"/>
    <w:rsid w:val="00684BDD"/>
    <w:rsid w:val="00686C58"/>
    <w:rsid w:val="00687425"/>
    <w:rsid w:val="00687D43"/>
    <w:rsid w:val="0069011E"/>
    <w:rsid w:val="00692B91"/>
    <w:rsid w:val="00693275"/>
    <w:rsid w:val="006943B7"/>
    <w:rsid w:val="0069492C"/>
    <w:rsid w:val="00696D10"/>
    <w:rsid w:val="006970AD"/>
    <w:rsid w:val="006979BA"/>
    <w:rsid w:val="006A150A"/>
    <w:rsid w:val="006A1958"/>
    <w:rsid w:val="006A39E8"/>
    <w:rsid w:val="006A3A4A"/>
    <w:rsid w:val="006A3AB6"/>
    <w:rsid w:val="006A6327"/>
    <w:rsid w:val="006A66BD"/>
    <w:rsid w:val="006B1218"/>
    <w:rsid w:val="006B1BF7"/>
    <w:rsid w:val="006B1DDF"/>
    <w:rsid w:val="006B4397"/>
    <w:rsid w:val="006B5F38"/>
    <w:rsid w:val="006B6C0B"/>
    <w:rsid w:val="006B7092"/>
    <w:rsid w:val="006B775A"/>
    <w:rsid w:val="006C0923"/>
    <w:rsid w:val="006C0B55"/>
    <w:rsid w:val="006C3F12"/>
    <w:rsid w:val="006C4985"/>
    <w:rsid w:val="006C5847"/>
    <w:rsid w:val="006C5EC9"/>
    <w:rsid w:val="006C6525"/>
    <w:rsid w:val="006C7637"/>
    <w:rsid w:val="006D0C94"/>
    <w:rsid w:val="006D0CBB"/>
    <w:rsid w:val="006D2A1D"/>
    <w:rsid w:val="006D5437"/>
    <w:rsid w:val="006E0058"/>
    <w:rsid w:val="006E332E"/>
    <w:rsid w:val="006E3865"/>
    <w:rsid w:val="006E3995"/>
    <w:rsid w:val="006E529E"/>
    <w:rsid w:val="006E671B"/>
    <w:rsid w:val="006F07D4"/>
    <w:rsid w:val="006F3AB2"/>
    <w:rsid w:val="006F3EF7"/>
    <w:rsid w:val="006F3FDA"/>
    <w:rsid w:val="006F41BE"/>
    <w:rsid w:val="006F4803"/>
    <w:rsid w:val="006F5260"/>
    <w:rsid w:val="006F5331"/>
    <w:rsid w:val="006F6F86"/>
    <w:rsid w:val="006F7D5C"/>
    <w:rsid w:val="006F7F63"/>
    <w:rsid w:val="00700BFB"/>
    <w:rsid w:val="00702666"/>
    <w:rsid w:val="00702D11"/>
    <w:rsid w:val="007036DD"/>
    <w:rsid w:val="00704D1B"/>
    <w:rsid w:val="00706594"/>
    <w:rsid w:val="007072D2"/>
    <w:rsid w:val="0071005E"/>
    <w:rsid w:val="00712306"/>
    <w:rsid w:val="0071301D"/>
    <w:rsid w:val="00713090"/>
    <w:rsid w:val="00713106"/>
    <w:rsid w:val="0071364A"/>
    <w:rsid w:val="007138EC"/>
    <w:rsid w:val="0071395D"/>
    <w:rsid w:val="00713B27"/>
    <w:rsid w:val="00713FA3"/>
    <w:rsid w:val="0071486F"/>
    <w:rsid w:val="0071668D"/>
    <w:rsid w:val="00716869"/>
    <w:rsid w:val="0072130D"/>
    <w:rsid w:val="00721542"/>
    <w:rsid w:val="00722EFA"/>
    <w:rsid w:val="00723F62"/>
    <w:rsid w:val="00725080"/>
    <w:rsid w:val="007276CA"/>
    <w:rsid w:val="00731E21"/>
    <w:rsid w:val="00733A11"/>
    <w:rsid w:val="00734501"/>
    <w:rsid w:val="00741A5A"/>
    <w:rsid w:val="00746A1F"/>
    <w:rsid w:val="00747C2E"/>
    <w:rsid w:val="00752BF6"/>
    <w:rsid w:val="007544A8"/>
    <w:rsid w:val="007553C2"/>
    <w:rsid w:val="0075565B"/>
    <w:rsid w:val="00755D9A"/>
    <w:rsid w:val="00756595"/>
    <w:rsid w:val="00756625"/>
    <w:rsid w:val="007569C0"/>
    <w:rsid w:val="00760435"/>
    <w:rsid w:val="00760C65"/>
    <w:rsid w:val="00761103"/>
    <w:rsid w:val="00762077"/>
    <w:rsid w:val="007620EB"/>
    <w:rsid w:val="00763CC6"/>
    <w:rsid w:val="00764C5A"/>
    <w:rsid w:val="007659B6"/>
    <w:rsid w:val="007675DC"/>
    <w:rsid w:val="00774B35"/>
    <w:rsid w:val="007758BD"/>
    <w:rsid w:val="00776EAE"/>
    <w:rsid w:val="007824B9"/>
    <w:rsid w:val="0078466E"/>
    <w:rsid w:val="00785A7F"/>
    <w:rsid w:val="00790FFD"/>
    <w:rsid w:val="007923D8"/>
    <w:rsid w:val="0079285F"/>
    <w:rsid w:val="0079327D"/>
    <w:rsid w:val="00793E5B"/>
    <w:rsid w:val="00794988"/>
    <w:rsid w:val="007967FF"/>
    <w:rsid w:val="007A1F4E"/>
    <w:rsid w:val="007A1F66"/>
    <w:rsid w:val="007A270C"/>
    <w:rsid w:val="007A2B1F"/>
    <w:rsid w:val="007A6F11"/>
    <w:rsid w:val="007B000E"/>
    <w:rsid w:val="007B0126"/>
    <w:rsid w:val="007B20CE"/>
    <w:rsid w:val="007B23A5"/>
    <w:rsid w:val="007B315B"/>
    <w:rsid w:val="007B3498"/>
    <w:rsid w:val="007B5451"/>
    <w:rsid w:val="007B573A"/>
    <w:rsid w:val="007B6140"/>
    <w:rsid w:val="007C0C1F"/>
    <w:rsid w:val="007C14A4"/>
    <w:rsid w:val="007C282E"/>
    <w:rsid w:val="007C297B"/>
    <w:rsid w:val="007C3B16"/>
    <w:rsid w:val="007C410C"/>
    <w:rsid w:val="007C5FCC"/>
    <w:rsid w:val="007C6BBA"/>
    <w:rsid w:val="007D15F5"/>
    <w:rsid w:val="007D1725"/>
    <w:rsid w:val="007D239D"/>
    <w:rsid w:val="007D2776"/>
    <w:rsid w:val="007E0F33"/>
    <w:rsid w:val="007E2796"/>
    <w:rsid w:val="007E2D1E"/>
    <w:rsid w:val="007E3261"/>
    <w:rsid w:val="007E4456"/>
    <w:rsid w:val="007E5CF0"/>
    <w:rsid w:val="007E5D24"/>
    <w:rsid w:val="007F02AE"/>
    <w:rsid w:val="007F1749"/>
    <w:rsid w:val="007F2602"/>
    <w:rsid w:val="007F4823"/>
    <w:rsid w:val="007F5CCC"/>
    <w:rsid w:val="007F61A7"/>
    <w:rsid w:val="007F6750"/>
    <w:rsid w:val="007F7E25"/>
    <w:rsid w:val="00800372"/>
    <w:rsid w:val="00800651"/>
    <w:rsid w:val="00800AE8"/>
    <w:rsid w:val="00801400"/>
    <w:rsid w:val="008014C6"/>
    <w:rsid w:val="00802D0C"/>
    <w:rsid w:val="008038F4"/>
    <w:rsid w:val="00803BBA"/>
    <w:rsid w:val="00803C8E"/>
    <w:rsid w:val="00813851"/>
    <w:rsid w:val="00814301"/>
    <w:rsid w:val="00817AB9"/>
    <w:rsid w:val="00820E8F"/>
    <w:rsid w:val="00820F76"/>
    <w:rsid w:val="00822361"/>
    <w:rsid w:val="00824924"/>
    <w:rsid w:val="0082577C"/>
    <w:rsid w:val="0082638D"/>
    <w:rsid w:val="00827235"/>
    <w:rsid w:val="00835499"/>
    <w:rsid w:val="00835A38"/>
    <w:rsid w:val="00842E86"/>
    <w:rsid w:val="0084304D"/>
    <w:rsid w:val="00844CDD"/>
    <w:rsid w:val="0084707F"/>
    <w:rsid w:val="0085292F"/>
    <w:rsid w:val="008571A1"/>
    <w:rsid w:val="008624A0"/>
    <w:rsid w:val="008666A3"/>
    <w:rsid w:val="00867E7A"/>
    <w:rsid w:val="00871C6D"/>
    <w:rsid w:val="0087651A"/>
    <w:rsid w:val="00876756"/>
    <w:rsid w:val="008769C1"/>
    <w:rsid w:val="00877589"/>
    <w:rsid w:val="00881914"/>
    <w:rsid w:val="00883C73"/>
    <w:rsid w:val="008854BF"/>
    <w:rsid w:val="00887F29"/>
    <w:rsid w:val="0089125E"/>
    <w:rsid w:val="00891D5D"/>
    <w:rsid w:val="00893113"/>
    <w:rsid w:val="008936C4"/>
    <w:rsid w:val="00893777"/>
    <w:rsid w:val="008969A7"/>
    <w:rsid w:val="008A09E3"/>
    <w:rsid w:val="008A264E"/>
    <w:rsid w:val="008A2AEB"/>
    <w:rsid w:val="008A5B54"/>
    <w:rsid w:val="008A5EF9"/>
    <w:rsid w:val="008A7F38"/>
    <w:rsid w:val="008B14D8"/>
    <w:rsid w:val="008B1B47"/>
    <w:rsid w:val="008B2A52"/>
    <w:rsid w:val="008B37A6"/>
    <w:rsid w:val="008B3AB2"/>
    <w:rsid w:val="008B418F"/>
    <w:rsid w:val="008B4D54"/>
    <w:rsid w:val="008B6818"/>
    <w:rsid w:val="008B6B7E"/>
    <w:rsid w:val="008C14CC"/>
    <w:rsid w:val="008C2308"/>
    <w:rsid w:val="008C3650"/>
    <w:rsid w:val="008C5046"/>
    <w:rsid w:val="008C62F5"/>
    <w:rsid w:val="008D162B"/>
    <w:rsid w:val="008D325D"/>
    <w:rsid w:val="008D3C9E"/>
    <w:rsid w:val="008D65B8"/>
    <w:rsid w:val="008D7B7B"/>
    <w:rsid w:val="008E1301"/>
    <w:rsid w:val="008E1886"/>
    <w:rsid w:val="008E1EB1"/>
    <w:rsid w:val="008E2052"/>
    <w:rsid w:val="008E21BE"/>
    <w:rsid w:val="008E2C5E"/>
    <w:rsid w:val="008E5D68"/>
    <w:rsid w:val="008E661B"/>
    <w:rsid w:val="008E6D0E"/>
    <w:rsid w:val="008F1A60"/>
    <w:rsid w:val="008F28BC"/>
    <w:rsid w:val="008F34F9"/>
    <w:rsid w:val="008F4AFC"/>
    <w:rsid w:val="009033E6"/>
    <w:rsid w:val="00903C05"/>
    <w:rsid w:val="0090404E"/>
    <w:rsid w:val="00907136"/>
    <w:rsid w:val="009111CB"/>
    <w:rsid w:val="009129D5"/>
    <w:rsid w:val="00914523"/>
    <w:rsid w:val="00914878"/>
    <w:rsid w:val="00915153"/>
    <w:rsid w:val="009167F8"/>
    <w:rsid w:val="00916DF0"/>
    <w:rsid w:val="0092016A"/>
    <w:rsid w:val="00921836"/>
    <w:rsid w:val="00922147"/>
    <w:rsid w:val="009221E9"/>
    <w:rsid w:val="00922287"/>
    <w:rsid w:val="00922409"/>
    <w:rsid w:val="00922860"/>
    <w:rsid w:val="00923096"/>
    <w:rsid w:val="00924E9B"/>
    <w:rsid w:val="0092586C"/>
    <w:rsid w:val="0093093F"/>
    <w:rsid w:val="0093158F"/>
    <w:rsid w:val="00931D93"/>
    <w:rsid w:val="00933199"/>
    <w:rsid w:val="00933630"/>
    <w:rsid w:val="0093591A"/>
    <w:rsid w:val="00936B42"/>
    <w:rsid w:val="00936F51"/>
    <w:rsid w:val="009378E9"/>
    <w:rsid w:val="009400B1"/>
    <w:rsid w:val="00940AC3"/>
    <w:rsid w:val="00940E38"/>
    <w:rsid w:val="00940FD5"/>
    <w:rsid w:val="00941BDB"/>
    <w:rsid w:val="009435C1"/>
    <w:rsid w:val="00943B4D"/>
    <w:rsid w:val="0094491F"/>
    <w:rsid w:val="00944EF4"/>
    <w:rsid w:val="00945890"/>
    <w:rsid w:val="0095282E"/>
    <w:rsid w:val="009531A0"/>
    <w:rsid w:val="0095357A"/>
    <w:rsid w:val="009539D5"/>
    <w:rsid w:val="00953D4D"/>
    <w:rsid w:val="00954E7F"/>
    <w:rsid w:val="00955368"/>
    <w:rsid w:val="0095610E"/>
    <w:rsid w:val="009563C9"/>
    <w:rsid w:val="0095740E"/>
    <w:rsid w:val="0096025D"/>
    <w:rsid w:val="00960D4E"/>
    <w:rsid w:val="00960F8F"/>
    <w:rsid w:val="00961727"/>
    <w:rsid w:val="00965D89"/>
    <w:rsid w:val="009670E1"/>
    <w:rsid w:val="00967ED6"/>
    <w:rsid w:val="009722E4"/>
    <w:rsid w:val="009736EB"/>
    <w:rsid w:val="0097395E"/>
    <w:rsid w:val="00974044"/>
    <w:rsid w:val="009778E2"/>
    <w:rsid w:val="00981D5E"/>
    <w:rsid w:val="009851F5"/>
    <w:rsid w:val="00985A34"/>
    <w:rsid w:val="009915BE"/>
    <w:rsid w:val="00993B4D"/>
    <w:rsid w:val="009945E4"/>
    <w:rsid w:val="00996818"/>
    <w:rsid w:val="00996F99"/>
    <w:rsid w:val="0099755F"/>
    <w:rsid w:val="00997607"/>
    <w:rsid w:val="009A060D"/>
    <w:rsid w:val="009A1575"/>
    <w:rsid w:val="009A1AA9"/>
    <w:rsid w:val="009A35BF"/>
    <w:rsid w:val="009A6775"/>
    <w:rsid w:val="009B06E6"/>
    <w:rsid w:val="009B0DEA"/>
    <w:rsid w:val="009B17D1"/>
    <w:rsid w:val="009B1D75"/>
    <w:rsid w:val="009B2300"/>
    <w:rsid w:val="009B27D8"/>
    <w:rsid w:val="009B40FB"/>
    <w:rsid w:val="009C01DC"/>
    <w:rsid w:val="009C1C87"/>
    <w:rsid w:val="009C2D6E"/>
    <w:rsid w:val="009C4366"/>
    <w:rsid w:val="009C44AE"/>
    <w:rsid w:val="009C5207"/>
    <w:rsid w:val="009C6B49"/>
    <w:rsid w:val="009C6EBD"/>
    <w:rsid w:val="009C7ACF"/>
    <w:rsid w:val="009D056B"/>
    <w:rsid w:val="009D2206"/>
    <w:rsid w:val="009D29F4"/>
    <w:rsid w:val="009D2C3E"/>
    <w:rsid w:val="009D3602"/>
    <w:rsid w:val="009D3879"/>
    <w:rsid w:val="009D52C3"/>
    <w:rsid w:val="009D538F"/>
    <w:rsid w:val="009D63BB"/>
    <w:rsid w:val="009E0361"/>
    <w:rsid w:val="009E0B46"/>
    <w:rsid w:val="009E0E9A"/>
    <w:rsid w:val="009E1535"/>
    <w:rsid w:val="009E2864"/>
    <w:rsid w:val="009E30ED"/>
    <w:rsid w:val="009E53CA"/>
    <w:rsid w:val="009E6BF4"/>
    <w:rsid w:val="009E7EEC"/>
    <w:rsid w:val="009F1E43"/>
    <w:rsid w:val="009F25AA"/>
    <w:rsid w:val="009F2E6A"/>
    <w:rsid w:val="009F4EA3"/>
    <w:rsid w:val="009F68FE"/>
    <w:rsid w:val="00A001D4"/>
    <w:rsid w:val="00A018CB"/>
    <w:rsid w:val="00A03864"/>
    <w:rsid w:val="00A04FAA"/>
    <w:rsid w:val="00A0651C"/>
    <w:rsid w:val="00A06A55"/>
    <w:rsid w:val="00A10E84"/>
    <w:rsid w:val="00A11EBD"/>
    <w:rsid w:val="00A13878"/>
    <w:rsid w:val="00A138C1"/>
    <w:rsid w:val="00A16792"/>
    <w:rsid w:val="00A172DD"/>
    <w:rsid w:val="00A2077F"/>
    <w:rsid w:val="00A21581"/>
    <w:rsid w:val="00A23E50"/>
    <w:rsid w:val="00A26C9E"/>
    <w:rsid w:val="00A315D0"/>
    <w:rsid w:val="00A326FB"/>
    <w:rsid w:val="00A355FC"/>
    <w:rsid w:val="00A36AB8"/>
    <w:rsid w:val="00A40040"/>
    <w:rsid w:val="00A4282D"/>
    <w:rsid w:val="00A42A72"/>
    <w:rsid w:val="00A4642F"/>
    <w:rsid w:val="00A50E73"/>
    <w:rsid w:val="00A514E9"/>
    <w:rsid w:val="00A51624"/>
    <w:rsid w:val="00A51A41"/>
    <w:rsid w:val="00A51D77"/>
    <w:rsid w:val="00A538F9"/>
    <w:rsid w:val="00A53D36"/>
    <w:rsid w:val="00A55020"/>
    <w:rsid w:val="00A5562F"/>
    <w:rsid w:val="00A558BC"/>
    <w:rsid w:val="00A56DAA"/>
    <w:rsid w:val="00A6027C"/>
    <w:rsid w:val="00A61574"/>
    <w:rsid w:val="00A650CC"/>
    <w:rsid w:val="00A6516F"/>
    <w:rsid w:val="00A6638C"/>
    <w:rsid w:val="00A676D0"/>
    <w:rsid w:val="00A72B84"/>
    <w:rsid w:val="00A72BAA"/>
    <w:rsid w:val="00A7316C"/>
    <w:rsid w:val="00A759C8"/>
    <w:rsid w:val="00A81A21"/>
    <w:rsid w:val="00A82DBB"/>
    <w:rsid w:val="00A84608"/>
    <w:rsid w:val="00A84A7E"/>
    <w:rsid w:val="00A84E73"/>
    <w:rsid w:val="00A86D2A"/>
    <w:rsid w:val="00A9007D"/>
    <w:rsid w:val="00A919E0"/>
    <w:rsid w:val="00A91B21"/>
    <w:rsid w:val="00A93905"/>
    <w:rsid w:val="00A94C54"/>
    <w:rsid w:val="00A95FCF"/>
    <w:rsid w:val="00AA1948"/>
    <w:rsid w:val="00AA2243"/>
    <w:rsid w:val="00AA3423"/>
    <w:rsid w:val="00AA3B8A"/>
    <w:rsid w:val="00AB0D21"/>
    <w:rsid w:val="00AB104B"/>
    <w:rsid w:val="00AB155D"/>
    <w:rsid w:val="00AB19E8"/>
    <w:rsid w:val="00AB3260"/>
    <w:rsid w:val="00AB4C7A"/>
    <w:rsid w:val="00AB57F4"/>
    <w:rsid w:val="00AB5ED6"/>
    <w:rsid w:val="00AC1BC7"/>
    <w:rsid w:val="00AC2169"/>
    <w:rsid w:val="00AC24E8"/>
    <w:rsid w:val="00AC5A05"/>
    <w:rsid w:val="00AC6528"/>
    <w:rsid w:val="00AC6ED6"/>
    <w:rsid w:val="00AD0D23"/>
    <w:rsid w:val="00AD5055"/>
    <w:rsid w:val="00AD5CC5"/>
    <w:rsid w:val="00AD6108"/>
    <w:rsid w:val="00AE171F"/>
    <w:rsid w:val="00AE1CC5"/>
    <w:rsid w:val="00AE5C2E"/>
    <w:rsid w:val="00AF1A1B"/>
    <w:rsid w:val="00AF2926"/>
    <w:rsid w:val="00B00C60"/>
    <w:rsid w:val="00B01E4B"/>
    <w:rsid w:val="00B03F9D"/>
    <w:rsid w:val="00B0463D"/>
    <w:rsid w:val="00B04DEA"/>
    <w:rsid w:val="00B05DE0"/>
    <w:rsid w:val="00B05F77"/>
    <w:rsid w:val="00B073A9"/>
    <w:rsid w:val="00B1126D"/>
    <w:rsid w:val="00B11BEB"/>
    <w:rsid w:val="00B12D16"/>
    <w:rsid w:val="00B13F16"/>
    <w:rsid w:val="00B1693F"/>
    <w:rsid w:val="00B20237"/>
    <w:rsid w:val="00B21125"/>
    <w:rsid w:val="00B22324"/>
    <w:rsid w:val="00B22E34"/>
    <w:rsid w:val="00B237AA"/>
    <w:rsid w:val="00B3039C"/>
    <w:rsid w:val="00B307D7"/>
    <w:rsid w:val="00B31CD7"/>
    <w:rsid w:val="00B328BF"/>
    <w:rsid w:val="00B33EB3"/>
    <w:rsid w:val="00B3798A"/>
    <w:rsid w:val="00B404E4"/>
    <w:rsid w:val="00B45182"/>
    <w:rsid w:val="00B4669C"/>
    <w:rsid w:val="00B46853"/>
    <w:rsid w:val="00B468BD"/>
    <w:rsid w:val="00B470B2"/>
    <w:rsid w:val="00B51F4C"/>
    <w:rsid w:val="00B522D0"/>
    <w:rsid w:val="00B56948"/>
    <w:rsid w:val="00B576F8"/>
    <w:rsid w:val="00B57D33"/>
    <w:rsid w:val="00B6195F"/>
    <w:rsid w:val="00B62C2A"/>
    <w:rsid w:val="00B66569"/>
    <w:rsid w:val="00B67B45"/>
    <w:rsid w:val="00B7082C"/>
    <w:rsid w:val="00B7090F"/>
    <w:rsid w:val="00B74AD7"/>
    <w:rsid w:val="00B76DE0"/>
    <w:rsid w:val="00B76E0D"/>
    <w:rsid w:val="00B77445"/>
    <w:rsid w:val="00B77911"/>
    <w:rsid w:val="00B80CE1"/>
    <w:rsid w:val="00B8129E"/>
    <w:rsid w:val="00B81850"/>
    <w:rsid w:val="00B828F6"/>
    <w:rsid w:val="00B82A1D"/>
    <w:rsid w:val="00B8461D"/>
    <w:rsid w:val="00B923D7"/>
    <w:rsid w:val="00B96267"/>
    <w:rsid w:val="00B9723B"/>
    <w:rsid w:val="00B97E38"/>
    <w:rsid w:val="00BA0150"/>
    <w:rsid w:val="00BA38B7"/>
    <w:rsid w:val="00BA51BC"/>
    <w:rsid w:val="00BA584A"/>
    <w:rsid w:val="00BB0EAA"/>
    <w:rsid w:val="00BB23B4"/>
    <w:rsid w:val="00BB2ACA"/>
    <w:rsid w:val="00BB2F3C"/>
    <w:rsid w:val="00BB3627"/>
    <w:rsid w:val="00BB48E0"/>
    <w:rsid w:val="00BB48F4"/>
    <w:rsid w:val="00BB4A65"/>
    <w:rsid w:val="00BB4CC3"/>
    <w:rsid w:val="00BB68ED"/>
    <w:rsid w:val="00BB6968"/>
    <w:rsid w:val="00BC2BDF"/>
    <w:rsid w:val="00BC37ED"/>
    <w:rsid w:val="00BC5437"/>
    <w:rsid w:val="00BC5B33"/>
    <w:rsid w:val="00BC67F1"/>
    <w:rsid w:val="00BC69D7"/>
    <w:rsid w:val="00BC6E1F"/>
    <w:rsid w:val="00BD0988"/>
    <w:rsid w:val="00BD3314"/>
    <w:rsid w:val="00BD4E3C"/>
    <w:rsid w:val="00BD5F20"/>
    <w:rsid w:val="00BD64D7"/>
    <w:rsid w:val="00BD652A"/>
    <w:rsid w:val="00BD6598"/>
    <w:rsid w:val="00BD6D11"/>
    <w:rsid w:val="00BD7068"/>
    <w:rsid w:val="00BE0C91"/>
    <w:rsid w:val="00BE1409"/>
    <w:rsid w:val="00BE24E7"/>
    <w:rsid w:val="00BE2A62"/>
    <w:rsid w:val="00BE349A"/>
    <w:rsid w:val="00BE3694"/>
    <w:rsid w:val="00BE79E8"/>
    <w:rsid w:val="00BF0216"/>
    <w:rsid w:val="00BF05BE"/>
    <w:rsid w:val="00BF4E9D"/>
    <w:rsid w:val="00BF5224"/>
    <w:rsid w:val="00BF63E8"/>
    <w:rsid w:val="00BF6BA6"/>
    <w:rsid w:val="00C003C6"/>
    <w:rsid w:val="00C00742"/>
    <w:rsid w:val="00C02474"/>
    <w:rsid w:val="00C0679A"/>
    <w:rsid w:val="00C0779C"/>
    <w:rsid w:val="00C07BDB"/>
    <w:rsid w:val="00C07CA4"/>
    <w:rsid w:val="00C10F5A"/>
    <w:rsid w:val="00C114A3"/>
    <w:rsid w:val="00C117C5"/>
    <w:rsid w:val="00C13D84"/>
    <w:rsid w:val="00C15743"/>
    <w:rsid w:val="00C162AD"/>
    <w:rsid w:val="00C16C9B"/>
    <w:rsid w:val="00C17786"/>
    <w:rsid w:val="00C17A99"/>
    <w:rsid w:val="00C26090"/>
    <w:rsid w:val="00C3030F"/>
    <w:rsid w:val="00C30423"/>
    <w:rsid w:val="00C32AEE"/>
    <w:rsid w:val="00C359A1"/>
    <w:rsid w:val="00C37508"/>
    <w:rsid w:val="00C41BBE"/>
    <w:rsid w:val="00C41CC4"/>
    <w:rsid w:val="00C447AA"/>
    <w:rsid w:val="00C44A6B"/>
    <w:rsid w:val="00C4507A"/>
    <w:rsid w:val="00C451C2"/>
    <w:rsid w:val="00C469C2"/>
    <w:rsid w:val="00C52300"/>
    <w:rsid w:val="00C52790"/>
    <w:rsid w:val="00C5312C"/>
    <w:rsid w:val="00C53258"/>
    <w:rsid w:val="00C55113"/>
    <w:rsid w:val="00C5690E"/>
    <w:rsid w:val="00C5692C"/>
    <w:rsid w:val="00C57FAB"/>
    <w:rsid w:val="00C60FD8"/>
    <w:rsid w:val="00C61FE2"/>
    <w:rsid w:val="00C670B3"/>
    <w:rsid w:val="00C70352"/>
    <w:rsid w:val="00C71E29"/>
    <w:rsid w:val="00C7327A"/>
    <w:rsid w:val="00C7376E"/>
    <w:rsid w:val="00C743CF"/>
    <w:rsid w:val="00C74CF1"/>
    <w:rsid w:val="00C75A77"/>
    <w:rsid w:val="00C76A6E"/>
    <w:rsid w:val="00C81C15"/>
    <w:rsid w:val="00C83B21"/>
    <w:rsid w:val="00C84245"/>
    <w:rsid w:val="00C8613C"/>
    <w:rsid w:val="00C86B26"/>
    <w:rsid w:val="00C9094E"/>
    <w:rsid w:val="00C911F1"/>
    <w:rsid w:val="00C91E06"/>
    <w:rsid w:val="00C92FCB"/>
    <w:rsid w:val="00C937E5"/>
    <w:rsid w:val="00C94987"/>
    <w:rsid w:val="00C9514F"/>
    <w:rsid w:val="00C95604"/>
    <w:rsid w:val="00C96595"/>
    <w:rsid w:val="00CA0D8A"/>
    <w:rsid w:val="00CA12F2"/>
    <w:rsid w:val="00CA16AF"/>
    <w:rsid w:val="00CA4058"/>
    <w:rsid w:val="00CA49F7"/>
    <w:rsid w:val="00CA54EE"/>
    <w:rsid w:val="00CB0300"/>
    <w:rsid w:val="00CB136F"/>
    <w:rsid w:val="00CB603F"/>
    <w:rsid w:val="00CC00C9"/>
    <w:rsid w:val="00CC06A0"/>
    <w:rsid w:val="00CC240B"/>
    <w:rsid w:val="00CC33B3"/>
    <w:rsid w:val="00CC7D6A"/>
    <w:rsid w:val="00CD1168"/>
    <w:rsid w:val="00CD15EE"/>
    <w:rsid w:val="00CD1CA9"/>
    <w:rsid w:val="00CD2B4E"/>
    <w:rsid w:val="00CD2D4A"/>
    <w:rsid w:val="00CD4173"/>
    <w:rsid w:val="00CD4760"/>
    <w:rsid w:val="00CD6297"/>
    <w:rsid w:val="00CD6635"/>
    <w:rsid w:val="00CD685D"/>
    <w:rsid w:val="00CE077E"/>
    <w:rsid w:val="00CE2743"/>
    <w:rsid w:val="00CE4492"/>
    <w:rsid w:val="00CE49FB"/>
    <w:rsid w:val="00CE7BBB"/>
    <w:rsid w:val="00CF1100"/>
    <w:rsid w:val="00CF11EC"/>
    <w:rsid w:val="00CF1AB4"/>
    <w:rsid w:val="00CF45BA"/>
    <w:rsid w:val="00CF7CA5"/>
    <w:rsid w:val="00D0440D"/>
    <w:rsid w:val="00D053C7"/>
    <w:rsid w:val="00D06934"/>
    <w:rsid w:val="00D06942"/>
    <w:rsid w:val="00D07EE8"/>
    <w:rsid w:val="00D132C5"/>
    <w:rsid w:val="00D15C3C"/>
    <w:rsid w:val="00D169C0"/>
    <w:rsid w:val="00D20109"/>
    <w:rsid w:val="00D20779"/>
    <w:rsid w:val="00D224DB"/>
    <w:rsid w:val="00D2425F"/>
    <w:rsid w:val="00D25025"/>
    <w:rsid w:val="00D26ADC"/>
    <w:rsid w:val="00D3160C"/>
    <w:rsid w:val="00D33928"/>
    <w:rsid w:val="00D33E30"/>
    <w:rsid w:val="00D35F0A"/>
    <w:rsid w:val="00D3619E"/>
    <w:rsid w:val="00D3685A"/>
    <w:rsid w:val="00D4118C"/>
    <w:rsid w:val="00D43B4D"/>
    <w:rsid w:val="00D44716"/>
    <w:rsid w:val="00D46A7A"/>
    <w:rsid w:val="00D475A1"/>
    <w:rsid w:val="00D47865"/>
    <w:rsid w:val="00D47D13"/>
    <w:rsid w:val="00D511EB"/>
    <w:rsid w:val="00D513B7"/>
    <w:rsid w:val="00D536C5"/>
    <w:rsid w:val="00D54BAC"/>
    <w:rsid w:val="00D5539C"/>
    <w:rsid w:val="00D5619C"/>
    <w:rsid w:val="00D56439"/>
    <w:rsid w:val="00D5708A"/>
    <w:rsid w:val="00D60714"/>
    <w:rsid w:val="00D60C97"/>
    <w:rsid w:val="00D62A11"/>
    <w:rsid w:val="00D63B14"/>
    <w:rsid w:val="00D63E0A"/>
    <w:rsid w:val="00D64361"/>
    <w:rsid w:val="00D64838"/>
    <w:rsid w:val="00D65FCD"/>
    <w:rsid w:val="00D67530"/>
    <w:rsid w:val="00D67F41"/>
    <w:rsid w:val="00D72AC1"/>
    <w:rsid w:val="00D73735"/>
    <w:rsid w:val="00D74927"/>
    <w:rsid w:val="00D74E8E"/>
    <w:rsid w:val="00D75483"/>
    <w:rsid w:val="00D77526"/>
    <w:rsid w:val="00D77A92"/>
    <w:rsid w:val="00D77FA8"/>
    <w:rsid w:val="00D82D56"/>
    <w:rsid w:val="00D8339E"/>
    <w:rsid w:val="00D85109"/>
    <w:rsid w:val="00D859E2"/>
    <w:rsid w:val="00D86D26"/>
    <w:rsid w:val="00D87553"/>
    <w:rsid w:val="00D9069A"/>
    <w:rsid w:val="00D914F0"/>
    <w:rsid w:val="00D91D21"/>
    <w:rsid w:val="00D92911"/>
    <w:rsid w:val="00D94460"/>
    <w:rsid w:val="00D94EBE"/>
    <w:rsid w:val="00D960E8"/>
    <w:rsid w:val="00D97576"/>
    <w:rsid w:val="00D97C50"/>
    <w:rsid w:val="00DA05D8"/>
    <w:rsid w:val="00DA0872"/>
    <w:rsid w:val="00DA164C"/>
    <w:rsid w:val="00DA2A39"/>
    <w:rsid w:val="00DA2F2B"/>
    <w:rsid w:val="00DA3445"/>
    <w:rsid w:val="00DA4208"/>
    <w:rsid w:val="00DA4418"/>
    <w:rsid w:val="00DA6A95"/>
    <w:rsid w:val="00DA71FE"/>
    <w:rsid w:val="00DA7777"/>
    <w:rsid w:val="00DB4883"/>
    <w:rsid w:val="00DB517F"/>
    <w:rsid w:val="00DC25AA"/>
    <w:rsid w:val="00DC2FF6"/>
    <w:rsid w:val="00DC398C"/>
    <w:rsid w:val="00DC3C41"/>
    <w:rsid w:val="00DC4B8E"/>
    <w:rsid w:val="00DC57BF"/>
    <w:rsid w:val="00DC797F"/>
    <w:rsid w:val="00DC7A07"/>
    <w:rsid w:val="00DC7C2A"/>
    <w:rsid w:val="00DD0038"/>
    <w:rsid w:val="00DD0194"/>
    <w:rsid w:val="00DD0B56"/>
    <w:rsid w:val="00DD3981"/>
    <w:rsid w:val="00DD451B"/>
    <w:rsid w:val="00DE1674"/>
    <w:rsid w:val="00DE77D3"/>
    <w:rsid w:val="00DE7D88"/>
    <w:rsid w:val="00DF0EAB"/>
    <w:rsid w:val="00DF33A0"/>
    <w:rsid w:val="00DF42D8"/>
    <w:rsid w:val="00DF768B"/>
    <w:rsid w:val="00E01247"/>
    <w:rsid w:val="00E01841"/>
    <w:rsid w:val="00E02272"/>
    <w:rsid w:val="00E02A4B"/>
    <w:rsid w:val="00E032B1"/>
    <w:rsid w:val="00E0350D"/>
    <w:rsid w:val="00E03971"/>
    <w:rsid w:val="00E047C6"/>
    <w:rsid w:val="00E05AFB"/>
    <w:rsid w:val="00E11245"/>
    <w:rsid w:val="00E120F9"/>
    <w:rsid w:val="00E12A8C"/>
    <w:rsid w:val="00E14623"/>
    <w:rsid w:val="00E14670"/>
    <w:rsid w:val="00E16003"/>
    <w:rsid w:val="00E16CB0"/>
    <w:rsid w:val="00E173A8"/>
    <w:rsid w:val="00E212C2"/>
    <w:rsid w:val="00E24D09"/>
    <w:rsid w:val="00E25EEE"/>
    <w:rsid w:val="00E26F4C"/>
    <w:rsid w:val="00E307AC"/>
    <w:rsid w:val="00E30F3A"/>
    <w:rsid w:val="00E31DEC"/>
    <w:rsid w:val="00E32947"/>
    <w:rsid w:val="00E32EBE"/>
    <w:rsid w:val="00E33902"/>
    <w:rsid w:val="00E37F27"/>
    <w:rsid w:val="00E40B5A"/>
    <w:rsid w:val="00E42488"/>
    <w:rsid w:val="00E438FF"/>
    <w:rsid w:val="00E45EDA"/>
    <w:rsid w:val="00E45F2A"/>
    <w:rsid w:val="00E474B0"/>
    <w:rsid w:val="00E5123D"/>
    <w:rsid w:val="00E52B65"/>
    <w:rsid w:val="00E53821"/>
    <w:rsid w:val="00E53964"/>
    <w:rsid w:val="00E540CD"/>
    <w:rsid w:val="00E54461"/>
    <w:rsid w:val="00E5546D"/>
    <w:rsid w:val="00E57BD0"/>
    <w:rsid w:val="00E60365"/>
    <w:rsid w:val="00E60FE5"/>
    <w:rsid w:val="00E65037"/>
    <w:rsid w:val="00E65710"/>
    <w:rsid w:val="00E67DD3"/>
    <w:rsid w:val="00E70CEA"/>
    <w:rsid w:val="00E713DA"/>
    <w:rsid w:val="00E73932"/>
    <w:rsid w:val="00E7425F"/>
    <w:rsid w:val="00E7468A"/>
    <w:rsid w:val="00E74812"/>
    <w:rsid w:val="00E74E14"/>
    <w:rsid w:val="00E758D4"/>
    <w:rsid w:val="00E76E16"/>
    <w:rsid w:val="00E77A1D"/>
    <w:rsid w:val="00E77CA6"/>
    <w:rsid w:val="00E80375"/>
    <w:rsid w:val="00E80DE4"/>
    <w:rsid w:val="00E80EA4"/>
    <w:rsid w:val="00E83498"/>
    <w:rsid w:val="00E83C9B"/>
    <w:rsid w:val="00E862C4"/>
    <w:rsid w:val="00E86EBE"/>
    <w:rsid w:val="00E8768D"/>
    <w:rsid w:val="00E9204D"/>
    <w:rsid w:val="00E9228A"/>
    <w:rsid w:val="00E94CA6"/>
    <w:rsid w:val="00E94F78"/>
    <w:rsid w:val="00E96000"/>
    <w:rsid w:val="00E976F6"/>
    <w:rsid w:val="00E97E45"/>
    <w:rsid w:val="00EA000A"/>
    <w:rsid w:val="00EA1143"/>
    <w:rsid w:val="00EA162E"/>
    <w:rsid w:val="00EA4D94"/>
    <w:rsid w:val="00EA4ECB"/>
    <w:rsid w:val="00EA6C95"/>
    <w:rsid w:val="00EB0897"/>
    <w:rsid w:val="00EB1AAB"/>
    <w:rsid w:val="00EB1B49"/>
    <w:rsid w:val="00EB201A"/>
    <w:rsid w:val="00EB2584"/>
    <w:rsid w:val="00EB3871"/>
    <w:rsid w:val="00EB47BA"/>
    <w:rsid w:val="00EB5309"/>
    <w:rsid w:val="00EB54F1"/>
    <w:rsid w:val="00EB54F3"/>
    <w:rsid w:val="00EB6031"/>
    <w:rsid w:val="00EB674E"/>
    <w:rsid w:val="00EC14C2"/>
    <w:rsid w:val="00EC43E4"/>
    <w:rsid w:val="00EC4730"/>
    <w:rsid w:val="00EC6CCE"/>
    <w:rsid w:val="00EC6FEB"/>
    <w:rsid w:val="00EC7CB9"/>
    <w:rsid w:val="00ED095E"/>
    <w:rsid w:val="00ED0C0C"/>
    <w:rsid w:val="00ED237A"/>
    <w:rsid w:val="00ED2585"/>
    <w:rsid w:val="00ED2888"/>
    <w:rsid w:val="00ED2C44"/>
    <w:rsid w:val="00ED2E25"/>
    <w:rsid w:val="00ED3A9C"/>
    <w:rsid w:val="00EE0602"/>
    <w:rsid w:val="00EE24A9"/>
    <w:rsid w:val="00EE24EE"/>
    <w:rsid w:val="00EE4B12"/>
    <w:rsid w:val="00EE5426"/>
    <w:rsid w:val="00EE61FC"/>
    <w:rsid w:val="00EE682A"/>
    <w:rsid w:val="00EE686F"/>
    <w:rsid w:val="00EE6A94"/>
    <w:rsid w:val="00EE7EF7"/>
    <w:rsid w:val="00EE7F06"/>
    <w:rsid w:val="00EF22F6"/>
    <w:rsid w:val="00EF28EC"/>
    <w:rsid w:val="00EF327E"/>
    <w:rsid w:val="00EF3B97"/>
    <w:rsid w:val="00EF4D9E"/>
    <w:rsid w:val="00EF538A"/>
    <w:rsid w:val="00EF5EA0"/>
    <w:rsid w:val="00EF5F06"/>
    <w:rsid w:val="00F01E43"/>
    <w:rsid w:val="00F10456"/>
    <w:rsid w:val="00F1298D"/>
    <w:rsid w:val="00F1354F"/>
    <w:rsid w:val="00F13FED"/>
    <w:rsid w:val="00F1452A"/>
    <w:rsid w:val="00F14958"/>
    <w:rsid w:val="00F15891"/>
    <w:rsid w:val="00F200A4"/>
    <w:rsid w:val="00F200EA"/>
    <w:rsid w:val="00F203B5"/>
    <w:rsid w:val="00F207B2"/>
    <w:rsid w:val="00F22664"/>
    <w:rsid w:val="00F22922"/>
    <w:rsid w:val="00F24D6C"/>
    <w:rsid w:val="00F251E9"/>
    <w:rsid w:val="00F25211"/>
    <w:rsid w:val="00F254E5"/>
    <w:rsid w:val="00F34189"/>
    <w:rsid w:val="00F35207"/>
    <w:rsid w:val="00F3560B"/>
    <w:rsid w:val="00F35D7E"/>
    <w:rsid w:val="00F3720E"/>
    <w:rsid w:val="00F3757C"/>
    <w:rsid w:val="00F43BB5"/>
    <w:rsid w:val="00F43C4E"/>
    <w:rsid w:val="00F458FA"/>
    <w:rsid w:val="00F45B28"/>
    <w:rsid w:val="00F4632A"/>
    <w:rsid w:val="00F469CA"/>
    <w:rsid w:val="00F508C6"/>
    <w:rsid w:val="00F51F87"/>
    <w:rsid w:val="00F5265D"/>
    <w:rsid w:val="00F54501"/>
    <w:rsid w:val="00F54B9D"/>
    <w:rsid w:val="00F550E4"/>
    <w:rsid w:val="00F57F49"/>
    <w:rsid w:val="00F57F79"/>
    <w:rsid w:val="00F64C9E"/>
    <w:rsid w:val="00F72560"/>
    <w:rsid w:val="00F72E79"/>
    <w:rsid w:val="00F77A66"/>
    <w:rsid w:val="00F80A17"/>
    <w:rsid w:val="00F81909"/>
    <w:rsid w:val="00F83821"/>
    <w:rsid w:val="00F85950"/>
    <w:rsid w:val="00F87E70"/>
    <w:rsid w:val="00F908DA"/>
    <w:rsid w:val="00F9610C"/>
    <w:rsid w:val="00F96A1F"/>
    <w:rsid w:val="00F97D28"/>
    <w:rsid w:val="00FA0619"/>
    <w:rsid w:val="00FA06AC"/>
    <w:rsid w:val="00FA11B6"/>
    <w:rsid w:val="00FA3909"/>
    <w:rsid w:val="00FA401E"/>
    <w:rsid w:val="00FA4A00"/>
    <w:rsid w:val="00FA4F52"/>
    <w:rsid w:val="00FA5469"/>
    <w:rsid w:val="00FA58F2"/>
    <w:rsid w:val="00FA6B3B"/>
    <w:rsid w:val="00FA6E99"/>
    <w:rsid w:val="00FB445D"/>
    <w:rsid w:val="00FB6C93"/>
    <w:rsid w:val="00FB7969"/>
    <w:rsid w:val="00FB7DEC"/>
    <w:rsid w:val="00FC04EF"/>
    <w:rsid w:val="00FC2C59"/>
    <w:rsid w:val="00FC42B4"/>
    <w:rsid w:val="00FC52F4"/>
    <w:rsid w:val="00FC79D8"/>
    <w:rsid w:val="00FC7E65"/>
    <w:rsid w:val="00FD0288"/>
    <w:rsid w:val="00FD06EA"/>
    <w:rsid w:val="00FD1ED9"/>
    <w:rsid w:val="00FD1F6D"/>
    <w:rsid w:val="00FD1FA7"/>
    <w:rsid w:val="00FD59AB"/>
    <w:rsid w:val="00FD6BF2"/>
    <w:rsid w:val="00FE0579"/>
    <w:rsid w:val="00FE073A"/>
    <w:rsid w:val="00FE0E3E"/>
    <w:rsid w:val="00FE2D10"/>
    <w:rsid w:val="00FE4588"/>
    <w:rsid w:val="00FE5098"/>
    <w:rsid w:val="00FE56A9"/>
    <w:rsid w:val="00FE6228"/>
    <w:rsid w:val="00FE645C"/>
    <w:rsid w:val="00FE67BA"/>
    <w:rsid w:val="00FE6EE9"/>
    <w:rsid w:val="00FF0EDC"/>
    <w:rsid w:val="00FF23AB"/>
    <w:rsid w:val="00FF42B4"/>
    <w:rsid w:val="00FF5CBF"/>
    <w:rsid w:val="00FF65BC"/>
    <w:rsid w:val="00FF6C6A"/>
    <w:rsid w:val="00FF6DF8"/>
    <w:rsid w:val="00FF7356"/>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4F9"/>
    <w:pPr>
      <w:spacing w:after="0" w:line="240" w:lineRule="auto"/>
    </w:pPr>
    <w:rPr>
      <w:rFonts w:ascii="Times New Roman" w:eastAsiaTheme="minorEastAsia" w:hAnsi="Times New Roman" w:cs="Times New Roman"/>
      <w:sz w:val="24"/>
      <w:szCs w:val="24"/>
      <w:lang w:val="en-US" w:bidi="en-US"/>
    </w:rPr>
  </w:style>
  <w:style w:type="paragraph" w:styleId="Heading1">
    <w:name w:val="heading 1"/>
    <w:basedOn w:val="Normal"/>
    <w:next w:val="Normal"/>
    <w:link w:val="Heading1Char"/>
    <w:uiPriority w:val="9"/>
    <w:qFormat/>
    <w:rsid w:val="003E64F9"/>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99760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4F9"/>
    <w:rPr>
      <w:rFonts w:asciiTheme="majorHAnsi" w:eastAsiaTheme="majorEastAsia" w:hAnsiTheme="majorHAnsi" w:cstheme="majorBidi"/>
      <w:b/>
      <w:bCs/>
      <w:sz w:val="28"/>
      <w:szCs w:val="28"/>
      <w:lang w:val="en-US" w:bidi="en-US"/>
    </w:rPr>
  </w:style>
  <w:style w:type="paragraph" w:customStyle="1" w:styleId="ParaNumbering">
    <w:name w:val="Para Numbering"/>
    <w:basedOn w:val="Normal"/>
    <w:rsid w:val="00D513B7"/>
    <w:pPr>
      <w:tabs>
        <w:tab w:val="num" w:pos="360"/>
        <w:tab w:val="left" w:pos="567"/>
      </w:tabs>
      <w:spacing w:line="240" w:lineRule="atLeast"/>
    </w:pPr>
    <w:rPr>
      <w:rFonts w:eastAsia="Times New Roman"/>
      <w:szCs w:val="20"/>
      <w:lang w:val="en-AU" w:bidi="ar-SA"/>
    </w:rPr>
  </w:style>
  <w:style w:type="paragraph" w:styleId="ListParagraph">
    <w:name w:val="List Paragraph"/>
    <w:aliases w:val="NFP GP Bulleted List,List Paragraph1,Recommendation,List Paragraph11"/>
    <w:basedOn w:val="Normal"/>
    <w:link w:val="ListParagraphChar"/>
    <w:uiPriority w:val="34"/>
    <w:qFormat/>
    <w:rsid w:val="00D513B7"/>
    <w:pPr>
      <w:ind w:left="720"/>
      <w:contextualSpacing/>
    </w:pPr>
  </w:style>
  <w:style w:type="paragraph" w:styleId="NoSpacing">
    <w:name w:val="No Spacing"/>
    <w:uiPriority w:val="1"/>
    <w:qFormat/>
    <w:rsid w:val="00776EAE"/>
    <w:pPr>
      <w:spacing w:after="0" w:line="240" w:lineRule="auto"/>
    </w:pPr>
    <w:rPr>
      <w:rFonts w:ascii="Times New Roman" w:eastAsiaTheme="minorEastAsia" w:hAnsi="Times New Roman" w:cs="Times New Roman"/>
      <w:sz w:val="24"/>
      <w:szCs w:val="24"/>
      <w:lang w:val="en-US" w:bidi="en-US"/>
    </w:rPr>
  </w:style>
  <w:style w:type="character" w:customStyle="1" w:styleId="Heading2Char">
    <w:name w:val="Heading 2 Char"/>
    <w:basedOn w:val="DefaultParagraphFont"/>
    <w:link w:val="Heading2"/>
    <w:uiPriority w:val="9"/>
    <w:semiHidden/>
    <w:rsid w:val="00997607"/>
    <w:rPr>
      <w:rFonts w:asciiTheme="majorHAnsi" w:eastAsiaTheme="majorEastAsia" w:hAnsiTheme="majorHAnsi" w:cstheme="majorBidi"/>
      <w:b/>
      <w:bCs/>
      <w:color w:val="4F81BD" w:themeColor="accent1"/>
      <w:sz w:val="26"/>
      <w:szCs w:val="26"/>
      <w:lang w:val="en-US" w:bidi="en-US"/>
    </w:rPr>
  </w:style>
  <w:style w:type="paragraph" w:customStyle="1" w:styleId="paranumbering0">
    <w:name w:val="paranumbering"/>
    <w:basedOn w:val="Normal"/>
    <w:uiPriority w:val="99"/>
    <w:rsid w:val="00997607"/>
    <w:pPr>
      <w:spacing w:before="100" w:beforeAutospacing="1" w:after="100" w:afterAutospacing="1"/>
    </w:pPr>
    <w:rPr>
      <w:rFonts w:eastAsiaTheme="minorHAnsi"/>
      <w:lang w:val="en-AU" w:eastAsia="en-AU" w:bidi="ar-SA"/>
    </w:rPr>
  </w:style>
  <w:style w:type="character" w:styleId="CommentReference">
    <w:name w:val="annotation reference"/>
    <w:basedOn w:val="DefaultParagraphFont"/>
    <w:uiPriority w:val="99"/>
    <w:semiHidden/>
    <w:unhideWhenUsed/>
    <w:rsid w:val="00A51D77"/>
    <w:rPr>
      <w:sz w:val="16"/>
      <w:szCs w:val="16"/>
    </w:rPr>
  </w:style>
  <w:style w:type="paragraph" w:styleId="CommentText">
    <w:name w:val="annotation text"/>
    <w:basedOn w:val="Normal"/>
    <w:link w:val="CommentTextChar"/>
    <w:uiPriority w:val="99"/>
    <w:unhideWhenUsed/>
    <w:rsid w:val="00A51D77"/>
    <w:rPr>
      <w:sz w:val="20"/>
      <w:szCs w:val="20"/>
    </w:rPr>
  </w:style>
  <w:style w:type="character" w:customStyle="1" w:styleId="CommentTextChar">
    <w:name w:val="Comment Text Char"/>
    <w:basedOn w:val="DefaultParagraphFont"/>
    <w:link w:val="CommentText"/>
    <w:uiPriority w:val="99"/>
    <w:rsid w:val="00A51D77"/>
    <w:rPr>
      <w:rFonts w:ascii="Times New Roman" w:eastAsiaTheme="minorEastAsia" w:hAnsi="Times New Roman" w:cs="Times New Roman"/>
      <w:sz w:val="20"/>
      <w:szCs w:val="20"/>
      <w:lang w:val="en-US" w:bidi="en-US"/>
    </w:rPr>
  </w:style>
  <w:style w:type="paragraph" w:styleId="BalloonText">
    <w:name w:val="Balloon Text"/>
    <w:basedOn w:val="Normal"/>
    <w:link w:val="BalloonTextChar"/>
    <w:uiPriority w:val="99"/>
    <w:semiHidden/>
    <w:unhideWhenUsed/>
    <w:rsid w:val="00A51D77"/>
    <w:rPr>
      <w:rFonts w:ascii="Tahoma" w:hAnsi="Tahoma" w:cs="Tahoma"/>
      <w:sz w:val="16"/>
      <w:szCs w:val="16"/>
    </w:rPr>
  </w:style>
  <w:style w:type="character" w:customStyle="1" w:styleId="BalloonTextChar">
    <w:name w:val="Balloon Text Char"/>
    <w:basedOn w:val="DefaultParagraphFont"/>
    <w:link w:val="BalloonText"/>
    <w:uiPriority w:val="99"/>
    <w:semiHidden/>
    <w:rsid w:val="00A51D77"/>
    <w:rPr>
      <w:rFonts w:ascii="Tahoma" w:eastAsiaTheme="minorEastAsia" w:hAnsi="Tahoma" w:cs="Tahoma"/>
      <w:sz w:val="16"/>
      <w:szCs w:val="16"/>
      <w:lang w:val="en-US" w:bidi="en-US"/>
    </w:rPr>
  </w:style>
  <w:style w:type="character" w:customStyle="1" w:styleId="ListParagraphChar">
    <w:name w:val="List Paragraph Char"/>
    <w:aliases w:val="NFP GP Bulleted List Char,List Paragraph1 Char,Recommendation Char,List Paragraph11 Char"/>
    <w:basedOn w:val="DefaultParagraphFont"/>
    <w:link w:val="ListParagraph"/>
    <w:uiPriority w:val="34"/>
    <w:rsid w:val="00A6027C"/>
    <w:rPr>
      <w:rFonts w:ascii="Times New Roman" w:eastAsiaTheme="minorEastAsia" w:hAnsi="Times New Roman" w:cs="Times New Roman"/>
      <w:sz w:val="24"/>
      <w:szCs w:val="24"/>
      <w:lang w:val="en-US" w:bidi="en-US"/>
    </w:rPr>
  </w:style>
  <w:style w:type="paragraph" w:styleId="Header">
    <w:name w:val="header"/>
    <w:basedOn w:val="Normal"/>
    <w:link w:val="HeaderChar"/>
    <w:uiPriority w:val="99"/>
    <w:unhideWhenUsed/>
    <w:rsid w:val="00063C9E"/>
    <w:pPr>
      <w:tabs>
        <w:tab w:val="center" w:pos="4513"/>
        <w:tab w:val="right" w:pos="9026"/>
      </w:tabs>
    </w:pPr>
  </w:style>
  <w:style w:type="character" w:customStyle="1" w:styleId="HeaderChar">
    <w:name w:val="Header Char"/>
    <w:basedOn w:val="DefaultParagraphFont"/>
    <w:link w:val="Header"/>
    <w:uiPriority w:val="99"/>
    <w:rsid w:val="00063C9E"/>
    <w:rPr>
      <w:rFonts w:ascii="Times New Roman" w:eastAsiaTheme="minorEastAsia" w:hAnsi="Times New Roman" w:cs="Times New Roman"/>
      <w:sz w:val="24"/>
      <w:szCs w:val="24"/>
      <w:lang w:val="en-US" w:bidi="en-US"/>
    </w:rPr>
  </w:style>
  <w:style w:type="paragraph" w:styleId="Footer">
    <w:name w:val="footer"/>
    <w:basedOn w:val="Normal"/>
    <w:link w:val="FooterChar"/>
    <w:uiPriority w:val="99"/>
    <w:unhideWhenUsed/>
    <w:rsid w:val="00063C9E"/>
    <w:pPr>
      <w:tabs>
        <w:tab w:val="center" w:pos="4513"/>
        <w:tab w:val="right" w:pos="9026"/>
      </w:tabs>
    </w:pPr>
  </w:style>
  <w:style w:type="character" w:customStyle="1" w:styleId="FooterChar">
    <w:name w:val="Footer Char"/>
    <w:basedOn w:val="DefaultParagraphFont"/>
    <w:link w:val="Footer"/>
    <w:uiPriority w:val="99"/>
    <w:rsid w:val="00063C9E"/>
    <w:rPr>
      <w:rFonts w:ascii="Times New Roman" w:eastAsiaTheme="minorEastAsia" w:hAnsi="Times New Roman" w:cs="Times New Roman"/>
      <w:sz w:val="24"/>
      <w:szCs w:val="24"/>
      <w:lang w:val="en-US" w:bidi="en-US"/>
    </w:rPr>
  </w:style>
  <w:style w:type="character" w:customStyle="1" w:styleId="apple-converted-space">
    <w:name w:val="apple-converted-space"/>
    <w:basedOn w:val="DefaultParagraphFont"/>
    <w:rsid w:val="00F203B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34B7A3-123F-454F-83D0-6CB163FCB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2785</Words>
  <Characters>15040</Characters>
  <Application>Microsoft Office Word</Application>
  <DocSecurity>0</DocSecurity>
  <Lines>406</Lines>
  <Paragraphs>200</Paragraphs>
  <ScaleCrop>false</ScaleCrop>
  <HeadingPairs>
    <vt:vector size="2" baseType="variant">
      <vt:variant>
        <vt:lpstr>Title</vt:lpstr>
      </vt:variant>
      <vt:variant>
        <vt:i4>1</vt:i4>
      </vt:variant>
    </vt:vector>
  </HeadingPairs>
  <TitlesOfParts>
    <vt:vector size="1" baseType="lpstr">
      <vt:lpstr/>
    </vt:vector>
  </TitlesOfParts>
  <Company>FINANCE</Company>
  <LinksUpToDate>false</LinksUpToDate>
  <CharactersWithSpaces>17625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Shek</dc:creator>
  <cp:lastModifiedBy>Kira Minary-Bland</cp:lastModifiedBy>
  <cp:revision>2</cp:revision>
  <cp:lastPrinted>2015-06-05T01:02:00Z</cp:lastPrinted>
  <dcterms:created xsi:type="dcterms:W3CDTF">2015-06-18T03:52:00Z</dcterms:created>
  <dcterms:modified xsi:type="dcterms:W3CDTF">2015-06-18T03:52:00Z</dcterms:modified>
</cp:coreProperties>
</file>