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81C" w14:textId="77777777" w:rsidR="00914D5C" w:rsidRPr="005A5476" w:rsidRDefault="00914D5C" w:rsidP="00914D5C">
      <w:pPr>
        <w:spacing w:line="360" w:lineRule="auto"/>
        <w:jc w:val="center"/>
        <w:outlineLvl w:val="0"/>
        <w:rPr>
          <w:rFonts w:ascii="Arial" w:hAnsi="Arial" w:cs="Arial"/>
          <w:b/>
          <w:sz w:val="22"/>
          <w:szCs w:val="22"/>
          <w:lang w:val="en-AU"/>
        </w:rPr>
      </w:pPr>
      <w:r w:rsidRPr="005A5476">
        <w:rPr>
          <w:rFonts w:ascii="Arial" w:hAnsi="Arial" w:cs="Arial"/>
          <w:b/>
          <w:sz w:val="22"/>
          <w:szCs w:val="22"/>
          <w:lang w:val="en-AU"/>
        </w:rPr>
        <w:t>EXPLANATORY STATEMENT</w:t>
      </w:r>
    </w:p>
    <w:p w14:paraId="004EB105" w14:textId="77777777" w:rsidR="00914D5C" w:rsidRPr="005A5476" w:rsidRDefault="00914D5C" w:rsidP="00914D5C">
      <w:pPr>
        <w:spacing w:line="360" w:lineRule="auto"/>
        <w:jc w:val="center"/>
        <w:rPr>
          <w:rFonts w:ascii="Arial" w:hAnsi="Arial" w:cs="Arial"/>
          <w:i/>
          <w:sz w:val="22"/>
          <w:szCs w:val="22"/>
          <w:lang w:val="en-AU"/>
        </w:rPr>
      </w:pPr>
    </w:p>
    <w:p w14:paraId="65E9ADEF" w14:textId="77777777" w:rsidR="00914D5C" w:rsidRDefault="00914D5C" w:rsidP="00914D5C">
      <w:pPr>
        <w:spacing w:line="360" w:lineRule="auto"/>
        <w:jc w:val="center"/>
        <w:outlineLvl w:val="0"/>
        <w:rPr>
          <w:rFonts w:ascii="Arial" w:hAnsi="Arial" w:cs="Arial"/>
          <w:b/>
          <w:sz w:val="22"/>
          <w:szCs w:val="22"/>
          <w:lang w:val="en-AU"/>
        </w:rPr>
      </w:pPr>
      <w:r w:rsidRPr="00897552">
        <w:rPr>
          <w:rFonts w:ascii="Arial" w:hAnsi="Arial" w:cs="Arial"/>
          <w:b/>
          <w:sz w:val="22"/>
          <w:szCs w:val="22"/>
          <w:lang w:val="en-AU"/>
        </w:rPr>
        <w:t>Issued by the Australian Communications and Media Authority</w:t>
      </w:r>
    </w:p>
    <w:p w14:paraId="50C28E9B" w14:textId="77777777" w:rsidR="007B4C22" w:rsidRPr="00F47163" w:rsidRDefault="007B4C22" w:rsidP="00914D5C">
      <w:pPr>
        <w:spacing w:line="360" w:lineRule="auto"/>
        <w:jc w:val="center"/>
        <w:outlineLvl w:val="0"/>
        <w:rPr>
          <w:rFonts w:ascii="Arial" w:hAnsi="Arial" w:cs="Arial"/>
          <w:b/>
          <w:i/>
          <w:sz w:val="22"/>
          <w:szCs w:val="22"/>
          <w:lang w:val="en-AU"/>
        </w:rPr>
      </w:pPr>
      <w:proofErr w:type="spellStart"/>
      <w:r w:rsidRPr="00F47163">
        <w:rPr>
          <w:rFonts w:ascii="Arial" w:hAnsi="Arial" w:cs="Arial"/>
          <w:b/>
          <w:i/>
          <w:sz w:val="22"/>
          <w:szCs w:val="22"/>
          <w:lang w:val="en-AU"/>
        </w:rPr>
        <w:t>Radiocommunications</w:t>
      </w:r>
      <w:proofErr w:type="spellEnd"/>
      <w:r w:rsidRPr="00F47163">
        <w:rPr>
          <w:rFonts w:ascii="Arial" w:hAnsi="Arial" w:cs="Arial"/>
          <w:b/>
          <w:i/>
          <w:sz w:val="22"/>
          <w:szCs w:val="22"/>
          <w:lang w:val="en-AU"/>
        </w:rPr>
        <w:t xml:space="preserve"> Act 1992</w:t>
      </w:r>
    </w:p>
    <w:p w14:paraId="52E59DEF" w14:textId="77777777" w:rsidR="00914D5C" w:rsidRPr="005A5476" w:rsidRDefault="00914D5C" w:rsidP="00914D5C">
      <w:pPr>
        <w:spacing w:line="360" w:lineRule="auto"/>
        <w:jc w:val="center"/>
        <w:rPr>
          <w:rFonts w:ascii="Arial" w:hAnsi="Arial" w:cs="Arial"/>
          <w:i/>
          <w:sz w:val="22"/>
          <w:szCs w:val="22"/>
          <w:lang w:val="en-AU"/>
        </w:rPr>
      </w:pPr>
    </w:p>
    <w:p w14:paraId="4DE8BA8E" w14:textId="77777777" w:rsidR="00914D5C" w:rsidRPr="005A5476" w:rsidRDefault="00B03A90" w:rsidP="00914D5C">
      <w:pPr>
        <w:spacing w:line="360" w:lineRule="auto"/>
        <w:jc w:val="center"/>
        <w:outlineLvl w:val="0"/>
        <w:rPr>
          <w:rFonts w:ascii="Arial" w:hAnsi="Arial" w:cs="Arial"/>
          <w:sz w:val="22"/>
          <w:szCs w:val="22"/>
          <w:lang w:val="en-AU"/>
        </w:rPr>
      </w:pPr>
      <w:proofErr w:type="spellStart"/>
      <w:r>
        <w:rPr>
          <w:rFonts w:ascii="Arial" w:hAnsi="Arial" w:cs="Arial"/>
          <w:i/>
          <w:sz w:val="22"/>
          <w:szCs w:val="22"/>
          <w:lang w:val="en-AU"/>
        </w:rPr>
        <w:t>Radiocommunications</w:t>
      </w:r>
      <w:proofErr w:type="spellEnd"/>
      <w:r>
        <w:rPr>
          <w:rFonts w:ascii="Arial" w:hAnsi="Arial" w:cs="Arial"/>
          <w:i/>
          <w:sz w:val="22"/>
          <w:szCs w:val="22"/>
          <w:lang w:val="en-AU"/>
        </w:rPr>
        <w:t xml:space="preserve"> (Citizen Band Radio Stations) Class Licence 2015</w:t>
      </w:r>
    </w:p>
    <w:p w14:paraId="7449C687" w14:textId="77777777" w:rsidR="00B03A90" w:rsidRDefault="00B03A90" w:rsidP="00914D5C">
      <w:pPr>
        <w:spacing w:line="360" w:lineRule="auto"/>
        <w:outlineLvl w:val="0"/>
        <w:rPr>
          <w:rFonts w:ascii="Arial" w:hAnsi="Arial" w:cs="Arial"/>
          <w:b/>
          <w:sz w:val="22"/>
          <w:szCs w:val="22"/>
          <w:lang w:val="en-AU"/>
        </w:rPr>
      </w:pPr>
    </w:p>
    <w:p w14:paraId="4D522D4A" w14:textId="77777777" w:rsidR="00914D5C" w:rsidRPr="005A5476" w:rsidRDefault="00914D5C" w:rsidP="00914D5C">
      <w:pPr>
        <w:spacing w:line="360" w:lineRule="auto"/>
        <w:outlineLvl w:val="0"/>
        <w:rPr>
          <w:rFonts w:ascii="Arial" w:hAnsi="Arial" w:cs="Arial"/>
          <w:b/>
          <w:sz w:val="22"/>
          <w:szCs w:val="22"/>
          <w:lang w:val="en-AU"/>
        </w:rPr>
      </w:pPr>
      <w:r w:rsidRPr="005A5476">
        <w:rPr>
          <w:rFonts w:ascii="Arial" w:hAnsi="Arial" w:cs="Arial"/>
          <w:b/>
          <w:sz w:val="22"/>
          <w:szCs w:val="22"/>
          <w:lang w:val="en-AU"/>
        </w:rPr>
        <w:t>Purpose</w:t>
      </w:r>
    </w:p>
    <w:p w14:paraId="64A060A6" w14:textId="77777777" w:rsidR="00FD4AD4" w:rsidRPr="00FD4AD4" w:rsidRDefault="00BD5370" w:rsidP="00422C61">
      <w:pPr>
        <w:spacing w:after="240"/>
        <w:rPr>
          <w:rFonts w:ascii="Arial" w:hAnsi="Arial" w:cs="Arial"/>
          <w:sz w:val="20"/>
        </w:rPr>
      </w:pPr>
      <w:r>
        <w:rPr>
          <w:rFonts w:ascii="Arial" w:hAnsi="Arial" w:cs="Arial"/>
          <w:sz w:val="20"/>
        </w:rPr>
        <w:t xml:space="preserve">The </w:t>
      </w:r>
      <w:r w:rsidR="00914D5C">
        <w:rPr>
          <w:rFonts w:ascii="Arial" w:hAnsi="Arial" w:cs="Arial"/>
          <w:sz w:val="20"/>
        </w:rPr>
        <w:t xml:space="preserve">Australian Communications and Media Authority (the </w:t>
      </w:r>
      <w:r w:rsidR="00914D5C" w:rsidRPr="003B1709">
        <w:rPr>
          <w:rFonts w:ascii="Arial" w:hAnsi="Arial" w:cs="Arial"/>
          <w:b/>
          <w:sz w:val="20"/>
        </w:rPr>
        <w:t>ACMA</w:t>
      </w:r>
      <w:r w:rsidR="00914D5C">
        <w:rPr>
          <w:rFonts w:ascii="Arial" w:hAnsi="Arial" w:cs="Arial"/>
          <w:sz w:val="20"/>
        </w:rPr>
        <w:t xml:space="preserve">) </w:t>
      </w:r>
      <w:r w:rsidR="00C0327E">
        <w:rPr>
          <w:rFonts w:ascii="Arial" w:hAnsi="Arial" w:cs="Arial"/>
          <w:sz w:val="20"/>
        </w:rPr>
        <w:t xml:space="preserve">has </w:t>
      </w:r>
      <w:r w:rsidR="00914D5C">
        <w:rPr>
          <w:rFonts w:ascii="Arial" w:hAnsi="Arial" w:cs="Arial"/>
          <w:sz w:val="20"/>
        </w:rPr>
        <w:t xml:space="preserve">made the </w:t>
      </w:r>
      <w:proofErr w:type="spellStart"/>
      <w:r w:rsidR="00B03A90" w:rsidRPr="00B03A90">
        <w:rPr>
          <w:rFonts w:ascii="Arial" w:hAnsi="Arial" w:cs="Arial"/>
          <w:i/>
          <w:sz w:val="20"/>
        </w:rPr>
        <w:t>Radiocommunications</w:t>
      </w:r>
      <w:proofErr w:type="spellEnd"/>
      <w:r w:rsidR="00B03A90" w:rsidRPr="00B03A90">
        <w:rPr>
          <w:rFonts w:ascii="Arial" w:hAnsi="Arial" w:cs="Arial"/>
          <w:i/>
          <w:sz w:val="20"/>
        </w:rPr>
        <w:t xml:space="preserve"> (Citizen Band Radio Stations) Class Licence 2015</w:t>
      </w:r>
      <w:r w:rsidR="00D06775">
        <w:rPr>
          <w:rFonts w:ascii="Arial" w:hAnsi="Arial" w:cs="Arial"/>
          <w:i/>
          <w:sz w:val="20"/>
        </w:rPr>
        <w:t xml:space="preserve"> </w:t>
      </w:r>
      <w:r w:rsidR="00D06775">
        <w:rPr>
          <w:rFonts w:ascii="Arial" w:hAnsi="Arial" w:cs="Arial"/>
          <w:sz w:val="20"/>
        </w:rPr>
        <w:t>(the</w:t>
      </w:r>
      <w:r>
        <w:rPr>
          <w:rFonts w:ascii="Arial" w:hAnsi="Arial" w:cs="Arial"/>
          <w:sz w:val="20"/>
        </w:rPr>
        <w:t xml:space="preserve"> </w:t>
      </w:r>
      <w:r w:rsidRPr="003B1709">
        <w:rPr>
          <w:rFonts w:ascii="Arial" w:hAnsi="Arial" w:cs="Arial"/>
          <w:b/>
          <w:sz w:val="20"/>
        </w:rPr>
        <w:t>Class Licence</w:t>
      </w:r>
      <w:r w:rsidR="00D06775">
        <w:rPr>
          <w:rFonts w:ascii="Arial" w:hAnsi="Arial" w:cs="Arial"/>
          <w:sz w:val="20"/>
        </w:rPr>
        <w:t>)</w:t>
      </w:r>
      <w:r w:rsidR="00B03A90" w:rsidRPr="00B03A90">
        <w:rPr>
          <w:rFonts w:ascii="Arial" w:hAnsi="Arial" w:cs="Arial"/>
          <w:i/>
          <w:sz w:val="20"/>
        </w:rPr>
        <w:t>.</w:t>
      </w:r>
    </w:p>
    <w:p w14:paraId="77A8A84D" w14:textId="57C3B596" w:rsidR="00914D5C" w:rsidRDefault="00914D5C" w:rsidP="00422C61">
      <w:pPr>
        <w:spacing w:after="240"/>
        <w:rPr>
          <w:rFonts w:ascii="Arial" w:hAnsi="Arial" w:cs="Arial"/>
          <w:sz w:val="20"/>
        </w:rPr>
      </w:pPr>
      <w:r>
        <w:rPr>
          <w:rFonts w:ascii="Arial" w:hAnsi="Arial" w:cs="Arial"/>
          <w:sz w:val="20"/>
        </w:rPr>
        <w:t xml:space="preserve">The </w:t>
      </w:r>
      <w:r w:rsidR="00BD5370">
        <w:rPr>
          <w:rFonts w:ascii="Arial" w:hAnsi="Arial" w:cs="Arial"/>
          <w:sz w:val="20"/>
        </w:rPr>
        <w:t xml:space="preserve">Class Licence </w:t>
      </w:r>
      <w:r>
        <w:rPr>
          <w:rFonts w:ascii="Arial" w:hAnsi="Arial" w:cs="Arial"/>
          <w:sz w:val="20"/>
        </w:rPr>
        <w:t xml:space="preserve">revokes and replaces the </w:t>
      </w:r>
      <w:proofErr w:type="spellStart"/>
      <w:r w:rsidR="00B03A90" w:rsidRPr="00897552">
        <w:rPr>
          <w:rFonts w:ascii="Arial" w:hAnsi="Arial" w:cs="Arial"/>
          <w:i/>
          <w:sz w:val="20"/>
        </w:rPr>
        <w:t>Radiocommunications</w:t>
      </w:r>
      <w:proofErr w:type="spellEnd"/>
      <w:r w:rsidR="00B03A90" w:rsidRPr="00897552">
        <w:rPr>
          <w:rFonts w:ascii="Arial" w:hAnsi="Arial" w:cs="Arial"/>
          <w:i/>
          <w:sz w:val="20"/>
        </w:rPr>
        <w:t xml:space="preserve"> (Citizen Band Radio Stations) Class Licence 2002</w:t>
      </w:r>
      <w:r w:rsidR="00B03A90">
        <w:rPr>
          <w:rFonts w:ascii="Arial" w:hAnsi="Arial" w:cs="Arial"/>
          <w:sz w:val="20"/>
        </w:rPr>
        <w:t xml:space="preserve"> </w:t>
      </w:r>
      <w:r w:rsidR="00D06775">
        <w:rPr>
          <w:rFonts w:ascii="Arial" w:hAnsi="Arial" w:cs="Arial"/>
          <w:sz w:val="20"/>
        </w:rPr>
        <w:t xml:space="preserve">(the </w:t>
      </w:r>
      <w:r w:rsidR="00D06775" w:rsidRPr="003B1709">
        <w:rPr>
          <w:rFonts w:ascii="Arial" w:hAnsi="Arial" w:cs="Arial"/>
          <w:b/>
          <w:sz w:val="20"/>
        </w:rPr>
        <w:t xml:space="preserve">2002 </w:t>
      </w:r>
      <w:r w:rsidR="00BD5370" w:rsidRPr="003B1709">
        <w:rPr>
          <w:rFonts w:ascii="Arial" w:hAnsi="Arial" w:cs="Arial"/>
          <w:b/>
          <w:sz w:val="20"/>
        </w:rPr>
        <w:t>Class Licence</w:t>
      </w:r>
      <w:r w:rsidR="00D06775">
        <w:rPr>
          <w:rFonts w:ascii="Arial" w:hAnsi="Arial" w:cs="Arial"/>
          <w:sz w:val="20"/>
        </w:rPr>
        <w:t xml:space="preserve">) </w:t>
      </w:r>
      <w:r>
        <w:rPr>
          <w:rFonts w:ascii="Arial" w:hAnsi="Arial" w:cs="Arial"/>
          <w:sz w:val="20"/>
        </w:rPr>
        <w:t>without making any significant changes to the regulato</w:t>
      </w:r>
      <w:r w:rsidR="00FD4AD4">
        <w:rPr>
          <w:rFonts w:ascii="Arial" w:hAnsi="Arial" w:cs="Arial"/>
          <w:sz w:val="20"/>
        </w:rPr>
        <w:t xml:space="preserve">ry arrangements created by the </w:t>
      </w:r>
      <w:r w:rsidR="00B03A90" w:rsidRPr="007960B4">
        <w:rPr>
          <w:rFonts w:ascii="Arial" w:hAnsi="Arial" w:cs="Arial"/>
          <w:sz w:val="20"/>
        </w:rPr>
        <w:t>2002</w:t>
      </w:r>
      <w:r w:rsidR="003A4E61">
        <w:rPr>
          <w:rFonts w:ascii="Arial" w:hAnsi="Arial" w:cs="Arial"/>
          <w:sz w:val="20"/>
        </w:rPr>
        <w:t xml:space="preserve"> Class Licence</w:t>
      </w:r>
      <w:r w:rsidR="00B03A90">
        <w:rPr>
          <w:rFonts w:ascii="Arial" w:hAnsi="Arial" w:cs="Arial"/>
          <w:sz w:val="20"/>
        </w:rPr>
        <w:t xml:space="preserve">. </w:t>
      </w:r>
    </w:p>
    <w:p w14:paraId="1C4D96AC" w14:textId="77777777" w:rsidR="00914D5C" w:rsidRDefault="00914D5C" w:rsidP="00422C61">
      <w:pPr>
        <w:spacing w:after="240"/>
        <w:rPr>
          <w:rFonts w:ascii="Arial" w:hAnsi="Arial" w:cs="Arial"/>
          <w:sz w:val="20"/>
        </w:rPr>
      </w:pPr>
      <w:r>
        <w:rPr>
          <w:rFonts w:ascii="Arial" w:hAnsi="Arial" w:cs="Arial"/>
          <w:sz w:val="20"/>
        </w:rPr>
        <w:t xml:space="preserve">The ACMA has made the </w:t>
      </w:r>
      <w:r w:rsidR="00BD5370">
        <w:rPr>
          <w:rFonts w:ascii="Arial" w:hAnsi="Arial" w:cs="Arial"/>
          <w:sz w:val="20"/>
        </w:rPr>
        <w:t xml:space="preserve">Class Licence </w:t>
      </w:r>
      <w:r>
        <w:rPr>
          <w:rFonts w:ascii="Arial" w:hAnsi="Arial" w:cs="Arial"/>
          <w:sz w:val="20"/>
        </w:rPr>
        <w:t xml:space="preserve">because the </w:t>
      </w:r>
      <w:r w:rsidR="00B03A90">
        <w:rPr>
          <w:rFonts w:ascii="Arial" w:hAnsi="Arial" w:cs="Arial"/>
          <w:sz w:val="20"/>
        </w:rPr>
        <w:t xml:space="preserve">2002 </w:t>
      </w:r>
      <w:r w:rsidR="002E036C">
        <w:rPr>
          <w:rFonts w:ascii="Arial" w:hAnsi="Arial" w:cs="Arial"/>
          <w:sz w:val="20"/>
        </w:rPr>
        <w:t xml:space="preserve">Class Licence </w:t>
      </w:r>
      <w:r>
        <w:rPr>
          <w:rFonts w:ascii="Arial" w:hAnsi="Arial" w:cs="Arial"/>
          <w:sz w:val="20"/>
        </w:rPr>
        <w:t xml:space="preserve">was due to ‘sunset’ (i.e. be automatically repealed) on 1 </w:t>
      </w:r>
      <w:r w:rsidR="003A7AB2">
        <w:rPr>
          <w:rFonts w:ascii="Arial" w:hAnsi="Arial" w:cs="Arial"/>
          <w:sz w:val="20"/>
        </w:rPr>
        <w:t xml:space="preserve">October </w:t>
      </w:r>
      <w:r>
        <w:rPr>
          <w:rFonts w:ascii="Arial" w:hAnsi="Arial" w:cs="Arial"/>
          <w:sz w:val="20"/>
        </w:rPr>
        <w:t xml:space="preserve">2015, by operation of Part 6 of the </w:t>
      </w:r>
      <w:r w:rsidRPr="00BD05EE">
        <w:rPr>
          <w:rFonts w:ascii="Arial" w:hAnsi="Arial" w:cs="Arial"/>
          <w:i/>
          <w:sz w:val="20"/>
        </w:rPr>
        <w:t>Legislative Instruments Act 2003</w:t>
      </w:r>
      <w:r>
        <w:rPr>
          <w:rFonts w:ascii="Arial" w:hAnsi="Arial" w:cs="Arial"/>
          <w:i/>
          <w:sz w:val="20"/>
        </w:rPr>
        <w:t xml:space="preserve"> </w:t>
      </w:r>
      <w:r w:rsidRPr="0005604B">
        <w:rPr>
          <w:rFonts w:ascii="Arial" w:hAnsi="Arial" w:cs="Arial"/>
          <w:sz w:val="20"/>
        </w:rPr>
        <w:t>(</w:t>
      </w:r>
      <w:r>
        <w:rPr>
          <w:rFonts w:ascii="Arial" w:hAnsi="Arial" w:cs="Arial"/>
          <w:sz w:val="20"/>
        </w:rPr>
        <w:t xml:space="preserve">the </w:t>
      </w:r>
      <w:r w:rsidRPr="00B22257">
        <w:rPr>
          <w:rFonts w:ascii="Arial" w:hAnsi="Arial" w:cs="Arial"/>
          <w:b/>
          <w:sz w:val="20"/>
        </w:rPr>
        <w:t>LIA</w:t>
      </w:r>
      <w:r>
        <w:rPr>
          <w:rFonts w:ascii="Arial" w:hAnsi="Arial" w:cs="Arial"/>
          <w:sz w:val="20"/>
        </w:rPr>
        <w:t>).</w:t>
      </w:r>
    </w:p>
    <w:p w14:paraId="679A1255" w14:textId="5AA4EF03" w:rsidR="00914D5C" w:rsidRDefault="00914D5C" w:rsidP="00422C61">
      <w:pPr>
        <w:spacing w:after="240"/>
        <w:rPr>
          <w:rFonts w:ascii="Arial" w:hAnsi="Arial" w:cs="Arial"/>
          <w:sz w:val="20"/>
        </w:rPr>
      </w:pPr>
      <w:r w:rsidRPr="00C117CF">
        <w:rPr>
          <w:rFonts w:ascii="Arial" w:hAnsi="Arial" w:cs="Arial"/>
          <w:sz w:val="20"/>
        </w:rPr>
        <w:t>Following</w:t>
      </w:r>
      <w:r>
        <w:rPr>
          <w:rFonts w:ascii="Arial" w:hAnsi="Arial" w:cs="Arial"/>
          <w:sz w:val="20"/>
        </w:rPr>
        <w:t xml:space="preserve"> </w:t>
      </w:r>
      <w:r w:rsidRPr="00C117CF">
        <w:rPr>
          <w:rFonts w:ascii="Arial" w:hAnsi="Arial" w:cs="Arial"/>
          <w:sz w:val="20"/>
        </w:rPr>
        <w:t xml:space="preserve">review and consultation as described below, the ACMA formed the view that the </w:t>
      </w:r>
      <w:r w:rsidR="00B03A90">
        <w:rPr>
          <w:rFonts w:ascii="Arial" w:hAnsi="Arial" w:cs="Arial"/>
          <w:sz w:val="20"/>
        </w:rPr>
        <w:t>2002</w:t>
      </w:r>
      <w:r w:rsidR="003A7AB2">
        <w:rPr>
          <w:rFonts w:ascii="Arial" w:hAnsi="Arial" w:cs="Arial"/>
          <w:sz w:val="20"/>
        </w:rPr>
        <w:t xml:space="preserve"> </w:t>
      </w:r>
      <w:r w:rsidR="002E036C">
        <w:rPr>
          <w:rFonts w:ascii="Arial" w:hAnsi="Arial" w:cs="Arial"/>
          <w:sz w:val="20"/>
        </w:rPr>
        <w:t xml:space="preserve">Class Licence </w:t>
      </w:r>
      <w:r w:rsidRPr="00C117CF">
        <w:rPr>
          <w:rFonts w:ascii="Arial" w:hAnsi="Arial" w:cs="Arial"/>
          <w:sz w:val="20"/>
        </w:rPr>
        <w:t>was operating effectively and efficiently</w:t>
      </w:r>
      <w:r>
        <w:rPr>
          <w:rFonts w:ascii="Arial" w:hAnsi="Arial" w:cs="Arial"/>
          <w:sz w:val="20"/>
        </w:rPr>
        <w:t>,</w:t>
      </w:r>
      <w:r w:rsidRPr="00C117CF">
        <w:rPr>
          <w:rFonts w:ascii="Arial" w:hAnsi="Arial" w:cs="Arial"/>
          <w:sz w:val="20"/>
        </w:rPr>
        <w:t xml:space="preserve"> and continued to form a necessary and useful part of the legislative framework</w:t>
      </w:r>
      <w:r>
        <w:rPr>
          <w:rFonts w:ascii="Arial" w:hAnsi="Arial" w:cs="Arial"/>
          <w:sz w:val="20"/>
        </w:rPr>
        <w:t xml:space="preserve">. To preserve the effect of the </w:t>
      </w:r>
      <w:r w:rsidR="00B03A90">
        <w:rPr>
          <w:rFonts w:ascii="Arial" w:hAnsi="Arial" w:cs="Arial"/>
          <w:sz w:val="20"/>
        </w:rPr>
        <w:t>2002</w:t>
      </w:r>
      <w:r w:rsidR="003A7AB2">
        <w:rPr>
          <w:rFonts w:ascii="Arial" w:hAnsi="Arial" w:cs="Arial"/>
          <w:sz w:val="20"/>
        </w:rPr>
        <w:t xml:space="preserve"> </w:t>
      </w:r>
      <w:r w:rsidR="002E036C">
        <w:rPr>
          <w:rFonts w:ascii="Arial" w:hAnsi="Arial" w:cs="Arial"/>
          <w:sz w:val="20"/>
        </w:rPr>
        <w:t>Class Licence</w:t>
      </w:r>
      <w:r>
        <w:rPr>
          <w:rFonts w:ascii="Arial" w:hAnsi="Arial" w:cs="Arial"/>
          <w:sz w:val="20"/>
        </w:rPr>
        <w:t>, the ACMA has</w:t>
      </w:r>
      <w:r w:rsidR="00CD7B5F">
        <w:rPr>
          <w:rFonts w:ascii="Arial" w:hAnsi="Arial" w:cs="Arial"/>
          <w:sz w:val="20"/>
        </w:rPr>
        <w:t>,</w:t>
      </w:r>
      <w:r>
        <w:rPr>
          <w:rFonts w:ascii="Arial" w:hAnsi="Arial" w:cs="Arial"/>
          <w:sz w:val="20"/>
        </w:rPr>
        <w:t xml:space="preserve"> therefore</w:t>
      </w:r>
      <w:r w:rsidR="00CD7B5F">
        <w:rPr>
          <w:rFonts w:ascii="Arial" w:hAnsi="Arial" w:cs="Arial"/>
          <w:sz w:val="20"/>
        </w:rPr>
        <w:t>,</w:t>
      </w:r>
      <w:r>
        <w:rPr>
          <w:rFonts w:ascii="Arial" w:hAnsi="Arial" w:cs="Arial"/>
          <w:sz w:val="20"/>
        </w:rPr>
        <w:t xml:space="preserve"> revoked the </w:t>
      </w:r>
      <w:r w:rsidR="00B03A90">
        <w:rPr>
          <w:rFonts w:ascii="Arial" w:hAnsi="Arial" w:cs="Arial"/>
          <w:sz w:val="20"/>
        </w:rPr>
        <w:t>2002</w:t>
      </w:r>
      <w:r w:rsidR="003A7AB2">
        <w:rPr>
          <w:rFonts w:ascii="Arial" w:hAnsi="Arial" w:cs="Arial"/>
          <w:sz w:val="20"/>
        </w:rPr>
        <w:t xml:space="preserve"> </w:t>
      </w:r>
      <w:r w:rsidR="002E036C">
        <w:rPr>
          <w:rFonts w:ascii="Arial" w:hAnsi="Arial" w:cs="Arial"/>
          <w:sz w:val="20"/>
        </w:rPr>
        <w:t xml:space="preserve">Class Licence </w:t>
      </w:r>
      <w:r>
        <w:rPr>
          <w:rFonts w:ascii="Arial" w:hAnsi="Arial" w:cs="Arial"/>
          <w:sz w:val="20"/>
        </w:rPr>
        <w:t>before it</w:t>
      </w:r>
      <w:r w:rsidR="00AE4E7F">
        <w:rPr>
          <w:rFonts w:ascii="Arial" w:hAnsi="Arial" w:cs="Arial"/>
          <w:sz w:val="20"/>
        </w:rPr>
        <w:t>s</w:t>
      </w:r>
      <w:r>
        <w:rPr>
          <w:rFonts w:ascii="Arial" w:hAnsi="Arial" w:cs="Arial"/>
          <w:sz w:val="20"/>
        </w:rPr>
        <w:t xml:space="preserve"> sunset date and remade it with minor changes as the</w:t>
      </w:r>
      <w:r w:rsidR="00B03A90">
        <w:rPr>
          <w:rFonts w:ascii="Arial" w:hAnsi="Arial" w:cs="Arial"/>
          <w:sz w:val="20"/>
        </w:rPr>
        <w:t xml:space="preserve"> </w:t>
      </w:r>
      <w:r w:rsidR="00E05BF1">
        <w:rPr>
          <w:rFonts w:ascii="Arial" w:hAnsi="Arial" w:cs="Arial"/>
          <w:sz w:val="20"/>
        </w:rPr>
        <w:t>Class Licence</w:t>
      </w:r>
      <w:r w:rsidR="00B03A90">
        <w:rPr>
          <w:rFonts w:ascii="Arial" w:hAnsi="Arial" w:cs="Arial"/>
          <w:sz w:val="20"/>
        </w:rPr>
        <w:t xml:space="preserve">. </w:t>
      </w:r>
    </w:p>
    <w:p w14:paraId="1CBE3C85" w14:textId="77777777" w:rsidR="00914D5C" w:rsidRDefault="00914D5C" w:rsidP="00914D5C">
      <w:pPr>
        <w:spacing w:line="360" w:lineRule="auto"/>
        <w:outlineLvl w:val="0"/>
        <w:rPr>
          <w:rFonts w:ascii="Arial" w:hAnsi="Arial" w:cs="Arial"/>
          <w:b/>
          <w:sz w:val="22"/>
          <w:szCs w:val="22"/>
          <w:lang w:val="en-AU"/>
        </w:rPr>
      </w:pPr>
      <w:r w:rsidRPr="005A5476">
        <w:rPr>
          <w:rFonts w:ascii="Arial" w:hAnsi="Arial" w:cs="Arial"/>
          <w:b/>
          <w:sz w:val="22"/>
          <w:szCs w:val="22"/>
          <w:lang w:val="en-AU"/>
        </w:rPr>
        <w:t>Legislative Provisions</w:t>
      </w:r>
    </w:p>
    <w:p w14:paraId="49247489" w14:textId="210FFE7D" w:rsidR="001418A8" w:rsidRPr="001418A8" w:rsidRDefault="00914D5C" w:rsidP="00422C61">
      <w:pPr>
        <w:spacing w:after="240"/>
        <w:rPr>
          <w:rFonts w:ascii="Arial" w:hAnsi="Arial" w:cs="Arial"/>
          <w:sz w:val="20"/>
        </w:rPr>
      </w:pPr>
      <w:bookmarkStart w:id="0" w:name="_Toc488571218"/>
      <w:r w:rsidRPr="001418A8">
        <w:rPr>
          <w:rFonts w:ascii="Arial" w:hAnsi="Arial" w:cs="Arial"/>
          <w:sz w:val="20"/>
        </w:rPr>
        <w:t xml:space="preserve">The </w:t>
      </w:r>
      <w:r w:rsidR="002E036C">
        <w:rPr>
          <w:rFonts w:ascii="Arial" w:hAnsi="Arial" w:cs="Arial"/>
          <w:sz w:val="20"/>
        </w:rPr>
        <w:t xml:space="preserve">Class Licence </w:t>
      </w:r>
      <w:r w:rsidR="003701F3">
        <w:rPr>
          <w:rFonts w:ascii="Arial" w:hAnsi="Arial" w:cs="Arial"/>
          <w:sz w:val="20"/>
        </w:rPr>
        <w:t>ha</w:t>
      </w:r>
      <w:r w:rsidR="003701F3" w:rsidRPr="001418A8">
        <w:rPr>
          <w:rFonts w:ascii="Arial" w:hAnsi="Arial" w:cs="Arial"/>
          <w:sz w:val="20"/>
        </w:rPr>
        <w:t xml:space="preserve">s </w:t>
      </w:r>
      <w:r w:rsidR="003701F3">
        <w:rPr>
          <w:rFonts w:ascii="Arial" w:hAnsi="Arial" w:cs="Arial"/>
          <w:sz w:val="20"/>
        </w:rPr>
        <w:t xml:space="preserve">been </w:t>
      </w:r>
      <w:r w:rsidRPr="001418A8">
        <w:rPr>
          <w:rFonts w:ascii="Arial" w:hAnsi="Arial" w:cs="Arial"/>
          <w:sz w:val="20"/>
        </w:rPr>
        <w:t xml:space="preserve">made by the ACMA </w:t>
      </w:r>
      <w:r w:rsidR="003701F3">
        <w:rPr>
          <w:rFonts w:ascii="Arial" w:hAnsi="Arial" w:cs="Arial"/>
          <w:sz w:val="20"/>
        </w:rPr>
        <w:t>in accordance with</w:t>
      </w:r>
      <w:r w:rsidR="003701F3" w:rsidRPr="001418A8">
        <w:rPr>
          <w:rFonts w:ascii="Arial" w:hAnsi="Arial" w:cs="Arial"/>
          <w:sz w:val="20"/>
        </w:rPr>
        <w:t xml:space="preserve"> </w:t>
      </w:r>
      <w:r w:rsidR="00B03A90">
        <w:rPr>
          <w:rFonts w:ascii="Arial" w:hAnsi="Arial" w:cs="Arial"/>
          <w:sz w:val="20"/>
        </w:rPr>
        <w:t xml:space="preserve">subsection 132(1) </w:t>
      </w:r>
      <w:bookmarkEnd w:id="0"/>
      <w:r w:rsidRPr="001418A8">
        <w:rPr>
          <w:rFonts w:ascii="Arial" w:hAnsi="Arial" w:cs="Arial"/>
          <w:sz w:val="20"/>
        </w:rPr>
        <w:t xml:space="preserve">of the </w:t>
      </w:r>
      <w:proofErr w:type="spellStart"/>
      <w:r w:rsidRPr="001418A8">
        <w:rPr>
          <w:rFonts w:ascii="Arial" w:hAnsi="Arial" w:cs="Arial"/>
          <w:i/>
          <w:sz w:val="20"/>
        </w:rPr>
        <w:t>Radiocommunications</w:t>
      </w:r>
      <w:proofErr w:type="spellEnd"/>
      <w:r w:rsidRPr="001418A8">
        <w:rPr>
          <w:rFonts w:ascii="Arial" w:hAnsi="Arial" w:cs="Arial"/>
          <w:i/>
          <w:sz w:val="20"/>
        </w:rPr>
        <w:t xml:space="preserve"> Act 1992</w:t>
      </w:r>
      <w:r w:rsidRPr="001418A8">
        <w:rPr>
          <w:rFonts w:ascii="Arial" w:hAnsi="Arial" w:cs="Arial"/>
          <w:sz w:val="20"/>
        </w:rPr>
        <w:t xml:space="preserve"> (the </w:t>
      </w:r>
      <w:r w:rsidRPr="003B1709">
        <w:rPr>
          <w:rFonts w:ascii="Arial" w:hAnsi="Arial" w:cs="Arial"/>
          <w:b/>
          <w:sz w:val="20"/>
        </w:rPr>
        <w:t>Act</w:t>
      </w:r>
      <w:r w:rsidRPr="001418A8">
        <w:rPr>
          <w:rFonts w:ascii="Arial" w:hAnsi="Arial" w:cs="Arial"/>
          <w:sz w:val="20"/>
        </w:rPr>
        <w:t>)</w:t>
      </w:r>
      <w:r w:rsidR="00D9611C">
        <w:rPr>
          <w:rFonts w:ascii="Arial" w:hAnsi="Arial" w:cs="Arial"/>
          <w:sz w:val="20"/>
        </w:rPr>
        <w:t xml:space="preserve"> </w:t>
      </w:r>
      <w:r w:rsidR="00531402">
        <w:rPr>
          <w:rFonts w:ascii="Arial" w:hAnsi="Arial" w:cs="Arial"/>
          <w:sz w:val="20"/>
        </w:rPr>
        <w:t>and</w:t>
      </w:r>
      <w:r w:rsidR="00EE56C5">
        <w:rPr>
          <w:rFonts w:ascii="Arial" w:hAnsi="Arial" w:cs="Arial"/>
          <w:sz w:val="20"/>
        </w:rPr>
        <w:t xml:space="preserve"> in accordance with subsection 33(3) of the </w:t>
      </w:r>
      <w:r w:rsidR="00EE56C5" w:rsidRPr="00F47163">
        <w:rPr>
          <w:rFonts w:ascii="Arial" w:hAnsi="Arial" w:cs="Arial"/>
          <w:i/>
          <w:sz w:val="20"/>
        </w:rPr>
        <w:t>Acts Interpretation Act 1901</w:t>
      </w:r>
      <w:r w:rsidR="00EE56C5">
        <w:rPr>
          <w:rFonts w:ascii="Arial" w:hAnsi="Arial" w:cs="Arial"/>
          <w:sz w:val="20"/>
        </w:rPr>
        <w:t xml:space="preserve"> (the </w:t>
      </w:r>
      <w:r w:rsidR="00EE56C5" w:rsidRPr="00F47163">
        <w:rPr>
          <w:rFonts w:ascii="Arial" w:hAnsi="Arial" w:cs="Arial"/>
          <w:b/>
          <w:sz w:val="20"/>
        </w:rPr>
        <w:t>AIA</w:t>
      </w:r>
      <w:r w:rsidR="00EE56C5">
        <w:rPr>
          <w:rFonts w:ascii="Arial" w:hAnsi="Arial" w:cs="Arial"/>
          <w:sz w:val="20"/>
        </w:rPr>
        <w:t>).</w:t>
      </w:r>
      <w:r w:rsidR="00531402">
        <w:rPr>
          <w:rFonts w:ascii="Arial" w:hAnsi="Arial" w:cs="Arial"/>
          <w:sz w:val="20"/>
        </w:rPr>
        <w:t xml:space="preserve"> </w:t>
      </w:r>
    </w:p>
    <w:p w14:paraId="16978AC8" w14:textId="508F6275" w:rsidR="001418A8" w:rsidRDefault="00A33435" w:rsidP="00422C61">
      <w:pPr>
        <w:spacing w:after="240"/>
        <w:rPr>
          <w:rFonts w:ascii="Arial" w:hAnsi="Arial" w:cs="Arial"/>
          <w:sz w:val="20"/>
        </w:rPr>
      </w:pPr>
      <w:r>
        <w:rPr>
          <w:rFonts w:ascii="Arial" w:hAnsi="Arial" w:cs="Arial"/>
          <w:sz w:val="20"/>
        </w:rPr>
        <w:t xml:space="preserve">Subsection 132(1) of the Act provides that the ACMA, may, by notice published in the </w:t>
      </w:r>
      <w:r w:rsidRPr="00F47163">
        <w:rPr>
          <w:rFonts w:ascii="Arial" w:hAnsi="Arial" w:cs="Arial"/>
          <w:i/>
          <w:sz w:val="20"/>
        </w:rPr>
        <w:t>Gazette</w:t>
      </w:r>
      <w:r>
        <w:rPr>
          <w:rFonts w:ascii="Arial" w:hAnsi="Arial" w:cs="Arial"/>
          <w:sz w:val="20"/>
        </w:rPr>
        <w:t>, issue class licences.</w:t>
      </w:r>
    </w:p>
    <w:p w14:paraId="4EB3DA6B" w14:textId="0472312B" w:rsidR="00914D5C" w:rsidRDefault="00914D5C" w:rsidP="00422C61">
      <w:pPr>
        <w:spacing w:after="240"/>
        <w:rPr>
          <w:rFonts w:ascii="Arial" w:hAnsi="Arial" w:cs="Arial"/>
          <w:sz w:val="20"/>
        </w:rPr>
      </w:pPr>
      <w:r w:rsidRPr="00443987">
        <w:rPr>
          <w:rFonts w:ascii="Arial" w:hAnsi="Arial" w:cs="Arial"/>
          <w:sz w:val="20"/>
        </w:rPr>
        <w:t xml:space="preserve">Subsection 33(3) of the </w:t>
      </w:r>
      <w:r w:rsidR="00E05BF1">
        <w:rPr>
          <w:rFonts w:ascii="Arial" w:hAnsi="Arial" w:cs="Arial"/>
          <w:sz w:val="20"/>
        </w:rPr>
        <w:t>AIA</w:t>
      </w:r>
      <w:r w:rsidRPr="00443987">
        <w:rPr>
          <w:i/>
        </w:rPr>
        <w:t xml:space="preserve"> </w:t>
      </w:r>
      <w:r w:rsidRPr="00443987">
        <w:rPr>
          <w:rFonts w:ascii="Arial" w:hAnsi="Arial" w:cs="Arial"/>
          <w:sz w:val="20"/>
        </w:rPr>
        <w:t>provides that where an Act confers a power to make a legislative instrument, the power shall be construed to include a</w:t>
      </w:r>
      <w:r w:rsidRPr="00443987">
        <w:t xml:space="preserve"> </w:t>
      </w:r>
      <w:r w:rsidRPr="00443987">
        <w:rPr>
          <w:rFonts w:ascii="Arial" w:hAnsi="Arial" w:cs="Arial"/>
          <w:sz w:val="20"/>
        </w:rPr>
        <w:t>power exercisable in the like manner and subject to the like conditions (if any) to repeal, rescind, revoke, amend or vary any such instrument.</w:t>
      </w:r>
    </w:p>
    <w:p w14:paraId="64CF2AD0" w14:textId="77777777" w:rsidR="00914D5C" w:rsidRDefault="00914D5C" w:rsidP="00914D5C">
      <w:pPr>
        <w:keepNext/>
        <w:spacing w:line="360" w:lineRule="auto"/>
        <w:outlineLvl w:val="0"/>
        <w:rPr>
          <w:rFonts w:ascii="Arial" w:hAnsi="Arial" w:cs="Arial"/>
          <w:b/>
          <w:sz w:val="22"/>
          <w:szCs w:val="22"/>
          <w:lang w:val="en-AU"/>
        </w:rPr>
      </w:pPr>
      <w:r w:rsidRPr="00AF179C">
        <w:rPr>
          <w:rFonts w:ascii="Arial" w:hAnsi="Arial" w:cs="Arial"/>
          <w:b/>
          <w:sz w:val="22"/>
          <w:szCs w:val="22"/>
          <w:lang w:val="en-AU"/>
        </w:rPr>
        <w:t>Background</w:t>
      </w:r>
    </w:p>
    <w:p w14:paraId="7AAA55A2" w14:textId="3418D110" w:rsidR="002E036C" w:rsidRPr="002E036C" w:rsidRDefault="002E036C" w:rsidP="002E036C">
      <w:pPr>
        <w:rPr>
          <w:rFonts w:ascii="Arial" w:hAnsi="Arial" w:cs="Arial"/>
          <w:sz w:val="20"/>
          <w:lang w:val="en-US" w:eastAsia="en-US"/>
        </w:rPr>
      </w:pPr>
      <w:r w:rsidRPr="002E036C">
        <w:rPr>
          <w:rFonts w:ascii="Arial" w:hAnsi="Arial" w:cs="Arial"/>
          <w:sz w:val="20"/>
          <w:lang w:val="en-US" w:eastAsia="en-US"/>
        </w:rPr>
        <w:t xml:space="preserve">It is generally a requirement of the Act that the operation of </w:t>
      </w:r>
      <w:proofErr w:type="spellStart"/>
      <w:r w:rsidRPr="002E036C">
        <w:rPr>
          <w:rFonts w:ascii="Arial" w:hAnsi="Arial" w:cs="Arial"/>
          <w:sz w:val="20"/>
          <w:lang w:val="en-US" w:eastAsia="en-US"/>
        </w:rPr>
        <w:t>radiocommunications</w:t>
      </w:r>
      <w:proofErr w:type="spellEnd"/>
      <w:r w:rsidRPr="002E036C">
        <w:rPr>
          <w:rFonts w:ascii="Arial" w:hAnsi="Arial" w:cs="Arial"/>
          <w:sz w:val="20"/>
          <w:lang w:val="en-US" w:eastAsia="en-US"/>
        </w:rPr>
        <w:t xml:space="preserve"> devices within Australia be </w:t>
      </w:r>
      <w:proofErr w:type="spellStart"/>
      <w:r w:rsidRPr="002E036C">
        <w:rPr>
          <w:rFonts w:ascii="Arial" w:hAnsi="Arial" w:cs="Arial"/>
          <w:sz w:val="20"/>
          <w:lang w:val="en-US" w:eastAsia="en-US"/>
        </w:rPr>
        <w:t>authorised</w:t>
      </w:r>
      <w:proofErr w:type="spellEnd"/>
      <w:r w:rsidRPr="002E036C">
        <w:rPr>
          <w:rFonts w:ascii="Arial" w:hAnsi="Arial" w:cs="Arial"/>
          <w:sz w:val="20"/>
          <w:lang w:val="en-US" w:eastAsia="en-US"/>
        </w:rPr>
        <w:t xml:space="preserve"> by a </w:t>
      </w:r>
      <w:r w:rsidR="00196375">
        <w:rPr>
          <w:rFonts w:ascii="Arial" w:hAnsi="Arial" w:cs="Arial"/>
          <w:sz w:val="20"/>
          <w:lang w:val="en-US" w:eastAsia="en-US"/>
        </w:rPr>
        <w:t xml:space="preserve">spectrum </w:t>
      </w:r>
      <w:proofErr w:type="spellStart"/>
      <w:r w:rsidR="00196375">
        <w:rPr>
          <w:rFonts w:ascii="Arial" w:hAnsi="Arial" w:cs="Arial"/>
          <w:sz w:val="20"/>
          <w:lang w:val="en-US" w:eastAsia="en-US"/>
        </w:rPr>
        <w:t>licence</w:t>
      </w:r>
      <w:proofErr w:type="spellEnd"/>
      <w:r w:rsidR="00196375">
        <w:rPr>
          <w:rFonts w:ascii="Arial" w:hAnsi="Arial" w:cs="Arial"/>
          <w:sz w:val="20"/>
          <w:lang w:val="en-US" w:eastAsia="en-US"/>
        </w:rPr>
        <w:t xml:space="preserve">, an apparatus </w:t>
      </w:r>
      <w:proofErr w:type="spellStart"/>
      <w:r w:rsidR="00196375">
        <w:rPr>
          <w:rFonts w:ascii="Arial" w:hAnsi="Arial" w:cs="Arial"/>
          <w:sz w:val="20"/>
          <w:lang w:val="en-US" w:eastAsia="en-US"/>
        </w:rPr>
        <w:t>licence</w:t>
      </w:r>
      <w:proofErr w:type="spellEnd"/>
      <w:r w:rsidR="00196375">
        <w:rPr>
          <w:rFonts w:ascii="Arial" w:hAnsi="Arial" w:cs="Arial"/>
          <w:sz w:val="20"/>
          <w:lang w:val="en-US" w:eastAsia="en-US"/>
        </w:rPr>
        <w:t xml:space="preserve"> or a class </w:t>
      </w:r>
      <w:proofErr w:type="spellStart"/>
      <w:r w:rsidR="00196375">
        <w:rPr>
          <w:rFonts w:ascii="Arial" w:hAnsi="Arial" w:cs="Arial"/>
          <w:sz w:val="20"/>
          <w:lang w:val="en-US" w:eastAsia="en-US"/>
        </w:rPr>
        <w:t>licence</w:t>
      </w:r>
      <w:proofErr w:type="spellEnd"/>
      <w:r w:rsidRPr="002E036C">
        <w:rPr>
          <w:rFonts w:ascii="Arial" w:hAnsi="Arial" w:cs="Arial"/>
          <w:sz w:val="20"/>
          <w:lang w:val="en-US" w:eastAsia="en-US"/>
        </w:rPr>
        <w:t xml:space="preserve">. </w:t>
      </w:r>
    </w:p>
    <w:p w14:paraId="73A43384" w14:textId="77777777" w:rsidR="002E036C" w:rsidRPr="002E036C" w:rsidRDefault="002E036C" w:rsidP="00F47163">
      <w:pPr>
        <w:ind w:firstLine="720"/>
        <w:rPr>
          <w:rFonts w:ascii="Arial" w:hAnsi="Arial" w:cs="Arial"/>
          <w:sz w:val="20"/>
          <w:lang w:val="en-US" w:eastAsia="en-US"/>
        </w:rPr>
      </w:pPr>
    </w:p>
    <w:p w14:paraId="7D593EF8" w14:textId="55550EF9" w:rsidR="002E036C" w:rsidRDefault="00054BBF" w:rsidP="002E036C">
      <w:pPr>
        <w:rPr>
          <w:rFonts w:ascii="Arial" w:hAnsi="Arial" w:cs="Arial"/>
          <w:sz w:val="20"/>
          <w:lang w:val="en-US" w:eastAsia="en-US"/>
        </w:rPr>
      </w:pPr>
      <w:r>
        <w:rPr>
          <w:rFonts w:ascii="Arial" w:hAnsi="Arial" w:cs="Arial"/>
          <w:sz w:val="20"/>
          <w:lang w:val="en-US" w:eastAsia="en-US"/>
        </w:rPr>
        <w:t xml:space="preserve">Class </w:t>
      </w:r>
      <w:proofErr w:type="spellStart"/>
      <w:r>
        <w:rPr>
          <w:rFonts w:ascii="Arial" w:hAnsi="Arial" w:cs="Arial"/>
          <w:sz w:val="20"/>
          <w:lang w:val="en-US" w:eastAsia="en-US"/>
        </w:rPr>
        <w:t>licences</w:t>
      </w:r>
      <w:proofErr w:type="spellEnd"/>
      <w:r>
        <w:rPr>
          <w:rFonts w:ascii="Arial" w:hAnsi="Arial" w:cs="Arial"/>
          <w:sz w:val="20"/>
          <w:lang w:val="en-US" w:eastAsia="en-US"/>
        </w:rPr>
        <w:t xml:space="preserve"> typically </w:t>
      </w:r>
      <w:proofErr w:type="spellStart"/>
      <w:r>
        <w:rPr>
          <w:rFonts w:ascii="Arial" w:hAnsi="Arial" w:cs="Arial"/>
          <w:sz w:val="20"/>
          <w:lang w:val="en-US" w:eastAsia="en-US"/>
        </w:rPr>
        <w:t>author</w:t>
      </w:r>
      <w:r w:rsidR="00171426">
        <w:rPr>
          <w:rFonts w:ascii="Arial" w:hAnsi="Arial" w:cs="Arial"/>
          <w:sz w:val="20"/>
          <w:lang w:val="en-US" w:eastAsia="en-US"/>
        </w:rPr>
        <w:t>i</w:t>
      </w:r>
      <w:r>
        <w:rPr>
          <w:rFonts w:ascii="Arial" w:hAnsi="Arial" w:cs="Arial"/>
          <w:sz w:val="20"/>
          <w:lang w:val="en-US" w:eastAsia="en-US"/>
        </w:rPr>
        <w:t>se</w:t>
      </w:r>
      <w:proofErr w:type="spellEnd"/>
      <w:r>
        <w:rPr>
          <w:rFonts w:ascii="Arial" w:hAnsi="Arial" w:cs="Arial"/>
          <w:sz w:val="20"/>
          <w:lang w:val="en-US" w:eastAsia="en-US"/>
        </w:rPr>
        <w:t xml:space="preserve"> users of designated segments of spectrum to operate on a shared basis</w:t>
      </w:r>
      <w:r w:rsidR="002E036C" w:rsidRPr="002E036C">
        <w:rPr>
          <w:rFonts w:ascii="Arial" w:hAnsi="Arial" w:cs="Arial"/>
          <w:sz w:val="20"/>
          <w:lang w:val="en-US" w:eastAsia="en-US"/>
        </w:rPr>
        <w:t xml:space="preserve">. </w:t>
      </w:r>
      <w:r w:rsidR="00171426">
        <w:rPr>
          <w:rFonts w:ascii="Arial" w:hAnsi="Arial" w:cs="Arial"/>
          <w:sz w:val="20"/>
          <w:lang w:val="en-US" w:eastAsia="en-US"/>
        </w:rPr>
        <w:t xml:space="preserve">Class </w:t>
      </w:r>
      <w:proofErr w:type="spellStart"/>
      <w:r w:rsidR="00171426">
        <w:rPr>
          <w:rFonts w:ascii="Arial" w:hAnsi="Arial" w:cs="Arial"/>
          <w:sz w:val="20"/>
          <w:lang w:val="en-US" w:eastAsia="en-US"/>
        </w:rPr>
        <w:t>licence</w:t>
      </w:r>
      <w:r w:rsidR="00603D1A">
        <w:rPr>
          <w:rFonts w:ascii="Arial" w:hAnsi="Arial" w:cs="Arial"/>
          <w:sz w:val="20"/>
          <w:lang w:val="en-US" w:eastAsia="en-US"/>
        </w:rPr>
        <w:t>s</w:t>
      </w:r>
      <w:proofErr w:type="spellEnd"/>
      <w:r w:rsidR="00171426">
        <w:rPr>
          <w:rFonts w:ascii="Arial" w:hAnsi="Arial" w:cs="Arial"/>
          <w:sz w:val="20"/>
          <w:lang w:val="en-US" w:eastAsia="en-US"/>
        </w:rPr>
        <w:t xml:space="preserve"> can be</w:t>
      </w:r>
      <w:r w:rsidR="002E036C" w:rsidRPr="002E036C">
        <w:rPr>
          <w:rFonts w:ascii="Arial" w:hAnsi="Arial" w:cs="Arial"/>
          <w:sz w:val="20"/>
          <w:lang w:val="en-US" w:eastAsia="en-US"/>
        </w:rPr>
        <w:t xml:space="preserve"> an effective and efficient means of spectrum management for services where a limited set of common frequencies is employed, and equipment is operated under a common set of conditions. A class </w:t>
      </w:r>
      <w:proofErr w:type="spellStart"/>
      <w:r w:rsidR="002E036C" w:rsidRPr="002E036C">
        <w:rPr>
          <w:rFonts w:ascii="Arial" w:hAnsi="Arial" w:cs="Arial"/>
          <w:sz w:val="20"/>
          <w:lang w:val="en-US" w:eastAsia="en-US"/>
        </w:rPr>
        <w:t>licence</w:t>
      </w:r>
      <w:proofErr w:type="spellEnd"/>
      <w:r w:rsidR="002E036C" w:rsidRPr="002E036C">
        <w:rPr>
          <w:rFonts w:ascii="Arial" w:hAnsi="Arial" w:cs="Arial"/>
          <w:sz w:val="20"/>
          <w:lang w:val="en-US" w:eastAsia="en-US"/>
        </w:rPr>
        <w:t xml:space="preserve"> sets out the conditions under which any person is permitted to operate any device to which the class </w:t>
      </w:r>
      <w:proofErr w:type="spellStart"/>
      <w:r w:rsidR="002E036C" w:rsidRPr="002E036C">
        <w:rPr>
          <w:rFonts w:ascii="Arial" w:hAnsi="Arial" w:cs="Arial"/>
          <w:sz w:val="20"/>
          <w:lang w:val="en-US" w:eastAsia="en-US"/>
        </w:rPr>
        <w:t>licence</w:t>
      </w:r>
      <w:proofErr w:type="spellEnd"/>
      <w:r w:rsidR="002E036C" w:rsidRPr="002E036C">
        <w:rPr>
          <w:rFonts w:ascii="Arial" w:hAnsi="Arial" w:cs="Arial"/>
          <w:sz w:val="20"/>
          <w:lang w:val="en-US" w:eastAsia="en-US"/>
        </w:rPr>
        <w:t xml:space="preserve"> is applicable; it is not issued to an individual user, and does not involve the payment of </w:t>
      </w:r>
      <w:proofErr w:type="spellStart"/>
      <w:r w:rsidR="002E036C" w:rsidRPr="002E036C">
        <w:rPr>
          <w:rFonts w:ascii="Arial" w:hAnsi="Arial" w:cs="Arial"/>
          <w:sz w:val="20"/>
          <w:lang w:val="en-US" w:eastAsia="en-US"/>
        </w:rPr>
        <w:t>licence</w:t>
      </w:r>
      <w:proofErr w:type="spellEnd"/>
      <w:r w:rsidR="002E036C" w:rsidRPr="002E036C">
        <w:rPr>
          <w:rFonts w:ascii="Arial" w:hAnsi="Arial" w:cs="Arial"/>
          <w:sz w:val="20"/>
          <w:lang w:val="en-US" w:eastAsia="en-US"/>
        </w:rPr>
        <w:t xml:space="preserve"> fees. </w:t>
      </w:r>
      <w:r w:rsidR="00B11982">
        <w:rPr>
          <w:rFonts w:ascii="Arial" w:hAnsi="Arial" w:cs="Arial"/>
          <w:sz w:val="20"/>
          <w:lang w:val="en-US" w:eastAsia="en-US"/>
        </w:rPr>
        <w:t>Class</w:t>
      </w:r>
      <w:r w:rsidR="00B11982" w:rsidRPr="002E036C">
        <w:rPr>
          <w:rFonts w:ascii="Arial" w:hAnsi="Arial" w:cs="Arial"/>
          <w:sz w:val="20"/>
          <w:lang w:val="en-US" w:eastAsia="en-US"/>
        </w:rPr>
        <w:t xml:space="preserve"> </w:t>
      </w:r>
      <w:proofErr w:type="spellStart"/>
      <w:r w:rsidR="002E036C" w:rsidRPr="002E036C">
        <w:rPr>
          <w:rFonts w:ascii="Arial" w:hAnsi="Arial" w:cs="Arial"/>
          <w:sz w:val="20"/>
          <w:lang w:val="en-US" w:eastAsia="en-US"/>
        </w:rPr>
        <w:t>licences</w:t>
      </w:r>
      <w:proofErr w:type="spellEnd"/>
      <w:r w:rsidR="002E036C" w:rsidRPr="002E036C">
        <w:rPr>
          <w:rFonts w:ascii="Arial" w:hAnsi="Arial" w:cs="Arial"/>
          <w:sz w:val="20"/>
          <w:lang w:val="en-US" w:eastAsia="en-US"/>
        </w:rPr>
        <w:t xml:space="preserve"> are issued by the ACMA and are registered on the Federal Register of Legislative Instruments (</w:t>
      </w:r>
      <w:r w:rsidR="002E036C" w:rsidRPr="00F47163">
        <w:rPr>
          <w:rFonts w:ascii="Arial" w:hAnsi="Arial" w:cs="Arial"/>
          <w:b/>
          <w:sz w:val="20"/>
          <w:lang w:val="en-US" w:eastAsia="en-US"/>
        </w:rPr>
        <w:t>FRLI</w:t>
      </w:r>
      <w:r w:rsidR="002E036C" w:rsidRPr="002E036C">
        <w:rPr>
          <w:rFonts w:ascii="Arial" w:hAnsi="Arial" w:cs="Arial"/>
          <w:sz w:val="20"/>
          <w:lang w:val="en-US" w:eastAsia="en-US"/>
        </w:rPr>
        <w:t>).</w:t>
      </w:r>
    </w:p>
    <w:p w14:paraId="63D19F36" w14:textId="77777777" w:rsidR="004E66D3" w:rsidRDefault="004E66D3" w:rsidP="004E66D3">
      <w:pPr>
        <w:rPr>
          <w:rFonts w:ascii="Arial" w:hAnsi="Arial" w:cs="Arial"/>
          <w:color w:val="000000"/>
          <w:sz w:val="20"/>
        </w:rPr>
      </w:pPr>
    </w:p>
    <w:p w14:paraId="52A0A558" w14:textId="77777777" w:rsidR="002E036C" w:rsidRPr="00F63F09" w:rsidRDefault="002E036C" w:rsidP="00914D5C">
      <w:pPr>
        <w:keepNext/>
        <w:spacing w:line="360" w:lineRule="auto"/>
        <w:outlineLvl w:val="0"/>
        <w:rPr>
          <w:rFonts w:ascii="Arial" w:hAnsi="Arial" w:cs="Arial"/>
          <w:b/>
          <w:sz w:val="22"/>
          <w:szCs w:val="22"/>
          <w:lang w:val="en-AU"/>
        </w:rPr>
      </w:pPr>
    </w:p>
    <w:p w14:paraId="51A38EDB" w14:textId="77777777" w:rsidR="00F47163" w:rsidRDefault="00F47163" w:rsidP="00D61705">
      <w:pPr>
        <w:rPr>
          <w:rFonts w:ascii="Arial" w:hAnsi="Arial" w:cs="Arial"/>
          <w:b/>
          <w:sz w:val="22"/>
          <w:szCs w:val="22"/>
          <w:lang w:val="en-AU"/>
        </w:rPr>
      </w:pPr>
    </w:p>
    <w:p w14:paraId="77F408E4" w14:textId="77777777" w:rsidR="007F5BA6" w:rsidRDefault="00914D5C" w:rsidP="00D61705">
      <w:pPr>
        <w:rPr>
          <w:rFonts w:ascii="Arial" w:hAnsi="Arial" w:cs="Arial"/>
          <w:b/>
          <w:sz w:val="22"/>
          <w:szCs w:val="22"/>
          <w:lang w:val="en-AU"/>
        </w:rPr>
      </w:pPr>
      <w:r w:rsidRPr="00AF179C">
        <w:rPr>
          <w:rFonts w:ascii="Arial" w:hAnsi="Arial" w:cs="Arial"/>
          <w:b/>
          <w:sz w:val="22"/>
          <w:szCs w:val="22"/>
          <w:lang w:val="en-AU"/>
        </w:rPr>
        <w:lastRenderedPageBreak/>
        <w:t>Operation</w:t>
      </w:r>
      <w:r w:rsidR="007F5BA6">
        <w:rPr>
          <w:rFonts w:ascii="Arial" w:hAnsi="Arial" w:cs="Arial"/>
          <w:b/>
          <w:sz w:val="22"/>
          <w:szCs w:val="22"/>
          <w:lang w:val="en-AU"/>
        </w:rPr>
        <w:t xml:space="preserve">    </w:t>
      </w:r>
    </w:p>
    <w:p w14:paraId="6806108E" w14:textId="77777777" w:rsidR="002E036C" w:rsidRDefault="002E036C" w:rsidP="000C06DC">
      <w:pPr>
        <w:snapToGrid w:val="0"/>
        <w:jc w:val="both"/>
        <w:rPr>
          <w:rFonts w:ascii="Arial" w:hAnsi="Arial" w:cs="Arial"/>
          <w:sz w:val="20"/>
          <w:lang w:val="en-AU"/>
        </w:rPr>
      </w:pPr>
    </w:p>
    <w:p w14:paraId="4BB60FFF" w14:textId="2BD4E164" w:rsidR="00002E19" w:rsidRPr="002E036C" w:rsidDel="00BB12B4" w:rsidRDefault="00002E19" w:rsidP="00002E19">
      <w:pPr>
        <w:rPr>
          <w:rFonts w:ascii="Arial" w:hAnsi="Arial" w:cs="Arial"/>
          <w:sz w:val="20"/>
          <w:lang w:val="en-AU"/>
        </w:rPr>
      </w:pPr>
      <w:r w:rsidRPr="009C31DC" w:rsidDel="00BB12B4">
        <w:rPr>
          <w:rFonts w:ascii="Arial" w:hAnsi="Arial" w:cs="Arial"/>
          <w:color w:val="000000"/>
          <w:sz w:val="20"/>
        </w:rPr>
        <w:t xml:space="preserve">The Citizen Band </w:t>
      </w:r>
      <w:r>
        <w:rPr>
          <w:rFonts w:ascii="Arial" w:hAnsi="Arial" w:cs="Arial"/>
          <w:color w:val="000000"/>
          <w:sz w:val="20"/>
        </w:rPr>
        <w:t xml:space="preserve">(CB) </w:t>
      </w:r>
      <w:r w:rsidR="00260812">
        <w:rPr>
          <w:rFonts w:ascii="Arial" w:hAnsi="Arial" w:cs="Arial"/>
          <w:color w:val="000000"/>
          <w:sz w:val="20"/>
        </w:rPr>
        <w:t>r</w:t>
      </w:r>
      <w:r w:rsidRPr="009C31DC" w:rsidDel="00BB12B4">
        <w:rPr>
          <w:rFonts w:ascii="Arial" w:hAnsi="Arial" w:cs="Arial"/>
          <w:color w:val="000000"/>
          <w:sz w:val="20"/>
        </w:rPr>
        <w:t xml:space="preserve">adio </w:t>
      </w:r>
      <w:r w:rsidR="00260812">
        <w:rPr>
          <w:rFonts w:ascii="Arial" w:hAnsi="Arial" w:cs="Arial"/>
          <w:color w:val="000000"/>
          <w:sz w:val="20"/>
        </w:rPr>
        <w:t>s</w:t>
      </w:r>
      <w:r w:rsidRPr="009C31DC" w:rsidDel="00BB12B4">
        <w:rPr>
          <w:rFonts w:ascii="Arial" w:hAnsi="Arial" w:cs="Arial"/>
          <w:color w:val="000000"/>
          <w:sz w:val="20"/>
        </w:rPr>
        <w:t>ervice is a two-way communications service that may be used by any person in Australia</w:t>
      </w:r>
      <w:r w:rsidR="00C878B6">
        <w:rPr>
          <w:rFonts w:ascii="Arial" w:hAnsi="Arial" w:cs="Arial"/>
          <w:color w:val="000000"/>
          <w:sz w:val="20"/>
        </w:rPr>
        <w:t>.</w:t>
      </w:r>
      <w:r w:rsidRPr="009C31DC" w:rsidDel="00BB12B4">
        <w:rPr>
          <w:rFonts w:ascii="Arial" w:hAnsi="Arial" w:cs="Arial"/>
          <w:color w:val="000000"/>
          <w:sz w:val="20"/>
        </w:rPr>
        <w:t xml:space="preserve"> </w:t>
      </w:r>
      <w:r w:rsidRPr="002E036C" w:rsidDel="00BB12B4">
        <w:rPr>
          <w:rFonts w:ascii="Arial" w:hAnsi="Arial" w:cs="Arial"/>
          <w:sz w:val="20"/>
          <w:lang w:val="en-AU"/>
        </w:rPr>
        <w:t xml:space="preserve">The service operates on designated channels in the High Frequency (HF) (26.965 to 27.405 MHz) and Ultra High Frequency (UHF) (476.425 to 477.400 MHz) bands with no exclusive access. It may be used for voice communications or for telemetry and </w:t>
      </w:r>
      <w:proofErr w:type="spellStart"/>
      <w:r w:rsidRPr="002E036C" w:rsidDel="00BB12B4">
        <w:rPr>
          <w:rFonts w:ascii="Arial" w:hAnsi="Arial" w:cs="Arial"/>
          <w:sz w:val="20"/>
          <w:lang w:val="en-AU"/>
        </w:rPr>
        <w:t>telecommand</w:t>
      </w:r>
      <w:proofErr w:type="spellEnd"/>
      <w:r w:rsidRPr="002E036C" w:rsidDel="00BB12B4">
        <w:rPr>
          <w:rFonts w:ascii="Arial" w:hAnsi="Arial" w:cs="Arial"/>
          <w:sz w:val="20"/>
          <w:lang w:val="en-AU"/>
        </w:rPr>
        <w:t xml:space="preserve"> applications. </w:t>
      </w:r>
      <w:r w:rsidDel="00BB12B4">
        <w:rPr>
          <w:rFonts w:ascii="Arial" w:hAnsi="Arial" w:cs="Arial"/>
          <w:sz w:val="20"/>
          <w:lang w:val="en-AU"/>
        </w:rPr>
        <w:t xml:space="preserve">The operation of a CB radio station is subject to the regulatory arrangements set out in the </w:t>
      </w:r>
      <w:r w:rsidR="00843476">
        <w:rPr>
          <w:rFonts w:ascii="Arial" w:hAnsi="Arial" w:cs="Arial"/>
          <w:sz w:val="20"/>
          <w:lang w:val="en-AU"/>
        </w:rPr>
        <w:t>Class Licence</w:t>
      </w:r>
      <w:r w:rsidDel="00BB12B4">
        <w:rPr>
          <w:rFonts w:ascii="Arial" w:hAnsi="Arial" w:cs="Arial"/>
          <w:sz w:val="20"/>
          <w:lang w:val="en-AU"/>
        </w:rPr>
        <w:t xml:space="preserve">. </w:t>
      </w:r>
    </w:p>
    <w:p w14:paraId="22907F82" w14:textId="77777777" w:rsidR="001B7086" w:rsidRDefault="001B7086" w:rsidP="00FD5AFE">
      <w:pPr>
        <w:rPr>
          <w:rFonts w:ascii="Arial" w:hAnsi="Arial" w:cs="Arial"/>
          <w:sz w:val="20"/>
          <w:lang w:val="en-AU"/>
        </w:rPr>
      </w:pPr>
    </w:p>
    <w:p w14:paraId="1C7857D9" w14:textId="20D77799" w:rsidR="001B7086" w:rsidRPr="003925F8" w:rsidRDefault="00993D63" w:rsidP="00FD5AFE">
      <w:pPr>
        <w:rPr>
          <w:rFonts w:ascii="Arial" w:hAnsi="Arial" w:cs="Arial"/>
          <w:color w:val="000000"/>
          <w:sz w:val="20"/>
        </w:rPr>
      </w:pPr>
      <w:r>
        <w:rPr>
          <w:rFonts w:ascii="Arial" w:hAnsi="Arial" w:cs="Arial"/>
          <w:sz w:val="20"/>
          <w:lang w:val="en-AU"/>
        </w:rPr>
        <w:t xml:space="preserve">This </w:t>
      </w:r>
      <w:r w:rsidR="00875556">
        <w:rPr>
          <w:rFonts w:ascii="Arial" w:hAnsi="Arial" w:cs="Arial"/>
          <w:sz w:val="20"/>
          <w:lang w:val="en-AU"/>
        </w:rPr>
        <w:t>Class Licence</w:t>
      </w:r>
      <w:r>
        <w:rPr>
          <w:rFonts w:ascii="Arial" w:hAnsi="Arial" w:cs="Arial"/>
          <w:sz w:val="20"/>
          <w:lang w:val="en-AU"/>
        </w:rPr>
        <w:t xml:space="preserve"> </w:t>
      </w:r>
      <w:r w:rsidR="00875556">
        <w:rPr>
          <w:rFonts w:ascii="Arial" w:hAnsi="Arial" w:cs="Arial"/>
          <w:sz w:val="20"/>
          <w:lang w:val="en-AU"/>
        </w:rPr>
        <w:t xml:space="preserve">authorises the operation of </w:t>
      </w:r>
      <w:r>
        <w:rPr>
          <w:rFonts w:ascii="Arial" w:hAnsi="Arial" w:cs="Arial"/>
          <w:sz w:val="20"/>
          <w:lang w:val="en-AU"/>
        </w:rPr>
        <w:t xml:space="preserve">CB </w:t>
      </w:r>
      <w:r w:rsidR="00875556">
        <w:rPr>
          <w:rFonts w:ascii="Arial" w:hAnsi="Arial" w:cs="Arial"/>
          <w:sz w:val="20"/>
          <w:lang w:val="en-AU"/>
        </w:rPr>
        <w:t>station</w:t>
      </w:r>
      <w:r w:rsidR="00816485">
        <w:rPr>
          <w:rFonts w:ascii="Arial" w:hAnsi="Arial" w:cs="Arial"/>
          <w:sz w:val="20"/>
          <w:lang w:val="en-AU"/>
        </w:rPr>
        <w:t>s</w:t>
      </w:r>
      <w:r w:rsidR="00875556">
        <w:rPr>
          <w:rFonts w:ascii="Arial" w:hAnsi="Arial" w:cs="Arial"/>
          <w:sz w:val="20"/>
          <w:lang w:val="en-AU"/>
        </w:rPr>
        <w:t xml:space="preserve"> </w:t>
      </w:r>
      <w:r w:rsidR="00584CCF">
        <w:rPr>
          <w:rFonts w:ascii="Arial" w:hAnsi="Arial" w:cs="Arial"/>
          <w:sz w:val="20"/>
          <w:lang w:val="en-AU"/>
        </w:rPr>
        <w:t>subject</w:t>
      </w:r>
      <w:r w:rsidR="00313139">
        <w:rPr>
          <w:rFonts w:ascii="Arial" w:hAnsi="Arial" w:cs="Arial"/>
          <w:sz w:val="20"/>
          <w:lang w:val="en-AU"/>
        </w:rPr>
        <w:t xml:space="preserve"> to </w:t>
      </w:r>
      <w:r w:rsidR="00584CCF">
        <w:rPr>
          <w:rFonts w:ascii="Arial" w:hAnsi="Arial" w:cs="Arial"/>
          <w:sz w:val="20"/>
          <w:lang w:val="en-AU"/>
        </w:rPr>
        <w:t xml:space="preserve">compliance </w:t>
      </w:r>
      <w:r w:rsidR="00313139">
        <w:rPr>
          <w:rFonts w:ascii="Arial" w:hAnsi="Arial" w:cs="Arial"/>
          <w:sz w:val="20"/>
          <w:lang w:val="en-AU"/>
        </w:rPr>
        <w:t>with the conditions, operating requirements and technical standard</w:t>
      </w:r>
      <w:r w:rsidR="002F6307">
        <w:rPr>
          <w:rFonts w:ascii="Arial" w:hAnsi="Arial" w:cs="Arial"/>
          <w:sz w:val="20"/>
          <w:lang w:val="en-AU"/>
        </w:rPr>
        <w:t>s</w:t>
      </w:r>
      <w:r w:rsidR="00313139">
        <w:rPr>
          <w:rFonts w:ascii="Arial" w:hAnsi="Arial" w:cs="Arial"/>
          <w:sz w:val="20"/>
          <w:lang w:val="en-AU"/>
        </w:rPr>
        <w:t xml:space="preserve"> set out in the </w:t>
      </w:r>
      <w:r w:rsidR="006F51AE">
        <w:rPr>
          <w:rFonts w:ascii="Arial" w:hAnsi="Arial" w:cs="Arial"/>
          <w:sz w:val="20"/>
          <w:lang w:val="en-AU"/>
        </w:rPr>
        <w:t>Class Licence</w:t>
      </w:r>
      <w:r w:rsidR="00313139">
        <w:rPr>
          <w:rFonts w:ascii="Arial" w:hAnsi="Arial" w:cs="Arial"/>
          <w:sz w:val="20"/>
          <w:lang w:val="en-AU"/>
        </w:rPr>
        <w:t xml:space="preserve">. </w:t>
      </w:r>
    </w:p>
    <w:p w14:paraId="4FCEED75" w14:textId="77777777" w:rsidR="00313139" w:rsidRDefault="00313139" w:rsidP="00422C61">
      <w:pPr>
        <w:keepNext/>
        <w:spacing w:line="360" w:lineRule="auto"/>
        <w:outlineLvl w:val="0"/>
        <w:rPr>
          <w:rFonts w:ascii="Arial" w:hAnsi="Arial" w:cs="Arial"/>
          <w:b/>
          <w:sz w:val="22"/>
          <w:szCs w:val="22"/>
          <w:lang w:val="en-AU"/>
        </w:rPr>
      </w:pPr>
    </w:p>
    <w:p w14:paraId="5078823C" w14:textId="77777777" w:rsidR="00914D5C" w:rsidRPr="00C205B9" w:rsidRDefault="00914D5C" w:rsidP="00422C61">
      <w:pPr>
        <w:keepNext/>
        <w:spacing w:line="360" w:lineRule="auto"/>
        <w:outlineLvl w:val="0"/>
        <w:rPr>
          <w:rFonts w:ascii="Arial" w:hAnsi="Arial" w:cs="Arial"/>
          <w:b/>
          <w:sz w:val="22"/>
          <w:szCs w:val="22"/>
          <w:lang w:val="en-AU"/>
        </w:rPr>
      </w:pPr>
      <w:r w:rsidRPr="00C205B9">
        <w:rPr>
          <w:rFonts w:ascii="Arial" w:hAnsi="Arial" w:cs="Arial"/>
          <w:b/>
          <w:sz w:val="22"/>
          <w:szCs w:val="22"/>
          <w:lang w:val="en-AU"/>
        </w:rPr>
        <w:t>Consultation</w:t>
      </w:r>
    </w:p>
    <w:p w14:paraId="3A2924BE" w14:textId="24CC637A" w:rsidR="00894FB7" w:rsidRDefault="00914D5C" w:rsidP="00FB3B8A">
      <w:pPr>
        <w:spacing w:after="240"/>
        <w:rPr>
          <w:rFonts w:ascii="Arial" w:hAnsi="Arial" w:cs="Arial"/>
          <w:snapToGrid w:val="0"/>
          <w:sz w:val="20"/>
        </w:rPr>
      </w:pPr>
      <w:r w:rsidRPr="00C117CF">
        <w:rPr>
          <w:rFonts w:ascii="Arial" w:hAnsi="Arial" w:cs="Arial"/>
          <w:snapToGrid w:val="0"/>
          <w:sz w:val="20"/>
        </w:rPr>
        <w:t xml:space="preserve">Subsection 17(1) of the LIA requires that, before the ACMA makes a legislative instrument, </w:t>
      </w:r>
      <w:r w:rsidR="00D77B50">
        <w:rPr>
          <w:rFonts w:ascii="Arial" w:hAnsi="Arial" w:cs="Arial"/>
          <w:snapToGrid w:val="0"/>
          <w:sz w:val="20"/>
        </w:rPr>
        <w:t>the ACMA</w:t>
      </w:r>
      <w:r w:rsidR="00D77B50" w:rsidRPr="00C117CF">
        <w:rPr>
          <w:rFonts w:ascii="Arial" w:hAnsi="Arial" w:cs="Arial"/>
          <w:snapToGrid w:val="0"/>
          <w:sz w:val="20"/>
        </w:rPr>
        <w:t xml:space="preserve"> </w:t>
      </w:r>
      <w:r w:rsidR="007A12E5">
        <w:rPr>
          <w:rFonts w:ascii="Arial" w:hAnsi="Arial" w:cs="Arial"/>
          <w:snapToGrid w:val="0"/>
          <w:sz w:val="20"/>
        </w:rPr>
        <w:t>must be satisfied that</w:t>
      </w:r>
      <w:r w:rsidRPr="00C117CF">
        <w:rPr>
          <w:rFonts w:ascii="Arial" w:hAnsi="Arial" w:cs="Arial"/>
          <w:snapToGrid w:val="0"/>
          <w:sz w:val="20"/>
        </w:rPr>
        <w:t xml:space="preserve"> any consultation that the ACMA considers appropriate and reasonably practicable to undertake</w:t>
      </w:r>
      <w:r w:rsidR="007A12E5">
        <w:rPr>
          <w:rFonts w:ascii="Arial" w:hAnsi="Arial" w:cs="Arial"/>
          <w:snapToGrid w:val="0"/>
          <w:sz w:val="20"/>
        </w:rPr>
        <w:t>,</w:t>
      </w:r>
      <w:r w:rsidRPr="00C117CF">
        <w:rPr>
          <w:rFonts w:ascii="Arial" w:hAnsi="Arial" w:cs="Arial"/>
          <w:snapToGrid w:val="0"/>
          <w:sz w:val="20"/>
        </w:rPr>
        <w:t xml:space="preserve"> has been undertaken.</w:t>
      </w:r>
      <w:r w:rsidR="002E036C" w:rsidRPr="002E036C">
        <w:rPr>
          <w:rFonts w:ascii="Arial" w:hAnsi="Arial" w:cs="Arial"/>
          <w:snapToGrid w:val="0"/>
          <w:sz w:val="20"/>
        </w:rPr>
        <w:t xml:space="preserve"> </w:t>
      </w:r>
    </w:p>
    <w:p w14:paraId="57736AE8" w14:textId="0513D9E4" w:rsidR="00914D5C" w:rsidRDefault="00894FB7" w:rsidP="00FB3B8A">
      <w:pPr>
        <w:spacing w:after="240"/>
        <w:rPr>
          <w:rFonts w:ascii="Arial" w:hAnsi="Arial" w:cs="Arial"/>
          <w:snapToGrid w:val="0"/>
          <w:sz w:val="20"/>
        </w:rPr>
      </w:pPr>
      <w:r>
        <w:rPr>
          <w:rFonts w:ascii="Arial" w:hAnsi="Arial" w:cs="Arial"/>
          <w:snapToGrid w:val="0"/>
          <w:sz w:val="20"/>
        </w:rPr>
        <w:t>Pursuant to subsection</w:t>
      </w:r>
      <w:r w:rsidR="009B449B">
        <w:rPr>
          <w:rFonts w:ascii="Arial" w:hAnsi="Arial" w:cs="Arial"/>
          <w:snapToGrid w:val="0"/>
          <w:sz w:val="20"/>
        </w:rPr>
        <w:t>s</w:t>
      </w:r>
      <w:r>
        <w:rPr>
          <w:rFonts w:ascii="Arial" w:hAnsi="Arial" w:cs="Arial"/>
          <w:snapToGrid w:val="0"/>
          <w:sz w:val="20"/>
        </w:rPr>
        <w:t xml:space="preserve"> 136(2) </w:t>
      </w:r>
      <w:r w:rsidR="00D77B50">
        <w:rPr>
          <w:rFonts w:ascii="Arial" w:hAnsi="Arial" w:cs="Arial"/>
          <w:snapToGrid w:val="0"/>
          <w:sz w:val="20"/>
        </w:rPr>
        <w:t xml:space="preserve">and (2A) </w:t>
      </w:r>
      <w:r w:rsidR="004D314E">
        <w:rPr>
          <w:rFonts w:ascii="Arial" w:hAnsi="Arial" w:cs="Arial"/>
          <w:snapToGrid w:val="0"/>
          <w:sz w:val="20"/>
        </w:rPr>
        <w:t>of the Act, b</w:t>
      </w:r>
      <w:r w:rsidR="002E036C">
        <w:rPr>
          <w:rFonts w:ascii="Arial" w:hAnsi="Arial" w:cs="Arial"/>
          <w:snapToGrid w:val="0"/>
          <w:sz w:val="20"/>
        </w:rPr>
        <w:t>efore revoking a class licence, the ACMA must cause to be published</w:t>
      </w:r>
      <w:r w:rsidR="004D314E">
        <w:rPr>
          <w:rFonts w:ascii="Arial" w:hAnsi="Arial" w:cs="Arial"/>
          <w:snapToGrid w:val="0"/>
          <w:sz w:val="20"/>
        </w:rPr>
        <w:t>,</w:t>
      </w:r>
      <w:r w:rsidR="002E036C">
        <w:rPr>
          <w:rFonts w:ascii="Arial" w:hAnsi="Arial" w:cs="Arial"/>
          <w:snapToGrid w:val="0"/>
          <w:sz w:val="20"/>
        </w:rPr>
        <w:t xml:space="preserve"> a </w:t>
      </w:r>
      <w:r w:rsidR="006D6A75">
        <w:rPr>
          <w:rFonts w:ascii="Arial" w:hAnsi="Arial" w:cs="Arial"/>
          <w:snapToGrid w:val="0"/>
          <w:sz w:val="20"/>
        </w:rPr>
        <w:t xml:space="preserve">written </w:t>
      </w:r>
      <w:r w:rsidR="002E036C">
        <w:rPr>
          <w:rFonts w:ascii="Arial" w:hAnsi="Arial" w:cs="Arial"/>
          <w:snapToGrid w:val="0"/>
          <w:sz w:val="20"/>
        </w:rPr>
        <w:t>notice on its website and in one or more forms that are readily accessible to the public</w:t>
      </w:r>
      <w:r w:rsidR="00C4141F">
        <w:rPr>
          <w:rFonts w:ascii="Arial" w:hAnsi="Arial" w:cs="Arial"/>
          <w:snapToGrid w:val="0"/>
          <w:sz w:val="20"/>
        </w:rPr>
        <w:t xml:space="preserve">. That </w:t>
      </w:r>
      <w:r w:rsidR="002E036C">
        <w:rPr>
          <w:rFonts w:ascii="Arial" w:hAnsi="Arial" w:cs="Arial"/>
          <w:snapToGrid w:val="0"/>
          <w:sz w:val="20"/>
        </w:rPr>
        <w:t>notice must</w:t>
      </w:r>
      <w:r w:rsidR="00C4141F">
        <w:rPr>
          <w:rFonts w:ascii="Arial" w:hAnsi="Arial" w:cs="Arial"/>
          <w:snapToGrid w:val="0"/>
          <w:sz w:val="20"/>
        </w:rPr>
        <w:t>:</w:t>
      </w:r>
      <w:r w:rsidR="002E036C">
        <w:rPr>
          <w:rFonts w:ascii="Arial" w:hAnsi="Arial" w:cs="Arial"/>
          <w:snapToGrid w:val="0"/>
          <w:sz w:val="20"/>
        </w:rPr>
        <w:t xml:space="preserve"> state that the ACMA proposes to revoke the licence, set out the licence, and invite interested persons to make representations about the proposed revocation</w:t>
      </w:r>
      <w:r w:rsidR="007D0B25">
        <w:rPr>
          <w:rFonts w:ascii="Arial" w:hAnsi="Arial" w:cs="Arial"/>
          <w:snapToGrid w:val="0"/>
          <w:sz w:val="20"/>
        </w:rPr>
        <w:t>.</w:t>
      </w:r>
      <w:r w:rsidR="009D60D3">
        <w:rPr>
          <w:rFonts w:ascii="Arial" w:hAnsi="Arial" w:cs="Arial"/>
          <w:snapToGrid w:val="0"/>
          <w:sz w:val="20"/>
        </w:rPr>
        <w:t xml:space="preserve"> </w:t>
      </w:r>
    </w:p>
    <w:p w14:paraId="62F6B4DD" w14:textId="659AA0DF" w:rsidR="00914D5C" w:rsidRPr="00C117CF" w:rsidRDefault="00330D45" w:rsidP="00422C61">
      <w:pPr>
        <w:spacing w:after="240"/>
        <w:rPr>
          <w:rFonts w:ascii="Arial" w:hAnsi="Arial" w:cs="Arial"/>
          <w:snapToGrid w:val="0"/>
          <w:sz w:val="20"/>
        </w:rPr>
      </w:pPr>
      <w:r>
        <w:rPr>
          <w:rFonts w:ascii="Arial" w:hAnsi="Arial" w:cs="Arial"/>
          <w:snapToGrid w:val="0"/>
          <w:sz w:val="20"/>
        </w:rPr>
        <w:t>In accordance with the requirements of the LIA and the Act, the</w:t>
      </w:r>
      <w:r w:rsidRPr="00C117CF">
        <w:rPr>
          <w:rFonts w:ascii="Arial" w:hAnsi="Arial" w:cs="Arial"/>
          <w:snapToGrid w:val="0"/>
          <w:sz w:val="20"/>
        </w:rPr>
        <w:t xml:space="preserve"> ACMA </w:t>
      </w:r>
      <w:r>
        <w:rPr>
          <w:rFonts w:ascii="Arial" w:hAnsi="Arial" w:cs="Arial"/>
          <w:snapToGrid w:val="0"/>
          <w:sz w:val="20"/>
        </w:rPr>
        <w:t xml:space="preserve">published a draft version of the Class Licence and an associated consultation paper on its website </w:t>
      </w:r>
      <w:r w:rsidRPr="00251BF2">
        <w:rPr>
          <w:rFonts w:ascii="Arial" w:hAnsi="Arial" w:cs="Arial"/>
          <w:snapToGrid w:val="0"/>
          <w:sz w:val="20"/>
        </w:rPr>
        <w:t xml:space="preserve">between </w:t>
      </w:r>
      <w:r>
        <w:rPr>
          <w:rFonts w:ascii="Arial" w:hAnsi="Arial" w:cs="Arial"/>
          <w:snapToGrid w:val="0"/>
          <w:sz w:val="20"/>
        </w:rPr>
        <w:t xml:space="preserve">17 December 2014 and 6 February 2015. </w:t>
      </w:r>
      <w:r w:rsidRPr="00C117CF">
        <w:rPr>
          <w:rFonts w:ascii="Arial" w:hAnsi="Arial" w:cs="Arial"/>
          <w:snapToGrid w:val="0"/>
          <w:sz w:val="20"/>
        </w:rPr>
        <w:t>Th</w:t>
      </w:r>
      <w:r>
        <w:rPr>
          <w:rFonts w:ascii="Arial" w:hAnsi="Arial" w:cs="Arial"/>
          <w:snapToGrid w:val="0"/>
          <w:sz w:val="20"/>
        </w:rPr>
        <w:t xml:space="preserve">e consultation </w:t>
      </w:r>
      <w:r w:rsidRPr="00C117CF">
        <w:rPr>
          <w:rFonts w:ascii="Arial" w:hAnsi="Arial" w:cs="Arial"/>
          <w:snapToGrid w:val="0"/>
          <w:sz w:val="20"/>
        </w:rPr>
        <w:t xml:space="preserve">paper </w:t>
      </w:r>
      <w:r w:rsidR="005B3434">
        <w:rPr>
          <w:rFonts w:ascii="Arial" w:hAnsi="Arial" w:cs="Arial"/>
          <w:snapToGrid w:val="0"/>
          <w:sz w:val="20"/>
        </w:rPr>
        <w:t xml:space="preserve">set out the 2002 Class Licence, </w:t>
      </w:r>
      <w:r>
        <w:rPr>
          <w:rFonts w:ascii="Arial" w:hAnsi="Arial" w:cs="Arial"/>
          <w:snapToGrid w:val="0"/>
          <w:sz w:val="20"/>
        </w:rPr>
        <w:t xml:space="preserve">the ACMA’s proposal to revoke the 2002 Class Licence and </w:t>
      </w:r>
      <w:r w:rsidRPr="00C117CF">
        <w:rPr>
          <w:rFonts w:ascii="Arial" w:hAnsi="Arial" w:cs="Arial"/>
          <w:snapToGrid w:val="0"/>
          <w:sz w:val="20"/>
        </w:rPr>
        <w:t xml:space="preserve">the ACMA’s preliminary view that the </w:t>
      </w:r>
      <w:r>
        <w:rPr>
          <w:rFonts w:ascii="Arial" w:hAnsi="Arial" w:cs="Arial"/>
          <w:snapToGrid w:val="0"/>
          <w:sz w:val="20"/>
        </w:rPr>
        <w:t xml:space="preserve">2002 Class Licence </w:t>
      </w:r>
      <w:r w:rsidRPr="00C117CF">
        <w:rPr>
          <w:rFonts w:ascii="Arial" w:hAnsi="Arial" w:cs="Arial"/>
          <w:snapToGrid w:val="0"/>
          <w:sz w:val="20"/>
        </w:rPr>
        <w:t>should be remade without any significant changes. Interested parties were invited to comment.</w:t>
      </w:r>
      <w:r w:rsidR="009807CD">
        <w:rPr>
          <w:rFonts w:ascii="Arial" w:hAnsi="Arial" w:cs="Arial"/>
          <w:snapToGrid w:val="0"/>
          <w:sz w:val="20"/>
        </w:rPr>
        <w:t xml:space="preserve"> In addition</w:t>
      </w:r>
      <w:r w:rsidR="00592681">
        <w:rPr>
          <w:rFonts w:ascii="Arial" w:hAnsi="Arial" w:cs="Arial"/>
          <w:snapToGrid w:val="0"/>
          <w:sz w:val="20"/>
        </w:rPr>
        <w:t>,</w:t>
      </w:r>
      <w:r w:rsidR="009807CD">
        <w:rPr>
          <w:rFonts w:ascii="Arial" w:hAnsi="Arial" w:cs="Arial"/>
          <w:snapToGrid w:val="0"/>
          <w:sz w:val="20"/>
          <w:lang w:val="en-US" w:eastAsia="en-US"/>
        </w:rPr>
        <w:t xml:space="preserve"> </w:t>
      </w:r>
      <w:r w:rsidR="00592681">
        <w:rPr>
          <w:rFonts w:ascii="Arial" w:hAnsi="Arial" w:cs="Arial"/>
          <w:snapToGrid w:val="0"/>
          <w:sz w:val="20"/>
          <w:lang w:val="en-US" w:eastAsia="en-US"/>
        </w:rPr>
        <w:t>t</w:t>
      </w:r>
      <w:r w:rsidR="00572997" w:rsidRPr="007D0B25">
        <w:rPr>
          <w:rFonts w:ascii="Arial" w:hAnsi="Arial" w:cs="Arial"/>
          <w:snapToGrid w:val="0"/>
          <w:sz w:val="20"/>
          <w:lang w:val="en-US" w:eastAsia="en-US"/>
        </w:rPr>
        <w:t>he</w:t>
      </w:r>
      <w:r w:rsidR="007D0B25" w:rsidRPr="007D0B25">
        <w:rPr>
          <w:rFonts w:ascii="Arial" w:hAnsi="Arial" w:cs="Arial"/>
          <w:snapToGrid w:val="0"/>
          <w:sz w:val="20"/>
          <w:lang w:val="en-US" w:eastAsia="en-US"/>
        </w:rPr>
        <w:t xml:space="preserve"> ACMA published a notice in the </w:t>
      </w:r>
      <w:r w:rsidR="007D0B25" w:rsidRPr="007D0B25">
        <w:rPr>
          <w:rFonts w:ascii="Arial" w:hAnsi="Arial" w:cs="Arial"/>
          <w:i/>
          <w:snapToGrid w:val="0"/>
          <w:sz w:val="20"/>
          <w:lang w:val="en-US" w:eastAsia="en-US"/>
        </w:rPr>
        <w:t>Gazette</w:t>
      </w:r>
      <w:r w:rsidR="007D0B25" w:rsidRPr="007D0B25">
        <w:rPr>
          <w:rFonts w:ascii="Arial" w:hAnsi="Arial" w:cs="Arial"/>
          <w:snapToGrid w:val="0"/>
          <w:sz w:val="20"/>
          <w:lang w:val="en-US" w:eastAsia="en-US"/>
        </w:rPr>
        <w:t xml:space="preserve"> on </w:t>
      </w:r>
      <w:r w:rsidR="0068629B">
        <w:rPr>
          <w:rFonts w:ascii="Arial" w:hAnsi="Arial" w:cs="Arial"/>
          <w:snapToGrid w:val="0"/>
          <w:sz w:val="20"/>
          <w:lang w:val="en-US" w:eastAsia="en-US"/>
        </w:rPr>
        <w:t>2 January 201</w:t>
      </w:r>
      <w:r w:rsidR="00D6378C">
        <w:rPr>
          <w:rFonts w:ascii="Arial" w:hAnsi="Arial" w:cs="Arial"/>
          <w:snapToGrid w:val="0"/>
          <w:sz w:val="20"/>
          <w:lang w:val="en-US" w:eastAsia="en-US"/>
        </w:rPr>
        <w:t>5</w:t>
      </w:r>
      <w:r w:rsidR="007D0B25" w:rsidRPr="007D0B25">
        <w:rPr>
          <w:rFonts w:ascii="Arial" w:hAnsi="Arial" w:cs="Arial"/>
          <w:snapToGrid w:val="0"/>
          <w:sz w:val="20"/>
          <w:lang w:val="en-US" w:eastAsia="en-US"/>
        </w:rPr>
        <w:t> </w:t>
      </w:r>
      <w:r w:rsidR="00E238D9">
        <w:rPr>
          <w:rFonts w:ascii="Arial" w:hAnsi="Arial" w:cs="Arial"/>
          <w:snapToGrid w:val="0"/>
          <w:sz w:val="20"/>
          <w:lang w:val="en-US" w:eastAsia="en-US"/>
        </w:rPr>
        <w:t xml:space="preserve">that set out the terms of the 2002 Class </w:t>
      </w:r>
      <w:proofErr w:type="spellStart"/>
      <w:r w:rsidR="00E238D9">
        <w:rPr>
          <w:rFonts w:ascii="Arial" w:hAnsi="Arial" w:cs="Arial"/>
          <w:snapToGrid w:val="0"/>
          <w:sz w:val="20"/>
          <w:lang w:val="en-US" w:eastAsia="en-US"/>
        </w:rPr>
        <w:t>Licence</w:t>
      </w:r>
      <w:proofErr w:type="spellEnd"/>
      <w:r w:rsidR="00E238D9">
        <w:rPr>
          <w:rFonts w:ascii="Arial" w:hAnsi="Arial" w:cs="Arial"/>
          <w:snapToGrid w:val="0"/>
          <w:sz w:val="20"/>
          <w:lang w:val="en-US" w:eastAsia="en-US"/>
        </w:rPr>
        <w:t xml:space="preserve">, </w:t>
      </w:r>
      <w:r w:rsidR="007D0B25" w:rsidRPr="007D0B25">
        <w:rPr>
          <w:rFonts w:ascii="Arial" w:hAnsi="Arial" w:cs="Arial"/>
          <w:snapToGrid w:val="0"/>
          <w:sz w:val="20"/>
          <w:lang w:val="en-US" w:eastAsia="en-US"/>
        </w:rPr>
        <w:t>advising that it proposed to revoke the 200</w:t>
      </w:r>
      <w:r w:rsidR="007D0B25">
        <w:rPr>
          <w:rFonts w:ascii="Arial" w:hAnsi="Arial" w:cs="Arial"/>
          <w:snapToGrid w:val="0"/>
          <w:sz w:val="20"/>
          <w:lang w:val="en-US" w:eastAsia="en-US"/>
        </w:rPr>
        <w:t>2</w:t>
      </w:r>
      <w:r w:rsidR="007D0B25" w:rsidRPr="007D0B25">
        <w:rPr>
          <w:rFonts w:ascii="Arial" w:hAnsi="Arial" w:cs="Arial"/>
          <w:snapToGrid w:val="0"/>
          <w:sz w:val="20"/>
          <w:lang w:val="en-US" w:eastAsia="en-US"/>
        </w:rPr>
        <w:t xml:space="preserve"> Class </w:t>
      </w:r>
      <w:proofErr w:type="spellStart"/>
      <w:r w:rsidR="007D0B25" w:rsidRPr="007D0B25">
        <w:rPr>
          <w:rFonts w:ascii="Arial" w:hAnsi="Arial" w:cs="Arial"/>
          <w:snapToGrid w:val="0"/>
          <w:sz w:val="20"/>
          <w:lang w:val="en-US" w:eastAsia="en-US"/>
        </w:rPr>
        <w:t>Licence</w:t>
      </w:r>
      <w:proofErr w:type="spellEnd"/>
      <w:r w:rsidR="007D0B25" w:rsidRPr="007D0B25">
        <w:rPr>
          <w:rFonts w:ascii="Arial" w:hAnsi="Arial" w:cs="Arial"/>
          <w:snapToGrid w:val="0"/>
          <w:sz w:val="20"/>
          <w:lang w:val="en-US" w:eastAsia="en-US"/>
        </w:rPr>
        <w:t xml:space="preserve"> and remake it in substantially the same form</w:t>
      </w:r>
      <w:r w:rsidR="00E238D9">
        <w:rPr>
          <w:rFonts w:ascii="Arial" w:hAnsi="Arial" w:cs="Arial"/>
          <w:snapToGrid w:val="0"/>
          <w:sz w:val="20"/>
          <w:lang w:val="en-US" w:eastAsia="en-US"/>
        </w:rPr>
        <w:t xml:space="preserve"> and inviting interested person</w:t>
      </w:r>
      <w:r w:rsidR="00603D1A">
        <w:rPr>
          <w:rFonts w:ascii="Arial" w:hAnsi="Arial" w:cs="Arial"/>
          <w:snapToGrid w:val="0"/>
          <w:sz w:val="20"/>
          <w:lang w:val="en-US" w:eastAsia="en-US"/>
        </w:rPr>
        <w:t>s</w:t>
      </w:r>
      <w:r w:rsidR="00E238D9">
        <w:rPr>
          <w:rFonts w:ascii="Arial" w:hAnsi="Arial" w:cs="Arial"/>
          <w:snapToGrid w:val="0"/>
          <w:sz w:val="20"/>
          <w:lang w:val="en-US" w:eastAsia="en-US"/>
        </w:rPr>
        <w:t xml:space="preserve"> to make representations about the proposed revocation.</w:t>
      </w:r>
      <w:r w:rsidR="00CD7B5F">
        <w:rPr>
          <w:rFonts w:ascii="Arial" w:hAnsi="Arial" w:cs="Arial"/>
          <w:snapToGrid w:val="0"/>
          <w:sz w:val="20"/>
          <w:lang w:val="en-US" w:eastAsia="en-US"/>
        </w:rPr>
        <w:t xml:space="preserve"> </w:t>
      </w:r>
      <w:r w:rsidR="00914D5C">
        <w:rPr>
          <w:rFonts w:ascii="Arial" w:hAnsi="Arial" w:cs="Arial"/>
          <w:snapToGrid w:val="0"/>
          <w:sz w:val="20"/>
        </w:rPr>
        <w:t>T</w:t>
      </w:r>
      <w:r w:rsidR="00914D5C" w:rsidRPr="00C117CF">
        <w:rPr>
          <w:rFonts w:ascii="Arial" w:hAnsi="Arial" w:cs="Arial"/>
          <w:snapToGrid w:val="0"/>
          <w:sz w:val="20"/>
        </w:rPr>
        <w:t xml:space="preserve">he ACMA received </w:t>
      </w:r>
      <w:r w:rsidR="00B72CDE">
        <w:rPr>
          <w:rFonts w:ascii="Arial" w:hAnsi="Arial" w:cs="Arial"/>
          <w:snapToGrid w:val="0"/>
          <w:sz w:val="20"/>
        </w:rPr>
        <w:t>two</w:t>
      </w:r>
      <w:r w:rsidR="00075B39">
        <w:rPr>
          <w:rFonts w:ascii="Arial" w:hAnsi="Arial" w:cs="Arial"/>
          <w:snapToGrid w:val="0"/>
          <w:sz w:val="20"/>
        </w:rPr>
        <w:t xml:space="preserve"> </w:t>
      </w:r>
      <w:r w:rsidR="007F5BA6">
        <w:rPr>
          <w:rFonts w:ascii="Arial" w:hAnsi="Arial" w:cs="Arial"/>
          <w:snapToGrid w:val="0"/>
          <w:sz w:val="20"/>
        </w:rPr>
        <w:t xml:space="preserve">supportive </w:t>
      </w:r>
      <w:r w:rsidR="00914D5C" w:rsidRPr="00C117CF">
        <w:rPr>
          <w:rFonts w:ascii="Arial" w:hAnsi="Arial" w:cs="Arial"/>
          <w:snapToGrid w:val="0"/>
          <w:sz w:val="20"/>
        </w:rPr>
        <w:t>submission</w:t>
      </w:r>
      <w:r w:rsidR="00B72CDE">
        <w:rPr>
          <w:rFonts w:ascii="Arial" w:hAnsi="Arial" w:cs="Arial"/>
          <w:snapToGrid w:val="0"/>
          <w:sz w:val="20"/>
        </w:rPr>
        <w:t>s</w:t>
      </w:r>
      <w:r w:rsidR="00914D5C" w:rsidRPr="00C117CF">
        <w:rPr>
          <w:rFonts w:ascii="Arial" w:hAnsi="Arial" w:cs="Arial"/>
          <w:snapToGrid w:val="0"/>
          <w:sz w:val="20"/>
        </w:rPr>
        <w:t xml:space="preserve"> in response to t</w:t>
      </w:r>
      <w:r w:rsidR="00914D5C">
        <w:rPr>
          <w:rFonts w:ascii="Arial" w:hAnsi="Arial" w:cs="Arial"/>
          <w:snapToGrid w:val="0"/>
          <w:sz w:val="20"/>
        </w:rPr>
        <w:t>he consultation paper</w:t>
      </w:r>
      <w:r w:rsidR="007F5BA6">
        <w:rPr>
          <w:rFonts w:ascii="Arial" w:hAnsi="Arial" w:cs="Arial"/>
          <w:snapToGrid w:val="0"/>
          <w:sz w:val="20"/>
        </w:rPr>
        <w:t>.</w:t>
      </w:r>
      <w:r w:rsidR="00914D5C">
        <w:rPr>
          <w:rFonts w:ascii="Arial" w:hAnsi="Arial" w:cs="Arial"/>
          <w:snapToGrid w:val="0"/>
          <w:sz w:val="20"/>
        </w:rPr>
        <w:t xml:space="preserve"> </w:t>
      </w:r>
    </w:p>
    <w:p w14:paraId="2D855B60" w14:textId="77777777" w:rsidR="00914D5C" w:rsidRPr="001211CC" w:rsidRDefault="00914D5C" w:rsidP="00914D5C">
      <w:pPr>
        <w:spacing w:line="360" w:lineRule="auto"/>
        <w:outlineLvl w:val="0"/>
        <w:rPr>
          <w:rFonts w:ascii="Arial" w:hAnsi="Arial" w:cs="Arial"/>
          <w:b/>
          <w:sz w:val="22"/>
          <w:szCs w:val="22"/>
        </w:rPr>
      </w:pPr>
      <w:r w:rsidRPr="006773A9">
        <w:rPr>
          <w:rFonts w:ascii="Arial" w:hAnsi="Arial" w:cs="Arial"/>
          <w:b/>
          <w:sz w:val="22"/>
          <w:szCs w:val="22"/>
          <w:lang w:val="en-AU"/>
        </w:rPr>
        <w:t>R</w:t>
      </w:r>
      <w:proofErr w:type="spellStart"/>
      <w:r w:rsidRPr="001211CC">
        <w:rPr>
          <w:rFonts w:ascii="Arial" w:hAnsi="Arial" w:cs="Arial"/>
          <w:b/>
          <w:sz w:val="22"/>
          <w:szCs w:val="22"/>
        </w:rPr>
        <w:t>egulatory</w:t>
      </w:r>
      <w:proofErr w:type="spellEnd"/>
      <w:r w:rsidRPr="001211CC">
        <w:rPr>
          <w:rFonts w:ascii="Arial" w:hAnsi="Arial" w:cs="Arial"/>
          <w:b/>
          <w:sz w:val="22"/>
          <w:szCs w:val="22"/>
        </w:rPr>
        <w:t xml:space="preserve"> Impact </w:t>
      </w:r>
    </w:p>
    <w:p w14:paraId="700F4A96" w14:textId="073F8F91" w:rsidR="00914D5C" w:rsidRPr="006E1DE9" w:rsidRDefault="00914D5C" w:rsidP="00422C61">
      <w:pPr>
        <w:spacing w:after="240"/>
        <w:rPr>
          <w:rFonts w:ascii="Arial" w:hAnsi="Arial" w:cs="Arial"/>
          <w:sz w:val="20"/>
        </w:rPr>
      </w:pPr>
      <w:r w:rsidRPr="00C117CF">
        <w:rPr>
          <w:rFonts w:ascii="Arial" w:hAnsi="Arial" w:cs="Arial"/>
          <w:snapToGrid w:val="0"/>
          <w:sz w:val="20"/>
        </w:rPr>
        <w:t xml:space="preserve">Under the Guidance Note </w:t>
      </w:r>
      <w:proofErr w:type="spellStart"/>
      <w:r w:rsidRPr="00C117CF">
        <w:rPr>
          <w:rFonts w:ascii="Arial" w:hAnsi="Arial" w:cs="Arial"/>
          <w:i/>
          <w:snapToGrid w:val="0"/>
          <w:sz w:val="20"/>
        </w:rPr>
        <w:t>Sunsetting</w:t>
      </w:r>
      <w:proofErr w:type="spellEnd"/>
      <w:r w:rsidRPr="00C117CF">
        <w:rPr>
          <w:rFonts w:ascii="Arial" w:hAnsi="Arial" w:cs="Arial"/>
          <w:i/>
          <w:snapToGrid w:val="0"/>
          <w:sz w:val="20"/>
        </w:rPr>
        <w:t xml:space="preserve"> Legislation </w:t>
      </w:r>
      <w:r w:rsidRPr="00C117CF">
        <w:rPr>
          <w:rFonts w:ascii="Arial" w:hAnsi="Arial" w:cs="Arial"/>
          <w:snapToGrid w:val="0"/>
          <w:sz w:val="20"/>
        </w:rPr>
        <w:t>published by the Office of Best Practice Regulation (</w:t>
      </w:r>
      <w:r w:rsidRPr="003B1709">
        <w:rPr>
          <w:rFonts w:ascii="Arial" w:hAnsi="Arial" w:cs="Arial"/>
          <w:b/>
          <w:snapToGrid w:val="0"/>
          <w:sz w:val="20"/>
        </w:rPr>
        <w:t>OBPR</w:t>
      </w:r>
      <w:r w:rsidRPr="00C117CF">
        <w:rPr>
          <w:rFonts w:ascii="Arial" w:hAnsi="Arial" w:cs="Arial"/>
          <w:snapToGrid w:val="0"/>
          <w:sz w:val="20"/>
        </w:rPr>
        <w:t xml:space="preserve">) in </w:t>
      </w:r>
      <w:r w:rsidR="00F47163">
        <w:rPr>
          <w:rFonts w:ascii="Arial" w:hAnsi="Arial" w:cs="Arial"/>
          <w:snapToGrid w:val="0"/>
          <w:sz w:val="20"/>
        </w:rPr>
        <w:t>July</w:t>
      </w:r>
      <w:r w:rsidRPr="00C117CF">
        <w:rPr>
          <w:rFonts w:ascii="Arial" w:hAnsi="Arial" w:cs="Arial"/>
          <w:snapToGrid w:val="0"/>
          <w:sz w:val="20"/>
        </w:rPr>
        <w:t xml:space="preserve"> 201</w:t>
      </w:r>
      <w:r w:rsidR="00F47163">
        <w:rPr>
          <w:rFonts w:ascii="Arial" w:hAnsi="Arial" w:cs="Arial"/>
          <w:snapToGrid w:val="0"/>
          <w:sz w:val="20"/>
        </w:rPr>
        <w:t>4</w:t>
      </w:r>
      <w:r w:rsidRPr="00C117CF">
        <w:rPr>
          <w:rFonts w:ascii="Arial" w:hAnsi="Arial" w:cs="Arial"/>
          <w:snapToGrid w:val="0"/>
          <w:sz w:val="20"/>
        </w:rPr>
        <w:t xml:space="preserve">, streamlined administrative processes apply to </w:t>
      </w:r>
      <w:proofErr w:type="spellStart"/>
      <w:r w:rsidRPr="00C117CF">
        <w:rPr>
          <w:rFonts w:ascii="Arial" w:hAnsi="Arial" w:cs="Arial"/>
          <w:snapToGrid w:val="0"/>
          <w:sz w:val="20"/>
        </w:rPr>
        <w:t>sunsetting</w:t>
      </w:r>
      <w:proofErr w:type="spellEnd"/>
      <w:r w:rsidRPr="00C117CF">
        <w:rPr>
          <w:rFonts w:ascii="Arial" w:hAnsi="Arial" w:cs="Arial"/>
          <w:snapToGrid w:val="0"/>
          <w:sz w:val="20"/>
        </w:rPr>
        <w:t xml:space="preserve"> legislative instruments. As the ACMA has determined that the </w:t>
      </w:r>
      <w:r w:rsidR="00583194">
        <w:rPr>
          <w:rFonts w:ascii="Arial" w:hAnsi="Arial" w:cs="Arial"/>
          <w:snapToGrid w:val="0"/>
          <w:sz w:val="20"/>
        </w:rPr>
        <w:t>2002</w:t>
      </w:r>
      <w:r w:rsidR="00283610">
        <w:rPr>
          <w:rFonts w:ascii="Arial" w:hAnsi="Arial" w:cs="Arial"/>
          <w:snapToGrid w:val="0"/>
          <w:sz w:val="20"/>
        </w:rPr>
        <w:t xml:space="preserve"> </w:t>
      </w:r>
      <w:r w:rsidR="007D0B25">
        <w:rPr>
          <w:rFonts w:ascii="Arial" w:hAnsi="Arial" w:cs="Arial"/>
          <w:snapToGrid w:val="0"/>
          <w:sz w:val="20"/>
        </w:rPr>
        <w:t xml:space="preserve">Class Licence </w:t>
      </w:r>
      <w:r w:rsidRPr="00C117CF">
        <w:rPr>
          <w:rFonts w:ascii="Arial" w:hAnsi="Arial" w:cs="Arial"/>
          <w:snapToGrid w:val="0"/>
          <w:sz w:val="20"/>
        </w:rPr>
        <w:t>was fit for purpose and should be remade without any significant changes, and has certified those matters to OBPR, no Regulation Impact Statement</w:t>
      </w:r>
      <w:r>
        <w:rPr>
          <w:rFonts w:ascii="Arial" w:hAnsi="Arial" w:cs="Arial"/>
          <w:snapToGrid w:val="0"/>
          <w:sz w:val="20"/>
        </w:rPr>
        <w:t xml:space="preserve"> (RIS)</w:t>
      </w:r>
      <w:r w:rsidRPr="00C117CF">
        <w:rPr>
          <w:rFonts w:ascii="Arial" w:hAnsi="Arial" w:cs="Arial"/>
          <w:snapToGrid w:val="0"/>
          <w:sz w:val="20"/>
        </w:rPr>
        <w:t xml:space="preserve"> is required</w:t>
      </w:r>
      <w:r>
        <w:rPr>
          <w:rFonts w:ascii="Arial" w:hAnsi="Arial" w:cs="Arial"/>
          <w:snapToGrid w:val="0"/>
          <w:sz w:val="20"/>
        </w:rPr>
        <w:t xml:space="preserve"> in relation to the </w:t>
      </w:r>
      <w:r w:rsidR="007F5BA6">
        <w:rPr>
          <w:rFonts w:ascii="Arial" w:hAnsi="Arial" w:cs="Arial"/>
          <w:snapToGrid w:val="0"/>
          <w:sz w:val="20"/>
        </w:rPr>
        <w:t>re</w:t>
      </w:r>
      <w:r>
        <w:rPr>
          <w:rFonts w:ascii="Arial" w:hAnsi="Arial" w:cs="Arial"/>
          <w:snapToGrid w:val="0"/>
          <w:sz w:val="20"/>
        </w:rPr>
        <w:t xml:space="preserve">making of the </w:t>
      </w:r>
      <w:r w:rsidR="00583194">
        <w:rPr>
          <w:rFonts w:ascii="Arial" w:hAnsi="Arial" w:cs="Arial"/>
          <w:snapToGrid w:val="0"/>
          <w:sz w:val="20"/>
        </w:rPr>
        <w:t>Instrument</w:t>
      </w:r>
      <w:r w:rsidRPr="006E1DE9">
        <w:rPr>
          <w:rFonts w:ascii="Arial" w:hAnsi="Arial" w:cs="Arial"/>
          <w:sz w:val="20"/>
        </w:rPr>
        <w:t>.</w:t>
      </w:r>
      <w:r w:rsidR="00BC28AF">
        <w:rPr>
          <w:rFonts w:ascii="Arial" w:hAnsi="Arial" w:cs="Arial"/>
          <w:sz w:val="20"/>
        </w:rPr>
        <w:t xml:space="preserve"> The OBPR reference number is </w:t>
      </w:r>
      <w:r w:rsidR="00603C97">
        <w:rPr>
          <w:rFonts w:ascii="Arial" w:hAnsi="Arial" w:cs="Arial"/>
          <w:sz w:val="20"/>
        </w:rPr>
        <w:t>17545</w:t>
      </w:r>
      <w:r w:rsidRPr="006E1DE9">
        <w:rPr>
          <w:rFonts w:ascii="Arial" w:hAnsi="Arial" w:cs="Arial"/>
          <w:sz w:val="20"/>
        </w:rPr>
        <w:t>.</w:t>
      </w:r>
    </w:p>
    <w:p w14:paraId="15AD5F18" w14:textId="77777777" w:rsidR="00914D5C" w:rsidRPr="005A5476" w:rsidRDefault="00914D5C" w:rsidP="00914D5C">
      <w:pPr>
        <w:spacing w:line="360" w:lineRule="auto"/>
        <w:outlineLvl w:val="0"/>
        <w:rPr>
          <w:rFonts w:ascii="Arial" w:hAnsi="Arial" w:cs="Arial"/>
          <w:b/>
          <w:sz w:val="22"/>
          <w:szCs w:val="22"/>
          <w:lang w:val="en-AU"/>
        </w:rPr>
      </w:pPr>
      <w:r w:rsidRPr="005A5476">
        <w:rPr>
          <w:rFonts w:ascii="Arial" w:hAnsi="Arial" w:cs="Arial"/>
          <w:b/>
          <w:sz w:val="22"/>
          <w:szCs w:val="22"/>
          <w:lang w:val="en-AU"/>
        </w:rPr>
        <w:t>Detailed Description of the Instrument</w:t>
      </w:r>
    </w:p>
    <w:p w14:paraId="3725E646" w14:textId="77777777" w:rsidR="00914D5C" w:rsidRDefault="00914D5C" w:rsidP="00422C61">
      <w:pPr>
        <w:spacing w:after="240"/>
        <w:outlineLvl w:val="0"/>
        <w:rPr>
          <w:rFonts w:ascii="Arial" w:hAnsi="Arial" w:cs="Arial"/>
          <w:sz w:val="20"/>
          <w:lang w:val="en-AU"/>
        </w:rPr>
      </w:pPr>
      <w:r w:rsidRPr="005029D3">
        <w:rPr>
          <w:rFonts w:ascii="Arial" w:hAnsi="Arial" w:cs="Arial"/>
          <w:sz w:val="20"/>
          <w:lang w:val="en-AU"/>
        </w:rPr>
        <w:t xml:space="preserve">Details of the </w:t>
      </w:r>
      <w:r w:rsidR="007D0B25">
        <w:rPr>
          <w:rFonts w:ascii="Arial" w:hAnsi="Arial" w:cs="Arial"/>
          <w:sz w:val="20"/>
          <w:lang w:val="en-AU"/>
        </w:rPr>
        <w:t>Class Licence</w:t>
      </w:r>
      <w:r w:rsidR="00603C97">
        <w:rPr>
          <w:rFonts w:ascii="Arial" w:hAnsi="Arial" w:cs="Arial"/>
          <w:sz w:val="20"/>
          <w:lang w:val="en-AU"/>
        </w:rPr>
        <w:t xml:space="preserve"> </w:t>
      </w:r>
      <w:r w:rsidRPr="005029D3">
        <w:rPr>
          <w:rFonts w:ascii="Arial" w:hAnsi="Arial" w:cs="Arial"/>
          <w:sz w:val="20"/>
          <w:lang w:val="en-AU"/>
        </w:rPr>
        <w:t xml:space="preserve">are set out in </w:t>
      </w:r>
      <w:r w:rsidRPr="005029D3">
        <w:rPr>
          <w:rFonts w:ascii="Arial" w:hAnsi="Arial" w:cs="Arial"/>
          <w:b/>
          <w:sz w:val="20"/>
          <w:lang w:val="en-AU"/>
        </w:rPr>
        <w:t>Attachment A</w:t>
      </w:r>
      <w:r w:rsidRPr="005029D3">
        <w:rPr>
          <w:rFonts w:ascii="Arial" w:hAnsi="Arial" w:cs="Arial"/>
          <w:sz w:val="20"/>
          <w:lang w:val="en-AU"/>
        </w:rPr>
        <w:t>.</w:t>
      </w:r>
    </w:p>
    <w:p w14:paraId="43FFDB01" w14:textId="77777777" w:rsidR="007D0B25" w:rsidRDefault="007D0B25" w:rsidP="007D0B25">
      <w:pPr>
        <w:spacing w:line="360" w:lineRule="auto"/>
        <w:outlineLvl w:val="0"/>
        <w:rPr>
          <w:rFonts w:ascii="Arial" w:hAnsi="Arial" w:cs="Arial"/>
          <w:b/>
          <w:sz w:val="22"/>
          <w:szCs w:val="22"/>
          <w:lang w:val="en-AU" w:eastAsia="en-US"/>
        </w:rPr>
      </w:pPr>
      <w:r w:rsidRPr="007D0B25">
        <w:rPr>
          <w:rFonts w:ascii="Arial" w:hAnsi="Arial" w:cs="Arial"/>
          <w:b/>
          <w:sz w:val="22"/>
          <w:szCs w:val="22"/>
          <w:lang w:val="en-AU" w:eastAsia="en-US"/>
        </w:rPr>
        <w:t xml:space="preserve">Documents Incorporated in the Instrument by Reference </w:t>
      </w:r>
    </w:p>
    <w:p w14:paraId="49818B75" w14:textId="77777777" w:rsidR="00927D2C" w:rsidRPr="00494D41" w:rsidRDefault="00927D2C" w:rsidP="00927D2C">
      <w:pPr>
        <w:pStyle w:val="ACMABulletLevel1"/>
        <w:numPr>
          <w:ilvl w:val="0"/>
          <w:numId w:val="0"/>
        </w:numPr>
        <w:jc w:val="both"/>
        <w:rPr>
          <w:rFonts w:ascii="Arial" w:eastAsia="Calibri" w:hAnsi="Arial" w:cs="Arial"/>
          <w:snapToGrid w:val="0"/>
          <w:sz w:val="20"/>
        </w:rPr>
      </w:pPr>
      <w:r w:rsidRPr="00494D41">
        <w:rPr>
          <w:rFonts w:ascii="Arial" w:eastAsia="Calibri" w:hAnsi="Arial" w:cs="Arial"/>
          <w:snapToGrid w:val="0"/>
          <w:sz w:val="20"/>
        </w:rPr>
        <w:t xml:space="preserve">The </w:t>
      </w:r>
      <w:r>
        <w:rPr>
          <w:rFonts w:ascii="Arial" w:hAnsi="Arial" w:cs="Arial"/>
          <w:sz w:val="20"/>
        </w:rPr>
        <w:t>Class Licence</w:t>
      </w:r>
      <w:r w:rsidRPr="00494D41">
        <w:rPr>
          <w:rFonts w:ascii="Arial" w:eastAsia="Calibri" w:hAnsi="Arial" w:cs="Arial"/>
          <w:snapToGrid w:val="0"/>
          <w:sz w:val="20"/>
        </w:rPr>
        <w:t xml:space="preserve"> incorporate</w:t>
      </w:r>
      <w:r>
        <w:rPr>
          <w:rFonts w:ascii="Arial" w:eastAsia="Calibri" w:hAnsi="Arial" w:cs="Arial"/>
          <w:snapToGrid w:val="0"/>
          <w:sz w:val="20"/>
        </w:rPr>
        <w:t>s,</w:t>
      </w:r>
      <w:r w:rsidRPr="00494D41">
        <w:rPr>
          <w:rFonts w:ascii="Arial" w:eastAsia="Calibri" w:hAnsi="Arial" w:cs="Arial"/>
          <w:snapToGrid w:val="0"/>
          <w:sz w:val="20"/>
        </w:rPr>
        <w:t xml:space="preserve"> by reference</w:t>
      </w:r>
      <w:r>
        <w:rPr>
          <w:rFonts w:ascii="Arial" w:eastAsia="Calibri" w:hAnsi="Arial" w:cs="Arial"/>
          <w:snapToGrid w:val="0"/>
          <w:sz w:val="20"/>
        </w:rPr>
        <w:t>,</w:t>
      </w:r>
      <w:r w:rsidRPr="00494D41">
        <w:rPr>
          <w:rFonts w:ascii="Arial" w:eastAsia="Calibri" w:hAnsi="Arial" w:cs="Arial"/>
          <w:snapToGrid w:val="0"/>
          <w:sz w:val="20"/>
        </w:rPr>
        <w:t xml:space="preserve"> the following documents as in force from time to time or otherwise refer to them:</w:t>
      </w:r>
    </w:p>
    <w:p w14:paraId="0552B22C" w14:textId="77777777" w:rsidR="00927D2C" w:rsidRDefault="00927D2C" w:rsidP="00927D2C">
      <w:pPr>
        <w:pStyle w:val="ListParagraph"/>
        <w:numPr>
          <w:ilvl w:val="0"/>
          <w:numId w:val="21"/>
        </w:numPr>
        <w:outlineLvl w:val="0"/>
        <w:rPr>
          <w:rFonts w:ascii="Arial" w:hAnsi="Arial" w:cs="Arial"/>
          <w:i/>
          <w:snapToGrid w:val="0"/>
          <w:sz w:val="20"/>
          <w:szCs w:val="20"/>
        </w:rPr>
      </w:pPr>
      <w:proofErr w:type="spellStart"/>
      <w:r w:rsidRPr="00494D41">
        <w:rPr>
          <w:rFonts w:ascii="Arial" w:hAnsi="Arial" w:cs="Arial"/>
          <w:i/>
          <w:snapToGrid w:val="0"/>
          <w:sz w:val="20"/>
          <w:szCs w:val="20"/>
        </w:rPr>
        <w:t>Radiocommunications</w:t>
      </w:r>
      <w:proofErr w:type="spellEnd"/>
      <w:r w:rsidRPr="00494D41">
        <w:rPr>
          <w:rFonts w:ascii="Arial" w:hAnsi="Arial" w:cs="Arial"/>
          <w:i/>
          <w:snapToGrid w:val="0"/>
          <w:sz w:val="20"/>
          <w:szCs w:val="20"/>
        </w:rPr>
        <w:t xml:space="preserve"> Act 1992</w:t>
      </w:r>
    </w:p>
    <w:p w14:paraId="5089FD7A" w14:textId="77777777" w:rsidR="00A40F1E" w:rsidRDefault="00A40F1E" w:rsidP="00927D2C">
      <w:pPr>
        <w:pStyle w:val="ListParagraph"/>
        <w:numPr>
          <w:ilvl w:val="0"/>
          <w:numId w:val="21"/>
        </w:numPr>
        <w:outlineLvl w:val="0"/>
        <w:rPr>
          <w:rFonts w:ascii="Arial" w:hAnsi="Arial" w:cs="Arial"/>
          <w:i/>
          <w:snapToGrid w:val="0"/>
          <w:sz w:val="20"/>
          <w:szCs w:val="20"/>
        </w:rPr>
      </w:pPr>
      <w:proofErr w:type="spellStart"/>
      <w:r>
        <w:rPr>
          <w:rFonts w:ascii="Arial" w:hAnsi="Arial" w:cs="Arial"/>
          <w:i/>
          <w:snapToGrid w:val="0"/>
          <w:sz w:val="20"/>
          <w:szCs w:val="20"/>
        </w:rPr>
        <w:t>Radiocommunications</w:t>
      </w:r>
      <w:proofErr w:type="spellEnd"/>
      <w:r>
        <w:rPr>
          <w:rFonts w:ascii="Arial" w:hAnsi="Arial" w:cs="Arial"/>
          <w:i/>
          <w:snapToGrid w:val="0"/>
          <w:sz w:val="20"/>
          <w:szCs w:val="20"/>
        </w:rPr>
        <w:t xml:space="preserve"> Regulations 1993</w:t>
      </w:r>
    </w:p>
    <w:p w14:paraId="74D6A6D2" w14:textId="77777777" w:rsidR="00A40F1E" w:rsidRDefault="008F63AE" w:rsidP="008F63AE">
      <w:pPr>
        <w:pStyle w:val="ListParagraph"/>
        <w:numPr>
          <w:ilvl w:val="0"/>
          <w:numId w:val="21"/>
        </w:numPr>
        <w:outlineLvl w:val="0"/>
        <w:rPr>
          <w:rFonts w:ascii="Arial" w:hAnsi="Arial" w:cs="Arial"/>
          <w:i/>
          <w:snapToGrid w:val="0"/>
          <w:sz w:val="20"/>
          <w:szCs w:val="20"/>
        </w:rPr>
      </w:pPr>
      <w:r w:rsidRPr="008F63AE">
        <w:rPr>
          <w:rFonts w:ascii="Arial" w:hAnsi="Arial" w:cs="Arial"/>
          <w:i/>
          <w:snapToGrid w:val="0"/>
          <w:sz w:val="20"/>
          <w:szCs w:val="20"/>
        </w:rPr>
        <w:t>Telecommunications (Labelling Notice for Customer Equipment and Customer Cabling) Instrument 2015</w:t>
      </w:r>
    </w:p>
    <w:p w14:paraId="69CABC99" w14:textId="77777777" w:rsidR="008F63AE" w:rsidRDefault="008F63AE" w:rsidP="008F63AE">
      <w:pPr>
        <w:pStyle w:val="ListParagraph"/>
        <w:numPr>
          <w:ilvl w:val="0"/>
          <w:numId w:val="21"/>
        </w:numPr>
        <w:outlineLvl w:val="0"/>
        <w:rPr>
          <w:rFonts w:ascii="Arial" w:hAnsi="Arial" w:cs="Arial"/>
          <w:i/>
          <w:snapToGrid w:val="0"/>
          <w:sz w:val="20"/>
          <w:szCs w:val="20"/>
        </w:rPr>
      </w:pPr>
      <w:proofErr w:type="spellStart"/>
      <w:r w:rsidRPr="008F63AE">
        <w:rPr>
          <w:rFonts w:ascii="Arial" w:hAnsi="Arial" w:cs="Arial"/>
          <w:i/>
          <w:snapToGrid w:val="0"/>
          <w:sz w:val="20"/>
          <w:szCs w:val="20"/>
        </w:rPr>
        <w:t>Radiocommunications</w:t>
      </w:r>
      <w:proofErr w:type="spellEnd"/>
      <w:r w:rsidRPr="008F63AE">
        <w:rPr>
          <w:rFonts w:ascii="Arial" w:hAnsi="Arial" w:cs="Arial"/>
          <w:i/>
          <w:snapToGrid w:val="0"/>
          <w:sz w:val="20"/>
          <w:szCs w:val="20"/>
        </w:rPr>
        <w:t xml:space="preserve"> (Compliance Labelling – Devices) Notice 2014</w:t>
      </w:r>
    </w:p>
    <w:p w14:paraId="21B23298" w14:textId="77777777" w:rsidR="007D0B25" w:rsidRPr="007D0B25" w:rsidRDefault="007D0B25" w:rsidP="007D0B25">
      <w:pPr>
        <w:suppressAutoHyphens/>
        <w:spacing w:before="80" w:after="120" w:line="280" w:lineRule="atLeast"/>
        <w:jc w:val="both"/>
        <w:rPr>
          <w:rFonts w:ascii="Arial" w:hAnsi="Arial" w:cs="Arial"/>
          <w:snapToGrid w:val="0"/>
          <w:sz w:val="20"/>
          <w:lang w:val="en-US" w:eastAsia="en-US"/>
        </w:rPr>
      </w:pPr>
      <w:r w:rsidRPr="007D0B25">
        <w:rPr>
          <w:rFonts w:ascii="Arial" w:hAnsi="Arial" w:cs="Arial"/>
          <w:snapToGrid w:val="0"/>
          <w:sz w:val="20"/>
          <w:lang w:val="en-US" w:eastAsia="en-US"/>
        </w:rPr>
        <w:t xml:space="preserve">Acts and legislative instruments mentioned above can be found on the Australian Government’s </w:t>
      </w:r>
      <w:proofErr w:type="spellStart"/>
      <w:r w:rsidRPr="007D0B25">
        <w:rPr>
          <w:rFonts w:ascii="Arial" w:hAnsi="Arial" w:cs="Arial"/>
          <w:snapToGrid w:val="0"/>
          <w:sz w:val="20"/>
          <w:lang w:val="en-US" w:eastAsia="en-US"/>
        </w:rPr>
        <w:t>ComLaw</w:t>
      </w:r>
      <w:proofErr w:type="spellEnd"/>
      <w:r w:rsidRPr="007D0B25">
        <w:rPr>
          <w:rFonts w:ascii="Arial" w:hAnsi="Arial" w:cs="Arial"/>
          <w:snapToGrid w:val="0"/>
          <w:sz w:val="20"/>
          <w:lang w:val="en-US" w:eastAsia="en-US"/>
        </w:rPr>
        <w:t xml:space="preserve"> website (</w:t>
      </w:r>
      <w:hyperlink r:id="rId9" w:history="1">
        <w:r w:rsidRPr="007D0B25">
          <w:rPr>
            <w:rFonts w:ascii="Arial" w:hAnsi="Arial" w:cs="Arial"/>
            <w:snapToGrid w:val="0"/>
            <w:color w:val="0000FF"/>
            <w:sz w:val="20"/>
            <w:u w:val="single"/>
            <w:lang w:val="en-US" w:eastAsia="en-US"/>
          </w:rPr>
          <w:t>http://www.comlaw.gov.au/</w:t>
        </w:r>
      </w:hyperlink>
      <w:r w:rsidRPr="007D0B25">
        <w:rPr>
          <w:rFonts w:ascii="Arial" w:hAnsi="Arial" w:cs="Arial"/>
          <w:snapToGrid w:val="0"/>
          <w:sz w:val="20"/>
          <w:lang w:val="en-US" w:eastAsia="en-US"/>
        </w:rPr>
        <w:t>).</w:t>
      </w:r>
    </w:p>
    <w:p w14:paraId="4C4BB21B" w14:textId="77777777" w:rsidR="007D0B25" w:rsidRPr="005029D3" w:rsidRDefault="007D0B25" w:rsidP="007D0B25">
      <w:pPr>
        <w:spacing w:line="360" w:lineRule="auto"/>
        <w:outlineLvl w:val="0"/>
        <w:rPr>
          <w:rFonts w:ascii="Arial" w:hAnsi="Arial" w:cs="Arial"/>
          <w:sz w:val="20"/>
          <w:lang w:val="en-AU"/>
        </w:rPr>
      </w:pPr>
    </w:p>
    <w:p w14:paraId="0EFC9B31" w14:textId="77777777" w:rsidR="00914D5C" w:rsidRPr="005A5476" w:rsidRDefault="00914D5C" w:rsidP="00914D5C">
      <w:pPr>
        <w:keepNext/>
        <w:spacing w:line="360" w:lineRule="auto"/>
        <w:outlineLvl w:val="0"/>
        <w:rPr>
          <w:rFonts w:ascii="Arial" w:hAnsi="Arial" w:cs="Arial"/>
          <w:b/>
          <w:sz w:val="22"/>
          <w:szCs w:val="22"/>
          <w:lang w:val="en-AU"/>
        </w:rPr>
      </w:pPr>
      <w:r w:rsidRPr="005A5476">
        <w:rPr>
          <w:rFonts w:ascii="Arial" w:hAnsi="Arial" w:cs="Arial"/>
          <w:b/>
          <w:sz w:val="22"/>
          <w:szCs w:val="22"/>
          <w:lang w:val="en-AU"/>
        </w:rPr>
        <w:t xml:space="preserve">Statement of </w:t>
      </w:r>
      <w:r>
        <w:rPr>
          <w:rFonts w:ascii="Arial" w:hAnsi="Arial" w:cs="Arial"/>
          <w:b/>
          <w:sz w:val="22"/>
          <w:szCs w:val="22"/>
          <w:lang w:val="en-AU"/>
        </w:rPr>
        <w:t>C</w:t>
      </w:r>
      <w:r w:rsidRPr="005A5476">
        <w:rPr>
          <w:rFonts w:ascii="Arial" w:hAnsi="Arial" w:cs="Arial"/>
          <w:b/>
          <w:sz w:val="22"/>
          <w:szCs w:val="22"/>
          <w:lang w:val="en-AU"/>
        </w:rPr>
        <w:t xml:space="preserve">ompatibility with </w:t>
      </w:r>
      <w:r>
        <w:rPr>
          <w:rFonts w:ascii="Arial" w:hAnsi="Arial" w:cs="Arial"/>
          <w:b/>
          <w:sz w:val="22"/>
          <w:szCs w:val="22"/>
          <w:lang w:val="en-AU"/>
        </w:rPr>
        <w:t>H</w:t>
      </w:r>
      <w:r w:rsidRPr="005A5476">
        <w:rPr>
          <w:rFonts w:ascii="Arial" w:hAnsi="Arial" w:cs="Arial"/>
          <w:b/>
          <w:sz w:val="22"/>
          <w:szCs w:val="22"/>
          <w:lang w:val="en-AU"/>
        </w:rPr>
        <w:t xml:space="preserve">uman </w:t>
      </w:r>
      <w:r>
        <w:rPr>
          <w:rFonts w:ascii="Arial" w:hAnsi="Arial" w:cs="Arial"/>
          <w:b/>
          <w:sz w:val="22"/>
          <w:szCs w:val="22"/>
          <w:lang w:val="en-AU"/>
        </w:rPr>
        <w:t>R</w:t>
      </w:r>
      <w:r w:rsidRPr="005A5476">
        <w:rPr>
          <w:rFonts w:ascii="Arial" w:hAnsi="Arial" w:cs="Arial"/>
          <w:b/>
          <w:sz w:val="22"/>
          <w:szCs w:val="22"/>
          <w:lang w:val="en-AU"/>
        </w:rPr>
        <w:t>ights</w:t>
      </w:r>
    </w:p>
    <w:p w14:paraId="0BDA5110" w14:textId="77777777" w:rsidR="00914D5C" w:rsidRDefault="00914D5C" w:rsidP="00422C61">
      <w:pPr>
        <w:spacing w:after="240"/>
        <w:rPr>
          <w:rFonts w:ascii="Arial" w:hAnsi="Arial" w:cs="Arial"/>
          <w:sz w:val="20"/>
          <w:lang w:val="en-AU"/>
        </w:rPr>
      </w:pPr>
      <w:r>
        <w:rPr>
          <w:rFonts w:ascii="Arial" w:hAnsi="Arial" w:cs="Arial"/>
          <w:sz w:val="20"/>
        </w:rPr>
        <w:t>As required by s</w:t>
      </w:r>
      <w:r w:rsidRPr="005029D3">
        <w:rPr>
          <w:rFonts w:ascii="Arial" w:hAnsi="Arial" w:cs="Arial"/>
          <w:sz w:val="20"/>
        </w:rPr>
        <w:t xml:space="preserve">ubsection 9(1) of the </w:t>
      </w:r>
      <w:r w:rsidRPr="00BD05EE">
        <w:rPr>
          <w:rFonts w:ascii="Arial" w:hAnsi="Arial" w:cs="Arial"/>
          <w:i/>
          <w:sz w:val="20"/>
        </w:rPr>
        <w:t>Human Rights (Parliamentary Scrutiny) Act 2011</w:t>
      </w:r>
      <w:r w:rsidRPr="005029D3">
        <w:rPr>
          <w:rFonts w:ascii="Arial" w:hAnsi="Arial" w:cs="Arial"/>
          <w:sz w:val="20"/>
        </w:rPr>
        <w:t xml:space="preserve"> a </w:t>
      </w:r>
      <w:r>
        <w:rPr>
          <w:rFonts w:ascii="Arial" w:hAnsi="Arial" w:cs="Arial"/>
          <w:sz w:val="20"/>
        </w:rPr>
        <w:t>S</w:t>
      </w:r>
      <w:r w:rsidRPr="005029D3">
        <w:rPr>
          <w:rFonts w:ascii="Arial" w:hAnsi="Arial" w:cs="Arial"/>
          <w:sz w:val="20"/>
        </w:rPr>
        <w:t xml:space="preserve">tatement of </w:t>
      </w:r>
      <w:r>
        <w:rPr>
          <w:rFonts w:ascii="Arial" w:hAnsi="Arial" w:cs="Arial"/>
          <w:sz w:val="20"/>
        </w:rPr>
        <w:t>C</w:t>
      </w:r>
      <w:r w:rsidRPr="005029D3">
        <w:rPr>
          <w:rFonts w:ascii="Arial" w:hAnsi="Arial" w:cs="Arial"/>
          <w:sz w:val="20"/>
        </w:rPr>
        <w:t xml:space="preserve">ompatibility </w:t>
      </w:r>
      <w:r>
        <w:rPr>
          <w:rFonts w:ascii="Arial" w:hAnsi="Arial" w:cs="Arial"/>
          <w:sz w:val="20"/>
        </w:rPr>
        <w:t xml:space="preserve">with Human Rights has been prepared by the ACMA and </w:t>
      </w:r>
      <w:r w:rsidRPr="005029D3">
        <w:rPr>
          <w:rFonts w:ascii="Arial" w:hAnsi="Arial" w:cs="Arial"/>
          <w:sz w:val="20"/>
        </w:rPr>
        <w:t>is</w:t>
      </w:r>
      <w:r w:rsidRPr="005029D3">
        <w:rPr>
          <w:rFonts w:ascii="Arial" w:hAnsi="Arial" w:cs="Arial"/>
          <w:sz w:val="20"/>
          <w:lang w:val="en-AU"/>
        </w:rPr>
        <w:t xml:space="preserve"> </w:t>
      </w:r>
      <w:r>
        <w:rPr>
          <w:rFonts w:ascii="Arial" w:hAnsi="Arial" w:cs="Arial"/>
          <w:sz w:val="20"/>
          <w:lang w:val="en-AU"/>
        </w:rPr>
        <w:t xml:space="preserve">at </w:t>
      </w:r>
      <w:r w:rsidRPr="005029D3">
        <w:rPr>
          <w:rFonts w:ascii="Arial" w:hAnsi="Arial" w:cs="Arial"/>
          <w:b/>
          <w:sz w:val="20"/>
          <w:lang w:val="en-AU"/>
        </w:rPr>
        <w:t>Attachment B</w:t>
      </w:r>
      <w:r w:rsidRPr="005029D3">
        <w:rPr>
          <w:rFonts w:ascii="Arial" w:hAnsi="Arial" w:cs="Arial"/>
          <w:sz w:val="20"/>
          <w:lang w:val="en-AU"/>
        </w:rPr>
        <w:t>.</w:t>
      </w:r>
    </w:p>
    <w:p w14:paraId="5164975F" w14:textId="77777777" w:rsidR="00914D5C" w:rsidRPr="005A5476" w:rsidRDefault="00914D5C" w:rsidP="00422C61">
      <w:pPr>
        <w:spacing w:after="240"/>
        <w:rPr>
          <w:rFonts w:ascii="Arial" w:hAnsi="Arial" w:cs="Arial"/>
          <w:b/>
          <w:sz w:val="22"/>
          <w:szCs w:val="22"/>
          <w:lang w:val="en-AU"/>
        </w:rPr>
      </w:pPr>
      <w:r>
        <w:rPr>
          <w:rFonts w:ascii="Arial" w:hAnsi="Arial" w:cs="Arial"/>
          <w:b/>
          <w:sz w:val="22"/>
          <w:szCs w:val="22"/>
          <w:lang w:val="en-AU"/>
        </w:rPr>
        <w:br w:type="page"/>
      </w:r>
      <w:r w:rsidRPr="005A5476">
        <w:rPr>
          <w:rFonts w:ascii="Arial" w:hAnsi="Arial" w:cs="Arial"/>
          <w:b/>
          <w:sz w:val="22"/>
          <w:szCs w:val="22"/>
          <w:lang w:val="en-AU"/>
        </w:rPr>
        <w:lastRenderedPageBreak/>
        <w:t>ATTACHMENT A</w:t>
      </w:r>
    </w:p>
    <w:p w14:paraId="1B0FF912" w14:textId="77777777" w:rsidR="00914D5C" w:rsidRPr="005A5476" w:rsidRDefault="00914D5C" w:rsidP="00914D5C">
      <w:pPr>
        <w:spacing w:line="360" w:lineRule="auto"/>
        <w:rPr>
          <w:rFonts w:ascii="Arial" w:hAnsi="Arial" w:cs="Arial"/>
          <w:b/>
          <w:sz w:val="22"/>
          <w:szCs w:val="22"/>
          <w:lang w:val="en-AU"/>
        </w:rPr>
      </w:pPr>
    </w:p>
    <w:p w14:paraId="4ED2EE0C" w14:textId="22269AD0" w:rsidR="00B63CBD" w:rsidRDefault="00914D5C">
      <w:pPr>
        <w:spacing w:line="360" w:lineRule="auto"/>
        <w:outlineLvl w:val="0"/>
        <w:rPr>
          <w:rFonts w:ascii="Arial" w:hAnsi="Arial" w:cs="Arial"/>
          <w:sz w:val="22"/>
          <w:szCs w:val="22"/>
          <w:lang w:val="en-AU"/>
        </w:rPr>
      </w:pPr>
      <w:r w:rsidRPr="005A5476">
        <w:rPr>
          <w:rFonts w:ascii="Arial" w:hAnsi="Arial" w:cs="Arial"/>
          <w:b/>
          <w:sz w:val="22"/>
          <w:szCs w:val="22"/>
          <w:lang w:val="en-AU"/>
        </w:rPr>
        <w:t xml:space="preserve">DETAILS OF THE </w:t>
      </w:r>
      <w:r w:rsidR="00572997" w:rsidRPr="0088553C">
        <w:rPr>
          <w:rFonts w:ascii="Arial" w:hAnsi="Arial" w:cs="Arial"/>
          <w:b/>
          <w:i/>
          <w:sz w:val="22"/>
          <w:szCs w:val="22"/>
          <w:lang w:val="en-AU"/>
        </w:rPr>
        <w:t>R</w:t>
      </w:r>
      <w:r w:rsidR="00572997">
        <w:rPr>
          <w:rFonts w:ascii="Arial" w:hAnsi="Arial" w:cs="Arial"/>
          <w:b/>
          <w:i/>
          <w:sz w:val="22"/>
          <w:szCs w:val="22"/>
          <w:lang w:val="en-AU"/>
        </w:rPr>
        <w:t>ADIOCOMMUNICATIONS (</w:t>
      </w:r>
      <w:r w:rsidR="00603C97">
        <w:rPr>
          <w:rFonts w:ascii="Arial" w:hAnsi="Arial" w:cs="Arial"/>
          <w:b/>
          <w:i/>
          <w:sz w:val="22"/>
          <w:szCs w:val="22"/>
          <w:lang w:val="en-AU"/>
        </w:rPr>
        <w:t>CITIZEN BAND RADIO STATIONS</w:t>
      </w:r>
      <w:r w:rsidR="00BC28AF">
        <w:rPr>
          <w:rFonts w:ascii="Arial" w:hAnsi="Arial" w:cs="Arial"/>
          <w:b/>
          <w:i/>
          <w:sz w:val="22"/>
          <w:szCs w:val="22"/>
          <w:lang w:val="en-AU"/>
        </w:rPr>
        <w:t xml:space="preserve">) </w:t>
      </w:r>
      <w:r w:rsidR="00603C97">
        <w:rPr>
          <w:rFonts w:ascii="Arial" w:hAnsi="Arial" w:cs="Arial"/>
          <w:b/>
          <w:i/>
          <w:sz w:val="22"/>
          <w:szCs w:val="22"/>
          <w:lang w:val="en-AU"/>
        </w:rPr>
        <w:t xml:space="preserve">CLASS LICENCE 2015 </w:t>
      </w:r>
    </w:p>
    <w:p w14:paraId="0D031948" w14:textId="77777777" w:rsidR="00914D5C" w:rsidRPr="007B4C22" w:rsidRDefault="00914D5C" w:rsidP="007D6A7C">
      <w:pPr>
        <w:spacing w:before="240" w:after="240"/>
        <w:rPr>
          <w:rFonts w:ascii="Arial" w:hAnsi="Arial" w:cs="Arial"/>
          <w:b/>
          <w:color w:val="262626"/>
          <w:sz w:val="20"/>
        </w:rPr>
      </w:pPr>
      <w:r w:rsidRPr="007B4C22">
        <w:rPr>
          <w:rFonts w:ascii="Arial" w:hAnsi="Arial" w:cs="Arial"/>
          <w:b/>
          <w:color w:val="262626"/>
          <w:sz w:val="20"/>
        </w:rPr>
        <w:t>Section 1</w:t>
      </w:r>
      <w:r w:rsidR="00E739E0" w:rsidRPr="007B4C22">
        <w:rPr>
          <w:rFonts w:ascii="Arial" w:hAnsi="Arial" w:cs="Arial"/>
          <w:b/>
          <w:color w:val="262626"/>
          <w:sz w:val="20"/>
        </w:rPr>
        <w:t xml:space="preserve"> – </w:t>
      </w:r>
      <w:r w:rsidRPr="007B4C22">
        <w:rPr>
          <w:rFonts w:ascii="Arial" w:hAnsi="Arial" w:cs="Arial"/>
          <w:b/>
          <w:color w:val="262626"/>
          <w:sz w:val="20"/>
        </w:rPr>
        <w:t xml:space="preserve">Name </w:t>
      </w:r>
      <w:proofErr w:type="gramStart"/>
      <w:r w:rsidR="0080451B" w:rsidRPr="007B4C22">
        <w:rPr>
          <w:rFonts w:ascii="Arial" w:hAnsi="Arial" w:cs="Arial"/>
          <w:b/>
          <w:color w:val="262626"/>
          <w:sz w:val="20"/>
        </w:rPr>
        <w:t>O</w:t>
      </w:r>
      <w:r w:rsidR="0080451B">
        <w:rPr>
          <w:rFonts w:ascii="Arial" w:hAnsi="Arial" w:cs="Arial"/>
          <w:b/>
          <w:color w:val="262626"/>
          <w:sz w:val="20"/>
        </w:rPr>
        <w:t>f</w:t>
      </w:r>
      <w:proofErr w:type="gramEnd"/>
      <w:r w:rsidR="0080451B">
        <w:rPr>
          <w:rFonts w:ascii="Arial" w:hAnsi="Arial" w:cs="Arial"/>
          <w:b/>
          <w:color w:val="262626"/>
          <w:sz w:val="20"/>
        </w:rPr>
        <w:t xml:space="preserve"> Class Licence</w:t>
      </w:r>
    </w:p>
    <w:p w14:paraId="4AED873E" w14:textId="3E0DF0E2" w:rsidR="00075B39" w:rsidRPr="005A5476" w:rsidRDefault="00914D5C" w:rsidP="007D6A7C">
      <w:pPr>
        <w:spacing w:before="240" w:after="240"/>
        <w:outlineLvl w:val="0"/>
        <w:rPr>
          <w:rFonts w:ascii="Arial" w:hAnsi="Arial" w:cs="Arial"/>
          <w:sz w:val="22"/>
          <w:szCs w:val="22"/>
          <w:lang w:val="en-AU"/>
        </w:rPr>
      </w:pPr>
      <w:r>
        <w:rPr>
          <w:rFonts w:ascii="Arial" w:hAnsi="Arial" w:cs="Arial"/>
          <w:sz w:val="20"/>
          <w:lang w:val="en-AU"/>
        </w:rPr>
        <w:t>Section 1</w:t>
      </w:r>
      <w:r w:rsidRPr="00987C42">
        <w:rPr>
          <w:rFonts w:ascii="Arial" w:hAnsi="Arial" w:cs="Arial"/>
          <w:sz w:val="20"/>
          <w:lang w:val="en-AU"/>
        </w:rPr>
        <w:t xml:space="preserve"> </w:t>
      </w:r>
      <w:r>
        <w:rPr>
          <w:rFonts w:ascii="Arial" w:hAnsi="Arial" w:cs="Arial"/>
          <w:sz w:val="20"/>
          <w:lang w:val="en-AU"/>
        </w:rPr>
        <w:t xml:space="preserve">provides that the </w:t>
      </w:r>
      <w:r w:rsidR="007D0B25">
        <w:rPr>
          <w:rFonts w:ascii="Arial" w:hAnsi="Arial" w:cs="Arial"/>
          <w:sz w:val="20"/>
          <w:lang w:val="en-AU"/>
        </w:rPr>
        <w:t xml:space="preserve">Class Licence </w:t>
      </w:r>
      <w:r>
        <w:rPr>
          <w:rFonts w:ascii="Arial" w:hAnsi="Arial" w:cs="Arial"/>
          <w:sz w:val="20"/>
          <w:lang w:val="en-AU"/>
        </w:rPr>
        <w:t xml:space="preserve">is the </w:t>
      </w:r>
      <w:proofErr w:type="spellStart"/>
      <w:r w:rsidR="0080451B" w:rsidRPr="0080451B">
        <w:rPr>
          <w:rFonts w:ascii="Arial" w:hAnsi="Arial" w:cs="Arial"/>
          <w:i/>
          <w:sz w:val="20"/>
          <w:lang w:val="en-AU"/>
        </w:rPr>
        <w:t>Radiocommunications</w:t>
      </w:r>
      <w:proofErr w:type="spellEnd"/>
      <w:r w:rsidR="0080451B" w:rsidRPr="0080451B">
        <w:rPr>
          <w:rFonts w:ascii="Arial" w:hAnsi="Arial" w:cs="Arial"/>
          <w:i/>
          <w:sz w:val="20"/>
          <w:lang w:val="en-AU"/>
        </w:rPr>
        <w:t xml:space="preserve"> (Citizen Band Radio Stations) Class Licence 2015</w:t>
      </w:r>
      <w:r w:rsidR="0080451B">
        <w:rPr>
          <w:rFonts w:ascii="Arial" w:hAnsi="Arial" w:cs="Arial"/>
          <w:sz w:val="20"/>
          <w:lang w:val="en-AU"/>
        </w:rPr>
        <w:t xml:space="preserve">. </w:t>
      </w:r>
    </w:p>
    <w:p w14:paraId="156A362F" w14:textId="77777777" w:rsidR="00914D5C" w:rsidRPr="00EC4D12" w:rsidRDefault="00914D5C" w:rsidP="007D6A7C">
      <w:pPr>
        <w:spacing w:before="240" w:after="240"/>
        <w:outlineLvl w:val="0"/>
        <w:rPr>
          <w:rFonts w:ascii="Arial" w:hAnsi="Arial" w:cs="Arial"/>
          <w:b/>
          <w:sz w:val="20"/>
          <w:lang w:val="en-AU"/>
        </w:rPr>
      </w:pPr>
      <w:r w:rsidRPr="00EC4D12">
        <w:rPr>
          <w:rFonts w:ascii="Arial" w:hAnsi="Arial" w:cs="Arial"/>
          <w:b/>
          <w:sz w:val="20"/>
          <w:lang w:val="en-AU"/>
        </w:rPr>
        <w:t xml:space="preserve">Section </w:t>
      </w:r>
      <w:r w:rsidR="0080451B">
        <w:rPr>
          <w:rFonts w:ascii="Arial" w:hAnsi="Arial" w:cs="Arial"/>
          <w:b/>
          <w:sz w:val="20"/>
          <w:lang w:val="en-AU"/>
        </w:rPr>
        <w:t>2</w:t>
      </w:r>
      <w:r w:rsidR="00E739E0" w:rsidRPr="007B4C22">
        <w:rPr>
          <w:rFonts w:ascii="Arial" w:hAnsi="Arial" w:cs="Arial"/>
          <w:b/>
          <w:color w:val="262626"/>
          <w:sz w:val="20"/>
        </w:rPr>
        <w:t xml:space="preserve"> – </w:t>
      </w:r>
      <w:r w:rsidR="000B5FB3">
        <w:rPr>
          <w:rFonts w:ascii="Arial" w:hAnsi="Arial" w:cs="Arial"/>
          <w:b/>
          <w:sz w:val="20"/>
          <w:lang w:val="en-AU"/>
        </w:rPr>
        <w:t>Commencement</w:t>
      </w:r>
    </w:p>
    <w:p w14:paraId="26AD68B1" w14:textId="12475B46" w:rsidR="00F27D50" w:rsidRDefault="00914D5C" w:rsidP="007D6A7C">
      <w:pPr>
        <w:spacing w:before="240" w:after="240"/>
        <w:rPr>
          <w:rFonts w:ascii="Arial" w:hAnsi="Arial" w:cs="Arial"/>
          <w:sz w:val="20"/>
          <w:lang w:val="en-AU"/>
        </w:rPr>
      </w:pPr>
      <w:r>
        <w:rPr>
          <w:rFonts w:ascii="Arial" w:hAnsi="Arial" w:cs="Arial"/>
          <w:sz w:val="20"/>
          <w:lang w:val="en-AU"/>
        </w:rPr>
        <w:t>S</w:t>
      </w:r>
      <w:r w:rsidRPr="00EC4D12">
        <w:rPr>
          <w:rFonts w:ascii="Arial" w:hAnsi="Arial" w:cs="Arial"/>
          <w:sz w:val="20"/>
          <w:lang w:val="en-AU"/>
        </w:rPr>
        <w:t xml:space="preserve">ection </w:t>
      </w:r>
      <w:r w:rsidR="0080451B">
        <w:rPr>
          <w:rFonts w:ascii="Arial" w:hAnsi="Arial" w:cs="Arial"/>
          <w:sz w:val="20"/>
          <w:lang w:val="en-AU"/>
        </w:rPr>
        <w:t>2</w:t>
      </w:r>
      <w:r>
        <w:rPr>
          <w:rFonts w:ascii="Arial" w:hAnsi="Arial" w:cs="Arial"/>
          <w:sz w:val="20"/>
          <w:lang w:val="en-AU"/>
        </w:rPr>
        <w:t xml:space="preserve"> </w:t>
      </w:r>
      <w:r w:rsidR="0027650A">
        <w:rPr>
          <w:rFonts w:ascii="Arial" w:hAnsi="Arial" w:cs="Arial"/>
          <w:sz w:val="20"/>
          <w:lang w:val="en-AU"/>
        </w:rPr>
        <w:t xml:space="preserve">provides </w:t>
      </w:r>
      <w:r w:rsidR="007D0B25">
        <w:rPr>
          <w:rFonts w:ascii="Arial" w:hAnsi="Arial" w:cs="Arial"/>
          <w:sz w:val="20"/>
          <w:lang w:val="en-AU"/>
        </w:rPr>
        <w:t>that the Class Licence</w:t>
      </w:r>
      <w:r w:rsidR="0080451B">
        <w:rPr>
          <w:rFonts w:ascii="Arial" w:hAnsi="Arial" w:cs="Arial"/>
          <w:sz w:val="20"/>
          <w:lang w:val="en-AU"/>
        </w:rPr>
        <w:t xml:space="preserve"> </w:t>
      </w:r>
      <w:r w:rsidRPr="00EC4D12">
        <w:rPr>
          <w:rFonts w:ascii="Arial" w:hAnsi="Arial" w:cs="Arial"/>
          <w:sz w:val="20"/>
          <w:lang w:val="en-AU"/>
        </w:rPr>
        <w:t>commence</w:t>
      </w:r>
      <w:r>
        <w:rPr>
          <w:rFonts w:ascii="Arial" w:hAnsi="Arial" w:cs="Arial"/>
          <w:sz w:val="20"/>
          <w:lang w:val="en-AU"/>
        </w:rPr>
        <w:t>s</w:t>
      </w:r>
      <w:r w:rsidR="00F27D50">
        <w:rPr>
          <w:rFonts w:ascii="Arial" w:hAnsi="Arial" w:cs="Arial"/>
          <w:sz w:val="20"/>
          <w:lang w:val="en-AU"/>
        </w:rPr>
        <w:t xml:space="preserve"> </w:t>
      </w:r>
      <w:r w:rsidR="00D14D9A">
        <w:rPr>
          <w:rFonts w:ascii="Arial" w:hAnsi="Arial" w:cs="Arial"/>
          <w:sz w:val="20"/>
          <w:lang w:val="en-AU"/>
        </w:rPr>
        <w:t xml:space="preserve">on the </w:t>
      </w:r>
      <w:r w:rsidR="007D0B25">
        <w:rPr>
          <w:rFonts w:ascii="Arial" w:hAnsi="Arial" w:cs="Arial"/>
          <w:sz w:val="20"/>
          <w:lang w:val="en-AU"/>
        </w:rPr>
        <w:t xml:space="preserve">later of the </w:t>
      </w:r>
      <w:r w:rsidRPr="00D72A99">
        <w:rPr>
          <w:rFonts w:ascii="Arial" w:hAnsi="Arial" w:cs="Arial"/>
          <w:sz w:val="20"/>
          <w:lang w:val="en-AU"/>
        </w:rPr>
        <w:t xml:space="preserve">day after it is registered </w:t>
      </w:r>
      <w:r>
        <w:rPr>
          <w:rFonts w:ascii="Arial" w:hAnsi="Arial" w:cs="Arial"/>
          <w:sz w:val="20"/>
          <w:lang w:val="en-AU"/>
        </w:rPr>
        <w:t>on the FRLI</w:t>
      </w:r>
      <w:r w:rsidR="007D0B25">
        <w:rPr>
          <w:rFonts w:ascii="Arial" w:hAnsi="Arial" w:cs="Arial"/>
          <w:sz w:val="20"/>
          <w:lang w:val="en-AU"/>
        </w:rPr>
        <w:t xml:space="preserve"> or the day of its gazettal.</w:t>
      </w:r>
      <w:r w:rsidR="002E5C4D">
        <w:rPr>
          <w:rFonts w:ascii="Arial" w:hAnsi="Arial" w:cs="Arial"/>
          <w:sz w:val="20"/>
          <w:lang w:val="en-AU"/>
        </w:rPr>
        <w:t xml:space="preserve"> Both events must occur before the Class Licence commences.</w:t>
      </w:r>
    </w:p>
    <w:p w14:paraId="659609F1" w14:textId="77777777" w:rsidR="000B5FB3" w:rsidRPr="007B4C22" w:rsidRDefault="000B5FB3" w:rsidP="007D6A7C">
      <w:pPr>
        <w:spacing w:before="240" w:after="240"/>
        <w:rPr>
          <w:rFonts w:ascii="Arial" w:hAnsi="Arial" w:cs="Arial"/>
          <w:b/>
          <w:color w:val="262626"/>
          <w:sz w:val="20"/>
        </w:rPr>
      </w:pPr>
      <w:r w:rsidRPr="007B4C22">
        <w:rPr>
          <w:rFonts w:ascii="Arial" w:hAnsi="Arial" w:cs="Arial"/>
          <w:b/>
          <w:color w:val="262626"/>
          <w:sz w:val="20"/>
        </w:rPr>
        <w:t xml:space="preserve">Section </w:t>
      </w:r>
      <w:r w:rsidR="0080451B">
        <w:rPr>
          <w:rFonts w:ascii="Arial" w:hAnsi="Arial" w:cs="Arial"/>
          <w:b/>
          <w:color w:val="262626"/>
          <w:sz w:val="20"/>
        </w:rPr>
        <w:t>3</w:t>
      </w:r>
      <w:r w:rsidRPr="007B4C22">
        <w:rPr>
          <w:rFonts w:ascii="Arial" w:hAnsi="Arial" w:cs="Arial"/>
          <w:b/>
          <w:color w:val="262626"/>
          <w:sz w:val="20"/>
        </w:rPr>
        <w:t xml:space="preserve"> – Revocation</w:t>
      </w:r>
    </w:p>
    <w:p w14:paraId="480852DE" w14:textId="451823B4" w:rsidR="000B5FB3" w:rsidRDefault="000B5FB3" w:rsidP="007D6A7C">
      <w:pPr>
        <w:spacing w:before="240" w:after="240"/>
        <w:rPr>
          <w:rFonts w:ascii="Arial" w:hAnsi="Arial" w:cs="Arial"/>
          <w:sz w:val="20"/>
          <w:lang w:val="en-AU"/>
        </w:rPr>
      </w:pPr>
      <w:r>
        <w:rPr>
          <w:rFonts w:ascii="Arial" w:hAnsi="Arial" w:cs="Arial"/>
          <w:sz w:val="20"/>
          <w:lang w:val="en-AU"/>
        </w:rPr>
        <w:t>S</w:t>
      </w:r>
      <w:r w:rsidRPr="0090366E">
        <w:rPr>
          <w:rFonts w:ascii="Arial" w:hAnsi="Arial" w:cs="Arial"/>
          <w:sz w:val="20"/>
          <w:lang w:val="en-AU"/>
        </w:rPr>
        <w:t xml:space="preserve">ection </w:t>
      </w:r>
      <w:r w:rsidR="0080451B">
        <w:rPr>
          <w:rFonts w:ascii="Arial" w:hAnsi="Arial" w:cs="Arial"/>
          <w:sz w:val="20"/>
          <w:lang w:val="en-AU"/>
        </w:rPr>
        <w:t>3</w:t>
      </w:r>
      <w:r>
        <w:rPr>
          <w:rFonts w:ascii="Arial" w:hAnsi="Arial" w:cs="Arial"/>
          <w:sz w:val="20"/>
          <w:lang w:val="en-AU"/>
        </w:rPr>
        <w:t xml:space="preserve"> </w:t>
      </w:r>
      <w:r w:rsidR="002E5C4D">
        <w:rPr>
          <w:rFonts w:ascii="Arial" w:hAnsi="Arial" w:cs="Arial"/>
          <w:sz w:val="20"/>
          <w:lang w:val="en-AU"/>
        </w:rPr>
        <w:t>revokes</w:t>
      </w:r>
      <w:r>
        <w:rPr>
          <w:rFonts w:ascii="Arial" w:hAnsi="Arial" w:cs="Arial"/>
          <w:sz w:val="20"/>
          <w:lang w:val="en-AU"/>
        </w:rPr>
        <w:t xml:space="preserve"> the </w:t>
      </w:r>
      <w:proofErr w:type="spellStart"/>
      <w:r w:rsidR="0080451B" w:rsidRPr="0080451B">
        <w:rPr>
          <w:rFonts w:ascii="Arial" w:hAnsi="Arial" w:cs="Arial"/>
          <w:i/>
          <w:sz w:val="20"/>
          <w:lang w:val="en-AU"/>
        </w:rPr>
        <w:t>Radiocommunications</w:t>
      </w:r>
      <w:proofErr w:type="spellEnd"/>
      <w:r w:rsidR="0080451B" w:rsidRPr="0080451B">
        <w:rPr>
          <w:rFonts w:ascii="Arial" w:hAnsi="Arial" w:cs="Arial"/>
          <w:i/>
          <w:sz w:val="20"/>
          <w:lang w:val="en-AU"/>
        </w:rPr>
        <w:t xml:space="preserve"> (Citizen Band Radio Stations) Class Licence</w:t>
      </w:r>
      <w:r w:rsidR="007D0B25">
        <w:rPr>
          <w:rFonts w:ascii="Arial" w:hAnsi="Arial" w:cs="Arial"/>
          <w:i/>
          <w:sz w:val="20"/>
          <w:lang w:val="en-AU"/>
        </w:rPr>
        <w:t xml:space="preserve"> 2002</w:t>
      </w:r>
      <w:r w:rsidR="0088553C" w:rsidRPr="0088553C">
        <w:rPr>
          <w:rFonts w:ascii="Arial" w:hAnsi="Arial" w:cs="Arial"/>
          <w:sz w:val="20"/>
          <w:lang w:val="en-AU"/>
        </w:rPr>
        <w:t>.</w:t>
      </w:r>
    </w:p>
    <w:p w14:paraId="025FF335" w14:textId="77777777" w:rsidR="000B5FB3" w:rsidRPr="007B4C22" w:rsidRDefault="000B5FB3" w:rsidP="007D6A7C">
      <w:pPr>
        <w:spacing w:before="240" w:after="240"/>
        <w:rPr>
          <w:rFonts w:ascii="Arial" w:hAnsi="Arial" w:cs="Arial"/>
          <w:b/>
          <w:color w:val="262626"/>
          <w:sz w:val="20"/>
        </w:rPr>
      </w:pPr>
      <w:r w:rsidRPr="007B4C22">
        <w:rPr>
          <w:rFonts w:ascii="Arial" w:hAnsi="Arial" w:cs="Arial"/>
          <w:b/>
          <w:color w:val="262626"/>
          <w:sz w:val="20"/>
        </w:rPr>
        <w:t xml:space="preserve">Section </w:t>
      </w:r>
      <w:r w:rsidR="0080451B">
        <w:rPr>
          <w:rFonts w:ascii="Arial" w:hAnsi="Arial" w:cs="Arial"/>
          <w:b/>
          <w:color w:val="262626"/>
          <w:sz w:val="20"/>
        </w:rPr>
        <w:t>4</w:t>
      </w:r>
      <w:r w:rsidR="00BD24EC">
        <w:rPr>
          <w:rFonts w:ascii="Arial" w:hAnsi="Arial" w:cs="Arial"/>
          <w:b/>
          <w:color w:val="262626"/>
          <w:sz w:val="20"/>
        </w:rPr>
        <w:t xml:space="preserve"> </w:t>
      </w:r>
      <w:r w:rsidR="00E739E0" w:rsidRPr="007B4C22">
        <w:rPr>
          <w:rFonts w:ascii="Arial" w:hAnsi="Arial" w:cs="Arial"/>
          <w:b/>
          <w:color w:val="262626"/>
          <w:sz w:val="20"/>
        </w:rPr>
        <w:t xml:space="preserve">– </w:t>
      </w:r>
      <w:r w:rsidR="0080451B">
        <w:rPr>
          <w:rFonts w:ascii="Arial" w:hAnsi="Arial" w:cs="Arial"/>
          <w:b/>
          <w:color w:val="262626"/>
          <w:sz w:val="20"/>
        </w:rPr>
        <w:t>Definitions</w:t>
      </w:r>
    </w:p>
    <w:p w14:paraId="3601E297" w14:textId="310A1755" w:rsidR="0080451B" w:rsidRDefault="000B5FB3" w:rsidP="0080451B">
      <w:pPr>
        <w:spacing w:before="240" w:after="240"/>
        <w:outlineLvl w:val="0"/>
        <w:rPr>
          <w:rFonts w:ascii="Arial" w:hAnsi="Arial" w:cs="Arial"/>
          <w:sz w:val="20"/>
          <w:lang w:val="en-AU"/>
        </w:rPr>
      </w:pPr>
      <w:r>
        <w:rPr>
          <w:rFonts w:ascii="Arial" w:hAnsi="Arial" w:cs="Arial"/>
          <w:sz w:val="20"/>
          <w:lang w:val="en-AU"/>
        </w:rPr>
        <w:t xml:space="preserve">Section </w:t>
      </w:r>
      <w:r w:rsidR="0080451B">
        <w:rPr>
          <w:rFonts w:ascii="Arial" w:hAnsi="Arial" w:cs="Arial"/>
          <w:sz w:val="20"/>
          <w:lang w:val="en-AU"/>
        </w:rPr>
        <w:t xml:space="preserve">4 defines the terms used in the </w:t>
      </w:r>
      <w:r w:rsidR="007D0B25">
        <w:rPr>
          <w:rFonts w:ascii="Arial" w:hAnsi="Arial" w:cs="Arial"/>
          <w:sz w:val="20"/>
          <w:lang w:val="en-AU"/>
        </w:rPr>
        <w:t>Class Licence</w:t>
      </w:r>
      <w:r w:rsidR="00BC1F12">
        <w:rPr>
          <w:rFonts w:ascii="Arial" w:hAnsi="Arial" w:cs="Arial"/>
          <w:sz w:val="20"/>
          <w:lang w:val="en-AU"/>
        </w:rPr>
        <w:t xml:space="preserve"> and provides that, unless the contrary intention appears, a reference to another legislative instrument </w:t>
      </w:r>
      <w:r w:rsidR="007D0F00">
        <w:rPr>
          <w:rFonts w:ascii="Arial" w:hAnsi="Arial" w:cs="Arial"/>
          <w:sz w:val="20"/>
          <w:lang w:val="en-AU"/>
        </w:rPr>
        <w:t>is a reference to that other legislative instruments as in force from time to time.</w:t>
      </w:r>
    </w:p>
    <w:p w14:paraId="015E8664" w14:textId="77777777" w:rsidR="00D14D9A" w:rsidRPr="007B4C22" w:rsidRDefault="00D14D9A" w:rsidP="0068620F">
      <w:pPr>
        <w:spacing w:before="240" w:after="240"/>
        <w:outlineLvl w:val="0"/>
        <w:rPr>
          <w:rFonts w:ascii="Arial" w:hAnsi="Arial" w:cs="Arial"/>
          <w:b/>
          <w:color w:val="262626"/>
          <w:sz w:val="20"/>
        </w:rPr>
      </w:pPr>
      <w:r w:rsidRPr="007B4C22">
        <w:rPr>
          <w:rFonts w:ascii="Arial" w:hAnsi="Arial" w:cs="Arial"/>
          <w:b/>
          <w:color w:val="262626"/>
          <w:sz w:val="20"/>
        </w:rPr>
        <w:t xml:space="preserve">Section </w:t>
      </w:r>
      <w:r w:rsidR="0080451B">
        <w:rPr>
          <w:rFonts w:ascii="Arial" w:hAnsi="Arial" w:cs="Arial"/>
          <w:b/>
          <w:color w:val="262626"/>
          <w:sz w:val="20"/>
        </w:rPr>
        <w:t>5</w:t>
      </w:r>
      <w:r w:rsidRPr="007B4C22">
        <w:rPr>
          <w:rFonts w:ascii="Arial" w:hAnsi="Arial" w:cs="Arial"/>
          <w:b/>
          <w:color w:val="262626"/>
          <w:sz w:val="20"/>
        </w:rPr>
        <w:t xml:space="preserve"> – </w:t>
      </w:r>
      <w:r w:rsidR="0080451B">
        <w:rPr>
          <w:rFonts w:ascii="Arial" w:hAnsi="Arial" w:cs="Arial"/>
          <w:b/>
          <w:color w:val="262626"/>
          <w:sz w:val="20"/>
        </w:rPr>
        <w:t>Class Licence</w:t>
      </w:r>
      <w:r w:rsidR="0068620F">
        <w:rPr>
          <w:rFonts w:ascii="Arial" w:hAnsi="Arial" w:cs="Arial"/>
          <w:b/>
          <w:color w:val="262626"/>
          <w:sz w:val="20"/>
        </w:rPr>
        <w:t xml:space="preserve"> </w:t>
      </w:r>
    </w:p>
    <w:p w14:paraId="2256520B" w14:textId="19E830FF" w:rsidR="0080451B" w:rsidRPr="005A5476" w:rsidRDefault="00D14D9A" w:rsidP="0080451B">
      <w:pPr>
        <w:spacing w:before="240" w:after="240"/>
        <w:outlineLvl w:val="0"/>
        <w:rPr>
          <w:rFonts w:ascii="Arial" w:hAnsi="Arial" w:cs="Arial"/>
          <w:sz w:val="22"/>
          <w:szCs w:val="22"/>
          <w:lang w:val="en-AU"/>
        </w:rPr>
      </w:pPr>
      <w:r>
        <w:rPr>
          <w:rFonts w:ascii="Arial" w:hAnsi="Arial" w:cs="Arial"/>
          <w:sz w:val="20"/>
          <w:lang w:val="en-AU"/>
        </w:rPr>
        <w:t xml:space="preserve">Section </w:t>
      </w:r>
      <w:r w:rsidR="0080451B">
        <w:rPr>
          <w:rFonts w:ascii="Arial" w:hAnsi="Arial" w:cs="Arial"/>
          <w:sz w:val="20"/>
          <w:lang w:val="en-AU"/>
        </w:rPr>
        <w:t>5</w:t>
      </w:r>
      <w:r w:rsidR="0080451B" w:rsidRPr="00987C42">
        <w:rPr>
          <w:rFonts w:ascii="Arial" w:hAnsi="Arial" w:cs="Arial"/>
          <w:sz w:val="20"/>
          <w:lang w:val="en-AU"/>
        </w:rPr>
        <w:t xml:space="preserve"> </w:t>
      </w:r>
      <w:r w:rsidR="0039630B">
        <w:rPr>
          <w:rFonts w:ascii="Arial" w:hAnsi="Arial" w:cs="Arial"/>
          <w:sz w:val="20"/>
          <w:lang w:val="en-AU"/>
        </w:rPr>
        <w:t xml:space="preserve">of the Class Licence </w:t>
      </w:r>
      <w:r w:rsidR="00BD24EC">
        <w:rPr>
          <w:rFonts w:ascii="Arial" w:hAnsi="Arial" w:cs="Arial"/>
          <w:sz w:val="20"/>
          <w:lang w:val="en-AU"/>
        </w:rPr>
        <w:t>authori</w:t>
      </w:r>
      <w:r w:rsidR="00EE24FF">
        <w:rPr>
          <w:rFonts w:ascii="Arial" w:hAnsi="Arial" w:cs="Arial"/>
          <w:sz w:val="20"/>
          <w:lang w:val="en-AU"/>
        </w:rPr>
        <w:t>ses person</w:t>
      </w:r>
      <w:r w:rsidR="00F22B9D">
        <w:rPr>
          <w:rFonts w:ascii="Arial" w:hAnsi="Arial" w:cs="Arial"/>
          <w:sz w:val="20"/>
          <w:lang w:val="en-AU"/>
        </w:rPr>
        <w:t>s</w:t>
      </w:r>
      <w:r w:rsidR="00EE24FF">
        <w:rPr>
          <w:rFonts w:ascii="Arial" w:hAnsi="Arial" w:cs="Arial"/>
          <w:sz w:val="20"/>
          <w:lang w:val="en-AU"/>
        </w:rPr>
        <w:t xml:space="preserve"> to ope</w:t>
      </w:r>
      <w:r w:rsidR="00F22B9D">
        <w:rPr>
          <w:rFonts w:ascii="Arial" w:hAnsi="Arial" w:cs="Arial"/>
          <w:sz w:val="20"/>
          <w:lang w:val="en-AU"/>
        </w:rPr>
        <w:t>r</w:t>
      </w:r>
      <w:r w:rsidR="00EE24FF">
        <w:rPr>
          <w:rFonts w:ascii="Arial" w:hAnsi="Arial" w:cs="Arial"/>
          <w:sz w:val="20"/>
          <w:lang w:val="en-AU"/>
        </w:rPr>
        <w:t xml:space="preserve">ate </w:t>
      </w:r>
      <w:r w:rsidR="0000789E">
        <w:rPr>
          <w:rFonts w:ascii="Arial" w:hAnsi="Arial" w:cs="Arial"/>
          <w:sz w:val="20"/>
          <w:lang w:val="en-AU"/>
        </w:rPr>
        <w:t>particular kinds of</w:t>
      </w:r>
      <w:r w:rsidR="00EE24FF">
        <w:rPr>
          <w:rFonts w:ascii="Arial" w:hAnsi="Arial" w:cs="Arial"/>
          <w:sz w:val="20"/>
          <w:lang w:val="en-AU"/>
        </w:rPr>
        <w:t xml:space="preserve"> CB station</w:t>
      </w:r>
      <w:r w:rsidR="0000789E">
        <w:rPr>
          <w:rFonts w:ascii="Arial" w:hAnsi="Arial" w:cs="Arial"/>
          <w:sz w:val="20"/>
          <w:lang w:val="en-AU"/>
        </w:rPr>
        <w:t>s</w:t>
      </w:r>
      <w:r w:rsidR="0039630B">
        <w:rPr>
          <w:rFonts w:ascii="Arial" w:hAnsi="Arial" w:cs="Arial"/>
          <w:sz w:val="20"/>
          <w:lang w:val="en-AU"/>
        </w:rPr>
        <w:t>,</w:t>
      </w:r>
      <w:r w:rsidR="007D0F00">
        <w:rPr>
          <w:rFonts w:ascii="Arial" w:hAnsi="Arial" w:cs="Arial"/>
          <w:sz w:val="20"/>
          <w:lang w:val="en-AU"/>
        </w:rPr>
        <w:t xml:space="preserve"> and</w:t>
      </w:r>
      <w:r w:rsidR="0039630B">
        <w:rPr>
          <w:rFonts w:ascii="Arial" w:hAnsi="Arial" w:cs="Arial"/>
          <w:sz w:val="20"/>
          <w:lang w:val="en-AU"/>
        </w:rPr>
        <w:t xml:space="preserve"> </w:t>
      </w:r>
      <w:r w:rsidR="0000789E">
        <w:rPr>
          <w:rFonts w:ascii="Arial" w:hAnsi="Arial" w:cs="Arial"/>
          <w:sz w:val="20"/>
          <w:lang w:val="en-AU"/>
        </w:rPr>
        <w:t xml:space="preserve">for </w:t>
      </w:r>
      <w:r w:rsidR="0039630B">
        <w:rPr>
          <w:rFonts w:ascii="Arial" w:hAnsi="Arial" w:cs="Arial"/>
          <w:sz w:val="20"/>
          <w:lang w:val="en-AU"/>
        </w:rPr>
        <w:t>particular purposes</w:t>
      </w:r>
      <w:r w:rsidR="00BD24EC">
        <w:rPr>
          <w:rFonts w:ascii="Arial" w:hAnsi="Arial" w:cs="Arial"/>
          <w:sz w:val="20"/>
          <w:lang w:val="en-AU"/>
        </w:rPr>
        <w:t xml:space="preserve">, subject to the conditions in the Class Licence. </w:t>
      </w:r>
    </w:p>
    <w:p w14:paraId="64962DD0" w14:textId="77777777" w:rsidR="00D14D9A" w:rsidRPr="007B4C22" w:rsidRDefault="00D14D9A" w:rsidP="0068620F">
      <w:pPr>
        <w:spacing w:before="240" w:after="240"/>
        <w:outlineLvl w:val="0"/>
        <w:rPr>
          <w:rFonts w:ascii="Arial" w:hAnsi="Arial" w:cs="Arial"/>
          <w:b/>
          <w:color w:val="262626"/>
          <w:sz w:val="20"/>
        </w:rPr>
      </w:pPr>
      <w:r w:rsidRPr="007B4C22">
        <w:rPr>
          <w:rFonts w:ascii="Arial" w:hAnsi="Arial" w:cs="Arial"/>
          <w:b/>
          <w:color w:val="262626"/>
          <w:sz w:val="20"/>
        </w:rPr>
        <w:t xml:space="preserve">Section </w:t>
      </w:r>
      <w:r w:rsidR="0068620F">
        <w:rPr>
          <w:rFonts w:ascii="Arial" w:hAnsi="Arial" w:cs="Arial"/>
          <w:b/>
          <w:color w:val="262626"/>
          <w:sz w:val="20"/>
        </w:rPr>
        <w:t>6</w:t>
      </w:r>
      <w:r w:rsidRPr="007B4C22">
        <w:rPr>
          <w:rFonts w:ascii="Arial" w:hAnsi="Arial" w:cs="Arial"/>
          <w:b/>
          <w:color w:val="262626"/>
          <w:sz w:val="20"/>
        </w:rPr>
        <w:t xml:space="preserve"> – Condition</w:t>
      </w:r>
      <w:r w:rsidR="00E739E0" w:rsidRPr="007B4C22">
        <w:rPr>
          <w:rFonts w:ascii="Arial" w:hAnsi="Arial" w:cs="Arial"/>
          <w:b/>
          <w:color w:val="262626"/>
          <w:sz w:val="20"/>
        </w:rPr>
        <w:t>s</w:t>
      </w:r>
      <w:r w:rsidR="0068620F">
        <w:rPr>
          <w:rFonts w:ascii="Arial" w:hAnsi="Arial" w:cs="Arial"/>
          <w:b/>
          <w:color w:val="262626"/>
          <w:sz w:val="20"/>
        </w:rPr>
        <w:t xml:space="preserve"> - general</w:t>
      </w:r>
    </w:p>
    <w:p w14:paraId="70686448" w14:textId="1600BB75" w:rsidR="0075741A" w:rsidRPr="00583312" w:rsidRDefault="00D14D9A" w:rsidP="00EE24FF">
      <w:pPr>
        <w:spacing w:before="80" w:after="120" w:line="276" w:lineRule="auto"/>
        <w:rPr>
          <w:rFonts w:ascii="Arial" w:hAnsi="Arial" w:cs="Arial"/>
          <w:sz w:val="20"/>
          <w:lang w:val="en-AU"/>
        </w:rPr>
      </w:pPr>
      <w:r w:rsidRPr="00D14D9A">
        <w:rPr>
          <w:rFonts w:ascii="Arial" w:hAnsi="Arial" w:cs="Arial"/>
          <w:sz w:val="20"/>
          <w:lang w:val="en-AU"/>
        </w:rPr>
        <w:t xml:space="preserve">Section </w:t>
      </w:r>
      <w:r w:rsidR="0068620F">
        <w:rPr>
          <w:rFonts w:ascii="Arial" w:hAnsi="Arial" w:cs="Arial"/>
          <w:sz w:val="20"/>
          <w:lang w:val="en-AU"/>
        </w:rPr>
        <w:t>6</w:t>
      </w:r>
      <w:r w:rsidRPr="00D14D9A">
        <w:rPr>
          <w:rFonts w:ascii="Arial" w:hAnsi="Arial" w:cs="Arial"/>
          <w:sz w:val="20"/>
          <w:lang w:val="en-AU"/>
        </w:rPr>
        <w:t xml:space="preserve"> </w:t>
      </w:r>
      <w:r w:rsidR="00F17C9C">
        <w:rPr>
          <w:rFonts w:ascii="Arial" w:hAnsi="Arial" w:cs="Arial"/>
          <w:sz w:val="20"/>
          <w:lang w:val="en-AU"/>
        </w:rPr>
        <w:t xml:space="preserve">sets out the </w:t>
      </w:r>
      <w:r w:rsidR="007D0B25">
        <w:rPr>
          <w:rFonts w:ascii="Arial" w:hAnsi="Arial" w:cs="Arial"/>
          <w:sz w:val="20"/>
          <w:lang w:val="en-AU"/>
        </w:rPr>
        <w:t xml:space="preserve">general conditions that </w:t>
      </w:r>
      <w:r w:rsidR="00FB394D">
        <w:rPr>
          <w:rFonts w:ascii="Arial" w:hAnsi="Arial" w:cs="Arial"/>
          <w:sz w:val="20"/>
          <w:lang w:val="en-AU"/>
        </w:rPr>
        <w:t xml:space="preserve">regulate </w:t>
      </w:r>
      <w:r w:rsidR="007D0B25">
        <w:rPr>
          <w:rFonts w:ascii="Arial" w:hAnsi="Arial" w:cs="Arial"/>
          <w:sz w:val="20"/>
          <w:lang w:val="en-AU"/>
        </w:rPr>
        <w:t xml:space="preserve">the operation of </w:t>
      </w:r>
      <w:r w:rsidR="00F17C9C">
        <w:rPr>
          <w:rFonts w:ascii="Arial" w:hAnsi="Arial" w:cs="Arial"/>
          <w:sz w:val="20"/>
          <w:lang w:val="en-AU"/>
        </w:rPr>
        <w:t>a CB</w:t>
      </w:r>
      <w:r w:rsidR="007D0B25">
        <w:rPr>
          <w:rFonts w:ascii="Arial" w:hAnsi="Arial" w:cs="Arial"/>
          <w:sz w:val="20"/>
          <w:lang w:val="en-AU"/>
        </w:rPr>
        <w:t xml:space="preserve"> station</w:t>
      </w:r>
      <w:r w:rsidR="00A02EBF">
        <w:rPr>
          <w:rFonts w:ascii="Arial" w:hAnsi="Arial" w:cs="Arial"/>
          <w:sz w:val="20"/>
          <w:lang w:val="en-AU"/>
        </w:rPr>
        <w:t>.</w:t>
      </w:r>
    </w:p>
    <w:p w14:paraId="6FDC0CE6" w14:textId="77777777" w:rsidR="00D14D9A" w:rsidRPr="007B4C22" w:rsidRDefault="00D14D9A" w:rsidP="007D6A7C">
      <w:pPr>
        <w:spacing w:before="240" w:after="240"/>
        <w:rPr>
          <w:rFonts w:ascii="Arial" w:hAnsi="Arial" w:cs="Arial"/>
          <w:b/>
          <w:color w:val="262626"/>
          <w:sz w:val="20"/>
        </w:rPr>
      </w:pPr>
      <w:r w:rsidRPr="007B4C22">
        <w:rPr>
          <w:rFonts w:ascii="Arial" w:hAnsi="Arial" w:cs="Arial"/>
          <w:b/>
          <w:color w:val="262626"/>
          <w:sz w:val="20"/>
        </w:rPr>
        <w:t xml:space="preserve">Section </w:t>
      </w:r>
      <w:r w:rsidR="00883424">
        <w:rPr>
          <w:rFonts w:ascii="Arial" w:hAnsi="Arial" w:cs="Arial"/>
          <w:b/>
          <w:color w:val="262626"/>
          <w:sz w:val="20"/>
        </w:rPr>
        <w:t>7</w:t>
      </w:r>
      <w:r w:rsidRPr="007B4C22">
        <w:rPr>
          <w:rFonts w:ascii="Arial" w:hAnsi="Arial" w:cs="Arial"/>
          <w:b/>
          <w:color w:val="262626"/>
          <w:sz w:val="20"/>
        </w:rPr>
        <w:t xml:space="preserve"> – </w:t>
      </w:r>
      <w:r w:rsidR="00883424">
        <w:rPr>
          <w:rFonts w:ascii="Arial" w:hAnsi="Arial" w:cs="Arial"/>
          <w:b/>
          <w:color w:val="262626"/>
          <w:sz w:val="20"/>
        </w:rPr>
        <w:t>Operating a CB station to transmit audio tones</w:t>
      </w:r>
    </w:p>
    <w:p w14:paraId="2BA923BC" w14:textId="77777777" w:rsidR="00F47163" w:rsidRDefault="005112C7" w:rsidP="007D6A7C">
      <w:pPr>
        <w:spacing w:before="240" w:after="240"/>
        <w:rPr>
          <w:rFonts w:ascii="Arial" w:hAnsi="Arial" w:cs="Arial"/>
          <w:sz w:val="20"/>
          <w:lang w:val="en-AU"/>
        </w:rPr>
      </w:pPr>
      <w:r>
        <w:rPr>
          <w:rFonts w:ascii="Arial" w:hAnsi="Arial" w:cs="Arial"/>
          <w:sz w:val="20"/>
          <w:lang w:val="en-AU"/>
        </w:rPr>
        <w:t>Section 7 sets out the conditions upon which</w:t>
      </w:r>
      <w:r w:rsidRPr="00D14D9A">
        <w:rPr>
          <w:rFonts w:ascii="Arial" w:hAnsi="Arial" w:cs="Arial"/>
          <w:sz w:val="20"/>
          <w:lang w:val="en-AU"/>
        </w:rPr>
        <w:t xml:space="preserve"> </w:t>
      </w:r>
      <w:r>
        <w:rPr>
          <w:rFonts w:ascii="Arial" w:hAnsi="Arial" w:cs="Arial"/>
          <w:sz w:val="20"/>
          <w:lang w:val="en-AU"/>
        </w:rPr>
        <w:t>a person can operate a CB station to transmit audio tones for initiating communications with another CB station.</w:t>
      </w:r>
      <w:r w:rsidRPr="00D14D9A" w:rsidDel="005112C7">
        <w:rPr>
          <w:rFonts w:ascii="Arial" w:hAnsi="Arial" w:cs="Arial"/>
          <w:sz w:val="20"/>
          <w:lang w:val="en-AU"/>
        </w:rPr>
        <w:t xml:space="preserve"> </w:t>
      </w:r>
    </w:p>
    <w:p w14:paraId="40A5AE66" w14:textId="3524273D" w:rsidR="00D87348" w:rsidRPr="007B4C22" w:rsidRDefault="00D87348" w:rsidP="007D6A7C">
      <w:pPr>
        <w:spacing w:before="240" w:after="240"/>
        <w:rPr>
          <w:rFonts w:ascii="Arial" w:hAnsi="Arial" w:cs="Arial"/>
          <w:b/>
          <w:color w:val="262626"/>
          <w:sz w:val="20"/>
        </w:rPr>
      </w:pPr>
      <w:r w:rsidRPr="007B4C22">
        <w:rPr>
          <w:rFonts w:ascii="Arial" w:hAnsi="Arial" w:cs="Arial"/>
          <w:b/>
          <w:color w:val="262626"/>
          <w:sz w:val="20"/>
        </w:rPr>
        <w:t>Section</w:t>
      </w:r>
      <w:r w:rsidR="00883424">
        <w:rPr>
          <w:rFonts w:ascii="Arial" w:hAnsi="Arial" w:cs="Arial"/>
          <w:b/>
          <w:color w:val="262626"/>
          <w:sz w:val="20"/>
        </w:rPr>
        <w:t xml:space="preserve"> 8</w:t>
      </w:r>
      <w:r w:rsidRPr="007B4C22">
        <w:rPr>
          <w:rFonts w:ascii="Arial" w:hAnsi="Arial" w:cs="Arial"/>
          <w:b/>
          <w:color w:val="262626"/>
          <w:sz w:val="20"/>
        </w:rPr>
        <w:t xml:space="preserve"> – </w:t>
      </w:r>
      <w:r w:rsidR="00883424">
        <w:rPr>
          <w:rFonts w:ascii="Arial" w:hAnsi="Arial" w:cs="Arial"/>
          <w:b/>
          <w:color w:val="262626"/>
          <w:sz w:val="20"/>
        </w:rPr>
        <w:t>Condition relating to a CB station that operate</w:t>
      </w:r>
      <w:r w:rsidR="00A0614D">
        <w:rPr>
          <w:rFonts w:ascii="Arial" w:hAnsi="Arial" w:cs="Arial"/>
          <w:b/>
          <w:color w:val="262626"/>
          <w:sz w:val="20"/>
        </w:rPr>
        <w:t>s</w:t>
      </w:r>
      <w:r w:rsidR="00883424">
        <w:rPr>
          <w:rFonts w:ascii="Arial" w:hAnsi="Arial" w:cs="Arial"/>
          <w:b/>
          <w:color w:val="262626"/>
          <w:sz w:val="20"/>
        </w:rPr>
        <w:t xml:space="preserve"> through a CB repeater station. </w:t>
      </w:r>
    </w:p>
    <w:p w14:paraId="2F2067CE" w14:textId="47020E53" w:rsidR="00D14D9A" w:rsidRPr="007D6A7C" w:rsidRDefault="00D87348" w:rsidP="007D6A7C">
      <w:pPr>
        <w:spacing w:before="240" w:after="240"/>
        <w:rPr>
          <w:rFonts w:ascii="Arial" w:hAnsi="Arial" w:cs="Arial"/>
          <w:sz w:val="20"/>
          <w:lang w:val="en-AU"/>
        </w:rPr>
      </w:pPr>
      <w:r>
        <w:rPr>
          <w:rFonts w:ascii="Arial" w:hAnsi="Arial" w:cs="Arial"/>
          <w:sz w:val="20"/>
          <w:lang w:val="en-AU"/>
        </w:rPr>
        <w:t xml:space="preserve">Section </w:t>
      </w:r>
      <w:r w:rsidR="00883424">
        <w:rPr>
          <w:rFonts w:ascii="Arial" w:hAnsi="Arial" w:cs="Arial"/>
          <w:sz w:val="20"/>
          <w:lang w:val="en-AU"/>
        </w:rPr>
        <w:t>8</w:t>
      </w:r>
      <w:r>
        <w:rPr>
          <w:rFonts w:ascii="Arial" w:hAnsi="Arial" w:cs="Arial"/>
          <w:sz w:val="20"/>
          <w:lang w:val="en-AU"/>
        </w:rPr>
        <w:t xml:space="preserve"> </w:t>
      </w:r>
      <w:r w:rsidR="009321DF" w:rsidRPr="00D14D9A">
        <w:rPr>
          <w:rFonts w:ascii="Arial" w:hAnsi="Arial" w:cs="Arial"/>
          <w:sz w:val="20"/>
          <w:lang w:val="en-AU"/>
        </w:rPr>
        <w:t>pro</w:t>
      </w:r>
      <w:r w:rsidR="009321DF">
        <w:rPr>
          <w:rFonts w:ascii="Arial" w:hAnsi="Arial" w:cs="Arial"/>
          <w:sz w:val="20"/>
          <w:lang w:val="en-AU"/>
        </w:rPr>
        <w:t>hibits</w:t>
      </w:r>
      <w:r w:rsidR="009321DF" w:rsidRPr="00D14D9A">
        <w:rPr>
          <w:rFonts w:ascii="Arial" w:hAnsi="Arial" w:cs="Arial"/>
          <w:sz w:val="20"/>
          <w:lang w:val="en-AU"/>
        </w:rPr>
        <w:t xml:space="preserve"> </w:t>
      </w:r>
      <w:r w:rsidR="00D14D9A">
        <w:rPr>
          <w:rFonts w:ascii="Arial" w:hAnsi="Arial" w:cs="Arial"/>
          <w:sz w:val="20"/>
          <w:lang w:val="en-AU"/>
        </w:rPr>
        <w:t>th</w:t>
      </w:r>
      <w:r w:rsidR="00117DD2">
        <w:rPr>
          <w:rFonts w:ascii="Arial" w:hAnsi="Arial" w:cs="Arial"/>
          <w:sz w:val="20"/>
          <w:lang w:val="en-AU"/>
        </w:rPr>
        <w:t>e</w:t>
      </w:r>
      <w:r w:rsidR="009321DF">
        <w:rPr>
          <w:rFonts w:ascii="Arial" w:hAnsi="Arial" w:cs="Arial"/>
          <w:sz w:val="20"/>
          <w:lang w:val="en-AU"/>
        </w:rPr>
        <w:t xml:space="preserve"> operation of a CB station</w:t>
      </w:r>
      <w:r w:rsidR="009D019A">
        <w:rPr>
          <w:rFonts w:ascii="Arial" w:hAnsi="Arial" w:cs="Arial"/>
          <w:sz w:val="20"/>
          <w:lang w:val="en-AU"/>
        </w:rPr>
        <w:t xml:space="preserve"> on certain channels, except where that operation </w:t>
      </w:r>
      <w:r w:rsidR="00823E05">
        <w:rPr>
          <w:rFonts w:ascii="Arial" w:hAnsi="Arial" w:cs="Arial"/>
          <w:sz w:val="20"/>
          <w:lang w:val="en-AU"/>
        </w:rPr>
        <w:t>i</w:t>
      </w:r>
      <w:r w:rsidR="009D019A">
        <w:rPr>
          <w:rFonts w:ascii="Arial" w:hAnsi="Arial" w:cs="Arial"/>
          <w:sz w:val="20"/>
          <w:lang w:val="en-AU"/>
        </w:rPr>
        <w:t>s</w:t>
      </w:r>
      <w:r w:rsidR="00823E05">
        <w:rPr>
          <w:rFonts w:ascii="Arial" w:hAnsi="Arial" w:cs="Arial"/>
          <w:sz w:val="20"/>
          <w:lang w:val="en-AU"/>
        </w:rPr>
        <w:t xml:space="preserve"> </w:t>
      </w:r>
      <w:r w:rsidR="009321DF">
        <w:rPr>
          <w:rFonts w:ascii="Arial" w:hAnsi="Arial" w:cs="Arial"/>
          <w:sz w:val="20"/>
          <w:lang w:val="en-AU"/>
        </w:rPr>
        <w:t>for the purpose of transmitting to a CB repeater station.</w:t>
      </w:r>
    </w:p>
    <w:p w14:paraId="093B2122" w14:textId="77777777" w:rsidR="007D6A7C" w:rsidRPr="007B4C22" w:rsidRDefault="007D6A7C" w:rsidP="007D6A7C">
      <w:pPr>
        <w:spacing w:before="240" w:after="240"/>
        <w:rPr>
          <w:rFonts w:ascii="Arial" w:hAnsi="Arial" w:cs="Arial"/>
          <w:b/>
          <w:color w:val="262626"/>
          <w:sz w:val="20"/>
        </w:rPr>
      </w:pPr>
      <w:r w:rsidRPr="007B4C22">
        <w:rPr>
          <w:rFonts w:ascii="Arial" w:hAnsi="Arial" w:cs="Arial"/>
          <w:b/>
          <w:color w:val="262626"/>
          <w:sz w:val="20"/>
        </w:rPr>
        <w:t xml:space="preserve">Section </w:t>
      </w:r>
      <w:r w:rsidR="00883424">
        <w:rPr>
          <w:rFonts w:ascii="Arial" w:hAnsi="Arial" w:cs="Arial"/>
          <w:b/>
          <w:color w:val="262626"/>
          <w:sz w:val="20"/>
        </w:rPr>
        <w:t>9</w:t>
      </w:r>
      <w:r w:rsidRPr="007B4C22">
        <w:rPr>
          <w:rFonts w:ascii="Arial" w:hAnsi="Arial" w:cs="Arial"/>
          <w:b/>
          <w:color w:val="262626"/>
          <w:sz w:val="20"/>
        </w:rPr>
        <w:t xml:space="preserve"> – </w:t>
      </w:r>
      <w:r w:rsidR="00883424">
        <w:rPr>
          <w:rFonts w:ascii="Arial" w:hAnsi="Arial" w:cs="Arial"/>
          <w:b/>
          <w:color w:val="262626"/>
          <w:sz w:val="20"/>
        </w:rPr>
        <w:t xml:space="preserve">Directions </w:t>
      </w:r>
    </w:p>
    <w:p w14:paraId="531FE756" w14:textId="09E6432F" w:rsidR="00F5400D" w:rsidRPr="00F5400D" w:rsidRDefault="00117DD2" w:rsidP="00F5400D">
      <w:pPr>
        <w:spacing w:before="240" w:after="240"/>
        <w:rPr>
          <w:rFonts w:ascii="Arial" w:hAnsi="Arial" w:cs="Arial"/>
          <w:sz w:val="20"/>
          <w:lang w:val="en-AU"/>
        </w:rPr>
      </w:pPr>
      <w:r>
        <w:rPr>
          <w:rFonts w:ascii="Arial" w:hAnsi="Arial" w:cs="Arial"/>
          <w:sz w:val="20"/>
          <w:lang w:val="en-AU"/>
        </w:rPr>
        <w:t xml:space="preserve">Section </w:t>
      </w:r>
      <w:r w:rsidR="00883424">
        <w:rPr>
          <w:rFonts w:ascii="Arial" w:hAnsi="Arial" w:cs="Arial"/>
          <w:sz w:val="20"/>
          <w:lang w:val="en-AU"/>
        </w:rPr>
        <w:t>9</w:t>
      </w:r>
      <w:r w:rsidR="00F54C4E">
        <w:rPr>
          <w:rFonts w:ascii="Arial" w:hAnsi="Arial" w:cs="Arial"/>
          <w:sz w:val="20"/>
          <w:lang w:val="en-AU"/>
        </w:rPr>
        <w:t xml:space="preserve"> </w:t>
      </w:r>
      <w:r w:rsidRPr="00D14D9A">
        <w:rPr>
          <w:rFonts w:ascii="Arial" w:hAnsi="Arial" w:cs="Arial"/>
          <w:sz w:val="20"/>
          <w:lang w:val="en-AU"/>
        </w:rPr>
        <w:t xml:space="preserve">provides </w:t>
      </w:r>
      <w:r>
        <w:rPr>
          <w:rFonts w:ascii="Arial" w:hAnsi="Arial" w:cs="Arial"/>
          <w:sz w:val="20"/>
          <w:lang w:val="en-AU"/>
        </w:rPr>
        <w:t>that a</w:t>
      </w:r>
      <w:r w:rsidR="00EE24FF">
        <w:rPr>
          <w:rFonts w:ascii="Arial" w:hAnsi="Arial" w:cs="Arial"/>
          <w:sz w:val="20"/>
          <w:lang w:val="en-AU"/>
        </w:rPr>
        <w:t xml:space="preserve"> person</w:t>
      </w:r>
      <w:r>
        <w:rPr>
          <w:rFonts w:ascii="Arial" w:hAnsi="Arial" w:cs="Arial"/>
          <w:sz w:val="20"/>
          <w:lang w:val="en-AU"/>
        </w:rPr>
        <w:t xml:space="preserve"> must </w:t>
      </w:r>
      <w:r w:rsidR="006738C2">
        <w:rPr>
          <w:rFonts w:ascii="Arial" w:hAnsi="Arial" w:cs="Arial"/>
          <w:sz w:val="20"/>
          <w:lang w:val="en-AU"/>
        </w:rPr>
        <w:t>comply with</w:t>
      </w:r>
      <w:r w:rsidR="00F936EC">
        <w:rPr>
          <w:rFonts w:ascii="Arial" w:hAnsi="Arial" w:cs="Arial"/>
          <w:sz w:val="20"/>
          <w:lang w:val="en-AU"/>
        </w:rPr>
        <w:t xml:space="preserve"> a</w:t>
      </w:r>
      <w:r w:rsidR="00B87604">
        <w:rPr>
          <w:rFonts w:ascii="Arial" w:hAnsi="Arial" w:cs="Arial"/>
          <w:sz w:val="20"/>
          <w:lang w:val="en-AU"/>
        </w:rPr>
        <w:t xml:space="preserve"> </w:t>
      </w:r>
      <w:r w:rsidR="007D0B25">
        <w:rPr>
          <w:rFonts w:ascii="Arial" w:hAnsi="Arial" w:cs="Arial"/>
          <w:sz w:val="20"/>
          <w:lang w:val="en-AU"/>
        </w:rPr>
        <w:t xml:space="preserve">direction </w:t>
      </w:r>
      <w:r w:rsidR="00B87604">
        <w:rPr>
          <w:rFonts w:ascii="Arial" w:hAnsi="Arial" w:cs="Arial"/>
          <w:sz w:val="20"/>
          <w:lang w:val="en-AU"/>
        </w:rPr>
        <w:t xml:space="preserve">given by </w:t>
      </w:r>
      <w:r w:rsidR="00210BE9" w:rsidRPr="00210BE9">
        <w:rPr>
          <w:rFonts w:ascii="Arial" w:hAnsi="Arial" w:cs="Arial"/>
          <w:sz w:val="20"/>
          <w:lang w:val="en-AU"/>
        </w:rPr>
        <w:t>a member o</w:t>
      </w:r>
      <w:r w:rsidR="00210BE9">
        <w:rPr>
          <w:rFonts w:ascii="Arial" w:hAnsi="Arial" w:cs="Arial"/>
          <w:sz w:val="20"/>
          <w:lang w:val="en-AU"/>
        </w:rPr>
        <w:t xml:space="preserve">f the Australian Federal Police, </w:t>
      </w:r>
      <w:r w:rsidR="00210BE9" w:rsidRPr="00210BE9">
        <w:rPr>
          <w:rFonts w:ascii="Arial" w:hAnsi="Arial" w:cs="Arial"/>
          <w:sz w:val="20"/>
          <w:lang w:val="en-AU"/>
        </w:rPr>
        <w:t>a member of the polic</w:t>
      </w:r>
      <w:r w:rsidR="00210BE9">
        <w:rPr>
          <w:rFonts w:ascii="Arial" w:hAnsi="Arial" w:cs="Arial"/>
          <w:sz w:val="20"/>
          <w:lang w:val="en-AU"/>
        </w:rPr>
        <w:t xml:space="preserve">e force of a State or Territory, an officer of the Defence Force, </w:t>
      </w:r>
      <w:r w:rsidR="00210BE9" w:rsidRPr="00210BE9">
        <w:rPr>
          <w:rFonts w:ascii="Arial" w:hAnsi="Arial" w:cs="Arial"/>
          <w:sz w:val="20"/>
          <w:lang w:val="en-AU"/>
        </w:rPr>
        <w:t xml:space="preserve">an officer of the Australian Maritime Safety Authority who is employed in the Authority’s Rescue </w:t>
      </w:r>
      <w:r w:rsidR="00210BE9">
        <w:rPr>
          <w:rFonts w:ascii="Arial" w:hAnsi="Arial" w:cs="Arial"/>
          <w:sz w:val="20"/>
          <w:lang w:val="en-AU"/>
        </w:rPr>
        <w:t xml:space="preserve">Coordination Centre or </w:t>
      </w:r>
      <w:r w:rsidR="00210BE9" w:rsidRPr="00210BE9">
        <w:rPr>
          <w:rFonts w:ascii="Arial" w:hAnsi="Arial" w:cs="Arial"/>
          <w:sz w:val="20"/>
          <w:lang w:val="en-AU"/>
        </w:rPr>
        <w:t xml:space="preserve">an officer mentioned in Schedule 2 to the </w:t>
      </w:r>
      <w:proofErr w:type="spellStart"/>
      <w:r w:rsidR="00210BE9" w:rsidRPr="00210BE9">
        <w:rPr>
          <w:rFonts w:ascii="Arial" w:hAnsi="Arial" w:cs="Arial"/>
          <w:i/>
          <w:iCs/>
          <w:sz w:val="20"/>
          <w:lang w:val="en-AU"/>
        </w:rPr>
        <w:t>Radiocommunications</w:t>
      </w:r>
      <w:proofErr w:type="spellEnd"/>
      <w:r w:rsidR="00210BE9" w:rsidRPr="00210BE9">
        <w:rPr>
          <w:rFonts w:ascii="Arial" w:hAnsi="Arial" w:cs="Arial"/>
          <w:i/>
          <w:iCs/>
          <w:sz w:val="20"/>
          <w:lang w:val="en-AU"/>
        </w:rPr>
        <w:t xml:space="preserve"> Regulations 1993</w:t>
      </w:r>
      <w:r w:rsidR="00F5400D">
        <w:rPr>
          <w:rFonts w:ascii="Arial" w:hAnsi="Arial" w:cs="Arial"/>
          <w:sz w:val="20"/>
          <w:lang w:val="en-AU"/>
        </w:rPr>
        <w:t xml:space="preserve"> where that direction is reasonably necessary to </w:t>
      </w:r>
      <w:r w:rsidR="00F5400D" w:rsidRPr="00F5400D">
        <w:rPr>
          <w:rFonts w:ascii="Arial" w:hAnsi="Arial" w:cs="Arial"/>
          <w:sz w:val="20"/>
          <w:lang w:val="en-AU"/>
        </w:rPr>
        <w:t>secure the safety of an aircraft or a vessel that is in danger</w:t>
      </w:r>
      <w:r w:rsidR="00F5400D">
        <w:rPr>
          <w:rFonts w:ascii="Arial" w:hAnsi="Arial" w:cs="Arial"/>
          <w:sz w:val="20"/>
          <w:lang w:val="en-AU"/>
        </w:rPr>
        <w:t xml:space="preserve">, </w:t>
      </w:r>
      <w:r w:rsidR="00F5400D" w:rsidRPr="00F5400D">
        <w:rPr>
          <w:rFonts w:ascii="Arial" w:hAnsi="Arial" w:cs="Arial"/>
          <w:sz w:val="20"/>
          <w:lang w:val="en-AU"/>
        </w:rPr>
        <w:t>deal with an emergency that involves a serio</w:t>
      </w:r>
      <w:r w:rsidR="00F5400D">
        <w:rPr>
          <w:rFonts w:ascii="Arial" w:hAnsi="Arial" w:cs="Arial"/>
          <w:sz w:val="20"/>
          <w:lang w:val="en-AU"/>
        </w:rPr>
        <w:t xml:space="preserve">us threat to the environment, </w:t>
      </w:r>
      <w:r w:rsidR="00F5400D" w:rsidRPr="00F5400D">
        <w:rPr>
          <w:rFonts w:ascii="Arial" w:hAnsi="Arial" w:cs="Arial"/>
          <w:sz w:val="20"/>
          <w:lang w:val="en-AU"/>
        </w:rPr>
        <w:t>deal with an emergency that involves the risk of d</w:t>
      </w:r>
      <w:r w:rsidR="00F5400D">
        <w:rPr>
          <w:rFonts w:ascii="Arial" w:hAnsi="Arial" w:cs="Arial"/>
          <w:sz w:val="20"/>
          <w:lang w:val="en-AU"/>
        </w:rPr>
        <w:t xml:space="preserve">eath of, or </w:t>
      </w:r>
      <w:r w:rsidR="00F5400D">
        <w:rPr>
          <w:rFonts w:ascii="Arial" w:hAnsi="Arial" w:cs="Arial"/>
          <w:sz w:val="20"/>
          <w:lang w:val="en-AU"/>
        </w:rPr>
        <w:lastRenderedPageBreak/>
        <w:t>injury to, a person,</w:t>
      </w:r>
      <w:r w:rsidR="00F5400D" w:rsidRPr="00F5400D">
        <w:rPr>
          <w:rFonts w:ascii="Arial" w:hAnsi="Arial" w:cs="Arial"/>
          <w:sz w:val="20"/>
          <w:lang w:val="en-AU"/>
        </w:rPr>
        <w:t xml:space="preserve"> or</w:t>
      </w:r>
      <w:r w:rsidR="00F5400D">
        <w:rPr>
          <w:rFonts w:ascii="Arial" w:hAnsi="Arial" w:cs="Arial"/>
          <w:sz w:val="20"/>
          <w:lang w:val="en-AU"/>
        </w:rPr>
        <w:t xml:space="preserve"> </w:t>
      </w:r>
      <w:r w:rsidR="00F5400D" w:rsidRPr="00F5400D">
        <w:rPr>
          <w:rFonts w:ascii="Arial" w:hAnsi="Arial" w:cs="Arial"/>
          <w:sz w:val="20"/>
          <w:lang w:val="en-AU"/>
        </w:rPr>
        <w:t>deal with an emergency that involves the risk of substantial damage to, or substantial loss of, property.</w:t>
      </w:r>
    </w:p>
    <w:p w14:paraId="1853386D" w14:textId="2B08F4C0" w:rsidR="00FB4091" w:rsidRPr="007B4C22" w:rsidRDefault="00FB4091" w:rsidP="00FB4091">
      <w:pPr>
        <w:spacing w:before="240" w:after="240"/>
        <w:rPr>
          <w:rFonts w:ascii="Arial" w:hAnsi="Arial" w:cs="Arial"/>
          <w:b/>
          <w:color w:val="262626"/>
          <w:sz w:val="20"/>
        </w:rPr>
      </w:pPr>
      <w:r w:rsidRPr="007B4C22">
        <w:rPr>
          <w:rFonts w:ascii="Arial" w:hAnsi="Arial" w:cs="Arial"/>
          <w:b/>
          <w:color w:val="262626"/>
          <w:sz w:val="20"/>
        </w:rPr>
        <w:t xml:space="preserve">Section </w:t>
      </w:r>
      <w:r w:rsidR="006738C2">
        <w:rPr>
          <w:rFonts w:ascii="Arial" w:hAnsi="Arial" w:cs="Arial"/>
          <w:b/>
          <w:color w:val="262626"/>
          <w:sz w:val="20"/>
        </w:rPr>
        <w:t>10</w:t>
      </w:r>
      <w:r w:rsidRPr="007B4C22">
        <w:rPr>
          <w:rFonts w:ascii="Arial" w:hAnsi="Arial" w:cs="Arial"/>
          <w:b/>
          <w:color w:val="262626"/>
          <w:sz w:val="20"/>
        </w:rPr>
        <w:t xml:space="preserve"> –</w:t>
      </w:r>
      <w:r w:rsidR="00EE24FF">
        <w:rPr>
          <w:rFonts w:ascii="Arial" w:hAnsi="Arial" w:cs="Arial"/>
          <w:b/>
          <w:color w:val="262626"/>
          <w:sz w:val="20"/>
        </w:rPr>
        <w:t xml:space="preserve"> Condition relating to applicable standards for a CB station</w:t>
      </w:r>
    </w:p>
    <w:p w14:paraId="4BA86F16" w14:textId="107D6157" w:rsidR="00FB4091" w:rsidRDefault="00FB4091" w:rsidP="00FB4091">
      <w:pPr>
        <w:spacing w:before="240" w:after="240"/>
        <w:rPr>
          <w:rFonts w:ascii="Arial" w:hAnsi="Arial" w:cs="Arial"/>
          <w:sz w:val="20"/>
          <w:lang w:val="en-AU"/>
        </w:rPr>
      </w:pPr>
      <w:r>
        <w:rPr>
          <w:rFonts w:ascii="Arial" w:hAnsi="Arial" w:cs="Arial"/>
          <w:sz w:val="20"/>
          <w:lang w:val="en-AU"/>
        </w:rPr>
        <w:t xml:space="preserve">Section </w:t>
      </w:r>
      <w:r w:rsidR="006738C2">
        <w:rPr>
          <w:rFonts w:ascii="Arial" w:hAnsi="Arial" w:cs="Arial"/>
          <w:sz w:val="20"/>
          <w:lang w:val="en-AU"/>
        </w:rPr>
        <w:t>10</w:t>
      </w:r>
      <w:r>
        <w:rPr>
          <w:rFonts w:ascii="Arial" w:hAnsi="Arial" w:cs="Arial"/>
          <w:sz w:val="20"/>
          <w:lang w:val="en-AU"/>
        </w:rPr>
        <w:t xml:space="preserve"> </w:t>
      </w:r>
      <w:r w:rsidR="00E57197">
        <w:rPr>
          <w:rFonts w:ascii="Arial" w:hAnsi="Arial" w:cs="Arial"/>
          <w:sz w:val="20"/>
          <w:lang w:val="en-AU"/>
        </w:rPr>
        <w:t>prohibits the operation of</w:t>
      </w:r>
      <w:r w:rsidR="00FA700F">
        <w:rPr>
          <w:rFonts w:ascii="Arial" w:hAnsi="Arial" w:cs="Arial"/>
          <w:sz w:val="20"/>
          <w:lang w:val="en-AU"/>
        </w:rPr>
        <w:t xml:space="preserve"> a CB station</w:t>
      </w:r>
      <w:r w:rsidR="00E57197">
        <w:rPr>
          <w:rFonts w:ascii="Arial" w:hAnsi="Arial" w:cs="Arial"/>
          <w:sz w:val="20"/>
          <w:lang w:val="en-AU"/>
        </w:rPr>
        <w:t xml:space="preserve"> unless that station</w:t>
      </w:r>
      <w:r w:rsidR="00FA700F">
        <w:rPr>
          <w:rFonts w:ascii="Arial" w:hAnsi="Arial" w:cs="Arial"/>
          <w:sz w:val="20"/>
          <w:lang w:val="en-AU"/>
        </w:rPr>
        <w:t xml:space="preserve"> compl</w:t>
      </w:r>
      <w:r w:rsidR="00E57197">
        <w:rPr>
          <w:rFonts w:ascii="Arial" w:hAnsi="Arial" w:cs="Arial"/>
          <w:sz w:val="20"/>
          <w:lang w:val="en-AU"/>
        </w:rPr>
        <w:t>ies</w:t>
      </w:r>
      <w:r w:rsidR="00FA700F">
        <w:rPr>
          <w:rFonts w:ascii="Arial" w:hAnsi="Arial" w:cs="Arial"/>
          <w:sz w:val="20"/>
          <w:lang w:val="en-AU"/>
        </w:rPr>
        <w:t xml:space="preserve"> with </w:t>
      </w:r>
      <w:r w:rsidR="00376379">
        <w:rPr>
          <w:rFonts w:ascii="Arial" w:hAnsi="Arial" w:cs="Arial"/>
          <w:sz w:val="20"/>
          <w:lang w:val="en-AU"/>
        </w:rPr>
        <w:t xml:space="preserve">an </w:t>
      </w:r>
      <w:r w:rsidR="00FA700F">
        <w:rPr>
          <w:rFonts w:ascii="Arial" w:hAnsi="Arial" w:cs="Arial"/>
          <w:sz w:val="20"/>
          <w:lang w:val="en-AU"/>
        </w:rPr>
        <w:t>applicable standard</w:t>
      </w:r>
      <w:r w:rsidR="00EE24FF">
        <w:rPr>
          <w:rFonts w:ascii="Arial" w:hAnsi="Arial" w:cs="Arial"/>
          <w:sz w:val="20"/>
          <w:lang w:val="en-AU"/>
        </w:rPr>
        <w:t xml:space="preserve"> made under section 162 of the Act</w:t>
      </w:r>
      <w:r w:rsidR="00FA700F">
        <w:rPr>
          <w:rFonts w:ascii="Arial" w:hAnsi="Arial" w:cs="Arial"/>
          <w:sz w:val="20"/>
          <w:lang w:val="en-AU"/>
        </w:rPr>
        <w:t>.</w:t>
      </w:r>
    </w:p>
    <w:p w14:paraId="17BA6F65" w14:textId="77777777" w:rsidR="00011BB2" w:rsidRPr="007B4C22" w:rsidRDefault="00011BB2" w:rsidP="00011BB2">
      <w:pPr>
        <w:spacing w:before="80" w:after="120" w:line="276" w:lineRule="auto"/>
        <w:rPr>
          <w:rFonts w:ascii="Arial" w:hAnsi="Arial" w:cs="Arial"/>
          <w:b/>
          <w:color w:val="262626"/>
          <w:sz w:val="20"/>
        </w:rPr>
      </w:pPr>
      <w:r w:rsidRPr="007B4C22">
        <w:rPr>
          <w:rFonts w:ascii="Arial" w:hAnsi="Arial" w:cs="Arial"/>
          <w:b/>
          <w:color w:val="262626"/>
          <w:sz w:val="20"/>
        </w:rPr>
        <w:t xml:space="preserve">Section </w:t>
      </w:r>
      <w:r w:rsidR="006738C2">
        <w:rPr>
          <w:rFonts w:ascii="Arial" w:hAnsi="Arial" w:cs="Arial"/>
          <w:b/>
          <w:color w:val="262626"/>
          <w:sz w:val="20"/>
        </w:rPr>
        <w:t>11</w:t>
      </w:r>
      <w:r w:rsidRPr="007B4C22">
        <w:rPr>
          <w:rFonts w:ascii="Arial" w:hAnsi="Arial" w:cs="Arial"/>
          <w:b/>
          <w:color w:val="262626"/>
          <w:sz w:val="20"/>
        </w:rPr>
        <w:t xml:space="preserve"> – </w:t>
      </w:r>
      <w:r w:rsidR="006738C2">
        <w:rPr>
          <w:rFonts w:ascii="Arial" w:hAnsi="Arial" w:cs="Arial"/>
          <w:b/>
          <w:color w:val="262626"/>
          <w:sz w:val="20"/>
        </w:rPr>
        <w:t xml:space="preserve">Condition relating to a CB station connected to a telecommunications network. </w:t>
      </w:r>
    </w:p>
    <w:p w14:paraId="66502558" w14:textId="79FD12B1" w:rsidR="00914D5C" w:rsidRDefault="00011BB2" w:rsidP="00165BB5">
      <w:pPr>
        <w:rPr>
          <w:rFonts w:ascii="Arial" w:hAnsi="Arial" w:cs="Arial"/>
          <w:sz w:val="20"/>
          <w:lang w:val="en-AU"/>
        </w:rPr>
      </w:pPr>
      <w:r w:rsidRPr="00EE24FF">
        <w:rPr>
          <w:rFonts w:ascii="Arial" w:hAnsi="Arial" w:cs="Arial"/>
          <w:sz w:val="20"/>
          <w:lang w:val="en-AU"/>
        </w:rPr>
        <w:t xml:space="preserve">Section </w:t>
      </w:r>
      <w:r w:rsidR="00EE24FF">
        <w:rPr>
          <w:rFonts w:ascii="Arial" w:hAnsi="Arial" w:cs="Arial"/>
          <w:sz w:val="20"/>
          <w:lang w:val="en-AU"/>
        </w:rPr>
        <w:t>11</w:t>
      </w:r>
      <w:r w:rsidRPr="00D14D9A">
        <w:rPr>
          <w:rFonts w:ascii="Arial" w:hAnsi="Arial" w:cs="Arial"/>
          <w:sz w:val="20"/>
          <w:lang w:val="en-AU"/>
        </w:rPr>
        <w:t xml:space="preserve"> </w:t>
      </w:r>
      <w:r w:rsidR="00FD4AEB">
        <w:rPr>
          <w:rFonts w:ascii="Arial" w:hAnsi="Arial" w:cs="Arial"/>
          <w:sz w:val="20"/>
          <w:lang w:val="en-AU"/>
        </w:rPr>
        <w:t>prohibits the operation of a</w:t>
      </w:r>
      <w:r w:rsidR="0075741A">
        <w:rPr>
          <w:rFonts w:ascii="Arial" w:hAnsi="Arial" w:cs="Arial"/>
          <w:sz w:val="20"/>
          <w:lang w:val="en-AU"/>
        </w:rPr>
        <w:t xml:space="preserve"> CB station</w:t>
      </w:r>
      <w:r w:rsidR="00FD4AEB">
        <w:rPr>
          <w:rFonts w:ascii="Arial" w:hAnsi="Arial" w:cs="Arial"/>
          <w:sz w:val="20"/>
          <w:lang w:val="en-AU"/>
        </w:rPr>
        <w:t xml:space="preserve"> connected to a telecommunications network unless the CB station</w:t>
      </w:r>
      <w:r w:rsidR="0075741A">
        <w:rPr>
          <w:rFonts w:ascii="Arial" w:hAnsi="Arial" w:cs="Arial"/>
          <w:sz w:val="20"/>
          <w:lang w:val="en-AU"/>
        </w:rPr>
        <w:t xml:space="preserve"> </w:t>
      </w:r>
      <w:r w:rsidR="00FD4AEB">
        <w:rPr>
          <w:rFonts w:ascii="Arial" w:hAnsi="Arial" w:cs="Arial"/>
          <w:sz w:val="20"/>
          <w:lang w:val="en-AU"/>
        </w:rPr>
        <w:t xml:space="preserve">complies </w:t>
      </w:r>
      <w:r w:rsidR="0075741A">
        <w:rPr>
          <w:rFonts w:ascii="Arial" w:hAnsi="Arial" w:cs="Arial"/>
          <w:sz w:val="20"/>
          <w:lang w:val="en-AU"/>
        </w:rPr>
        <w:t xml:space="preserve">with the </w:t>
      </w:r>
      <w:r w:rsidR="000E76DA" w:rsidRPr="00F47163">
        <w:rPr>
          <w:rFonts w:ascii="Arial" w:hAnsi="Arial" w:cs="Arial"/>
          <w:i/>
          <w:sz w:val="20"/>
          <w:lang w:val="en-AU"/>
        </w:rPr>
        <w:t>Telecommunications Labelling (Customer Equipment and Customer Cabling) Notice 2015</w:t>
      </w:r>
      <w:r w:rsidR="000E76DA">
        <w:rPr>
          <w:rFonts w:ascii="Arial" w:hAnsi="Arial" w:cs="Arial"/>
          <w:sz w:val="20"/>
          <w:lang w:val="en-AU"/>
        </w:rPr>
        <w:t xml:space="preserve"> or the </w:t>
      </w:r>
      <w:proofErr w:type="spellStart"/>
      <w:r w:rsidR="000E76DA" w:rsidRPr="00F47163">
        <w:rPr>
          <w:rFonts w:ascii="Arial" w:hAnsi="Arial" w:cs="Arial"/>
          <w:i/>
          <w:sz w:val="20"/>
          <w:lang w:val="en-AU"/>
        </w:rPr>
        <w:t>Radiocommunications</w:t>
      </w:r>
      <w:proofErr w:type="spellEnd"/>
      <w:r w:rsidR="000E76DA" w:rsidRPr="00F47163">
        <w:rPr>
          <w:rFonts w:ascii="Arial" w:hAnsi="Arial" w:cs="Arial"/>
          <w:i/>
          <w:sz w:val="20"/>
          <w:lang w:val="en-AU"/>
        </w:rPr>
        <w:t xml:space="preserve"> (</w:t>
      </w:r>
      <w:r w:rsidR="00572997" w:rsidRPr="00572997">
        <w:rPr>
          <w:rFonts w:ascii="Arial" w:hAnsi="Arial" w:cs="Arial"/>
          <w:i/>
          <w:sz w:val="20"/>
          <w:lang w:val="en-AU"/>
        </w:rPr>
        <w:t>Compliance</w:t>
      </w:r>
      <w:r w:rsidR="000E76DA" w:rsidRPr="00F47163">
        <w:rPr>
          <w:rFonts w:ascii="Arial" w:hAnsi="Arial" w:cs="Arial"/>
          <w:i/>
          <w:sz w:val="20"/>
          <w:lang w:val="en-AU"/>
        </w:rPr>
        <w:t xml:space="preserve"> Labelling – Devices) 2014</w:t>
      </w:r>
      <w:r w:rsidR="000E76DA">
        <w:rPr>
          <w:rFonts w:ascii="Arial" w:hAnsi="Arial" w:cs="Arial"/>
          <w:sz w:val="20"/>
          <w:lang w:val="en-AU"/>
        </w:rPr>
        <w:t xml:space="preserve"> (whichever is applicable to the</w:t>
      </w:r>
      <w:r w:rsidR="005C7F05">
        <w:rPr>
          <w:rFonts w:ascii="Arial" w:hAnsi="Arial" w:cs="Arial"/>
          <w:sz w:val="20"/>
          <w:lang w:val="en-AU"/>
        </w:rPr>
        <w:t xml:space="preserve"> particular CB station)</w:t>
      </w:r>
      <w:r w:rsidR="0075741A">
        <w:rPr>
          <w:rFonts w:ascii="Arial" w:hAnsi="Arial" w:cs="Arial"/>
          <w:sz w:val="20"/>
          <w:lang w:val="en-AU"/>
        </w:rPr>
        <w:t xml:space="preserve">. </w:t>
      </w:r>
      <w:r w:rsidR="006738C2">
        <w:rPr>
          <w:rFonts w:ascii="Arial" w:hAnsi="Arial" w:cs="Arial"/>
          <w:sz w:val="20"/>
          <w:lang w:val="en-AU"/>
        </w:rPr>
        <w:t xml:space="preserve"> </w:t>
      </w:r>
    </w:p>
    <w:p w14:paraId="6F378636" w14:textId="77777777" w:rsidR="00EE24FF" w:rsidRDefault="00EE24FF" w:rsidP="003B1709">
      <w:pPr>
        <w:spacing w:before="240" w:after="120" w:line="276" w:lineRule="auto"/>
        <w:rPr>
          <w:rFonts w:ascii="Arial" w:hAnsi="Arial" w:cs="Arial"/>
          <w:b/>
          <w:color w:val="262626" w:themeColor="text1" w:themeTint="D9"/>
          <w:sz w:val="20"/>
        </w:rPr>
      </w:pPr>
      <w:r w:rsidRPr="00492327">
        <w:rPr>
          <w:rFonts w:ascii="Arial" w:hAnsi="Arial" w:cs="Arial"/>
          <w:b/>
          <w:color w:val="262626" w:themeColor="text1" w:themeTint="D9"/>
          <w:sz w:val="20"/>
        </w:rPr>
        <w:t xml:space="preserve">Schedule 1 – </w:t>
      </w:r>
      <w:r w:rsidR="002F2755">
        <w:rPr>
          <w:rFonts w:ascii="Arial" w:hAnsi="Arial" w:cs="Arial"/>
          <w:b/>
          <w:color w:val="262626" w:themeColor="text1" w:themeTint="D9"/>
          <w:sz w:val="20"/>
        </w:rPr>
        <w:t>CB station operational requirements</w:t>
      </w:r>
    </w:p>
    <w:p w14:paraId="4024A719" w14:textId="7452E049" w:rsidR="00EE24FF" w:rsidRPr="00686B89" w:rsidRDefault="00EE24FF" w:rsidP="00EE24FF">
      <w:pPr>
        <w:spacing w:before="80" w:after="120" w:line="276" w:lineRule="auto"/>
        <w:rPr>
          <w:rFonts w:ascii="Arial" w:hAnsi="Arial" w:cs="Arial"/>
          <w:color w:val="262626" w:themeColor="text1" w:themeTint="D9"/>
          <w:sz w:val="20"/>
        </w:rPr>
      </w:pPr>
      <w:r>
        <w:rPr>
          <w:rFonts w:ascii="Arial" w:hAnsi="Arial" w:cs="Arial"/>
          <w:color w:val="262626" w:themeColor="text1" w:themeTint="D9"/>
          <w:sz w:val="20"/>
        </w:rPr>
        <w:t xml:space="preserve">Schedule 1 </w:t>
      </w:r>
      <w:r w:rsidR="00354FEC">
        <w:rPr>
          <w:rFonts w:ascii="Arial" w:hAnsi="Arial" w:cs="Arial"/>
          <w:color w:val="262626" w:themeColor="text1" w:themeTint="D9"/>
          <w:sz w:val="20"/>
        </w:rPr>
        <w:t xml:space="preserve">sets out </w:t>
      </w:r>
      <w:r>
        <w:rPr>
          <w:rFonts w:ascii="Arial" w:hAnsi="Arial" w:cs="Arial"/>
          <w:color w:val="262626" w:themeColor="text1" w:themeTint="D9"/>
          <w:sz w:val="20"/>
        </w:rPr>
        <w:t xml:space="preserve">the </w:t>
      </w:r>
      <w:r w:rsidR="002F2755">
        <w:rPr>
          <w:rFonts w:ascii="Arial" w:hAnsi="Arial" w:cs="Arial"/>
          <w:color w:val="262626" w:themeColor="text1" w:themeTint="D9"/>
          <w:sz w:val="20"/>
        </w:rPr>
        <w:t xml:space="preserve">operating requirements and technical parameters that </w:t>
      </w:r>
      <w:r w:rsidR="00DB4163">
        <w:rPr>
          <w:rFonts w:ascii="Arial" w:hAnsi="Arial" w:cs="Arial"/>
          <w:color w:val="262626" w:themeColor="text1" w:themeTint="D9"/>
          <w:sz w:val="20"/>
        </w:rPr>
        <w:t xml:space="preserve">must be complied with for </w:t>
      </w:r>
      <w:r w:rsidR="004B4598">
        <w:rPr>
          <w:rFonts w:ascii="Arial" w:hAnsi="Arial" w:cs="Arial"/>
          <w:color w:val="262626" w:themeColor="text1" w:themeTint="D9"/>
          <w:sz w:val="20"/>
        </w:rPr>
        <w:t xml:space="preserve">the operation of </w:t>
      </w:r>
      <w:r w:rsidR="002F2755">
        <w:rPr>
          <w:rFonts w:ascii="Arial" w:hAnsi="Arial" w:cs="Arial"/>
          <w:color w:val="262626" w:themeColor="text1" w:themeTint="D9"/>
          <w:sz w:val="20"/>
        </w:rPr>
        <w:t xml:space="preserve">CB stations </w:t>
      </w:r>
      <w:r w:rsidR="002F2755">
        <w:rPr>
          <w:rFonts w:ascii="Arial" w:hAnsi="Arial" w:cs="Arial"/>
          <w:iCs/>
          <w:sz w:val="20"/>
        </w:rPr>
        <w:t xml:space="preserve">in </w:t>
      </w:r>
      <w:r w:rsidR="004B4598">
        <w:rPr>
          <w:rFonts w:ascii="Arial" w:hAnsi="Arial" w:cs="Arial"/>
          <w:iCs/>
          <w:sz w:val="20"/>
        </w:rPr>
        <w:t>certain</w:t>
      </w:r>
      <w:r w:rsidR="002F2755">
        <w:rPr>
          <w:rFonts w:ascii="Arial" w:hAnsi="Arial" w:cs="Arial"/>
          <w:iCs/>
          <w:sz w:val="20"/>
        </w:rPr>
        <w:t xml:space="preserve"> frequencies. </w:t>
      </w:r>
    </w:p>
    <w:p w14:paraId="592B500F" w14:textId="77777777" w:rsidR="00EE24FF" w:rsidRDefault="00EE24FF" w:rsidP="00165BB5">
      <w:pPr>
        <w:rPr>
          <w:rFonts w:ascii="Arial" w:hAnsi="Arial" w:cs="Arial"/>
          <w:sz w:val="20"/>
          <w:lang w:val="en-AU"/>
        </w:rPr>
      </w:pPr>
    </w:p>
    <w:p w14:paraId="6DAB3174" w14:textId="77777777" w:rsidR="0075741A" w:rsidRDefault="0075741A" w:rsidP="00914D5C">
      <w:pPr>
        <w:spacing w:line="360" w:lineRule="auto"/>
        <w:jc w:val="right"/>
        <w:outlineLvl w:val="0"/>
        <w:rPr>
          <w:rFonts w:ascii="Arial" w:hAnsi="Arial" w:cs="Arial"/>
          <w:b/>
          <w:color w:val="000000"/>
          <w:sz w:val="22"/>
          <w:szCs w:val="22"/>
        </w:rPr>
      </w:pPr>
    </w:p>
    <w:p w14:paraId="5B951F75" w14:textId="77777777" w:rsidR="0075741A" w:rsidRPr="004A634D" w:rsidRDefault="0075741A" w:rsidP="00A17239">
      <w:pPr>
        <w:spacing w:line="360" w:lineRule="auto"/>
        <w:outlineLvl w:val="0"/>
      </w:pPr>
      <w:r>
        <w:rPr>
          <w:rFonts w:ascii="Arial" w:hAnsi="Arial" w:cs="Arial"/>
          <w:b/>
          <w:color w:val="000000"/>
          <w:sz w:val="22"/>
          <w:szCs w:val="22"/>
        </w:rPr>
        <w:br w:type="page"/>
      </w:r>
    </w:p>
    <w:p w14:paraId="02E4B023" w14:textId="77777777" w:rsidR="0075741A" w:rsidRDefault="0075741A" w:rsidP="00A17239">
      <w:pPr>
        <w:spacing w:line="360" w:lineRule="auto"/>
        <w:outlineLvl w:val="0"/>
        <w:rPr>
          <w:rFonts w:ascii="Arial" w:hAnsi="Arial" w:cs="Arial"/>
          <w:b/>
          <w:color w:val="000000"/>
          <w:sz w:val="22"/>
          <w:szCs w:val="22"/>
        </w:rPr>
      </w:pPr>
    </w:p>
    <w:p w14:paraId="1A45E005" w14:textId="77777777" w:rsidR="00914D5C" w:rsidRDefault="00914D5C" w:rsidP="00A17239">
      <w:pPr>
        <w:spacing w:line="360" w:lineRule="auto"/>
        <w:outlineLvl w:val="0"/>
        <w:rPr>
          <w:rFonts w:ascii="Arial" w:hAnsi="Arial" w:cs="Arial"/>
          <w:b/>
          <w:sz w:val="22"/>
          <w:szCs w:val="22"/>
          <w:lang w:val="en-AU"/>
        </w:rPr>
      </w:pPr>
      <w:r w:rsidRPr="005A5476">
        <w:rPr>
          <w:rFonts w:ascii="Arial" w:hAnsi="Arial" w:cs="Arial"/>
          <w:b/>
          <w:sz w:val="22"/>
          <w:szCs w:val="22"/>
          <w:lang w:val="en-AU"/>
        </w:rPr>
        <w:t>ATTACHMENT B</w:t>
      </w:r>
    </w:p>
    <w:p w14:paraId="05AFE73B" w14:textId="77777777" w:rsidR="00914D5C" w:rsidRDefault="00914D5C" w:rsidP="00914D5C">
      <w:pPr>
        <w:spacing w:line="360" w:lineRule="auto"/>
        <w:jc w:val="center"/>
        <w:outlineLvl w:val="0"/>
        <w:rPr>
          <w:rFonts w:ascii="Arial" w:hAnsi="Arial" w:cs="Arial"/>
          <w:b/>
          <w:sz w:val="22"/>
          <w:szCs w:val="22"/>
          <w:lang w:val="en-AU"/>
        </w:rPr>
      </w:pPr>
    </w:p>
    <w:p w14:paraId="48466A85" w14:textId="77777777" w:rsidR="00914D5C" w:rsidRPr="005A5476" w:rsidRDefault="00914D5C" w:rsidP="00914D5C">
      <w:pPr>
        <w:spacing w:line="360" w:lineRule="auto"/>
        <w:jc w:val="center"/>
        <w:outlineLvl w:val="0"/>
        <w:rPr>
          <w:rFonts w:ascii="Arial" w:hAnsi="Arial" w:cs="Arial"/>
          <w:b/>
          <w:sz w:val="22"/>
          <w:szCs w:val="22"/>
          <w:lang w:val="en-AU"/>
        </w:rPr>
      </w:pPr>
      <w:r w:rsidRPr="005A5476">
        <w:rPr>
          <w:rFonts w:ascii="Arial" w:hAnsi="Arial" w:cs="Arial"/>
          <w:b/>
          <w:sz w:val="22"/>
          <w:szCs w:val="22"/>
          <w:lang w:val="en-AU"/>
        </w:rPr>
        <w:t>Statement of Compatibility with Human Rights</w:t>
      </w:r>
    </w:p>
    <w:p w14:paraId="507150F9" w14:textId="77777777" w:rsidR="00914D5C" w:rsidRPr="009E6BC6" w:rsidRDefault="00914D5C" w:rsidP="00914D5C">
      <w:pPr>
        <w:spacing w:line="360" w:lineRule="auto"/>
        <w:jc w:val="center"/>
        <w:rPr>
          <w:rFonts w:ascii="Arial" w:hAnsi="Arial" w:cs="Arial"/>
          <w:sz w:val="20"/>
          <w:lang w:val="en-AU"/>
        </w:rPr>
      </w:pPr>
      <w:r w:rsidRPr="009E6BC6">
        <w:rPr>
          <w:rFonts w:ascii="Arial" w:hAnsi="Arial" w:cs="Arial"/>
          <w:sz w:val="20"/>
          <w:lang w:val="en-AU"/>
        </w:rPr>
        <w:t xml:space="preserve">Prepared in accordance with Part 3 of the </w:t>
      </w:r>
      <w:r w:rsidRPr="009E6BC6">
        <w:rPr>
          <w:rFonts w:ascii="Arial" w:hAnsi="Arial" w:cs="Arial"/>
          <w:i/>
          <w:sz w:val="20"/>
          <w:lang w:val="en-AU"/>
        </w:rPr>
        <w:t>Human Rights (Parliamentary Scrutiny) Act 2011</w:t>
      </w:r>
    </w:p>
    <w:p w14:paraId="263C4670" w14:textId="77777777" w:rsidR="00914D5C" w:rsidRPr="005A5476" w:rsidRDefault="00914D5C" w:rsidP="00914D5C">
      <w:pPr>
        <w:rPr>
          <w:rFonts w:ascii="Arial" w:hAnsi="Arial" w:cs="Arial"/>
          <w:i/>
          <w:sz w:val="22"/>
          <w:szCs w:val="22"/>
        </w:rPr>
      </w:pPr>
    </w:p>
    <w:p w14:paraId="7166F254" w14:textId="77777777" w:rsidR="00914D5C" w:rsidRPr="00113113" w:rsidRDefault="00914D5C" w:rsidP="00914D5C">
      <w:pPr>
        <w:spacing w:line="360" w:lineRule="auto"/>
        <w:jc w:val="center"/>
        <w:outlineLvl w:val="0"/>
        <w:rPr>
          <w:rFonts w:ascii="Arial" w:hAnsi="Arial" w:cs="Arial"/>
          <w:b/>
          <w:sz w:val="22"/>
          <w:szCs w:val="22"/>
          <w:lang w:val="en-AU"/>
        </w:rPr>
      </w:pPr>
    </w:p>
    <w:p w14:paraId="156B70D6" w14:textId="77777777" w:rsidR="00914D5C" w:rsidRPr="00F47163" w:rsidRDefault="00011BB2" w:rsidP="00914D5C">
      <w:pPr>
        <w:spacing w:line="360" w:lineRule="auto"/>
        <w:jc w:val="center"/>
        <w:outlineLvl w:val="0"/>
        <w:rPr>
          <w:rFonts w:ascii="Arial" w:hAnsi="Arial" w:cs="Arial"/>
          <w:b/>
          <w:i/>
          <w:sz w:val="22"/>
          <w:szCs w:val="22"/>
          <w:lang w:val="en-AU"/>
        </w:rPr>
      </w:pPr>
      <w:proofErr w:type="spellStart"/>
      <w:r w:rsidRPr="00F47163">
        <w:rPr>
          <w:rFonts w:ascii="Arial" w:hAnsi="Arial" w:cs="Arial"/>
          <w:b/>
          <w:i/>
          <w:sz w:val="22"/>
          <w:szCs w:val="22"/>
          <w:lang w:val="en-AU"/>
        </w:rPr>
        <w:t>Radiocommunications</w:t>
      </w:r>
      <w:proofErr w:type="spellEnd"/>
      <w:r w:rsidRPr="00F47163">
        <w:rPr>
          <w:rFonts w:ascii="Arial" w:hAnsi="Arial" w:cs="Arial"/>
          <w:b/>
          <w:i/>
          <w:sz w:val="22"/>
          <w:szCs w:val="22"/>
          <w:lang w:val="en-AU"/>
        </w:rPr>
        <w:t xml:space="preserve"> (</w:t>
      </w:r>
      <w:r w:rsidR="00A17239" w:rsidRPr="00F47163">
        <w:rPr>
          <w:rFonts w:ascii="Arial" w:hAnsi="Arial" w:cs="Arial"/>
          <w:b/>
          <w:i/>
          <w:sz w:val="22"/>
          <w:szCs w:val="22"/>
          <w:lang w:val="en-AU"/>
        </w:rPr>
        <w:t>Citizen Band Radio Stations</w:t>
      </w:r>
      <w:r w:rsidRPr="00F47163">
        <w:rPr>
          <w:rFonts w:ascii="Arial" w:hAnsi="Arial" w:cs="Arial"/>
          <w:b/>
          <w:i/>
          <w:sz w:val="22"/>
          <w:szCs w:val="22"/>
          <w:lang w:val="en-AU"/>
        </w:rPr>
        <w:t>) Class Licence 201</w:t>
      </w:r>
      <w:r w:rsidR="00A17239" w:rsidRPr="00F47163">
        <w:rPr>
          <w:rFonts w:ascii="Arial" w:hAnsi="Arial" w:cs="Arial"/>
          <w:b/>
          <w:i/>
          <w:sz w:val="22"/>
          <w:szCs w:val="22"/>
          <w:lang w:val="en-AU"/>
        </w:rPr>
        <w:t>5</w:t>
      </w:r>
      <w:r w:rsidRPr="004B4598">
        <w:rPr>
          <w:rFonts w:ascii="Arial" w:hAnsi="Arial" w:cs="Arial"/>
          <w:i/>
          <w:sz w:val="20"/>
        </w:rPr>
        <w:t xml:space="preserve"> </w:t>
      </w:r>
    </w:p>
    <w:p w14:paraId="55D48002" w14:textId="77777777" w:rsidR="00914D5C" w:rsidRPr="00113113" w:rsidRDefault="00914D5C" w:rsidP="00914D5C">
      <w:pPr>
        <w:spacing w:line="360" w:lineRule="auto"/>
        <w:jc w:val="center"/>
        <w:outlineLvl w:val="0"/>
        <w:rPr>
          <w:rFonts w:ascii="Arial" w:hAnsi="Arial" w:cs="Arial"/>
          <w:b/>
          <w:sz w:val="22"/>
          <w:szCs w:val="22"/>
          <w:lang w:val="en-AU"/>
        </w:rPr>
      </w:pPr>
    </w:p>
    <w:p w14:paraId="543FA464" w14:textId="77777777" w:rsidR="00914D5C" w:rsidRPr="005A5476" w:rsidRDefault="00914D5C" w:rsidP="00914D5C">
      <w:pPr>
        <w:rPr>
          <w:rFonts w:ascii="Arial" w:hAnsi="Arial" w:cs="Arial"/>
          <w:b/>
          <w:sz w:val="22"/>
          <w:szCs w:val="22"/>
        </w:rPr>
      </w:pPr>
    </w:p>
    <w:p w14:paraId="28927E1A" w14:textId="77777777" w:rsidR="00914D5C" w:rsidRPr="00F54C4E" w:rsidRDefault="00914D5C" w:rsidP="00F54C4E">
      <w:pPr>
        <w:rPr>
          <w:rFonts w:ascii="Arial" w:hAnsi="Arial" w:cs="Arial"/>
          <w:sz w:val="20"/>
        </w:rPr>
      </w:pPr>
      <w:r w:rsidRPr="00F54C4E">
        <w:rPr>
          <w:rFonts w:ascii="Arial" w:hAnsi="Arial" w:cs="Arial"/>
          <w:sz w:val="20"/>
        </w:rPr>
        <w:t xml:space="preserve">This legislative instrument is compatible with the human rights and freedoms recognised or declared in the international instruments listed in section 3 of the </w:t>
      </w:r>
      <w:r w:rsidRPr="00F54C4E">
        <w:rPr>
          <w:rFonts w:ascii="Arial" w:hAnsi="Arial" w:cs="Arial"/>
          <w:i/>
          <w:sz w:val="20"/>
        </w:rPr>
        <w:t>Human Rights (Parliamentary Scrutiny) Act 2011</w:t>
      </w:r>
      <w:r w:rsidRPr="00F54C4E">
        <w:rPr>
          <w:rFonts w:ascii="Arial" w:hAnsi="Arial" w:cs="Arial"/>
          <w:sz w:val="20"/>
        </w:rPr>
        <w:t>.</w:t>
      </w:r>
    </w:p>
    <w:p w14:paraId="16FC62E5" w14:textId="77777777" w:rsidR="00914D5C" w:rsidRPr="005A5476" w:rsidRDefault="00914D5C" w:rsidP="00914D5C">
      <w:pPr>
        <w:spacing w:line="360" w:lineRule="auto"/>
        <w:rPr>
          <w:rFonts w:ascii="Arial" w:hAnsi="Arial" w:cs="Arial"/>
          <w:sz w:val="22"/>
          <w:szCs w:val="22"/>
        </w:rPr>
      </w:pPr>
    </w:p>
    <w:p w14:paraId="6B6AAE8D" w14:textId="77777777" w:rsidR="00914D5C" w:rsidRPr="005A5476" w:rsidRDefault="00914D5C" w:rsidP="00914D5C">
      <w:pPr>
        <w:spacing w:line="360" w:lineRule="auto"/>
        <w:outlineLvl w:val="0"/>
        <w:rPr>
          <w:rFonts w:ascii="Arial" w:hAnsi="Arial" w:cs="Arial"/>
          <w:b/>
          <w:sz w:val="22"/>
          <w:szCs w:val="22"/>
        </w:rPr>
      </w:pPr>
      <w:r w:rsidRPr="005A5476">
        <w:rPr>
          <w:rFonts w:ascii="Arial" w:hAnsi="Arial" w:cs="Arial"/>
          <w:b/>
          <w:sz w:val="22"/>
          <w:szCs w:val="22"/>
        </w:rPr>
        <w:t>Overview of the Legislative Instrument</w:t>
      </w:r>
    </w:p>
    <w:p w14:paraId="76B73C5F" w14:textId="77777777" w:rsidR="00914D5C" w:rsidRDefault="00914D5C" w:rsidP="00F54C4E">
      <w:pPr>
        <w:rPr>
          <w:rFonts w:ascii="Arial" w:hAnsi="Arial" w:cs="Arial"/>
          <w:sz w:val="20"/>
        </w:rPr>
      </w:pPr>
      <w:r w:rsidRPr="00F54C4E">
        <w:rPr>
          <w:rFonts w:ascii="Arial" w:hAnsi="Arial" w:cs="Arial"/>
          <w:sz w:val="20"/>
        </w:rPr>
        <w:t xml:space="preserve">The </w:t>
      </w:r>
      <w:proofErr w:type="spellStart"/>
      <w:r w:rsidR="00011BB2" w:rsidRPr="00F47163">
        <w:rPr>
          <w:rFonts w:ascii="Arial" w:hAnsi="Arial" w:cs="Arial"/>
          <w:i/>
          <w:sz w:val="20"/>
          <w:lang w:val="en-AU"/>
        </w:rPr>
        <w:t>Radiocommunications</w:t>
      </w:r>
      <w:proofErr w:type="spellEnd"/>
      <w:r w:rsidR="00011BB2" w:rsidRPr="00F47163">
        <w:rPr>
          <w:rFonts w:ascii="Arial" w:hAnsi="Arial" w:cs="Arial"/>
          <w:i/>
          <w:sz w:val="20"/>
          <w:lang w:val="en-AU"/>
        </w:rPr>
        <w:t xml:space="preserve"> (</w:t>
      </w:r>
      <w:r w:rsidR="00A17239" w:rsidRPr="00F47163">
        <w:rPr>
          <w:rFonts w:ascii="Arial" w:hAnsi="Arial" w:cs="Arial"/>
          <w:i/>
          <w:sz w:val="20"/>
          <w:lang w:val="en-AU"/>
        </w:rPr>
        <w:t>Citizen Band Radio Stations</w:t>
      </w:r>
      <w:r w:rsidR="00011BB2" w:rsidRPr="00F47163">
        <w:rPr>
          <w:rFonts w:ascii="Arial" w:hAnsi="Arial" w:cs="Arial"/>
          <w:i/>
          <w:sz w:val="20"/>
          <w:lang w:val="en-AU"/>
        </w:rPr>
        <w:t>) Class Licence 201</w:t>
      </w:r>
      <w:r w:rsidR="00A17239" w:rsidRPr="00F47163">
        <w:rPr>
          <w:rFonts w:ascii="Arial" w:hAnsi="Arial" w:cs="Arial"/>
          <w:i/>
          <w:sz w:val="20"/>
          <w:lang w:val="en-AU"/>
        </w:rPr>
        <w:t>5</w:t>
      </w:r>
      <w:r w:rsidR="00011BB2" w:rsidRPr="00F54C4E">
        <w:rPr>
          <w:rFonts w:ascii="Arial" w:hAnsi="Arial" w:cs="Arial"/>
          <w:sz w:val="20"/>
        </w:rPr>
        <w:t xml:space="preserve"> (</w:t>
      </w:r>
      <w:r w:rsidR="00A17239" w:rsidRPr="00F54C4E">
        <w:rPr>
          <w:rFonts w:ascii="Arial" w:hAnsi="Arial" w:cs="Arial"/>
          <w:sz w:val="20"/>
        </w:rPr>
        <w:t xml:space="preserve">the </w:t>
      </w:r>
      <w:r w:rsidR="00FA700F">
        <w:rPr>
          <w:rFonts w:ascii="Arial" w:hAnsi="Arial" w:cs="Arial"/>
          <w:sz w:val="20"/>
        </w:rPr>
        <w:t>Class Licence)</w:t>
      </w:r>
      <w:r w:rsidR="00011BB2" w:rsidRPr="00F54C4E">
        <w:rPr>
          <w:rFonts w:ascii="Arial" w:hAnsi="Arial" w:cs="Arial"/>
          <w:sz w:val="20"/>
        </w:rPr>
        <w:t xml:space="preserve"> </w:t>
      </w:r>
      <w:r w:rsidRPr="00F54C4E">
        <w:rPr>
          <w:rFonts w:ascii="Arial" w:hAnsi="Arial" w:cs="Arial"/>
          <w:sz w:val="20"/>
        </w:rPr>
        <w:t xml:space="preserve">revokes and replaces the </w:t>
      </w:r>
      <w:proofErr w:type="spellStart"/>
      <w:r w:rsidR="00A17239" w:rsidRPr="00F47163">
        <w:rPr>
          <w:rFonts w:ascii="Arial" w:hAnsi="Arial" w:cs="Arial"/>
          <w:i/>
          <w:sz w:val="20"/>
          <w:lang w:val="en-AU"/>
        </w:rPr>
        <w:t>Radiocommunications</w:t>
      </w:r>
      <w:proofErr w:type="spellEnd"/>
      <w:r w:rsidR="00A17239" w:rsidRPr="00F47163">
        <w:rPr>
          <w:rFonts w:ascii="Arial" w:hAnsi="Arial" w:cs="Arial"/>
          <w:i/>
          <w:sz w:val="20"/>
          <w:lang w:val="en-AU"/>
        </w:rPr>
        <w:t xml:space="preserve"> (Citizen Band Radio Stations) Class Licence 2002 </w:t>
      </w:r>
      <w:r w:rsidRPr="00F54C4E">
        <w:rPr>
          <w:rFonts w:ascii="Arial" w:hAnsi="Arial" w:cs="Arial"/>
          <w:sz w:val="20"/>
        </w:rPr>
        <w:t>without making any significant changes to the regulatory arrangements created by that instrument.</w:t>
      </w:r>
    </w:p>
    <w:p w14:paraId="6E94111A" w14:textId="77777777" w:rsidR="00F54C4E" w:rsidRPr="00F54C4E" w:rsidRDefault="00F54C4E" w:rsidP="00F54C4E">
      <w:pPr>
        <w:rPr>
          <w:rFonts w:ascii="Arial" w:hAnsi="Arial" w:cs="Arial"/>
          <w:sz w:val="20"/>
          <w:lang w:val="en-AU"/>
        </w:rPr>
      </w:pPr>
    </w:p>
    <w:p w14:paraId="416117BE" w14:textId="08339B04" w:rsidR="00914D5C" w:rsidRPr="00F54C4E" w:rsidRDefault="003E63FC" w:rsidP="00F54C4E">
      <w:pPr>
        <w:rPr>
          <w:rFonts w:ascii="Arial" w:hAnsi="Arial" w:cs="Arial"/>
          <w:sz w:val="20"/>
        </w:rPr>
      </w:pPr>
      <w:r w:rsidRPr="00F54C4E">
        <w:rPr>
          <w:rFonts w:ascii="Arial" w:hAnsi="Arial" w:cs="Arial"/>
          <w:sz w:val="20"/>
        </w:rPr>
        <w:t xml:space="preserve">The </w:t>
      </w:r>
      <w:r w:rsidR="00FA700F">
        <w:rPr>
          <w:rFonts w:ascii="Arial" w:hAnsi="Arial" w:cs="Arial"/>
          <w:sz w:val="20"/>
        </w:rPr>
        <w:t>Class Licence</w:t>
      </w:r>
      <w:r w:rsidR="00FA700F" w:rsidRPr="00F54C4E">
        <w:rPr>
          <w:rFonts w:ascii="Arial" w:hAnsi="Arial" w:cs="Arial"/>
          <w:sz w:val="20"/>
        </w:rPr>
        <w:t xml:space="preserve"> </w:t>
      </w:r>
      <w:r w:rsidR="00011BB2" w:rsidRPr="00F54C4E">
        <w:rPr>
          <w:rFonts w:ascii="Arial" w:hAnsi="Arial" w:cs="Arial"/>
          <w:sz w:val="20"/>
        </w:rPr>
        <w:t xml:space="preserve">authorises </w:t>
      </w:r>
      <w:r w:rsidR="00B03511">
        <w:rPr>
          <w:rFonts w:ascii="Arial" w:hAnsi="Arial" w:cs="Arial"/>
          <w:sz w:val="20"/>
        </w:rPr>
        <w:t>the use of</w:t>
      </w:r>
      <w:r w:rsidR="00A17239" w:rsidRPr="00F54C4E">
        <w:rPr>
          <w:rFonts w:ascii="Arial" w:hAnsi="Arial" w:cs="Arial"/>
          <w:sz w:val="20"/>
        </w:rPr>
        <w:t xml:space="preserve"> </w:t>
      </w:r>
      <w:r w:rsidR="00B03511">
        <w:rPr>
          <w:rFonts w:ascii="Arial" w:hAnsi="Arial" w:cs="Arial"/>
          <w:sz w:val="20"/>
        </w:rPr>
        <w:t>citizen band radio</w:t>
      </w:r>
      <w:r w:rsidR="00B03511" w:rsidRPr="00F54C4E">
        <w:rPr>
          <w:rFonts w:ascii="Arial" w:hAnsi="Arial" w:cs="Arial"/>
          <w:sz w:val="20"/>
        </w:rPr>
        <w:t xml:space="preserve"> </w:t>
      </w:r>
      <w:r w:rsidR="009D05CF">
        <w:rPr>
          <w:rFonts w:ascii="Arial" w:hAnsi="Arial" w:cs="Arial"/>
          <w:sz w:val="20"/>
        </w:rPr>
        <w:t>stations</w:t>
      </w:r>
      <w:r w:rsidR="009D05CF" w:rsidRPr="00F54C4E">
        <w:rPr>
          <w:rFonts w:ascii="Arial" w:hAnsi="Arial" w:cs="Arial"/>
          <w:sz w:val="20"/>
        </w:rPr>
        <w:t xml:space="preserve"> </w:t>
      </w:r>
      <w:r w:rsidR="00867F4C">
        <w:rPr>
          <w:rFonts w:ascii="Arial" w:hAnsi="Arial" w:cs="Arial"/>
          <w:sz w:val="20"/>
        </w:rPr>
        <w:t>on</w:t>
      </w:r>
      <w:r w:rsidR="00867F4C" w:rsidRPr="00F54C4E">
        <w:rPr>
          <w:rFonts w:ascii="Arial" w:hAnsi="Arial" w:cs="Arial"/>
          <w:sz w:val="20"/>
        </w:rPr>
        <w:t xml:space="preserve"> </w:t>
      </w:r>
      <w:r w:rsidR="00572997" w:rsidRPr="00F54C4E">
        <w:rPr>
          <w:rFonts w:ascii="Arial" w:hAnsi="Arial" w:cs="Arial"/>
          <w:sz w:val="20"/>
        </w:rPr>
        <w:t>specified</w:t>
      </w:r>
      <w:r w:rsidR="00A17239" w:rsidRPr="00F54C4E">
        <w:rPr>
          <w:rFonts w:ascii="Arial" w:hAnsi="Arial" w:cs="Arial"/>
          <w:sz w:val="20"/>
        </w:rPr>
        <w:t xml:space="preserve"> </w:t>
      </w:r>
      <w:r w:rsidR="00867F4C">
        <w:rPr>
          <w:rFonts w:ascii="Arial" w:hAnsi="Arial" w:cs="Arial"/>
          <w:sz w:val="20"/>
        </w:rPr>
        <w:t xml:space="preserve">frequencies, subject to certain </w:t>
      </w:r>
      <w:r w:rsidR="00347EBE">
        <w:rPr>
          <w:rFonts w:ascii="Arial" w:hAnsi="Arial" w:cs="Arial"/>
          <w:sz w:val="20"/>
        </w:rPr>
        <w:t>conditions and operating requirements.</w:t>
      </w:r>
      <w:r w:rsidR="00A17239" w:rsidRPr="00F54C4E">
        <w:rPr>
          <w:rFonts w:ascii="Arial" w:hAnsi="Arial" w:cs="Arial"/>
          <w:sz w:val="20"/>
        </w:rPr>
        <w:t xml:space="preserve"> </w:t>
      </w:r>
    </w:p>
    <w:p w14:paraId="44D8B342" w14:textId="77777777" w:rsidR="003E63FC" w:rsidRPr="008E6EB9" w:rsidRDefault="003E63FC" w:rsidP="00914D5C">
      <w:pPr>
        <w:spacing w:line="360" w:lineRule="auto"/>
        <w:rPr>
          <w:rFonts w:ascii="Arial" w:hAnsi="Arial" w:cs="Arial"/>
          <w:sz w:val="20"/>
        </w:rPr>
      </w:pPr>
    </w:p>
    <w:p w14:paraId="4861BFA5" w14:textId="77777777" w:rsidR="00914D5C" w:rsidRPr="005A5476" w:rsidRDefault="00914D5C" w:rsidP="00914D5C">
      <w:pPr>
        <w:spacing w:line="360" w:lineRule="auto"/>
        <w:outlineLvl w:val="0"/>
        <w:rPr>
          <w:rFonts w:ascii="Arial" w:hAnsi="Arial" w:cs="Arial"/>
          <w:b/>
          <w:sz w:val="22"/>
          <w:szCs w:val="22"/>
        </w:rPr>
      </w:pPr>
      <w:r w:rsidRPr="005A5476">
        <w:rPr>
          <w:rFonts w:ascii="Arial" w:hAnsi="Arial" w:cs="Arial"/>
          <w:b/>
          <w:sz w:val="22"/>
          <w:szCs w:val="22"/>
        </w:rPr>
        <w:t>Human Rights Implications</w:t>
      </w:r>
    </w:p>
    <w:p w14:paraId="1CD59D07" w14:textId="6848C315" w:rsidR="00124625" w:rsidRDefault="004666C3" w:rsidP="003B1709">
      <w:pPr>
        <w:outlineLvl w:val="0"/>
        <w:rPr>
          <w:rFonts w:ascii="Arial" w:hAnsi="Arial" w:cs="Arial"/>
          <w:sz w:val="20"/>
        </w:rPr>
      </w:pPr>
      <w:r>
        <w:rPr>
          <w:rFonts w:ascii="Arial" w:hAnsi="Arial" w:cs="Arial"/>
          <w:sz w:val="20"/>
        </w:rPr>
        <w:t>The condition set out in p</w:t>
      </w:r>
      <w:r w:rsidR="00896944">
        <w:rPr>
          <w:rFonts w:ascii="Arial" w:hAnsi="Arial" w:cs="Arial"/>
          <w:sz w:val="20"/>
        </w:rPr>
        <w:t>aragraph</w:t>
      </w:r>
      <w:r w:rsidR="00C677C7">
        <w:rPr>
          <w:rFonts w:ascii="Arial" w:hAnsi="Arial" w:cs="Arial"/>
          <w:sz w:val="20"/>
        </w:rPr>
        <w:t xml:space="preserve"> </w:t>
      </w:r>
      <w:r w:rsidR="00896944">
        <w:rPr>
          <w:rFonts w:ascii="Arial" w:hAnsi="Arial" w:cs="Arial"/>
          <w:sz w:val="20"/>
        </w:rPr>
        <w:t xml:space="preserve">6(f) </w:t>
      </w:r>
      <w:r w:rsidR="00A85605">
        <w:rPr>
          <w:rFonts w:ascii="Arial" w:hAnsi="Arial" w:cs="Arial"/>
          <w:sz w:val="20"/>
        </w:rPr>
        <w:t>of t</w:t>
      </w:r>
      <w:r w:rsidR="00914D5C" w:rsidRPr="009E6BC6">
        <w:rPr>
          <w:rFonts w:ascii="Arial" w:hAnsi="Arial" w:cs="Arial"/>
          <w:sz w:val="20"/>
        </w:rPr>
        <w:t xml:space="preserve">he </w:t>
      </w:r>
      <w:r w:rsidR="00347EBE">
        <w:rPr>
          <w:rFonts w:ascii="Arial" w:hAnsi="Arial" w:cs="Arial"/>
          <w:sz w:val="20"/>
        </w:rPr>
        <w:t xml:space="preserve">Class Licence </w:t>
      </w:r>
      <w:r w:rsidR="00A85605">
        <w:rPr>
          <w:rFonts w:ascii="Arial" w:hAnsi="Arial" w:cs="Arial"/>
          <w:sz w:val="20"/>
        </w:rPr>
        <w:t>restricts the operation of citizen band radio</w:t>
      </w:r>
      <w:r w:rsidR="00A85605" w:rsidRPr="00F54C4E">
        <w:rPr>
          <w:rFonts w:ascii="Arial" w:hAnsi="Arial" w:cs="Arial"/>
          <w:sz w:val="20"/>
        </w:rPr>
        <w:t xml:space="preserve"> </w:t>
      </w:r>
      <w:r w:rsidR="00A85605">
        <w:rPr>
          <w:rFonts w:ascii="Arial" w:hAnsi="Arial" w:cs="Arial"/>
          <w:sz w:val="20"/>
        </w:rPr>
        <w:t xml:space="preserve">stations </w:t>
      </w:r>
      <w:r w:rsidR="00D40706">
        <w:rPr>
          <w:rFonts w:ascii="Arial" w:hAnsi="Arial" w:cs="Arial"/>
          <w:sz w:val="20"/>
        </w:rPr>
        <w:t>in a way that would be likely to cause a reasonable person, justifiably in all the circumstances, to be seriously alarmed or seriously affronted</w:t>
      </w:r>
      <w:r w:rsidR="00C92D9F">
        <w:rPr>
          <w:rFonts w:ascii="Arial" w:hAnsi="Arial" w:cs="Arial"/>
          <w:sz w:val="20"/>
        </w:rPr>
        <w:t xml:space="preserve">; or for the purposes of harassing a person. </w:t>
      </w:r>
      <w:r>
        <w:rPr>
          <w:rFonts w:ascii="Arial" w:hAnsi="Arial" w:cs="Arial"/>
          <w:sz w:val="20"/>
        </w:rPr>
        <w:t xml:space="preserve">The condition </w:t>
      </w:r>
      <w:r w:rsidR="008640A1">
        <w:rPr>
          <w:rFonts w:ascii="Arial" w:hAnsi="Arial" w:cs="Arial"/>
          <w:sz w:val="20"/>
        </w:rPr>
        <w:t xml:space="preserve">at paragraph 6(f) of the Class Licence </w:t>
      </w:r>
      <w:r>
        <w:rPr>
          <w:rFonts w:ascii="Arial" w:hAnsi="Arial" w:cs="Arial"/>
          <w:sz w:val="20"/>
        </w:rPr>
        <w:t xml:space="preserve">may engage </w:t>
      </w:r>
      <w:r w:rsidR="008640A1">
        <w:rPr>
          <w:rFonts w:ascii="Arial" w:hAnsi="Arial" w:cs="Arial"/>
          <w:sz w:val="20"/>
        </w:rPr>
        <w:t xml:space="preserve">article 19(2) of the </w:t>
      </w:r>
      <w:r w:rsidR="00A66DC7">
        <w:rPr>
          <w:rFonts w:ascii="Arial" w:hAnsi="Arial" w:cs="Arial"/>
          <w:sz w:val="20"/>
        </w:rPr>
        <w:t>International Covenant on Civil</w:t>
      </w:r>
      <w:r w:rsidR="008640A1">
        <w:rPr>
          <w:rFonts w:ascii="Arial" w:hAnsi="Arial" w:cs="Arial"/>
          <w:sz w:val="20"/>
        </w:rPr>
        <w:t xml:space="preserve"> and Political Rights </w:t>
      </w:r>
      <w:r w:rsidR="00115492">
        <w:rPr>
          <w:rFonts w:ascii="Arial" w:hAnsi="Arial" w:cs="Arial"/>
          <w:sz w:val="20"/>
        </w:rPr>
        <w:t xml:space="preserve">(ICCPR) </w:t>
      </w:r>
      <w:r w:rsidR="008640A1">
        <w:rPr>
          <w:rFonts w:ascii="Arial" w:hAnsi="Arial" w:cs="Arial"/>
          <w:sz w:val="20"/>
        </w:rPr>
        <w:t>which protects freedom of expression.</w:t>
      </w:r>
      <w:r w:rsidR="00ED3102">
        <w:rPr>
          <w:rFonts w:ascii="Arial" w:hAnsi="Arial" w:cs="Arial"/>
          <w:sz w:val="20"/>
        </w:rPr>
        <w:t xml:space="preserve"> </w:t>
      </w:r>
      <w:r w:rsidR="00124625">
        <w:rPr>
          <w:rFonts w:ascii="Arial" w:hAnsi="Arial" w:cs="Arial"/>
          <w:sz w:val="20"/>
        </w:rPr>
        <w:t>Article 19(3) of the ICCPR provides that the right to freedom of expression may be subject to certain restrictions.</w:t>
      </w:r>
    </w:p>
    <w:p w14:paraId="77CB585A" w14:textId="77777777" w:rsidR="00124625" w:rsidRDefault="00124625" w:rsidP="003B1709">
      <w:pPr>
        <w:outlineLvl w:val="0"/>
        <w:rPr>
          <w:rFonts w:ascii="Arial" w:hAnsi="Arial" w:cs="Arial"/>
          <w:sz w:val="20"/>
        </w:rPr>
      </w:pPr>
    </w:p>
    <w:p w14:paraId="69020085" w14:textId="5936C2E2" w:rsidR="00914D5C" w:rsidRPr="009E6BC6" w:rsidRDefault="00ED3102" w:rsidP="003B1709">
      <w:pPr>
        <w:outlineLvl w:val="0"/>
        <w:rPr>
          <w:rFonts w:ascii="Arial" w:hAnsi="Arial" w:cs="Arial"/>
          <w:sz w:val="20"/>
        </w:rPr>
      </w:pPr>
      <w:r>
        <w:rPr>
          <w:rFonts w:ascii="Arial" w:hAnsi="Arial" w:cs="Arial"/>
          <w:sz w:val="20"/>
        </w:rPr>
        <w:t>The condition at paragraph 6(f) of the Class Licence has been</w:t>
      </w:r>
      <w:r w:rsidR="002613AF">
        <w:rPr>
          <w:rFonts w:ascii="Arial" w:hAnsi="Arial" w:cs="Arial"/>
          <w:sz w:val="20"/>
        </w:rPr>
        <w:t xml:space="preserve"> in force for the past 13 years (by virtue of its inclusion in the </w:t>
      </w:r>
      <w:proofErr w:type="spellStart"/>
      <w:r w:rsidR="002613AF" w:rsidRPr="00F47163">
        <w:rPr>
          <w:rFonts w:ascii="Arial" w:hAnsi="Arial" w:cs="Arial"/>
          <w:i/>
          <w:sz w:val="20"/>
          <w:lang w:val="en-AU"/>
        </w:rPr>
        <w:t>Radiocommunications</w:t>
      </w:r>
      <w:proofErr w:type="spellEnd"/>
      <w:r w:rsidR="002613AF" w:rsidRPr="00F47163">
        <w:rPr>
          <w:rFonts w:ascii="Arial" w:hAnsi="Arial" w:cs="Arial"/>
          <w:i/>
          <w:sz w:val="20"/>
          <w:lang w:val="en-AU"/>
        </w:rPr>
        <w:t xml:space="preserve"> (Citizen Band Radio Stations) Class Licence 2002</w:t>
      </w:r>
      <w:r w:rsidR="002613AF">
        <w:rPr>
          <w:rFonts w:ascii="Arial" w:hAnsi="Arial" w:cs="Arial"/>
          <w:sz w:val="20"/>
          <w:lang w:val="en-AU"/>
        </w:rPr>
        <w:t>, which the Class Licence replaces) and provide</w:t>
      </w:r>
      <w:r w:rsidR="00A72969">
        <w:rPr>
          <w:rFonts w:ascii="Arial" w:hAnsi="Arial" w:cs="Arial"/>
          <w:sz w:val="20"/>
          <w:lang w:val="en-AU"/>
        </w:rPr>
        <w:t>s</w:t>
      </w:r>
      <w:r w:rsidR="002613AF">
        <w:rPr>
          <w:rFonts w:ascii="Arial" w:hAnsi="Arial" w:cs="Arial"/>
          <w:sz w:val="20"/>
          <w:lang w:val="en-AU"/>
        </w:rPr>
        <w:t xml:space="preserve"> a useful tool </w:t>
      </w:r>
      <w:r w:rsidR="0022474E">
        <w:rPr>
          <w:rFonts w:ascii="Arial" w:hAnsi="Arial" w:cs="Arial"/>
          <w:sz w:val="20"/>
          <w:lang w:val="en-AU"/>
        </w:rPr>
        <w:t>for</w:t>
      </w:r>
      <w:r w:rsidR="002613AF">
        <w:rPr>
          <w:rFonts w:ascii="Arial" w:hAnsi="Arial" w:cs="Arial"/>
          <w:sz w:val="20"/>
          <w:lang w:val="en-AU"/>
        </w:rPr>
        <w:t xml:space="preserve"> managing the</w:t>
      </w:r>
      <w:r w:rsidR="00A72969">
        <w:rPr>
          <w:rFonts w:ascii="Arial" w:hAnsi="Arial" w:cs="Arial"/>
          <w:sz w:val="20"/>
          <w:lang w:val="en-AU"/>
        </w:rPr>
        <w:t xml:space="preserve"> appropriate operation of</w:t>
      </w:r>
      <w:r w:rsidR="00204AC5">
        <w:rPr>
          <w:rFonts w:ascii="Arial" w:hAnsi="Arial" w:cs="Arial"/>
          <w:sz w:val="20"/>
          <w:lang w:val="en-AU"/>
        </w:rPr>
        <w:t xml:space="preserve"> citizen band radio stations. Over that period, the ACMA (and its predecessor agencies) have received and investigated complaints concerning behaviour </w:t>
      </w:r>
      <w:proofErr w:type="spellStart"/>
      <w:r w:rsidR="00124625">
        <w:rPr>
          <w:rFonts w:ascii="Arial" w:hAnsi="Arial" w:cs="Arial"/>
          <w:sz w:val="20"/>
          <w:lang w:val="en-AU"/>
        </w:rPr>
        <w:t>relavant</w:t>
      </w:r>
      <w:proofErr w:type="spellEnd"/>
      <w:r w:rsidR="00124625">
        <w:rPr>
          <w:rFonts w:ascii="Arial" w:hAnsi="Arial" w:cs="Arial"/>
          <w:sz w:val="20"/>
          <w:lang w:val="en-AU"/>
        </w:rPr>
        <w:t xml:space="preserve"> to the condition at paragraph 6(f) of the Class Licence</w:t>
      </w:r>
      <w:r w:rsidR="00750A25">
        <w:rPr>
          <w:rFonts w:ascii="Arial" w:hAnsi="Arial" w:cs="Arial"/>
          <w:sz w:val="20"/>
          <w:lang w:val="en-AU"/>
        </w:rPr>
        <w:t xml:space="preserve"> and in some cases individuals have been successful</w:t>
      </w:r>
      <w:r w:rsidR="004D6744">
        <w:rPr>
          <w:rFonts w:ascii="Arial" w:hAnsi="Arial" w:cs="Arial"/>
          <w:sz w:val="20"/>
          <w:lang w:val="en-AU"/>
        </w:rPr>
        <w:t>l</w:t>
      </w:r>
      <w:r w:rsidR="00750A25">
        <w:rPr>
          <w:rFonts w:ascii="Arial" w:hAnsi="Arial" w:cs="Arial"/>
          <w:sz w:val="20"/>
          <w:lang w:val="en-AU"/>
        </w:rPr>
        <w:t>y</w:t>
      </w:r>
      <w:r w:rsidR="000E75FA">
        <w:rPr>
          <w:rFonts w:ascii="Arial" w:hAnsi="Arial" w:cs="Arial"/>
          <w:sz w:val="20"/>
          <w:lang w:val="en-AU"/>
        </w:rPr>
        <w:t xml:space="preserve"> </w:t>
      </w:r>
      <w:r w:rsidR="000E75FA">
        <w:rPr>
          <w:rFonts w:ascii="Arial" w:hAnsi="Arial" w:cs="Arial"/>
          <w:sz w:val="20"/>
          <w:lang w:val="en-AU"/>
        </w:rPr>
        <w:t>prosecuted</w:t>
      </w:r>
      <w:bookmarkStart w:id="1" w:name="_GoBack"/>
      <w:bookmarkEnd w:id="1"/>
      <w:r w:rsidR="004D6744">
        <w:rPr>
          <w:rFonts w:ascii="Arial" w:hAnsi="Arial" w:cs="Arial"/>
          <w:sz w:val="20"/>
          <w:lang w:val="en-AU"/>
        </w:rPr>
        <w:t xml:space="preserve"> </w:t>
      </w:r>
      <w:r w:rsidR="008A2F64">
        <w:rPr>
          <w:rFonts w:ascii="Arial" w:hAnsi="Arial" w:cs="Arial"/>
          <w:sz w:val="20"/>
          <w:lang w:val="en-AU"/>
        </w:rPr>
        <w:t>for breaching</w:t>
      </w:r>
      <w:r w:rsidR="004D6744">
        <w:rPr>
          <w:rFonts w:ascii="Arial" w:hAnsi="Arial" w:cs="Arial"/>
          <w:sz w:val="20"/>
          <w:lang w:val="en-AU"/>
        </w:rPr>
        <w:t xml:space="preserve"> the condition</w:t>
      </w:r>
      <w:r w:rsidR="00124625">
        <w:rPr>
          <w:rFonts w:ascii="Arial" w:hAnsi="Arial" w:cs="Arial"/>
          <w:sz w:val="20"/>
          <w:lang w:val="en-AU"/>
        </w:rPr>
        <w:t>.</w:t>
      </w:r>
      <w:r w:rsidR="002613AF">
        <w:rPr>
          <w:rFonts w:ascii="Arial" w:hAnsi="Arial" w:cs="Arial"/>
          <w:sz w:val="20"/>
          <w:lang w:val="en-AU"/>
        </w:rPr>
        <w:t xml:space="preserve"> </w:t>
      </w:r>
      <w:r w:rsidR="00F37CD9">
        <w:rPr>
          <w:rFonts w:ascii="Arial" w:hAnsi="Arial" w:cs="Arial"/>
          <w:sz w:val="20"/>
          <w:lang w:val="en-AU"/>
        </w:rPr>
        <w:t xml:space="preserve">Accordingly, </w:t>
      </w:r>
      <w:proofErr w:type="spellStart"/>
      <w:r w:rsidR="00F37CD9">
        <w:rPr>
          <w:rFonts w:ascii="Arial" w:hAnsi="Arial" w:cs="Arial"/>
          <w:sz w:val="20"/>
          <w:lang w:val="en-AU"/>
        </w:rPr>
        <w:t>i</w:t>
      </w:r>
      <w:proofErr w:type="spellEnd"/>
      <w:r w:rsidR="00FB0992">
        <w:rPr>
          <w:rFonts w:ascii="Arial" w:hAnsi="Arial" w:cs="Arial"/>
          <w:sz w:val="20"/>
        </w:rPr>
        <w:t xml:space="preserve">t is considered that any limitation on the right to freedom of expression established by the operation of paragraph 6(f) of the Class Licence is </w:t>
      </w:r>
      <w:r w:rsidR="008070C6">
        <w:rPr>
          <w:rFonts w:ascii="Arial" w:hAnsi="Arial" w:cs="Arial"/>
          <w:sz w:val="20"/>
        </w:rPr>
        <w:t xml:space="preserve">a </w:t>
      </w:r>
      <w:r w:rsidR="0073066A">
        <w:rPr>
          <w:rFonts w:ascii="Arial" w:hAnsi="Arial" w:cs="Arial"/>
          <w:sz w:val="20"/>
        </w:rPr>
        <w:t xml:space="preserve">reasonable, necessary and </w:t>
      </w:r>
      <w:r w:rsidR="008070C6">
        <w:rPr>
          <w:rFonts w:ascii="Arial" w:hAnsi="Arial" w:cs="Arial"/>
          <w:sz w:val="20"/>
        </w:rPr>
        <w:t>proportionate</w:t>
      </w:r>
      <w:r w:rsidR="0084368C">
        <w:rPr>
          <w:rFonts w:ascii="Arial" w:hAnsi="Arial" w:cs="Arial"/>
          <w:sz w:val="20"/>
        </w:rPr>
        <w:t xml:space="preserve"> for</w:t>
      </w:r>
      <w:r w:rsidR="008070C6">
        <w:rPr>
          <w:rFonts w:ascii="Arial" w:hAnsi="Arial" w:cs="Arial"/>
          <w:sz w:val="20"/>
        </w:rPr>
        <w:t xml:space="preserve"> the purpose of</w:t>
      </w:r>
      <w:r w:rsidR="0084368C">
        <w:rPr>
          <w:rFonts w:ascii="Arial" w:hAnsi="Arial" w:cs="Arial"/>
          <w:sz w:val="20"/>
        </w:rPr>
        <w:t xml:space="preserve"> protecting the rights of others</w:t>
      </w:r>
      <w:r w:rsidR="00D54CCF">
        <w:rPr>
          <w:rFonts w:ascii="Arial" w:hAnsi="Arial" w:cs="Arial"/>
          <w:sz w:val="20"/>
        </w:rPr>
        <w:t xml:space="preserve"> and for the protection of public order (paragraphs 19.3(a) and (b) of the ICCPR)</w:t>
      </w:r>
      <w:r w:rsidR="0073066A">
        <w:rPr>
          <w:rFonts w:ascii="Arial" w:hAnsi="Arial" w:cs="Arial"/>
          <w:sz w:val="20"/>
        </w:rPr>
        <w:t>.</w:t>
      </w:r>
    </w:p>
    <w:p w14:paraId="0CDAD785" w14:textId="77777777" w:rsidR="00914D5C" w:rsidRPr="005A5476" w:rsidRDefault="00914D5C" w:rsidP="00914D5C">
      <w:pPr>
        <w:spacing w:line="360" w:lineRule="auto"/>
        <w:rPr>
          <w:rFonts w:ascii="Arial" w:hAnsi="Arial" w:cs="Arial"/>
          <w:sz w:val="22"/>
          <w:szCs w:val="22"/>
        </w:rPr>
      </w:pPr>
    </w:p>
    <w:p w14:paraId="428ABDB1" w14:textId="77777777" w:rsidR="00914D5C" w:rsidRPr="005A5476" w:rsidRDefault="00914D5C" w:rsidP="00914D5C">
      <w:pPr>
        <w:spacing w:line="360" w:lineRule="auto"/>
        <w:outlineLvl w:val="0"/>
        <w:rPr>
          <w:rFonts w:ascii="Arial" w:hAnsi="Arial" w:cs="Arial"/>
          <w:b/>
          <w:sz w:val="22"/>
          <w:szCs w:val="22"/>
        </w:rPr>
      </w:pPr>
      <w:r w:rsidRPr="005A5476">
        <w:rPr>
          <w:rFonts w:ascii="Arial" w:hAnsi="Arial" w:cs="Arial"/>
          <w:b/>
          <w:sz w:val="22"/>
          <w:szCs w:val="22"/>
        </w:rPr>
        <w:t>Conclusion</w:t>
      </w:r>
    </w:p>
    <w:p w14:paraId="7FE69DF2" w14:textId="0C3CED9E" w:rsidR="00914D5C" w:rsidRPr="005A5476" w:rsidRDefault="00914D5C" w:rsidP="004D6744">
      <w:pPr>
        <w:outlineLvl w:val="0"/>
        <w:rPr>
          <w:rFonts w:ascii="Arial" w:hAnsi="Arial" w:cs="Arial"/>
          <w:sz w:val="22"/>
          <w:szCs w:val="22"/>
        </w:rPr>
      </w:pPr>
      <w:r w:rsidRPr="009E6BC6">
        <w:rPr>
          <w:rFonts w:ascii="Arial" w:hAnsi="Arial" w:cs="Arial"/>
          <w:sz w:val="20"/>
        </w:rPr>
        <w:t xml:space="preserve">The </w:t>
      </w:r>
      <w:r w:rsidR="00FE048F">
        <w:rPr>
          <w:rFonts w:ascii="Arial" w:hAnsi="Arial" w:cs="Arial"/>
          <w:sz w:val="20"/>
        </w:rPr>
        <w:t>Class Licence is compatible with human rights because, while it may limit the right to freedom of expression</w:t>
      </w:r>
      <w:r w:rsidR="008B772A">
        <w:rPr>
          <w:rFonts w:ascii="Arial" w:hAnsi="Arial" w:cs="Arial"/>
          <w:sz w:val="20"/>
        </w:rPr>
        <w:t xml:space="preserve"> (by </w:t>
      </w:r>
      <w:r w:rsidR="00C671EA">
        <w:rPr>
          <w:rFonts w:ascii="Arial" w:hAnsi="Arial" w:cs="Arial"/>
          <w:sz w:val="20"/>
        </w:rPr>
        <w:t>restricting</w:t>
      </w:r>
      <w:r w:rsidR="008B772A">
        <w:rPr>
          <w:rFonts w:ascii="Arial" w:hAnsi="Arial" w:cs="Arial"/>
          <w:sz w:val="20"/>
        </w:rPr>
        <w:t xml:space="preserve"> persons from operating citizen band radio stations in a way likely to cause a reasonable person to be seriously alarmed or seriously affronted</w:t>
      </w:r>
      <w:r w:rsidR="00391939">
        <w:rPr>
          <w:rFonts w:ascii="Arial" w:hAnsi="Arial" w:cs="Arial"/>
          <w:sz w:val="20"/>
        </w:rPr>
        <w:t>;</w:t>
      </w:r>
      <w:r w:rsidR="008B772A">
        <w:rPr>
          <w:rFonts w:ascii="Arial" w:hAnsi="Arial" w:cs="Arial"/>
          <w:sz w:val="20"/>
        </w:rPr>
        <w:t xml:space="preserve"> or </w:t>
      </w:r>
      <w:r w:rsidR="00A229E1">
        <w:rPr>
          <w:rFonts w:ascii="Arial" w:hAnsi="Arial" w:cs="Arial"/>
          <w:sz w:val="20"/>
        </w:rPr>
        <w:t>for the purpose of harassing a person),</w:t>
      </w:r>
      <w:r w:rsidR="00FE048F">
        <w:rPr>
          <w:rFonts w:ascii="Arial" w:hAnsi="Arial" w:cs="Arial"/>
          <w:sz w:val="20"/>
        </w:rPr>
        <w:t xml:space="preserve"> </w:t>
      </w:r>
      <w:r w:rsidR="00A229E1">
        <w:rPr>
          <w:rFonts w:ascii="Arial" w:hAnsi="Arial" w:cs="Arial"/>
          <w:sz w:val="20"/>
        </w:rPr>
        <w:t>that limitation is reasonable, necessary and proportionate.</w:t>
      </w:r>
    </w:p>
    <w:p w14:paraId="4D4645FF" w14:textId="2E4BC3F4" w:rsidR="00A61538" w:rsidRPr="00914D5C" w:rsidRDefault="00A61538" w:rsidP="008851A9">
      <w:pPr>
        <w:spacing w:line="360" w:lineRule="auto"/>
        <w:outlineLvl w:val="0"/>
      </w:pPr>
    </w:p>
    <w:sectPr w:rsidR="00A61538" w:rsidRPr="00914D5C" w:rsidSect="008C193D">
      <w:footerReference w:type="default" r:id="rId10"/>
      <w:pgSz w:w="11907" w:h="16840" w:code="9"/>
      <w:pgMar w:top="1440" w:right="164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D9DEC" w14:textId="77777777" w:rsidR="00C835A8" w:rsidRDefault="00C835A8">
      <w:r>
        <w:separator/>
      </w:r>
    </w:p>
  </w:endnote>
  <w:endnote w:type="continuationSeparator" w:id="0">
    <w:p w14:paraId="325DDB00" w14:textId="77777777" w:rsidR="00C835A8" w:rsidRDefault="00C8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 Std Lt">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B83F6" w14:textId="77777777" w:rsidR="00B87B6E" w:rsidRDefault="00B87B6E">
    <w:pPr>
      <w:pStyle w:val="Footer"/>
      <w:rPr>
        <w:rStyle w:val="PageNumber"/>
        <w:sz w:val="16"/>
        <w:szCs w:val="16"/>
      </w:rPr>
    </w:pPr>
    <w:r w:rsidRPr="00E363A4">
      <w:rPr>
        <w:sz w:val="16"/>
        <w:szCs w:val="16"/>
        <w:lang w:val="en-AU"/>
      </w:rPr>
      <w:tab/>
    </w:r>
    <w:r w:rsidRPr="00E363A4">
      <w:rPr>
        <w:sz w:val="16"/>
        <w:szCs w:val="16"/>
        <w:lang w:val="en-AU"/>
      </w:rPr>
      <w:tab/>
      <w:t xml:space="preserve">Page </w:t>
    </w:r>
    <w:r w:rsidR="0088553C" w:rsidRPr="00E363A4">
      <w:rPr>
        <w:rStyle w:val="PageNumber"/>
        <w:sz w:val="16"/>
        <w:szCs w:val="16"/>
      </w:rPr>
      <w:fldChar w:fldCharType="begin"/>
    </w:r>
    <w:r w:rsidRPr="00E363A4">
      <w:rPr>
        <w:rStyle w:val="PageNumber"/>
        <w:sz w:val="16"/>
        <w:szCs w:val="16"/>
      </w:rPr>
      <w:instrText xml:space="preserve"> PAGE </w:instrText>
    </w:r>
    <w:r w:rsidR="0088553C" w:rsidRPr="00E363A4">
      <w:rPr>
        <w:rStyle w:val="PageNumber"/>
        <w:sz w:val="16"/>
        <w:szCs w:val="16"/>
      </w:rPr>
      <w:fldChar w:fldCharType="separate"/>
    </w:r>
    <w:r w:rsidR="000E75FA">
      <w:rPr>
        <w:rStyle w:val="PageNumber"/>
        <w:noProof/>
        <w:sz w:val="16"/>
        <w:szCs w:val="16"/>
      </w:rPr>
      <w:t>6</w:t>
    </w:r>
    <w:r w:rsidR="0088553C" w:rsidRPr="00E363A4">
      <w:rPr>
        <w:rStyle w:val="PageNumber"/>
        <w:sz w:val="16"/>
        <w:szCs w:val="16"/>
      </w:rPr>
      <w:fldChar w:fldCharType="end"/>
    </w:r>
    <w:r w:rsidRPr="00E363A4">
      <w:rPr>
        <w:rStyle w:val="PageNumber"/>
        <w:sz w:val="16"/>
        <w:szCs w:val="16"/>
      </w:rPr>
      <w:t xml:space="preserve"> of </w:t>
    </w:r>
    <w:r w:rsidR="0088553C" w:rsidRPr="00E363A4">
      <w:rPr>
        <w:rStyle w:val="PageNumber"/>
        <w:sz w:val="16"/>
        <w:szCs w:val="16"/>
      </w:rPr>
      <w:fldChar w:fldCharType="begin"/>
    </w:r>
    <w:r w:rsidRPr="00E363A4">
      <w:rPr>
        <w:rStyle w:val="PageNumber"/>
        <w:sz w:val="16"/>
        <w:szCs w:val="16"/>
      </w:rPr>
      <w:instrText xml:space="preserve"> NUMPAGES </w:instrText>
    </w:r>
    <w:r w:rsidR="0088553C" w:rsidRPr="00E363A4">
      <w:rPr>
        <w:rStyle w:val="PageNumber"/>
        <w:sz w:val="16"/>
        <w:szCs w:val="16"/>
      </w:rPr>
      <w:fldChar w:fldCharType="separate"/>
    </w:r>
    <w:r w:rsidR="000E75FA">
      <w:rPr>
        <w:rStyle w:val="PageNumber"/>
        <w:noProof/>
        <w:sz w:val="16"/>
        <w:szCs w:val="16"/>
      </w:rPr>
      <w:t>6</w:t>
    </w:r>
    <w:r w:rsidR="0088553C" w:rsidRPr="00E363A4">
      <w:rPr>
        <w:rStyle w:val="PageNumber"/>
        <w:sz w:val="16"/>
        <w:szCs w:val="16"/>
      </w:rPr>
      <w:fldChar w:fldCharType="end"/>
    </w:r>
  </w:p>
  <w:p w14:paraId="22222D3D" w14:textId="77777777" w:rsidR="00B87B6E" w:rsidRPr="00E363A4" w:rsidRDefault="00B87B6E" w:rsidP="00E37E46">
    <w:pPr>
      <w:pStyle w:val="Footer"/>
      <w:jc w:val="right"/>
      <w:rPr>
        <w:sz w:val="16"/>
        <w:szCs w:val="16"/>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17467" w14:textId="77777777" w:rsidR="00C835A8" w:rsidRDefault="00C835A8">
      <w:r>
        <w:separator/>
      </w:r>
    </w:p>
  </w:footnote>
  <w:footnote w:type="continuationSeparator" w:id="0">
    <w:p w14:paraId="386802F4" w14:textId="77777777" w:rsidR="00C835A8" w:rsidRDefault="00C83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9309FCE"/>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nsid w:val="04DE56AF"/>
    <w:multiLevelType w:val="hybridMultilevel"/>
    <w:tmpl w:val="9424D25C"/>
    <w:lvl w:ilvl="0" w:tplc="01EE7998">
      <w:start w:val="1"/>
      <w:numFmt w:val="decimal"/>
      <w:lvlText w:val="%1."/>
      <w:lvlJc w:val="left"/>
      <w:pPr>
        <w:tabs>
          <w:tab w:val="num" w:pos="360"/>
        </w:tabs>
        <w:ind w:left="360" w:hanging="360"/>
      </w:pPr>
      <w:rPr>
        <w:rFonts w:hint="default"/>
        <w:color w:val="auto"/>
      </w:rPr>
    </w:lvl>
    <w:lvl w:ilvl="1" w:tplc="ED264EA0">
      <w:start w:val="1"/>
      <w:numFmt w:val="decimal"/>
      <w:lvlText w:val="(%2)"/>
      <w:lvlJc w:val="left"/>
      <w:pPr>
        <w:tabs>
          <w:tab w:val="num" w:pos="1080"/>
        </w:tabs>
        <w:ind w:left="1080" w:hanging="360"/>
      </w:pPr>
      <w:rPr>
        <w:rFonts w:hint="default"/>
        <w:color w:val="auto"/>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05426881"/>
    <w:multiLevelType w:val="hybridMultilevel"/>
    <w:tmpl w:val="B4163BAE"/>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
    <w:nsid w:val="0D0529BC"/>
    <w:multiLevelType w:val="hybridMultilevel"/>
    <w:tmpl w:val="8EACE15A"/>
    <w:lvl w:ilvl="0" w:tplc="0C090003">
      <w:start w:val="1"/>
      <w:numFmt w:val="bullet"/>
      <w:lvlText w:val="o"/>
      <w:lvlJc w:val="left"/>
      <w:pPr>
        <w:tabs>
          <w:tab w:val="num" w:pos="720"/>
        </w:tabs>
        <w:ind w:left="720" w:hanging="360"/>
      </w:pPr>
      <w:rPr>
        <w:rFonts w:ascii="Courier New" w:hAnsi="Courier New" w:cs="Courier New" w:hint="default"/>
      </w:rPr>
    </w:lvl>
    <w:lvl w:ilvl="1" w:tplc="C610C97E">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DA475CB"/>
    <w:multiLevelType w:val="hybridMultilevel"/>
    <w:tmpl w:val="654EF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656DDD"/>
    <w:multiLevelType w:val="hybridMultilevel"/>
    <w:tmpl w:val="2BB884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AB45DD"/>
    <w:multiLevelType w:val="hybridMultilevel"/>
    <w:tmpl w:val="FE92CE0C"/>
    <w:lvl w:ilvl="0" w:tplc="0C090003">
      <w:start w:val="1"/>
      <w:numFmt w:val="bullet"/>
      <w:lvlText w:val="o"/>
      <w:lvlJc w:val="left"/>
      <w:pPr>
        <w:tabs>
          <w:tab w:val="num" w:pos="720"/>
        </w:tabs>
        <w:ind w:left="720" w:hanging="360"/>
      </w:pPr>
      <w:rPr>
        <w:rFonts w:ascii="Courier New" w:hAnsi="Courier New" w:cs="Courier New" w:hint="default"/>
        <w:color w:val="auto"/>
      </w:rPr>
    </w:lvl>
    <w:lvl w:ilvl="1" w:tplc="C610C97E">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7F42B66"/>
    <w:multiLevelType w:val="hybridMultilevel"/>
    <w:tmpl w:val="B43E625A"/>
    <w:lvl w:ilvl="0" w:tplc="0C09000F">
      <w:start w:val="1"/>
      <w:numFmt w:val="decimal"/>
      <w:lvlText w:val="%1."/>
      <w:lvlJc w:val="left"/>
      <w:pPr>
        <w:tabs>
          <w:tab w:val="num" w:pos="360"/>
        </w:tabs>
        <w:ind w:left="360" w:hanging="360"/>
      </w:pPr>
    </w:lvl>
    <w:lvl w:ilvl="1" w:tplc="ED264EA0">
      <w:start w:val="1"/>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nsid w:val="2F5A5080"/>
    <w:multiLevelType w:val="hybridMultilevel"/>
    <w:tmpl w:val="24705096"/>
    <w:lvl w:ilvl="0" w:tplc="33362AD0">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2FE23B7B"/>
    <w:multiLevelType w:val="hybridMultilevel"/>
    <w:tmpl w:val="5628B10A"/>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0">
    <w:nsid w:val="340601E0"/>
    <w:multiLevelType w:val="singleLevel"/>
    <w:tmpl w:val="8D466266"/>
    <w:lvl w:ilvl="0">
      <w:start w:val="1"/>
      <w:numFmt w:val="lowerLetter"/>
      <w:lvlText w:val="(%1)"/>
      <w:legacy w:legacy="1" w:legacySpace="0" w:legacyIndent="990"/>
      <w:lvlJc w:val="left"/>
      <w:rPr>
        <w:rFonts w:ascii="Times New Roman" w:hAnsi="Times New Roman" w:cs="Times New Roman" w:hint="default"/>
      </w:rPr>
    </w:lvl>
  </w:abstractNum>
  <w:abstractNum w:abstractNumId="11">
    <w:nsid w:val="3BEE54DC"/>
    <w:multiLevelType w:val="hybridMultilevel"/>
    <w:tmpl w:val="93349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B97B8C"/>
    <w:multiLevelType w:val="hybridMultilevel"/>
    <w:tmpl w:val="DA4C2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B37469"/>
    <w:multiLevelType w:val="hybridMultilevel"/>
    <w:tmpl w:val="83084772"/>
    <w:lvl w:ilvl="0" w:tplc="C610C97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9661922"/>
    <w:multiLevelType w:val="hybridMultilevel"/>
    <w:tmpl w:val="AFC6C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F17D3E"/>
    <w:multiLevelType w:val="hybridMultilevel"/>
    <w:tmpl w:val="0770B9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9597E9B"/>
    <w:multiLevelType w:val="hybridMultilevel"/>
    <w:tmpl w:val="A74EF76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595F6731"/>
    <w:multiLevelType w:val="hybridMultilevel"/>
    <w:tmpl w:val="0728E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1B47030"/>
    <w:multiLevelType w:val="hybridMultilevel"/>
    <w:tmpl w:val="5192C25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5C92C38"/>
    <w:multiLevelType w:val="hybridMultilevel"/>
    <w:tmpl w:val="3A508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FC2228D"/>
    <w:multiLevelType w:val="hybridMultilevel"/>
    <w:tmpl w:val="8948F3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7"/>
  </w:num>
  <w:num w:numId="5">
    <w:abstractNumId w:val="3"/>
  </w:num>
  <w:num w:numId="6">
    <w:abstractNumId w:val="6"/>
  </w:num>
  <w:num w:numId="7">
    <w:abstractNumId w:val="16"/>
  </w:num>
  <w:num w:numId="8">
    <w:abstractNumId w:val="18"/>
  </w:num>
  <w:num w:numId="9">
    <w:abstractNumId w:val="9"/>
  </w:num>
  <w:num w:numId="10">
    <w:abstractNumId w:val="14"/>
  </w:num>
  <w:num w:numId="11">
    <w:abstractNumId w:val="17"/>
  </w:num>
  <w:num w:numId="12">
    <w:abstractNumId w:val="11"/>
  </w:num>
  <w:num w:numId="13">
    <w:abstractNumId w:val="0"/>
  </w:num>
  <w:num w:numId="14">
    <w:abstractNumId w:val="5"/>
  </w:num>
  <w:num w:numId="15">
    <w:abstractNumId w:val="20"/>
  </w:num>
  <w:num w:numId="16">
    <w:abstractNumId w:val="15"/>
  </w:num>
  <w:num w:numId="17">
    <w:abstractNumId w:val="12"/>
  </w:num>
  <w:num w:numId="18">
    <w:abstractNumId w:val="2"/>
  </w:num>
  <w:num w:numId="19">
    <w:abstractNumId w:val="19"/>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D2"/>
    <w:rsid w:val="00002E19"/>
    <w:rsid w:val="000076EC"/>
    <w:rsid w:val="0000789E"/>
    <w:rsid w:val="00011BB2"/>
    <w:rsid w:val="00015CBB"/>
    <w:rsid w:val="00016964"/>
    <w:rsid w:val="00054BBF"/>
    <w:rsid w:val="0006631B"/>
    <w:rsid w:val="00075B39"/>
    <w:rsid w:val="00076C5C"/>
    <w:rsid w:val="00097776"/>
    <w:rsid w:val="000B5FB3"/>
    <w:rsid w:val="000C06DC"/>
    <w:rsid w:val="000E586C"/>
    <w:rsid w:val="000E75FA"/>
    <w:rsid w:val="000E76DA"/>
    <w:rsid w:val="000F291E"/>
    <w:rsid w:val="00107147"/>
    <w:rsid w:val="001119EE"/>
    <w:rsid w:val="00113193"/>
    <w:rsid w:val="00115492"/>
    <w:rsid w:val="00117DD2"/>
    <w:rsid w:val="00124625"/>
    <w:rsid w:val="001418A8"/>
    <w:rsid w:val="00155F36"/>
    <w:rsid w:val="00163740"/>
    <w:rsid w:val="00163992"/>
    <w:rsid w:val="00165BB5"/>
    <w:rsid w:val="00171426"/>
    <w:rsid w:val="00190E1A"/>
    <w:rsid w:val="00196375"/>
    <w:rsid w:val="001A3FB0"/>
    <w:rsid w:val="001B7086"/>
    <w:rsid w:val="001C111A"/>
    <w:rsid w:val="001C731C"/>
    <w:rsid w:val="001D1E80"/>
    <w:rsid w:val="002039F7"/>
    <w:rsid w:val="00204AC5"/>
    <w:rsid w:val="0020657B"/>
    <w:rsid w:val="00210BE9"/>
    <w:rsid w:val="00220217"/>
    <w:rsid w:val="0022474E"/>
    <w:rsid w:val="00226BF6"/>
    <w:rsid w:val="00232B02"/>
    <w:rsid w:val="002413FF"/>
    <w:rsid w:val="00251BF2"/>
    <w:rsid w:val="00260812"/>
    <w:rsid w:val="002613AF"/>
    <w:rsid w:val="00275481"/>
    <w:rsid w:val="0027650A"/>
    <w:rsid w:val="00283610"/>
    <w:rsid w:val="002B5A57"/>
    <w:rsid w:val="002B6474"/>
    <w:rsid w:val="002D1635"/>
    <w:rsid w:val="002D2FA2"/>
    <w:rsid w:val="002E036C"/>
    <w:rsid w:val="002E5C4D"/>
    <w:rsid w:val="002F2755"/>
    <w:rsid w:val="002F2F3A"/>
    <w:rsid w:val="002F6307"/>
    <w:rsid w:val="00313139"/>
    <w:rsid w:val="003150F6"/>
    <w:rsid w:val="003207C9"/>
    <w:rsid w:val="00330D45"/>
    <w:rsid w:val="0034007A"/>
    <w:rsid w:val="00347EBE"/>
    <w:rsid w:val="00354FEC"/>
    <w:rsid w:val="00357718"/>
    <w:rsid w:val="003701F3"/>
    <w:rsid w:val="00376379"/>
    <w:rsid w:val="00391939"/>
    <w:rsid w:val="003925F8"/>
    <w:rsid w:val="0039630B"/>
    <w:rsid w:val="003A4E61"/>
    <w:rsid w:val="003A7AB2"/>
    <w:rsid w:val="003B11AA"/>
    <w:rsid w:val="003B1709"/>
    <w:rsid w:val="003B38C5"/>
    <w:rsid w:val="003C46A4"/>
    <w:rsid w:val="003C7624"/>
    <w:rsid w:val="003E47A2"/>
    <w:rsid w:val="003E63FC"/>
    <w:rsid w:val="003E6C33"/>
    <w:rsid w:val="00400B3B"/>
    <w:rsid w:val="00404140"/>
    <w:rsid w:val="00410016"/>
    <w:rsid w:val="00415465"/>
    <w:rsid w:val="00422C61"/>
    <w:rsid w:val="00425AE8"/>
    <w:rsid w:val="0043204A"/>
    <w:rsid w:val="004417AA"/>
    <w:rsid w:val="00443987"/>
    <w:rsid w:val="004631B2"/>
    <w:rsid w:val="004666C3"/>
    <w:rsid w:val="00472058"/>
    <w:rsid w:val="004B379C"/>
    <w:rsid w:val="004B4598"/>
    <w:rsid w:val="004D314E"/>
    <w:rsid w:val="004D6744"/>
    <w:rsid w:val="004E66D3"/>
    <w:rsid w:val="004F03B3"/>
    <w:rsid w:val="004F3768"/>
    <w:rsid w:val="005112C7"/>
    <w:rsid w:val="00512CE7"/>
    <w:rsid w:val="00513056"/>
    <w:rsid w:val="005153D0"/>
    <w:rsid w:val="00530C80"/>
    <w:rsid w:val="00531402"/>
    <w:rsid w:val="005529D1"/>
    <w:rsid w:val="00572997"/>
    <w:rsid w:val="00573617"/>
    <w:rsid w:val="00583194"/>
    <w:rsid w:val="00583312"/>
    <w:rsid w:val="00584CCF"/>
    <w:rsid w:val="00592681"/>
    <w:rsid w:val="005B3434"/>
    <w:rsid w:val="005C4BF3"/>
    <w:rsid w:val="005C7F05"/>
    <w:rsid w:val="005D51BF"/>
    <w:rsid w:val="00603C97"/>
    <w:rsid w:val="00603D1A"/>
    <w:rsid w:val="0061255C"/>
    <w:rsid w:val="00613C40"/>
    <w:rsid w:val="00647A6E"/>
    <w:rsid w:val="00652E2E"/>
    <w:rsid w:val="006568DD"/>
    <w:rsid w:val="00665A54"/>
    <w:rsid w:val="006738C2"/>
    <w:rsid w:val="0068620F"/>
    <w:rsid w:val="0068629B"/>
    <w:rsid w:val="006D466F"/>
    <w:rsid w:val="006D4BF8"/>
    <w:rsid w:val="006D6A75"/>
    <w:rsid w:val="006F0364"/>
    <w:rsid w:val="006F51AE"/>
    <w:rsid w:val="0073066A"/>
    <w:rsid w:val="00737373"/>
    <w:rsid w:val="00750A25"/>
    <w:rsid w:val="0075741A"/>
    <w:rsid w:val="00785F5B"/>
    <w:rsid w:val="007960B4"/>
    <w:rsid w:val="007A12E5"/>
    <w:rsid w:val="007A728A"/>
    <w:rsid w:val="007B4C22"/>
    <w:rsid w:val="007D0B25"/>
    <w:rsid w:val="007D0F00"/>
    <w:rsid w:val="007D3EAE"/>
    <w:rsid w:val="007D42FC"/>
    <w:rsid w:val="007D6A7C"/>
    <w:rsid w:val="007E4039"/>
    <w:rsid w:val="007F5BA6"/>
    <w:rsid w:val="0080451B"/>
    <w:rsid w:val="008070C6"/>
    <w:rsid w:val="00816485"/>
    <w:rsid w:val="00823E05"/>
    <w:rsid w:val="008402D4"/>
    <w:rsid w:val="00843476"/>
    <w:rsid w:val="0084368C"/>
    <w:rsid w:val="00843987"/>
    <w:rsid w:val="00853AEF"/>
    <w:rsid w:val="00856F16"/>
    <w:rsid w:val="008640A1"/>
    <w:rsid w:val="00867F4C"/>
    <w:rsid w:val="00875556"/>
    <w:rsid w:val="0087705E"/>
    <w:rsid w:val="00883424"/>
    <w:rsid w:val="008851A9"/>
    <w:rsid w:val="0088553C"/>
    <w:rsid w:val="0088585F"/>
    <w:rsid w:val="00894FB7"/>
    <w:rsid w:val="00896944"/>
    <w:rsid w:val="00897552"/>
    <w:rsid w:val="008A2F64"/>
    <w:rsid w:val="008A7C20"/>
    <w:rsid w:val="008B772A"/>
    <w:rsid w:val="008C193D"/>
    <w:rsid w:val="008C2D4C"/>
    <w:rsid w:val="008E4837"/>
    <w:rsid w:val="008F63AE"/>
    <w:rsid w:val="009038D8"/>
    <w:rsid w:val="00914D5C"/>
    <w:rsid w:val="0092675B"/>
    <w:rsid w:val="00927987"/>
    <w:rsid w:val="00927D2C"/>
    <w:rsid w:val="009321DF"/>
    <w:rsid w:val="00950946"/>
    <w:rsid w:val="009542AF"/>
    <w:rsid w:val="009807CD"/>
    <w:rsid w:val="00985705"/>
    <w:rsid w:val="00993D63"/>
    <w:rsid w:val="009A6E96"/>
    <w:rsid w:val="009B449B"/>
    <w:rsid w:val="009C31DC"/>
    <w:rsid w:val="009D019A"/>
    <w:rsid w:val="009D05CF"/>
    <w:rsid w:val="009D33E0"/>
    <w:rsid w:val="009D60D3"/>
    <w:rsid w:val="009E4A20"/>
    <w:rsid w:val="009F38D2"/>
    <w:rsid w:val="00A00545"/>
    <w:rsid w:val="00A02EBF"/>
    <w:rsid w:val="00A0614D"/>
    <w:rsid w:val="00A17239"/>
    <w:rsid w:val="00A229E1"/>
    <w:rsid w:val="00A279C1"/>
    <w:rsid w:val="00A33435"/>
    <w:rsid w:val="00A40F1E"/>
    <w:rsid w:val="00A5054D"/>
    <w:rsid w:val="00A511B9"/>
    <w:rsid w:val="00A548D1"/>
    <w:rsid w:val="00A61538"/>
    <w:rsid w:val="00A659D7"/>
    <w:rsid w:val="00A66DC7"/>
    <w:rsid w:val="00A72969"/>
    <w:rsid w:val="00A83288"/>
    <w:rsid w:val="00A85605"/>
    <w:rsid w:val="00A93265"/>
    <w:rsid w:val="00AD4736"/>
    <w:rsid w:val="00AE3C38"/>
    <w:rsid w:val="00AE4E7F"/>
    <w:rsid w:val="00AF179C"/>
    <w:rsid w:val="00B02AE6"/>
    <w:rsid w:val="00B03511"/>
    <w:rsid w:val="00B03A90"/>
    <w:rsid w:val="00B11982"/>
    <w:rsid w:val="00B13C35"/>
    <w:rsid w:val="00B22257"/>
    <w:rsid w:val="00B30F15"/>
    <w:rsid w:val="00B40C2E"/>
    <w:rsid w:val="00B63CBD"/>
    <w:rsid w:val="00B66A62"/>
    <w:rsid w:val="00B72196"/>
    <w:rsid w:val="00B72CDE"/>
    <w:rsid w:val="00B75E10"/>
    <w:rsid w:val="00B87604"/>
    <w:rsid w:val="00B87B6E"/>
    <w:rsid w:val="00B945B3"/>
    <w:rsid w:val="00BB12B4"/>
    <w:rsid w:val="00BB1DC1"/>
    <w:rsid w:val="00BC1F12"/>
    <w:rsid w:val="00BC28AF"/>
    <w:rsid w:val="00BD24EC"/>
    <w:rsid w:val="00BD5370"/>
    <w:rsid w:val="00BF1E45"/>
    <w:rsid w:val="00C0327E"/>
    <w:rsid w:val="00C22284"/>
    <w:rsid w:val="00C23DB0"/>
    <w:rsid w:val="00C31008"/>
    <w:rsid w:val="00C4141F"/>
    <w:rsid w:val="00C47FF2"/>
    <w:rsid w:val="00C671EA"/>
    <w:rsid w:val="00C677C7"/>
    <w:rsid w:val="00C74C42"/>
    <w:rsid w:val="00C835A8"/>
    <w:rsid w:val="00C878B6"/>
    <w:rsid w:val="00C9029B"/>
    <w:rsid w:val="00C92D9F"/>
    <w:rsid w:val="00C93BC8"/>
    <w:rsid w:val="00C97FF1"/>
    <w:rsid w:val="00CB10FE"/>
    <w:rsid w:val="00CD6F3C"/>
    <w:rsid w:val="00CD709E"/>
    <w:rsid w:val="00CD7B5F"/>
    <w:rsid w:val="00CF7386"/>
    <w:rsid w:val="00D06775"/>
    <w:rsid w:val="00D14D9A"/>
    <w:rsid w:val="00D231F6"/>
    <w:rsid w:val="00D24BFB"/>
    <w:rsid w:val="00D40706"/>
    <w:rsid w:val="00D54CCF"/>
    <w:rsid w:val="00D61705"/>
    <w:rsid w:val="00D6378C"/>
    <w:rsid w:val="00D63AC4"/>
    <w:rsid w:val="00D73EC9"/>
    <w:rsid w:val="00D77B50"/>
    <w:rsid w:val="00D87348"/>
    <w:rsid w:val="00D943D4"/>
    <w:rsid w:val="00D9611C"/>
    <w:rsid w:val="00DA289B"/>
    <w:rsid w:val="00DB0DC9"/>
    <w:rsid w:val="00DB4163"/>
    <w:rsid w:val="00E02DA3"/>
    <w:rsid w:val="00E05BF1"/>
    <w:rsid w:val="00E132CB"/>
    <w:rsid w:val="00E226D5"/>
    <w:rsid w:val="00E238D9"/>
    <w:rsid w:val="00E37E46"/>
    <w:rsid w:val="00E56156"/>
    <w:rsid w:val="00E57197"/>
    <w:rsid w:val="00E739E0"/>
    <w:rsid w:val="00EA5D84"/>
    <w:rsid w:val="00ED008A"/>
    <w:rsid w:val="00ED3102"/>
    <w:rsid w:val="00ED7A69"/>
    <w:rsid w:val="00EE24FF"/>
    <w:rsid w:val="00EE56C5"/>
    <w:rsid w:val="00EF565D"/>
    <w:rsid w:val="00F029D8"/>
    <w:rsid w:val="00F17C9C"/>
    <w:rsid w:val="00F22B9D"/>
    <w:rsid w:val="00F27D50"/>
    <w:rsid w:val="00F37CD9"/>
    <w:rsid w:val="00F47163"/>
    <w:rsid w:val="00F53F45"/>
    <w:rsid w:val="00F5400D"/>
    <w:rsid w:val="00F54C4E"/>
    <w:rsid w:val="00F64FD4"/>
    <w:rsid w:val="00F74EFC"/>
    <w:rsid w:val="00F936EC"/>
    <w:rsid w:val="00FA2161"/>
    <w:rsid w:val="00FA6046"/>
    <w:rsid w:val="00FA700F"/>
    <w:rsid w:val="00FB0992"/>
    <w:rsid w:val="00FB394D"/>
    <w:rsid w:val="00FB3B8A"/>
    <w:rsid w:val="00FB4091"/>
    <w:rsid w:val="00FB6FA9"/>
    <w:rsid w:val="00FC0732"/>
    <w:rsid w:val="00FC16D2"/>
    <w:rsid w:val="00FC2E08"/>
    <w:rsid w:val="00FD4AD4"/>
    <w:rsid w:val="00FD4AEB"/>
    <w:rsid w:val="00FD5AFE"/>
    <w:rsid w:val="00FE0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C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F36"/>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38D2"/>
    <w:pPr>
      <w:spacing w:after="120"/>
    </w:pPr>
    <w:rPr>
      <w:lang w:val="en-AU"/>
    </w:rPr>
  </w:style>
  <w:style w:type="paragraph" w:styleId="Footer">
    <w:name w:val="footer"/>
    <w:basedOn w:val="Normal"/>
    <w:link w:val="FooterChar"/>
    <w:uiPriority w:val="99"/>
    <w:rsid w:val="009F38D2"/>
    <w:pPr>
      <w:tabs>
        <w:tab w:val="center" w:pos="4153"/>
        <w:tab w:val="right" w:pos="8306"/>
      </w:tabs>
    </w:pPr>
  </w:style>
  <w:style w:type="character" w:styleId="PageNumber">
    <w:name w:val="page number"/>
    <w:basedOn w:val="DefaultParagraphFont"/>
    <w:rsid w:val="009F38D2"/>
  </w:style>
  <w:style w:type="paragraph" w:styleId="Header">
    <w:name w:val="header"/>
    <w:basedOn w:val="Normal"/>
    <w:rsid w:val="009F38D2"/>
    <w:pPr>
      <w:tabs>
        <w:tab w:val="center" w:pos="4153"/>
        <w:tab w:val="right" w:pos="8306"/>
      </w:tabs>
    </w:pPr>
    <w:rPr>
      <w:lang w:val="en-AU"/>
    </w:rPr>
  </w:style>
  <w:style w:type="paragraph" w:styleId="NormalWeb">
    <w:name w:val="Normal (Web)"/>
    <w:basedOn w:val="Normal"/>
    <w:rsid w:val="00613C40"/>
    <w:pPr>
      <w:spacing w:before="100" w:beforeAutospacing="1" w:after="100" w:afterAutospacing="1"/>
    </w:pPr>
    <w:rPr>
      <w:szCs w:val="24"/>
      <w:lang w:val="en-AU"/>
    </w:rPr>
  </w:style>
  <w:style w:type="paragraph" w:customStyle="1" w:styleId="P1">
    <w:name w:val="P1"/>
    <w:aliases w:val="(a)"/>
    <w:basedOn w:val="Normal"/>
    <w:rsid w:val="00D943D4"/>
    <w:pPr>
      <w:tabs>
        <w:tab w:val="right" w:pos="1191"/>
      </w:tabs>
      <w:spacing w:before="60" w:line="260" w:lineRule="exact"/>
      <w:ind w:left="1418" w:hanging="1418"/>
      <w:jc w:val="both"/>
    </w:pPr>
    <w:rPr>
      <w:noProof/>
      <w:szCs w:val="24"/>
      <w:lang w:val="en-AU" w:eastAsia="en-US"/>
    </w:rPr>
  </w:style>
  <w:style w:type="paragraph" w:styleId="ListParagraph">
    <w:name w:val="List Paragraph"/>
    <w:basedOn w:val="Normal"/>
    <w:uiPriority w:val="34"/>
    <w:qFormat/>
    <w:rsid w:val="00914D5C"/>
    <w:pPr>
      <w:ind w:left="720"/>
    </w:pPr>
    <w:rPr>
      <w:szCs w:val="24"/>
      <w:lang w:val="en-US" w:eastAsia="en-US"/>
    </w:rPr>
  </w:style>
  <w:style w:type="paragraph" w:customStyle="1" w:styleId="indenta">
    <w:name w:val="indenta"/>
    <w:basedOn w:val="Normal"/>
    <w:rsid w:val="00914D5C"/>
    <w:pPr>
      <w:spacing w:before="100" w:beforeAutospacing="1" w:after="100" w:afterAutospacing="1"/>
    </w:pPr>
    <w:rPr>
      <w:szCs w:val="24"/>
      <w:lang w:val="en-AU"/>
    </w:rPr>
  </w:style>
  <w:style w:type="character" w:customStyle="1" w:styleId="charsectno">
    <w:name w:val="charsectno"/>
    <w:basedOn w:val="DefaultParagraphFont"/>
    <w:rsid w:val="00914D5C"/>
  </w:style>
  <w:style w:type="character" w:customStyle="1" w:styleId="apple-converted-space">
    <w:name w:val="apple-converted-space"/>
    <w:basedOn w:val="DefaultParagraphFont"/>
    <w:rsid w:val="00914D5C"/>
  </w:style>
  <w:style w:type="paragraph" w:customStyle="1" w:styleId="ACMABodyText">
    <w:name w:val="ACMA Body Text"/>
    <w:link w:val="ACMABodyTextChar"/>
    <w:rsid w:val="002B5A57"/>
    <w:pPr>
      <w:suppressAutoHyphens/>
      <w:spacing w:before="80" w:after="120" w:line="280" w:lineRule="atLeast"/>
    </w:pPr>
    <w:rPr>
      <w:snapToGrid w:val="0"/>
      <w:sz w:val="24"/>
      <w:lang w:eastAsia="en-US"/>
    </w:rPr>
  </w:style>
  <w:style w:type="character" w:styleId="CommentReference">
    <w:name w:val="annotation reference"/>
    <w:uiPriority w:val="99"/>
    <w:semiHidden/>
    <w:unhideWhenUsed/>
    <w:rsid w:val="001418A8"/>
    <w:rPr>
      <w:sz w:val="16"/>
      <w:szCs w:val="16"/>
    </w:rPr>
  </w:style>
  <w:style w:type="paragraph" w:styleId="CommentText">
    <w:name w:val="annotation text"/>
    <w:basedOn w:val="Normal"/>
    <w:link w:val="CommentTextChar"/>
    <w:uiPriority w:val="99"/>
    <w:semiHidden/>
    <w:unhideWhenUsed/>
    <w:rsid w:val="001418A8"/>
    <w:rPr>
      <w:sz w:val="20"/>
    </w:rPr>
  </w:style>
  <w:style w:type="character" w:customStyle="1" w:styleId="CommentTextChar">
    <w:name w:val="Comment Text Char"/>
    <w:link w:val="CommentText"/>
    <w:uiPriority w:val="99"/>
    <w:semiHidden/>
    <w:rsid w:val="001418A8"/>
    <w:rPr>
      <w:lang w:val="en-GB"/>
    </w:rPr>
  </w:style>
  <w:style w:type="paragraph" w:styleId="CommentSubject">
    <w:name w:val="annotation subject"/>
    <w:basedOn w:val="CommentText"/>
    <w:next w:val="CommentText"/>
    <w:link w:val="CommentSubjectChar"/>
    <w:uiPriority w:val="99"/>
    <w:semiHidden/>
    <w:unhideWhenUsed/>
    <w:rsid w:val="001418A8"/>
    <w:rPr>
      <w:b/>
      <w:bCs/>
    </w:rPr>
  </w:style>
  <w:style w:type="character" w:customStyle="1" w:styleId="CommentSubjectChar">
    <w:name w:val="Comment Subject Char"/>
    <w:link w:val="CommentSubject"/>
    <w:uiPriority w:val="99"/>
    <w:semiHidden/>
    <w:rsid w:val="001418A8"/>
    <w:rPr>
      <w:b/>
      <w:bCs/>
      <w:lang w:val="en-GB"/>
    </w:rPr>
  </w:style>
  <w:style w:type="paragraph" w:styleId="BalloonText">
    <w:name w:val="Balloon Text"/>
    <w:basedOn w:val="Normal"/>
    <w:link w:val="BalloonTextChar"/>
    <w:uiPriority w:val="99"/>
    <w:semiHidden/>
    <w:unhideWhenUsed/>
    <w:rsid w:val="001418A8"/>
    <w:rPr>
      <w:rFonts w:ascii="Tahoma" w:hAnsi="Tahoma" w:cs="Tahoma"/>
      <w:sz w:val="16"/>
      <w:szCs w:val="16"/>
    </w:rPr>
  </w:style>
  <w:style w:type="character" w:customStyle="1" w:styleId="BalloonTextChar">
    <w:name w:val="Balloon Text Char"/>
    <w:link w:val="BalloonText"/>
    <w:uiPriority w:val="99"/>
    <w:semiHidden/>
    <w:rsid w:val="001418A8"/>
    <w:rPr>
      <w:rFonts w:ascii="Tahoma" w:hAnsi="Tahoma" w:cs="Tahoma"/>
      <w:sz w:val="16"/>
      <w:szCs w:val="16"/>
      <w:lang w:val="en-GB"/>
    </w:rPr>
  </w:style>
  <w:style w:type="paragraph" w:styleId="ListBullet">
    <w:name w:val="List Bullet"/>
    <w:basedOn w:val="Normal"/>
    <w:rsid w:val="001418A8"/>
    <w:pPr>
      <w:numPr>
        <w:numId w:val="13"/>
      </w:numPr>
      <w:spacing w:after="80" w:line="240" w:lineRule="atLeast"/>
    </w:pPr>
    <w:rPr>
      <w:rFonts w:ascii="Arial" w:hAnsi="Arial"/>
      <w:sz w:val="20"/>
      <w:szCs w:val="24"/>
      <w:lang w:val="en-AU"/>
    </w:rPr>
  </w:style>
  <w:style w:type="character" w:styleId="Hyperlink">
    <w:name w:val="Hyperlink"/>
    <w:uiPriority w:val="99"/>
    <w:semiHidden/>
    <w:unhideWhenUsed/>
    <w:rsid w:val="00AF179C"/>
    <w:rPr>
      <w:color w:val="0000FF"/>
      <w:u w:val="single"/>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rsid w:val="0088585F"/>
    <w:rPr>
      <w:rFonts w:ascii="Arial" w:hAnsi="Arial"/>
      <w:vertAlign w:val="superscript"/>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fn"/>
    <w:basedOn w:val="Normal"/>
    <w:link w:val="FootnoteTextChar"/>
    <w:rsid w:val="0088585F"/>
    <w:pPr>
      <w:spacing w:line="240" w:lineRule="atLeast"/>
    </w:pPr>
    <w:rPr>
      <w:rFonts w:ascii="Arial" w:hAnsi="Arial"/>
      <w:sz w:val="16"/>
      <w:szCs w:val="16"/>
      <w:lang w:val="en-AU"/>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fn Char"/>
    <w:link w:val="FootnoteText"/>
    <w:rsid w:val="0088585F"/>
    <w:rPr>
      <w:rFonts w:ascii="Arial" w:hAnsi="Arial"/>
      <w:sz w:val="16"/>
      <w:szCs w:val="16"/>
    </w:rPr>
  </w:style>
  <w:style w:type="character" w:customStyle="1" w:styleId="CharSectno0">
    <w:name w:val="CharSectno"/>
    <w:basedOn w:val="DefaultParagraphFont"/>
    <w:rsid w:val="00FB4091"/>
  </w:style>
  <w:style w:type="paragraph" w:customStyle="1" w:styleId="indenta0">
    <w:name w:val="indent(a)"/>
    <w:aliases w:val="a"/>
    <w:basedOn w:val="Normal"/>
    <w:rsid w:val="0043204A"/>
    <w:pPr>
      <w:tabs>
        <w:tab w:val="right" w:pos="1531"/>
      </w:tabs>
      <w:spacing w:before="40" w:line="260" w:lineRule="atLeast"/>
      <w:ind w:left="1644" w:hanging="1644"/>
    </w:pPr>
    <w:rPr>
      <w:rFonts w:ascii="Times" w:hAnsi="Times"/>
      <w:sz w:val="22"/>
      <w:lang w:val="en-AU" w:eastAsia="en-US"/>
    </w:rPr>
  </w:style>
  <w:style w:type="character" w:customStyle="1" w:styleId="ACMABodyTextChar">
    <w:name w:val="ACMA Body Text Char"/>
    <w:link w:val="ACMABodyText"/>
    <w:rsid w:val="0043204A"/>
    <w:rPr>
      <w:snapToGrid w:val="0"/>
      <w:sz w:val="24"/>
      <w:lang w:eastAsia="en-US"/>
    </w:rPr>
  </w:style>
  <w:style w:type="paragraph" w:styleId="NoSpacing">
    <w:name w:val="No Spacing"/>
    <w:uiPriority w:val="1"/>
    <w:qFormat/>
    <w:rsid w:val="0043204A"/>
    <w:rPr>
      <w:rFonts w:ascii="Arial" w:hAnsi="Arial"/>
      <w:lang w:eastAsia="en-US" w:bidi="he-IL"/>
    </w:rPr>
  </w:style>
  <w:style w:type="character" w:customStyle="1" w:styleId="FooterChar">
    <w:name w:val="Footer Char"/>
    <w:link w:val="Footer"/>
    <w:uiPriority w:val="99"/>
    <w:rsid w:val="00D24BFB"/>
    <w:rPr>
      <w:sz w:val="24"/>
      <w:lang w:val="en-GB"/>
    </w:rPr>
  </w:style>
  <w:style w:type="paragraph" w:customStyle="1" w:styleId="acmabodytext0">
    <w:name w:val="acmabodytext"/>
    <w:basedOn w:val="Normal"/>
    <w:rsid w:val="00B22257"/>
    <w:pPr>
      <w:spacing w:before="100" w:beforeAutospacing="1" w:after="100" w:afterAutospacing="1"/>
    </w:pPr>
    <w:rPr>
      <w:szCs w:val="24"/>
      <w:lang w:val="en-AU"/>
    </w:rPr>
  </w:style>
  <w:style w:type="paragraph" w:customStyle="1" w:styleId="ACMABulletLevel1">
    <w:name w:val="ACMA Bullet Level 1"/>
    <w:rsid w:val="00927D2C"/>
    <w:pPr>
      <w:numPr>
        <w:numId w:val="20"/>
      </w:numPr>
      <w:spacing w:after="120"/>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62791">
      <w:bodyDiv w:val="1"/>
      <w:marLeft w:val="0"/>
      <w:marRight w:val="0"/>
      <w:marTop w:val="0"/>
      <w:marBottom w:val="0"/>
      <w:divBdr>
        <w:top w:val="none" w:sz="0" w:space="0" w:color="auto"/>
        <w:left w:val="none" w:sz="0" w:space="0" w:color="auto"/>
        <w:bottom w:val="none" w:sz="0" w:space="0" w:color="auto"/>
        <w:right w:val="none" w:sz="0" w:space="0" w:color="auto"/>
      </w:divBdr>
      <w:divsChild>
        <w:div w:id="743452983">
          <w:marLeft w:val="0"/>
          <w:marRight w:val="0"/>
          <w:marTop w:val="0"/>
          <w:marBottom w:val="0"/>
          <w:divBdr>
            <w:top w:val="none" w:sz="0" w:space="0" w:color="auto"/>
            <w:left w:val="none" w:sz="0" w:space="0" w:color="auto"/>
            <w:bottom w:val="none" w:sz="0" w:space="0" w:color="auto"/>
            <w:right w:val="none" w:sz="0" w:space="0" w:color="auto"/>
          </w:divBdr>
          <w:divsChild>
            <w:div w:id="1931619682">
              <w:marLeft w:val="0"/>
              <w:marRight w:val="0"/>
              <w:marTop w:val="0"/>
              <w:marBottom w:val="0"/>
              <w:divBdr>
                <w:top w:val="none" w:sz="0" w:space="0" w:color="auto"/>
                <w:left w:val="none" w:sz="0" w:space="0" w:color="auto"/>
                <w:bottom w:val="none" w:sz="0" w:space="0" w:color="auto"/>
                <w:right w:val="none" w:sz="0" w:space="0" w:color="auto"/>
              </w:divBdr>
              <w:divsChild>
                <w:div w:id="1353608132">
                  <w:marLeft w:val="0"/>
                  <w:marRight w:val="0"/>
                  <w:marTop w:val="0"/>
                  <w:marBottom w:val="0"/>
                  <w:divBdr>
                    <w:top w:val="none" w:sz="0" w:space="0" w:color="auto"/>
                    <w:left w:val="none" w:sz="0" w:space="0" w:color="auto"/>
                    <w:bottom w:val="none" w:sz="0" w:space="0" w:color="auto"/>
                    <w:right w:val="none" w:sz="0" w:space="0" w:color="auto"/>
                  </w:divBdr>
                  <w:divsChild>
                    <w:div w:id="506485275">
                      <w:marLeft w:val="0"/>
                      <w:marRight w:val="0"/>
                      <w:marTop w:val="0"/>
                      <w:marBottom w:val="0"/>
                      <w:divBdr>
                        <w:top w:val="none" w:sz="0" w:space="0" w:color="auto"/>
                        <w:left w:val="none" w:sz="0" w:space="0" w:color="auto"/>
                        <w:bottom w:val="none" w:sz="0" w:space="0" w:color="auto"/>
                        <w:right w:val="none" w:sz="0" w:space="0" w:color="auto"/>
                      </w:divBdr>
                      <w:divsChild>
                        <w:div w:id="992950917">
                          <w:marLeft w:val="0"/>
                          <w:marRight w:val="0"/>
                          <w:marTop w:val="0"/>
                          <w:marBottom w:val="0"/>
                          <w:divBdr>
                            <w:top w:val="single" w:sz="4" w:space="0" w:color="828282"/>
                            <w:left w:val="single" w:sz="4" w:space="0" w:color="828282"/>
                            <w:bottom w:val="single" w:sz="4" w:space="0" w:color="828282"/>
                            <w:right w:val="single" w:sz="4" w:space="0" w:color="828282"/>
                          </w:divBdr>
                          <w:divsChild>
                            <w:div w:id="1561750230">
                              <w:marLeft w:val="0"/>
                              <w:marRight w:val="0"/>
                              <w:marTop w:val="0"/>
                              <w:marBottom w:val="0"/>
                              <w:divBdr>
                                <w:top w:val="none" w:sz="0" w:space="0" w:color="auto"/>
                                <w:left w:val="none" w:sz="0" w:space="0" w:color="auto"/>
                                <w:bottom w:val="none" w:sz="0" w:space="0" w:color="auto"/>
                                <w:right w:val="none" w:sz="0" w:space="0" w:color="auto"/>
                              </w:divBdr>
                              <w:divsChild>
                                <w:div w:id="999233310">
                                  <w:marLeft w:val="0"/>
                                  <w:marRight w:val="0"/>
                                  <w:marTop w:val="0"/>
                                  <w:marBottom w:val="0"/>
                                  <w:divBdr>
                                    <w:top w:val="none" w:sz="0" w:space="0" w:color="auto"/>
                                    <w:left w:val="none" w:sz="0" w:space="0" w:color="auto"/>
                                    <w:bottom w:val="none" w:sz="0" w:space="0" w:color="auto"/>
                                    <w:right w:val="none" w:sz="0" w:space="0" w:color="auto"/>
                                  </w:divBdr>
                                  <w:divsChild>
                                    <w:div w:id="1024788088">
                                      <w:marLeft w:val="0"/>
                                      <w:marRight w:val="0"/>
                                      <w:marTop w:val="0"/>
                                      <w:marBottom w:val="0"/>
                                      <w:divBdr>
                                        <w:top w:val="none" w:sz="0" w:space="0" w:color="auto"/>
                                        <w:left w:val="none" w:sz="0" w:space="0" w:color="auto"/>
                                        <w:bottom w:val="none" w:sz="0" w:space="0" w:color="auto"/>
                                        <w:right w:val="none" w:sz="0" w:space="0" w:color="auto"/>
                                      </w:divBdr>
                                      <w:divsChild>
                                        <w:div w:id="1837576183">
                                          <w:marLeft w:val="0"/>
                                          <w:marRight w:val="0"/>
                                          <w:marTop w:val="0"/>
                                          <w:marBottom w:val="0"/>
                                          <w:divBdr>
                                            <w:top w:val="none" w:sz="0" w:space="0" w:color="auto"/>
                                            <w:left w:val="none" w:sz="0" w:space="0" w:color="auto"/>
                                            <w:bottom w:val="none" w:sz="0" w:space="0" w:color="auto"/>
                                            <w:right w:val="none" w:sz="0" w:space="0" w:color="auto"/>
                                          </w:divBdr>
                                          <w:divsChild>
                                            <w:div w:id="542710572">
                                              <w:marLeft w:val="0"/>
                                              <w:marRight w:val="0"/>
                                              <w:marTop w:val="0"/>
                                              <w:marBottom w:val="0"/>
                                              <w:divBdr>
                                                <w:top w:val="none" w:sz="0" w:space="0" w:color="auto"/>
                                                <w:left w:val="none" w:sz="0" w:space="0" w:color="auto"/>
                                                <w:bottom w:val="none" w:sz="0" w:space="0" w:color="auto"/>
                                                <w:right w:val="none" w:sz="0" w:space="0" w:color="auto"/>
                                              </w:divBdr>
                                              <w:divsChild>
                                                <w:div w:id="16736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155470">
      <w:bodyDiv w:val="1"/>
      <w:marLeft w:val="0"/>
      <w:marRight w:val="0"/>
      <w:marTop w:val="0"/>
      <w:marBottom w:val="0"/>
      <w:divBdr>
        <w:top w:val="none" w:sz="0" w:space="0" w:color="auto"/>
        <w:left w:val="none" w:sz="0" w:space="0" w:color="auto"/>
        <w:bottom w:val="none" w:sz="0" w:space="0" w:color="auto"/>
        <w:right w:val="none" w:sz="0" w:space="0" w:color="auto"/>
      </w:divBdr>
      <w:divsChild>
        <w:div w:id="1812206628">
          <w:marLeft w:val="0"/>
          <w:marRight w:val="0"/>
          <w:marTop w:val="0"/>
          <w:marBottom w:val="0"/>
          <w:divBdr>
            <w:top w:val="none" w:sz="0" w:space="0" w:color="auto"/>
            <w:left w:val="none" w:sz="0" w:space="0" w:color="auto"/>
            <w:bottom w:val="none" w:sz="0" w:space="0" w:color="auto"/>
            <w:right w:val="none" w:sz="0" w:space="0" w:color="auto"/>
          </w:divBdr>
          <w:divsChild>
            <w:div w:id="1810318417">
              <w:marLeft w:val="0"/>
              <w:marRight w:val="0"/>
              <w:marTop w:val="0"/>
              <w:marBottom w:val="0"/>
              <w:divBdr>
                <w:top w:val="none" w:sz="0" w:space="0" w:color="auto"/>
                <w:left w:val="none" w:sz="0" w:space="0" w:color="auto"/>
                <w:bottom w:val="none" w:sz="0" w:space="0" w:color="auto"/>
                <w:right w:val="none" w:sz="0" w:space="0" w:color="auto"/>
              </w:divBdr>
              <w:divsChild>
                <w:div w:id="991836317">
                  <w:marLeft w:val="0"/>
                  <w:marRight w:val="0"/>
                  <w:marTop w:val="0"/>
                  <w:marBottom w:val="0"/>
                  <w:divBdr>
                    <w:top w:val="none" w:sz="0" w:space="0" w:color="auto"/>
                    <w:left w:val="none" w:sz="0" w:space="0" w:color="auto"/>
                    <w:bottom w:val="none" w:sz="0" w:space="0" w:color="auto"/>
                    <w:right w:val="none" w:sz="0" w:space="0" w:color="auto"/>
                  </w:divBdr>
                  <w:divsChild>
                    <w:div w:id="848568520">
                      <w:marLeft w:val="0"/>
                      <w:marRight w:val="0"/>
                      <w:marTop w:val="0"/>
                      <w:marBottom w:val="0"/>
                      <w:divBdr>
                        <w:top w:val="none" w:sz="0" w:space="0" w:color="auto"/>
                        <w:left w:val="none" w:sz="0" w:space="0" w:color="auto"/>
                        <w:bottom w:val="none" w:sz="0" w:space="0" w:color="auto"/>
                        <w:right w:val="none" w:sz="0" w:space="0" w:color="auto"/>
                      </w:divBdr>
                      <w:divsChild>
                        <w:div w:id="1200819279">
                          <w:marLeft w:val="0"/>
                          <w:marRight w:val="0"/>
                          <w:marTop w:val="0"/>
                          <w:marBottom w:val="0"/>
                          <w:divBdr>
                            <w:top w:val="single" w:sz="6" w:space="0" w:color="828282"/>
                            <w:left w:val="single" w:sz="6" w:space="0" w:color="828282"/>
                            <w:bottom w:val="single" w:sz="6" w:space="0" w:color="828282"/>
                            <w:right w:val="single" w:sz="6" w:space="0" w:color="828282"/>
                          </w:divBdr>
                          <w:divsChild>
                            <w:div w:id="1167287735">
                              <w:marLeft w:val="0"/>
                              <w:marRight w:val="0"/>
                              <w:marTop w:val="0"/>
                              <w:marBottom w:val="0"/>
                              <w:divBdr>
                                <w:top w:val="none" w:sz="0" w:space="0" w:color="auto"/>
                                <w:left w:val="none" w:sz="0" w:space="0" w:color="auto"/>
                                <w:bottom w:val="none" w:sz="0" w:space="0" w:color="auto"/>
                                <w:right w:val="none" w:sz="0" w:space="0" w:color="auto"/>
                              </w:divBdr>
                              <w:divsChild>
                                <w:div w:id="1679387420">
                                  <w:marLeft w:val="0"/>
                                  <w:marRight w:val="0"/>
                                  <w:marTop w:val="0"/>
                                  <w:marBottom w:val="0"/>
                                  <w:divBdr>
                                    <w:top w:val="none" w:sz="0" w:space="0" w:color="auto"/>
                                    <w:left w:val="none" w:sz="0" w:space="0" w:color="auto"/>
                                    <w:bottom w:val="none" w:sz="0" w:space="0" w:color="auto"/>
                                    <w:right w:val="none" w:sz="0" w:space="0" w:color="auto"/>
                                  </w:divBdr>
                                  <w:divsChild>
                                    <w:div w:id="678195038">
                                      <w:marLeft w:val="0"/>
                                      <w:marRight w:val="0"/>
                                      <w:marTop w:val="0"/>
                                      <w:marBottom w:val="0"/>
                                      <w:divBdr>
                                        <w:top w:val="none" w:sz="0" w:space="0" w:color="auto"/>
                                        <w:left w:val="none" w:sz="0" w:space="0" w:color="auto"/>
                                        <w:bottom w:val="none" w:sz="0" w:space="0" w:color="auto"/>
                                        <w:right w:val="none" w:sz="0" w:space="0" w:color="auto"/>
                                      </w:divBdr>
                                      <w:divsChild>
                                        <w:div w:id="1536196434">
                                          <w:marLeft w:val="0"/>
                                          <w:marRight w:val="0"/>
                                          <w:marTop w:val="0"/>
                                          <w:marBottom w:val="0"/>
                                          <w:divBdr>
                                            <w:top w:val="none" w:sz="0" w:space="0" w:color="auto"/>
                                            <w:left w:val="none" w:sz="0" w:space="0" w:color="auto"/>
                                            <w:bottom w:val="none" w:sz="0" w:space="0" w:color="auto"/>
                                            <w:right w:val="none" w:sz="0" w:space="0" w:color="auto"/>
                                          </w:divBdr>
                                          <w:divsChild>
                                            <w:div w:id="699211086">
                                              <w:marLeft w:val="0"/>
                                              <w:marRight w:val="0"/>
                                              <w:marTop w:val="0"/>
                                              <w:marBottom w:val="0"/>
                                              <w:divBdr>
                                                <w:top w:val="none" w:sz="0" w:space="0" w:color="auto"/>
                                                <w:left w:val="none" w:sz="0" w:space="0" w:color="auto"/>
                                                <w:bottom w:val="none" w:sz="0" w:space="0" w:color="auto"/>
                                                <w:right w:val="none" w:sz="0" w:space="0" w:color="auto"/>
                                              </w:divBdr>
                                              <w:divsChild>
                                                <w:div w:id="2894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19E20-4D13-46BA-B1C0-DDA61295E4D9}">
  <ds:schemaRefs>
    <ds:schemaRef ds:uri="http://schemas.microsoft.com/office/2006/metadata/longProperties"/>
  </ds:schemaRefs>
</ds:datastoreItem>
</file>

<file path=customXml/itemProps2.xml><?xml version="1.0" encoding="utf-8"?>
<ds:datastoreItem xmlns:ds="http://schemas.openxmlformats.org/officeDocument/2006/customXml" ds:itemID="{36EE789A-9DF9-4F31-9555-5E8E66BA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2015-06-11T06:25:00Z</dcterms:created>
  <dcterms:modified xsi:type="dcterms:W3CDTF">2015-06-11T06:56:00Z</dcterms:modified>
</cp:coreProperties>
</file>