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E4368" w14:textId="77777777" w:rsidR="0045788E" w:rsidRDefault="00DE779A" w:rsidP="0045788E">
      <w:pPr>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 </w:t>
      </w:r>
      <w:r w:rsidR="0045788E">
        <w:rPr>
          <w:rFonts w:ascii="Times New Roman" w:eastAsia="Times New Roman" w:hAnsi="Times New Roman" w:cs="Times New Roman"/>
          <w:b/>
          <w:sz w:val="24"/>
          <w:szCs w:val="24"/>
          <w:lang w:eastAsia="en-AU"/>
        </w:rPr>
        <w:t>EXPLANATORY STATEMENT</w:t>
      </w:r>
    </w:p>
    <w:p w14:paraId="5A3E4369" w14:textId="77777777" w:rsidR="0045788E" w:rsidRDefault="0045788E" w:rsidP="0045788E">
      <w:pPr>
        <w:rPr>
          <w:rFonts w:ascii="Times New Roman" w:eastAsia="Times New Roman" w:hAnsi="Times New Roman" w:cs="Times New Roman"/>
          <w:sz w:val="24"/>
          <w:szCs w:val="24"/>
          <w:lang w:eastAsia="en-AU"/>
        </w:rPr>
      </w:pPr>
    </w:p>
    <w:p w14:paraId="5A3E436A" w14:textId="44905D77" w:rsidR="0045788E" w:rsidRDefault="0045788E" w:rsidP="0045788E">
      <w:pPr>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Issued by the authority of the </w:t>
      </w:r>
      <w:r w:rsidR="009B2986">
        <w:rPr>
          <w:rFonts w:ascii="Times New Roman" w:eastAsia="Times New Roman" w:hAnsi="Times New Roman" w:cs="Times New Roman"/>
          <w:sz w:val="24"/>
          <w:szCs w:val="24"/>
          <w:lang w:eastAsia="en-AU"/>
        </w:rPr>
        <w:t xml:space="preserve">Assistant </w:t>
      </w:r>
      <w:r>
        <w:rPr>
          <w:rFonts w:ascii="Times New Roman" w:eastAsia="Times New Roman" w:hAnsi="Times New Roman" w:cs="Times New Roman"/>
          <w:sz w:val="24"/>
          <w:szCs w:val="24"/>
          <w:lang w:eastAsia="en-AU"/>
        </w:rPr>
        <w:t xml:space="preserve">Minister for Employment </w:t>
      </w:r>
    </w:p>
    <w:p w14:paraId="5A3E436B" w14:textId="77777777" w:rsidR="0045788E" w:rsidRDefault="0045788E" w:rsidP="0045788E">
      <w:pPr>
        <w:jc w:val="center"/>
        <w:rPr>
          <w:rFonts w:ascii="Times New Roman" w:eastAsia="Times New Roman" w:hAnsi="Times New Roman" w:cs="Times New Roman"/>
          <w:sz w:val="24"/>
          <w:szCs w:val="24"/>
          <w:lang w:eastAsia="en-AU"/>
        </w:rPr>
      </w:pPr>
    </w:p>
    <w:p w14:paraId="5A3E436C" w14:textId="77777777" w:rsidR="0045788E" w:rsidRPr="00666005" w:rsidRDefault="00666005" w:rsidP="0045788E">
      <w:pPr>
        <w:jc w:val="center"/>
        <w:rPr>
          <w:rFonts w:ascii="Times New Roman" w:eastAsia="Times New Roman" w:hAnsi="Times New Roman" w:cs="Times New Roman"/>
          <w:i/>
          <w:sz w:val="24"/>
          <w:szCs w:val="24"/>
          <w:lang w:eastAsia="en-AU"/>
        </w:rPr>
      </w:pPr>
      <w:r w:rsidRPr="00666005">
        <w:rPr>
          <w:rFonts w:ascii="Times New Roman" w:eastAsia="Times New Roman" w:hAnsi="Times New Roman" w:cs="Times New Roman"/>
          <w:i/>
          <w:sz w:val="24"/>
          <w:szCs w:val="24"/>
          <w:lang w:eastAsia="en-AU"/>
        </w:rPr>
        <w:t>Occupational Health and Safety (Maritime Industry) Act 1993</w:t>
      </w:r>
    </w:p>
    <w:p w14:paraId="5A3E436D" w14:textId="09F6079D" w:rsidR="0045788E" w:rsidRDefault="00002B07" w:rsidP="0045788E">
      <w:pPr>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w:t>
      </w:r>
      <w:r w:rsidR="0026775C">
        <w:rPr>
          <w:rFonts w:ascii="Times New Roman" w:eastAsia="Times New Roman" w:hAnsi="Times New Roman" w:cs="Times New Roman"/>
          <w:sz w:val="24"/>
          <w:szCs w:val="24"/>
          <w:lang w:eastAsia="en-AU"/>
        </w:rPr>
        <w:t>ubs</w:t>
      </w:r>
      <w:r>
        <w:rPr>
          <w:rFonts w:ascii="Times New Roman" w:eastAsia="Times New Roman" w:hAnsi="Times New Roman" w:cs="Times New Roman"/>
          <w:sz w:val="24"/>
          <w:szCs w:val="24"/>
          <w:lang w:eastAsia="en-AU"/>
        </w:rPr>
        <w:t xml:space="preserve">ections </w:t>
      </w:r>
      <w:proofErr w:type="spellStart"/>
      <w:r w:rsidR="00666005">
        <w:rPr>
          <w:rFonts w:ascii="Times New Roman" w:eastAsia="Times New Roman" w:hAnsi="Times New Roman" w:cs="Times New Roman"/>
          <w:sz w:val="24"/>
          <w:szCs w:val="24"/>
          <w:lang w:eastAsia="en-AU"/>
        </w:rPr>
        <w:t>4A</w:t>
      </w:r>
      <w:proofErr w:type="spellEnd"/>
      <w:r w:rsidR="0026775C">
        <w:rPr>
          <w:rFonts w:ascii="Times New Roman" w:eastAsia="Times New Roman" w:hAnsi="Times New Roman" w:cs="Times New Roman"/>
          <w:sz w:val="24"/>
          <w:szCs w:val="24"/>
          <w:lang w:eastAsia="en-AU"/>
        </w:rPr>
        <w:t>(2)</w:t>
      </w:r>
      <w:r w:rsidR="00666005">
        <w:rPr>
          <w:rFonts w:ascii="Times New Roman" w:eastAsia="Times New Roman" w:hAnsi="Times New Roman" w:cs="Times New Roman"/>
          <w:sz w:val="24"/>
          <w:szCs w:val="24"/>
          <w:lang w:eastAsia="en-AU"/>
        </w:rPr>
        <w:t xml:space="preserve"> and </w:t>
      </w:r>
      <w:proofErr w:type="spellStart"/>
      <w:r w:rsidR="00666005">
        <w:rPr>
          <w:rFonts w:ascii="Times New Roman" w:eastAsia="Times New Roman" w:hAnsi="Times New Roman" w:cs="Times New Roman"/>
          <w:sz w:val="24"/>
          <w:szCs w:val="24"/>
          <w:lang w:eastAsia="en-AU"/>
        </w:rPr>
        <w:t>4B</w:t>
      </w:r>
      <w:proofErr w:type="spellEnd"/>
      <w:r w:rsidR="0026775C">
        <w:rPr>
          <w:rFonts w:ascii="Times New Roman" w:eastAsia="Times New Roman" w:hAnsi="Times New Roman" w:cs="Times New Roman"/>
          <w:sz w:val="24"/>
          <w:szCs w:val="24"/>
          <w:lang w:eastAsia="en-AU"/>
        </w:rPr>
        <w:t>(2)</w:t>
      </w:r>
    </w:p>
    <w:p w14:paraId="5A3E436E" w14:textId="77777777" w:rsidR="0045788E" w:rsidRDefault="0045788E" w:rsidP="0045788E">
      <w:pPr>
        <w:jc w:val="center"/>
        <w:rPr>
          <w:rFonts w:ascii="Times New Roman" w:eastAsia="Times New Roman" w:hAnsi="Times New Roman" w:cs="Times New Roman"/>
          <w:sz w:val="24"/>
          <w:szCs w:val="24"/>
          <w:lang w:eastAsia="en-AU"/>
        </w:rPr>
      </w:pPr>
    </w:p>
    <w:p w14:paraId="5A3E436F" w14:textId="77777777" w:rsidR="0045788E" w:rsidRPr="0047517C" w:rsidRDefault="00666005" w:rsidP="0045788E">
      <w:pPr>
        <w:jc w:val="center"/>
        <w:rPr>
          <w:rFonts w:ascii="Times New Roman" w:eastAsia="Times New Roman" w:hAnsi="Times New Roman" w:cs="Times New Roman"/>
          <w:i/>
          <w:sz w:val="24"/>
          <w:szCs w:val="24"/>
          <w:lang w:eastAsia="en-AU"/>
        </w:rPr>
      </w:pPr>
      <w:r w:rsidRPr="0047517C">
        <w:rPr>
          <w:rFonts w:ascii="Times New Roman" w:eastAsia="Times New Roman" w:hAnsi="Times New Roman" w:cs="Times New Roman"/>
          <w:i/>
          <w:sz w:val="24"/>
          <w:szCs w:val="24"/>
          <w:lang w:eastAsia="en-AU"/>
        </w:rPr>
        <w:t>Occupational Health and Safety (Maritime Industry)</w:t>
      </w:r>
      <w:r w:rsidR="0045788E" w:rsidRPr="0047517C">
        <w:rPr>
          <w:rFonts w:ascii="Times New Roman" w:eastAsia="Times New Roman" w:hAnsi="Times New Roman" w:cs="Times New Roman"/>
          <w:i/>
          <w:sz w:val="24"/>
          <w:szCs w:val="24"/>
          <w:lang w:eastAsia="en-AU"/>
        </w:rPr>
        <w:t xml:space="preserve"> (</w:t>
      </w:r>
      <w:r w:rsidRPr="007B24F3">
        <w:rPr>
          <w:rFonts w:ascii="Times New Roman" w:eastAsia="Times New Roman" w:hAnsi="Times New Roman" w:cs="Times New Roman"/>
          <w:i/>
          <w:sz w:val="24"/>
          <w:szCs w:val="24"/>
          <w:lang w:eastAsia="en-AU"/>
        </w:rPr>
        <w:t>Prescribed Ship or Unit — Intra-State Trade</w:t>
      </w:r>
      <w:r w:rsidR="0045788E" w:rsidRPr="007B24F3">
        <w:rPr>
          <w:rFonts w:ascii="Times New Roman" w:eastAsia="Times New Roman" w:hAnsi="Times New Roman" w:cs="Times New Roman"/>
          <w:i/>
          <w:sz w:val="24"/>
          <w:szCs w:val="24"/>
          <w:lang w:eastAsia="en-AU"/>
        </w:rPr>
        <w:t>) Declaration 201</w:t>
      </w:r>
      <w:r w:rsidRPr="0047517C">
        <w:rPr>
          <w:rFonts w:ascii="Times New Roman" w:eastAsia="Times New Roman" w:hAnsi="Times New Roman" w:cs="Times New Roman"/>
          <w:i/>
          <w:sz w:val="24"/>
          <w:szCs w:val="24"/>
          <w:lang w:eastAsia="en-AU"/>
        </w:rPr>
        <w:t>5</w:t>
      </w:r>
      <w:r w:rsidR="007B24F3" w:rsidRPr="0047517C">
        <w:rPr>
          <w:rFonts w:ascii="Times New Roman" w:eastAsia="Times New Roman" w:hAnsi="Times New Roman" w:cs="Times New Roman"/>
          <w:i/>
          <w:sz w:val="24"/>
          <w:szCs w:val="24"/>
          <w:lang w:eastAsia="en-AU"/>
        </w:rPr>
        <w:t xml:space="preserve"> (No. 2)</w:t>
      </w:r>
    </w:p>
    <w:p w14:paraId="5A3E4370" w14:textId="77777777" w:rsidR="0045788E" w:rsidRDefault="0045788E" w:rsidP="0045788E">
      <w:pPr>
        <w:pBdr>
          <w:bottom w:val="single" w:sz="6" w:space="1" w:color="auto"/>
        </w:pBdr>
        <w:rPr>
          <w:rFonts w:ascii="Times New Roman" w:eastAsia="Times New Roman" w:hAnsi="Times New Roman" w:cs="Times New Roman"/>
          <w:sz w:val="24"/>
          <w:szCs w:val="24"/>
          <w:lang w:eastAsia="en-AU"/>
        </w:rPr>
      </w:pPr>
    </w:p>
    <w:p w14:paraId="5A3E4371" w14:textId="77777777" w:rsidR="0045788E" w:rsidRDefault="0045788E" w:rsidP="0045788E">
      <w:pPr>
        <w:rPr>
          <w:rFonts w:ascii="Times New Roman" w:eastAsia="Times New Roman" w:hAnsi="Times New Roman" w:cs="Times New Roman"/>
          <w:sz w:val="24"/>
          <w:szCs w:val="24"/>
          <w:lang w:eastAsia="en-AU"/>
        </w:rPr>
      </w:pPr>
    </w:p>
    <w:p w14:paraId="5A3E4372" w14:textId="77777777" w:rsidR="0045788E" w:rsidRPr="00D027E1" w:rsidRDefault="00D027E1" w:rsidP="0045788E">
      <w:pP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Background</w:t>
      </w:r>
    </w:p>
    <w:p w14:paraId="5A3E4373" w14:textId="77777777" w:rsidR="00D027E1" w:rsidRDefault="00D027E1" w:rsidP="0045788E">
      <w:pPr>
        <w:rPr>
          <w:rFonts w:ascii="Times New Roman" w:eastAsia="Times New Roman" w:hAnsi="Times New Roman" w:cs="Times New Roman"/>
          <w:sz w:val="24"/>
          <w:szCs w:val="24"/>
          <w:lang w:eastAsia="en-AU"/>
        </w:rPr>
      </w:pPr>
    </w:p>
    <w:p w14:paraId="5A3E4374" w14:textId="77777777" w:rsidR="00666005" w:rsidRPr="00666005" w:rsidRDefault="00666005" w:rsidP="0045788E">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i/>
          <w:sz w:val="24"/>
          <w:szCs w:val="24"/>
          <w:lang w:eastAsia="en-AU"/>
        </w:rPr>
        <w:t>Occupational Health and Safety (Maritime Industry) Act 1993</w:t>
      </w:r>
      <w:r>
        <w:rPr>
          <w:rFonts w:ascii="Times New Roman" w:eastAsia="Times New Roman" w:hAnsi="Times New Roman" w:cs="Times New Roman"/>
          <w:sz w:val="24"/>
          <w:szCs w:val="24"/>
          <w:lang w:eastAsia="en-AU"/>
        </w:rPr>
        <w:t xml:space="preserve"> (OHS(MI) Act) regulates work health and safety for a defined part of the Australian maritime industry. The OHS(MI) Act operates in conjunction with the </w:t>
      </w:r>
      <w:r>
        <w:rPr>
          <w:rFonts w:ascii="Times New Roman" w:eastAsia="Times New Roman" w:hAnsi="Times New Roman" w:cs="Times New Roman"/>
          <w:i/>
          <w:sz w:val="24"/>
          <w:szCs w:val="24"/>
          <w:lang w:eastAsia="en-AU"/>
        </w:rPr>
        <w:t>Seafarers Rehabilitation and Compensation Act 1992</w:t>
      </w:r>
      <w:r>
        <w:rPr>
          <w:rFonts w:ascii="Times New Roman" w:eastAsia="Times New Roman" w:hAnsi="Times New Roman" w:cs="Times New Roman"/>
          <w:sz w:val="24"/>
          <w:szCs w:val="24"/>
          <w:lang w:eastAsia="en-AU"/>
        </w:rPr>
        <w:t xml:space="preserve"> (Seafarers Act) to provide a combined work health and safety and workers’ compensation scheme known as the ‘Seacare scheme’. </w:t>
      </w:r>
      <w:r w:rsidRPr="00666005">
        <w:rPr>
          <w:rFonts w:ascii="Times New Roman" w:eastAsia="Times New Roman" w:hAnsi="Times New Roman" w:cs="Times New Roman"/>
          <w:sz w:val="24"/>
          <w:szCs w:val="24"/>
          <w:lang w:eastAsia="en-AU"/>
        </w:rPr>
        <w:t>The OHS(MI) Act is co</w:t>
      </w:r>
      <w:r>
        <w:rPr>
          <w:rFonts w:ascii="Times New Roman" w:eastAsia="Times New Roman" w:hAnsi="Times New Roman" w:cs="Times New Roman"/>
          <w:sz w:val="24"/>
          <w:szCs w:val="24"/>
          <w:lang w:eastAsia="en-AU"/>
        </w:rPr>
        <w:t>-</w:t>
      </w:r>
      <w:r w:rsidRPr="00666005">
        <w:rPr>
          <w:rFonts w:ascii="Times New Roman" w:eastAsia="Times New Roman" w:hAnsi="Times New Roman" w:cs="Times New Roman"/>
          <w:sz w:val="24"/>
          <w:szCs w:val="24"/>
          <w:lang w:eastAsia="en-AU"/>
        </w:rPr>
        <w:t xml:space="preserve">regulated by the Seafarers Safety, Rehabilitation and Compensation Authority </w:t>
      </w:r>
      <w:r>
        <w:rPr>
          <w:rFonts w:ascii="Times New Roman" w:eastAsia="Times New Roman" w:hAnsi="Times New Roman" w:cs="Times New Roman"/>
          <w:sz w:val="24"/>
          <w:szCs w:val="24"/>
          <w:lang w:eastAsia="en-AU"/>
        </w:rPr>
        <w:t>(‘</w:t>
      </w:r>
      <w:r w:rsidRPr="00666005">
        <w:rPr>
          <w:rFonts w:ascii="Times New Roman" w:eastAsia="Times New Roman" w:hAnsi="Times New Roman" w:cs="Times New Roman"/>
          <w:sz w:val="24"/>
          <w:szCs w:val="24"/>
          <w:lang w:eastAsia="en-AU"/>
        </w:rPr>
        <w:t>Seacare Authority</w:t>
      </w:r>
      <w:r>
        <w:rPr>
          <w:rFonts w:ascii="Times New Roman" w:eastAsia="Times New Roman" w:hAnsi="Times New Roman" w:cs="Times New Roman"/>
          <w:sz w:val="24"/>
          <w:szCs w:val="24"/>
          <w:lang w:eastAsia="en-AU"/>
        </w:rPr>
        <w:t>’)</w:t>
      </w:r>
      <w:r w:rsidRPr="00666005">
        <w:rPr>
          <w:rFonts w:ascii="Times New Roman" w:eastAsia="Times New Roman" w:hAnsi="Times New Roman" w:cs="Times New Roman"/>
          <w:sz w:val="24"/>
          <w:szCs w:val="24"/>
          <w:lang w:eastAsia="en-AU"/>
        </w:rPr>
        <w:t xml:space="preserve"> and the Australian Maritime Safety Authority (AMSA), with AMSA being the inspectorate responsible for enforcing the OHS(MI) Act.</w:t>
      </w:r>
    </w:p>
    <w:p w14:paraId="5A3E4375" w14:textId="77777777" w:rsidR="0045788E" w:rsidRDefault="0045788E" w:rsidP="0045788E">
      <w:pPr>
        <w:rPr>
          <w:rFonts w:ascii="Times New Roman" w:eastAsia="Times New Roman" w:hAnsi="Times New Roman" w:cs="Times New Roman"/>
          <w:sz w:val="24"/>
          <w:szCs w:val="24"/>
          <w:lang w:eastAsia="en-AU"/>
        </w:rPr>
      </w:pPr>
    </w:p>
    <w:p w14:paraId="5A3E4376" w14:textId="77777777" w:rsidR="00D027E1" w:rsidRDefault="00D027E1" w:rsidP="0045788E">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coverage of the Seacare scheme has historically been understood by </w:t>
      </w:r>
      <w:r w:rsidR="00484154">
        <w:rPr>
          <w:rFonts w:ascii="Times New Roman" w:eastAsia="Times New Roman" w:hAnsi="Times New Roman" w:cs="Times New Roman"/>
          <w:sz w:val="24"/>
          <w:szCs w:val="24"/>
          <w:lang w:eastAsia="en-AU"/>
        </w:rPr>
        <w:t xml:space="preserve">maritime industry </w:t>
      </w:r>
      <w:r>
        <w:rPr>
          <w:rFonts w:ascii="Times New Roman" w:eastAsia="Times New Roman" w:hAnsi="Times New Roman" w:cs="Times New Roman"/>
          <w:sz w:val="24"/>
          <w:szCs w:val="24"/>
          <w:lang w:eastAsia="en-AU"/>
        </w:rPr>
        <w:t>regulators and participants to operate primarily by reference to</w:t>
      </w:r>
      <w:r w:rsidR="005C4A0E">
        <w:rPr>
          <w:rFonts w:ascii="Times New Roman" w:eastAsia="Times New Roman" w:hAnsi="Times New Roman" w:cs="Times New Roman"/>
          <w:sz w:val="24"/>
          <w:szCs w:val="24"/>
          <w:lang w:eastAsia="en-AU"/>
        </w:rPr>
        <w:t xml:space="preserve"> the</w:t>
      </w:r>
      <w:r>
        <w:rPr>
          <w:rFonts w:ascii="Times New Roman" w:eastAsia="Times New Roman" w:hAnsi="Times New Roman" w:cs="Times New Roman"/>
          <w:sz w:val="24"/>
          <w:szCs w:val="24"/>
          <w:lang w:eastAsia="en-AU"/>
        </w:rPr>
        <w:t xml:space="preserve"> form of trade or commerce being engaged in by a ship. Ships engaged in interstate or international trade </w:t>
      </w:r>
      <w:r w:rsidR="00BD00F2">
        <w:rPr>
          <w:rFonts w:ascii="Times New Roman" w:eastAsia="Times New Roman" w:hAnsi="Times New Roman" w:cs="Times New Roman"/>
          <w:sz w:val="24"/>
          <w:szCs w:val="24"/>
          <w:lang w:eastAsia="en-AU"/>
        </w:rPr>
        <w:t xml:space="preserve">or commerce </w:t>
      </w:r>
      <w:r>
        <w:rPr>
          <w:rFonts w:ascii="Times New Roman" w:eastAsia="Times New Roman" w:hAnsi="Times New Roman" w:cs="Times New Roman"/>
          <w:sz w:val="24"/>
          <w:szCs w:val="24"/>
          <w:lang w:eastAsia="en-AU"/>
        </w:rPr>
        <w:t>were understoo</w:t>
      </w:r>
      <w:r w:rsidR="002C68B4">
        <w:rPr>
          <w:rFonts w:ascii="Times New Roman" w:eastAsia="Times New Roman" w:hAnsi="Times New Roman" w:cs="Times New Roman"/>
          <w:sz w:val="24"/>
          <w:szCs w:val="24"/>
          <w:lang w:eastAsia="en-AU"/>
        </w:rPr>
        <w:t>d to be covered by the Seacare s</w:t>
      </w:r>
      <w:r>
        <w:rPr>
          <w:rFonts w:ascii="Times New Roman" w:eastAsia="Times New Roman" w:hAnsi="Times New Roman" w:cs="Times New Roman"/>
          <w:sz w:val="24"/>
          <w:szCs w:val="24"/>
          <w:lang w:eastAsia="en-AU"/>
        </w:rPr>
        <w:t xml:space="preserve">cheme, while ships engaged in intrastate trade </w:t>
      </w:r>
      <w:r w:rsidR="00BD00F2">
        <w:rPr>
          <w:rFonts w:ascii="Times New Roman" w:eastAsia="Times New Roman" w:hAnsi="Times New Roman" w:cs="Times New Roman"/>
          <w:sz w:val="24"/>
          <w:szCs w:val="24"/>
          <w:lang w:eastAsia="en-AU"/>
        </w:rPr>
        <w:t xml:space="preserve">or commerce </w:t>
      </w:r>
      <w:r>
        <w:rPr>
          <w:rFonts w:ascii="Times New Roman" w:eastAsia="Times New Roman" w:hAnsi="Times New Roman" w:cs="Times New Roman"/>
          <w:sz w:val="24"/>
          <w:szCs w:val="24"/>
          <w:lang w:eastAsia="en-AU"/>
        </w:rPr>
        <w:t>were understood to be covered by the legislation</w:t>
      </w:r>
      <w:r w:rsidR="00BD00F2">
        <w:rPr>
          <w:rFonts w:ascii="Times New Roman" w:eastAsia="Times New Roman" w:hAnsi="Times New Roman" w:cs="Times New Roman"/>
          <w:sz w:val="24"/>
          <w:szCs w:val="24"/>
          <w:lang w:eastAsia="en-AU"/>
        </w:rPr>
        <w:t xml:space="preserve"> of the state in which they operate</w:t>
      </w:r>
      <w:r w:rsidR="001E0259">
        <w:rPr>
          <w:rFonts w:ascii="Times New Roman" w:eastAsia="Times New Roman" w:hAnsi="Times New Roman" w:cs="Times New Roman"/>
          <w:sz w:val="24"/>
          <w:szCs w:val="24"/>
          <w:lang w:eastAsia="en-AU"/>
        </w:rPr>
        <w:t>.</w:t>
      </w:r>
    </w:p>
    <w:p w14:paraId="5A3E4377" w14:textId="77777777" w:rsidR="00D027E1" w:rsidRDefault="00D027E1" w:rsidP="0045788E">
      <w:pPr>
        <w:rPr>
          <w:rFonts w:ascii="Times New Roman" w:eastAsia="Times New Roman" w:hAnsi="Times New Roman" w:cs="Times New Roman"/>
          <w:sz w:val="24"/>
          <w:szCs w:val="24"/>
          <w:lang w:eastAsia="en-AU"/>
        </w:rPr>
      </w:pPr>
    </w:p>
    <w:p w14:paraId="5A3E4378" w14:textId="77777777" w:rsidR="00D027E1" w:rsidRDefault="00D027E1" w:rsidP="0045788E">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w:t>
      </w:r>
      <w:r w:rsidRPr="00D027E1">
        <w:rPr>
          <w:rFonts w:ascii="Times New Roman" w:eastAsia="Times New Roman" w:hAnsi="Times New Roman" w:cs="Times New Roman"/>
          <w:i/>
          <w:sz w:val="24"/>
          <w:szCs w:val="24"/>
          <w:lang w:eastAsia="en-AU"/>
        </w:rPr>
        <w:t xml:space="preserve">Samson Maritime Pty Ltd v </w:t>
      </w:r>
      <w:proofErr w:type="spellStart"/>
      <w:r w:rsidRPr="00D027E1">
        <w:rPr>
          <w:rFonts w:ascii="Times New Roman" w:eastAsia="Times New Roman" w:hAnsi="Times New Roman" w:cs="Times New Roman"/>
          <w:i/>
          <w:sz w:val="24"/>
          <w:szCs w:val="24"/>
          <w:lang w:eastAsia="en-AU"/>
        </w:rPr>
        <w:t>Aucote</w:t>
      </w:r>
      <w:proofErr w:type="spellEnd"/>
      <w:r w:rsidRPr="00D027E1">
        <w:rPr>
          <w:rFonts w:ascii="Times New Roman" w:eastAsia="Times New Roman" w:hAnsi="Times New Roman" w:cs="Times New Roman"/>
          <w:i/>
          <w:sz w:val="24"/>
          <w:szCs w:val="24"/>
          <w:lang w:eastAsia="en-AU"/>
        </w:rPr>
        <w:t xml:space="preserve"> </w:t>
      </w:r>
      <w:r w:rsidRPr="00D027E1">
        <w:rPr>
          <w:rFonts w:ascii="Times New Roman" w:eastAsia="Times New Roman" w:hAnsi="Times New Roman" w:cs="Times New Roman"/>
          <w:sz w:val="24"/>
          <w:szCs w:val="24"/>
          <w:lang w:eastAsia="en-AU"/>
        </w:rPr>
        <w:t xml:space="preserve">[2014] </w:t>
      </w:r>
      <w:proofErr w:type="spellStart"/>
      <w:r w:rsidRPr="00D027E1">
        <w:rPr>
          <w:rFonts w:ascii="Times New Roman" w:eastAsia="Times New Roman" w:hAnsi="Times New Roman" w:cs="Times New Roman"/>
          <w:sz w:val="24"/>
          <w:szCs w:val="24"/>
          <w:lang w:eastAsia="en-AU"/>
        </w:rPr>
        <w:t>FCAFC</w:t>
      </w:r>
      <w:proofErr w:type="spellEnd"/>
      <w:r w:rsidRPr="00D027E1">
        <w:rPr>
          <w:rFonts w:ascii="Times New Roman" w:eastAsia="Times New Roman" w:hAnsi="Times New Roman" w:cs="Times New Roman"/>
          <w:sz w:val="24"/>
          <w:szCs w:val="24"/>
          <w:lang w:eastAsia="en-AU"/>
        </w:rPr>
        <w:t xml:space="preserve"> 182</w:t>
      </w:r>
      <w:r w:rsidR="0047517C">
        <w:rPr>
          <w:rFonts w:ascii="Times New Roman" w:eastAsia="Times New Roman" w:hAnsi="Times New Roman" w:cs="Times New Roman"/>
          <w:sz w:val="24"/>
          <w:szCs w:val="24"/>
          <w:lang w:eastAsia="en-AU"/>
        </w:rPr>
        <w:t xml:space="preserve"> (the </w:t>
      </w:r>
      <w:proofErr w:type="spellStart"/>
      <w:r w:rsidR="0047517C">
        <w:rPr>
          <w:rFonts w:ascii="Times New Roman" w:eastAsia="Times New Roman" w:hAnsi="Times New Roman" w:cs="Times New Roman"/>
          <w:i/>
          <w:sz w:val="24"/>
          <w:szCs w:val="24"/>
          <w:lang w:eastAsia="en-AU"/>
        </w:rPr>
        <w:t>Aucote</w:t>
      </w:r>
      <w:proofErr w:type="spellEnd"/>
      <w:r w:rsidR="0047517C">
        <w:rPr>
          <w:rFonts w:ascii="Times New Roman" w:eastAsia="Times New Roman" w:hAnsi="Times New Roman" w:cs="Times New Roman"/>
          <w:sz w:val="24"/>
          <w:szCs w:val="24"/>
          <w:lang w:eastAsia="en-AU"/>
        </w:rPr>
        <w:t xml:space="preserve"> decision)</w:t>
      </w:r>
      <w:r w:rsidRPr="00D027E1">
        <w:rPr>
          <w:rFonts w:ascii="Times New Roman" w:eastAsia="Times New Roman" w:hAnsi="Times New Roman" w:cs="Times New Roman"/>
          <w:sz w:val="24"/>
          <w:szCs w:val="24"/>
          <w:lang w:eastAsia="en-AU"/>
        </w:rPr>
        <w:t>, the Full Court of the Federal Court held</w:t>
      </w:r>
      <w:r>
        <w:rPr>
          <w:rFonts w:ascii="Times New Roman" w:eastAsia="Times New Roman" w:hAnsi="Times New Roman" w:cs="Times New Roman"/>
          <w:sz w:val="24"/>
          <w:szCs w:val="24"/>
          <w:lang w:eastAsia="en-AU"/>
        </w:rPr>
        <w:t xml:space="preserve"> that the application provisions of the Seafarers Act operated to apply the Seafarers Act to seafarers employed by a trading, financial or foreign corporation on a prescribed ship</w:t>
      </w:r>
      <w:r w:rsidR="00400A89">
        <w:rPr>
          <w:rFonts w:ascii="Times New Roman" w:eastAsia="Times New Roman" w:hAnsi="Times New Roman" w:cs="Times New Roman"/>
          <w:sz w:val="24"/>
          <w:szCs w:val="24"/>
          <w:lang w:eastAsia="en-AU"/>
        </w:rPr>
        <w:t>, including ships engaged in intrastate trade</w:t>
      </w:r>
      <w:r>
        <w:rPr>
          <w:rFonts w:ascii="Times New Roman" w:eastAsia="Times New Roman" w:hAnsi="Times New Roman" w:cs="Times New Roman"/>
          <w:sz w:val="24"/>
          <w:szCs w:val="24"/>
          <w:lang w:eastAsia="en-AU"/>
        </w:rPr>
        <w:t xml:space="preserve">. This </w:t>
      </w:r>
      <w:r w:rsidR="00996CEA">
        <w:rPr>
          <w:rFonts w:ascii="Times New Roman" w:eastAsia="Times New Roman" w:hAnsi="Times New Roman" w:cs="Times New Roman"/>
          <w:sz w:val="24"/>
          <w:szCs w:val="24"/>
          <w:lang w:eastAsia="en-AU"/>
        </w:rPr>
        <w:t>is a substantially broader coverage than what has been</w:t>
      </w:r>
      <w:r w:rsidR="00400A89">
        <w:rPr>
          <w:rFonts w:ascii="Times New Roman" w:eastAsia="Times New Roman" w:hAnsi="Times New Roman" w:cs="Times New Roman"/>
          <w:sz w:val="24"/>
          <w:szCs w:val="24"/>
          <w:lang w:eastAsia="en-AU"/>
        </w:rPr>
        <w:t xml:space="preserve"> historical</w:t>
      </w:r>
      <w:r w:rsidR="00996CEA">
        <w:rPr>
          <w:rFonts w:ascii="Times New Roman" w:eastAsia="Times New Roman" w:hAnsi="Times New Roman" w:cs="Times New Roman"/>
          <w:sz w:val="24"/>
          <w:szCs w:val="24"/>
          <w:lang w:eastAsia="en-AU"/>
        </w:rPr>
        <w:t>ly understood</w:t>
      </w:r>
      <w:r>
        <w:rPr>
          <w:rFonts w:ascii="Times New Roman" w:eastAsia="Times New Roman" w:hAnsi="Times New Roman" w:cs="Times New Roman"/>
          <w:sz w:val="24"/>
          <w:szCs w:val="24"/>
          <w:lang w:eastAsia="en-AU"/>
        </w:rPr>
        <w:t xml:space="preserve"> </w:t>
      </w:r>
      <w:r w:rsidR="00996CEA">
        <w:rPr>
          <w:rFonts w:ascii="Times New Roman" w:eastAsia="Times New Roman" w:hAnsi="Times New Roman" w:cs="Times New Roman"/>
          <w:sz w:val="24"/>
          <w:szCs w:val="24"/>
          <w:lang w:eastAsia="en-AU"/>
        </w:rPr>
        <w:t>by</w:t>
      </w:r>
      <w:r>
        <w:rPr>
          <w:rFonts w:ascii="Times New Roman" w:eastAsia="Times New Roman" w:hAnsi="Times New Roman" w:cs="Times New Roman"/>
          <w:sz w:val="24"/>
          <w:szCs w:val="24"/>
          <w:lang w:eastAsia="en-AU"/>
        </w:rPr>
        <w:t xml:space="preserve"> </w:t>
      </w:r>
      <w:r w:rsidR="00BD00F2">
        <w:rPr>
          <w:rFonts w:ascii="Times New Roman" w:eastAsia="Times New Roman" w:hAnsi="Times New Roman" w:cs="Times New Roman"/>
          <w:sz w:val="24"/>
          <w:szCs w:val="24"/>
          <w:lang w:eastAsia="en-AU"/>
        </w:rPr>
        <w:t xml:space="preserve">maritime industry </w:t>
      </w:r>
      <w:r>
        <w:rPr>
          <w:rFonts w:ascii="Times New Roman" w:eastAsia="Times New Roman" w:hAnsi="Times New Roman" w:cs="Times New Roman"/>
          <w:sz w:val="24"/>
          <w:szCs w:val="24"/>
          <w:lang w:eastAsia="en-AU"/>
        </w:rPr>
        <w:t>regulators</w:t>
      </w:r>
      <w:r w:rsidR="00BD00F2">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and participants. Because of the similarity of the application provisions in the Seafarers Act and the OHS(MI) Act, the decision has</w:t>
      </w:r>
      <w:r w:rsidR="002C68B4">
        <w:rPr>
          <w:rFonts w:ascii="Times New Roman" w:eastAsia="Times New Roman" w:hAnsi="Times New Roman" w:cs="Times New Roman"/>
          <w:sz w:val="24"/>
          <w:szCs w:val="24"/>
          <w:lang w:eastAsia="en-AU"/>
        </w:rPr>
        <w:t xml:space="preserve"> similar</w:t>
      </w:r>
      <w:r>
        <w:rPr>
          <w:rFonts w:ascii="Times New Roman" w:eastAsia="Times New Roman" w:hAnsi="Times New Roman" w:cs="Times New Roman"/>
          <w:sz w:val="24"/>
          <w:szCs w:val="24"/>
          <w:lang w:eastAsia="en-AU"/>
        </w:rPr>
        <w:t xml:space="preserve"> potential implications for the coverage of the OHS(MI) Act.</w:t>
      </w:r>
    </w:p>
    <w:p w14:paraId="5A3E4379" w14:textId="77777777" w:rsidR="0047517C" w:rsidRDefault="0047517C" w:rsidP="0045788E">
      <w:pPr>
        <w:rPr>
          <w:rFonts w:ascii="Times New Roman" w:eastAsia="Times New Roman" w:hAnsi="Times New Roman" w:cs="Times New Roman"/>
          <w:sz w:val="24"/>
          <w:szCs w:val="24"/>
          <w:lang w:eastAsia="en-AU"/>
        </w:rPr>
      </w:pPr>
    </w:p>
    <w:p w14:paraId="5A3E437A" w14:textId="6FCD9806" w:rsidR="0047517C" w:rsidRPr="0047517C" w:rsidRDefault="0047517C" w:rsidP="0045788E">
      <w:pPr>
        <w:rPr>
          <w:rFonts w:ascii="Times New Roman" w:eastAsia="Times New Roman" w:hAnsi="Times New Roman" w:cs="Times New Roman"/>
          <w:sz w:val="24"/>
          <w:szCs w:val="24"/>
          <w:lang w:eastAsia="en-AU"/>
        </w:rPr>
      </w:pPr>
      <w:r w:rsidRPr="004F75B2">
        <w:rPr>
          <w:rFonts w:ascii="Times New Roman" w:eastAsia="Times New Roman" w:hAnsi="Times New Roman" w:cs="Times New Roman"/>
          <w:sz w:val="24"/>
          <w:szCs w:val="24"/>
          <w:lang w:eastAsia="en-AU"/>
        </w:rPr>
        <w:t xml:space="preserve">The Seafarers Rehabilitation and Compensation and Other Legislation Amendment </w:t>
      </w:r>
      <w:r w:rsidR="0026775C">
        <w:rPr>
          <w:rFonts w:ascii="Times New Roman" w:eastAsia="Times New Roman" w:hAnsi="Times New Roman" w:cs="Times New Roman"/>
          <w:sz w:val="24"/>
          <w:szCs w:val="24"/>
          <w:lang w:eastAsia="en-AU"/>
        </w:rPr>
        <w:t>Act</w:t>
      </w:r>
      <w:r w:rsidRPr="004F75B2">
        <w:rPr>
          <w:rFonts w:ascii="Times New Roman" w:eastAsia="Times New Roman" w:hAnsi="Times New Roman" w:cs="Times New Roman"/>
          <w:sz w:val="24"/>
          <w:szCs w:val="24"/>
          <w:lang w:eastAsia="en-AU"/>
        </w:rPr>
        <w:t xml:space="preserve"> 2015 (the </w:t>
      </w:r>
      <w:r w:rsidR="0026775C">
        <w:rPr>
          <w:rFonts w:ascii="Times New Roman" w:eastAsia="Times New Roman" w:hAnsi="Times New Roman" w:cs="Times New Roman"/>
          <w:sz w:val="24"/>
          <w:szCs w:val="24"/>
          <w:lang w:eastAsia="en-AU"/>
        </w:rPr>
        <w:t>Act</w:t>
      </w:r>
      <w:r w:rsidRPr="004F75B2">
        <w:rPr>
          <w:rFonts w:ascii="Times New Roman" w:eastAsia="Times New Roman" w:hAnsi="Times New Roman" w:cs="Times New Roman"/>
          <w:sz w:val="24"/>
          <w:szCs w:val="24"/>
          <w:lang w:eastAsia="en-AU"/>
        </w:rPr>
        <w:t>) address</w:t>
      </w:r>
      <w:r w:rsidR="0026775C">
        <w:rPr>
          <w:rFonts w:ascii="Times New Roman" w:eastAsia="Times New Roman" w:hAnsi="Times New Roman" w:cs="Times New Roman"/>
          <w:sz w:val="24"/>
          <w:szCs w:val="24"/>
          <w:lang w:eastAsia="en-AU"/>
        </w:rPr>
        <w:t>es</w:t>
      </w:r>
      <w:r w:rsidRPr="004F75B2">
        <w:rPr>
          <w:rFonts w:ascii="Times New Roman" w:eastAsia="Times New Roman" w:hAnsi="Times New Roman" w:cs="Times New Roman"/>
          <w:sz w:val="24"/>
          <w:szCs w:val="24"/>
          <w:lang w:eastAsia="en-AU"/>
        </w:rPr>
        <w:t xml:space="preserve"> the</w:t>
      </w:r>
      <w:r w:rsidR="0026775C">
        <w:rPr>
          <w:rFonts w:ascii="Times New Roman" w:eastAsia="Times New Roman" w:hAnsi="Times New Roman" w:cs="Times New Roman"/>
          <w:sz w:val="24"/>
          <w:szCs w:val="24"/>
          <w:lang w:eastAsia="en-AU"/>
        </w:rPr>
        <w:t xml:space="preserve"> historical</w:t>
      </w:r>
      <w:r w:rsidRPr="004F75B2">
        <w:rPr>
          <w:rFonts w:ascii="Times New Roman" w:eastAsia="Times New Roman" w:hAnsi="Times New Roman" w:cs="Times New Roman"/>
          <w:sz w:val="24"/>
          <w:szCs w:val="24"/>
          <w:lang w:eastAsia="en-AU"/>
        </w:rPr>
        <w:t xml:space="preserve"> consequences of the </w:t>
      </w:r>
      <w:proofErr w:type="spellStart"/>
      <w:r w:rsidRPr="004F75B2">
        <w:rPr>
          <w:rFonts w:ascii="Times New Roman" w:eastAsia="Times New Roman" w:hAnsi="Times New Roman" w:cs="Times New Roman"/>
          <w:i/>
          <w:sz w:val="24"/>
          <w:szCs w:val="24"/>
          <w:lang w:eastAsia="en-AU"/>
        </w:rPr>
        <w:t>Aucote</w:t>
      </w:r>
      <w:proofErr w:type="spellEnd"/>
      <w:r w:rsidRPr="004F75B2">
        <w:rPr>
          <w:rFonts w:ascii="Times New Roman" w:eastAsia="Times New Roman" w:hAnsi="Times New Roman" w:cs="Times New Roman"/>
          <w:sz w:val="24"/>
          <w:szCs w:val="24"/>
          <w:lang w:eastAsia="en-AU"/>
        </w:rPr>
        <w:t xml:space="preserve"> decision. </w:t>
      </w:r>
      <w:r w:rsidR="0026775C">
        <w:rPr>
          <w:rFonts w:ascii="Times New Roman" w:eastAsia="Times New Roman" w:hAnsi="Times New Roman" w:cs="Times New Roman"/>
          <w:sz w:val="24"/>
          <w:szCs w:val="24"/>
          <w:lang w:eastAsia="en-AU"/>
        </w:rPr>
        <w:t>T</w:t>
      </w:r>
      <w:r w:rsidRPr="004F75B2">
        <w:rPr>
          <w:rFonts w:ascii="Times New Roman" w:eastAsia="Times New Roman" w:hAnsi="Times New Roman" w:cs="Times New Roman"/>
          <w:sz w:val="24"/>
          <w:szCs w:val="24"/>
          <w:lang w:eastAsia="en-AU"/>
        </w:rPr>
        <w:t xml:space="preserve">he </w:t>
      </w:r>
      <w:r w:rsidR="0026775C">
        <w:rPr>
          <w:rFonts w:ascii="Times New Roman" w:eastAsia="Times New Roman" w:hAnsi="Times New Roman" w:cs="Times New Roman"/>
          <w:sz w:val="24"/>
          <w:szCs w:val="24"/>
          <w:lang w:eastAsia="en-AU"/>
        </w:rPr>
        <w:t>Act, which received the Royal Assent on 26 May 2015,</w:t>
      </w:r>
      <w:r w:rsidRPr="004F75B2">
        <w:rPr>
          <w:rFonts w:ascii="Times New Roman" w:eastAsia="Times New Roman" w:hAnsi="Times New Roman" w:cs="Times New Roman"/>
          <w:sz w:val="24"/>
          <w:szCs w:val="24"/>
          <w:lang w:eastAsia="en-AU"/>
        </w:rPr>
        <w:t xml:space="preserve"> clarif</w:t>
      </w:r>
      <w:r w:rsidR="0026775C">
        <w:rPr>
          <w:rFonts w:ascii="Times New Roman" w:eastAsia="Times New Roman" w:hAnsi="Times New Roman" w:cs="Times New Roman"/>
          <w:sz w:val="24"/>
          <w:szCs w:val="24"/>
          <w:lang w:eastAsia="en-AU"/>
        </w:rPr>
        <w:t>ied</w:t>
      </w:r>
      <w:r w:rsidRPr="004F75B2">
        <w:rPr>
          <w:rFonts w:ascii="Times New Roman" w:eastAsia="Times New Roman" w:hAnsi="Times New Roman" w:cs="Times New Roman"/>
          <w:sz w:val="24"/>
          <w:szCs w:val="24"/>
          <w:lang w:eastAsia="en-AU"/>
        </w:rPr>
        <w:t xml:space="preserve"> the retrospective application of the OHS(MI) Act</w:t>
      </w:r>
      <w:r w:rsidR="002C68B4" w:rsidRPr="004F75B2">
        <w:rPr>
          <w:rFonts w:ascii="Times New Roman" w:eastAsia="Times New Roman" w:hAnsi="Times New Roman" w:cs="Times New Roman"/>
          <w:sz w:val="24"/>
          <w:szCs w:val="24"/>
          <w:lang w:eastAsia="en-AU"/>
        </w:rPr>
        <w:t xml:space="preserve"> and the Seafarers Act</w:t>
      </w:r>
      <w:r w:rsidRPr="004F75B2">
        <w:rPr>
          <w:rFonts w:ascii="Times New Roman" w:eastAsia="Times New Roman" w:hAnsi="Times New Roman" w:cs="Times New Roman"/>
          <w:sz w:val="24"/>
          <w:szCs w:val="24"/>
          <w:lang w:eastAsia="en-AU"/>
        </w:rPr>
        <w:t xml:space="preserve"> by</w:t>
      </w:r>
      <w:r w:rsidR="002C68B4" w:rsidRPr="004F75B2">
        <w:rPr>
          <w:rFonts w:ascii="Times New Roman" w:eastAsia="Times New Roman" w:hAnsi="Times New Roman" w:cs="Times New Roman"/>
          <w:sz w:val="24"/>
          <w:szCs w:val="24"/>
          <w:lang w:eastAsia="en-AU"/>
        </w:rPr>
        <w:t xml:space="preserve"> retrospectively</w:t>
      </w:r>
      <w:r w:rsidRPr="004F75B2">
        <w:rPr>
          <w:rFonts w:ascii="Times New Roman" w:eastAsia="Times New Roman" w:hAnsi="Times New Roman" w:cs="Times New Roman"/>
          <w:sz w:val="24"/>
          <w:szCs w:val="24"/>
          <w:lang w:eastAsia="en-AU"/>
        </w:rPr>
        <w:t xml:space="preserve"> repealing the application provisions which expand</w:t>
      </w:r>
      <w:r w:rsidR="0026775C">
        <w:rPr>
          <w:rFonts w:ascii="Times New Roman" w:eastAsia="Times New Roman" w:hAnsi="Times New Roman" w:cs="Times New Roman"/>
          <w:sz w:val="24"/>
          <w:szCs w:val="24"/>
          <w:lang w:eastAsia="en-AU"/>
        </w:rPr>
        <w:t>ed</w:t>
      </w:r>
      <w:r w:rsidRPr="004F75B2">
        <w:rPr>
          <w:rFonts w:ascii="Times New Roman" w:eastAsia="Times New Roman" w:hAnsi="Times New Roman" w:cs="Times New Roman"/>
          <w:sz w:val="24"/>
          <w:szCs w:val="24"/>
          <w:lang w:eastAsia="en-AU"/>
        </w:rPr>
        <w:t xml:space="preserve"> the coverage of the</w:t>
      </w:r>
      <w:r w:rsidR="002C68B4" w:rsidRPr="004F75B2">
        <w:rPr>
          <w:rFonts w:ascii="Times New Roman" w:eastAsia="Times New Roman" w:hAnsi="Times New Roman" w:cs="Times New Roman"/>
          <w:sz w:val="24"/>
          <w:szCs w:val="24"/>
          <w:lang w:eastAsia="en-AU"/>
        </w:rPr>
        <w:t>se</w:t>
      </w:r>
      <w:r w:rsidRPr="004F75B2">
        <w:rPr>
          <w:rFonts w:ascii="Times New Roman" w:eastAsia="Times New Roman" w:hAnsi="Times New Roman" w:cs="Times New Roman"/>
          <w:sz w:val="24"/>
          <w:szCs w:val="24"/>
          <w:lang w:eastAsia="en-AU"/>
        </w:rPr>
        <w:t xml:space="preserve"> </w:t>
      </w:r>
      <w:r w:rsidR="002C68B4" w:rsidRPr="004F75B2">
        <w:rPr>
          <w:rFonts w:ascii="Times New Roman" w:eastAsia="Times New Roman" w:hAnsi="Times New Roman" w:cs="Times New Roman"/>
          <w:sz w:val="24"/>
          <w:szCs w:val="24"/>
          <w:lang w:eastAsia="en-AU"/>
        </w:rPr>
        <w:t>A</w:t>
      </w:r>
      <w:r w:rsidRPr="004F75B2">
        <w:rPr>
          <w:rFonts w:ascii="Times New Roman" w:eastAsia="Times New Roman" w:hAnsi="Times New Roman" w:cs="Times New Roman"/>
          <w:sz w:val="24"/>
          <w:szCs w:val="24"/>
          <w:lang w:eastAsia="en-AU"/>
        </w:rPr>
        <w:t>cts based on an employee’s employment by a trading, financial or foreign corporation</w:t>
      </w:r>
      <w:r w:rsidR="002C68B4" w:rsidRPr="004F75B2">
        <w:rPr>
          <w:rFonts w:ascii="Times New Roman" w:eastAsia="Times New Roman" w:hAnsi="Times New Roman" w:cs="Times New Roman"/>
          <w:sz w:val="24"/>
          <w:szCs w:val="24"/>
          <w:lang w:eastAsia="en-AU"/>
        </w:rPr>
        <w:t xml:space="preserve"> from the date of each Act’s commencement</w:t>
      </w:r>
      <w:r w:rsidRPr="004F75B2">
        <w:rPr>
          <w:rFonts w:ascii="Times New Roman" w:eastAsia="Times New Roman" w:hAnsi="Times New Roman" w:cs="Times New Roman"/>
          <w:sz w:val="24"/>
          <w:szCs w:val="24"/>
          <w:lang w:eastAsia="en-AU"/>
        </w:rPr>
        <w:t xml:space="preserve">. The </w:t>
      </w:r>
      <w:r w:rsidR="0026775C">
        <w:rPr>
          <w:rFonts w:ascii="Times New Roman" w:eastAsia="Times New Roman" w:hAnsi="Times New Roman" w:cs="Times New Roman"/>
          <w:sz w:val="24"/>
          <w:szCs w:val="24"/>
          <w:lang w:eastAsia="en-AU"/>
        </w:rPr>
        <w:t>Act</w:t>
      </w:r>
      <w:r w:rsidRPr="004F75B2">
        <w:rPr>
          <w:rFonts w:ascii="Times New Roman" w:eastAsia="Times New Roman" w:hAnsi="Times New Roman" w:cs="Times New Roman"/>
          <w:sz w:val="24"/>
          <w:szCs w:val="24"/>
          <w:lang w:eastAsia="en-AU"/>
        </w:rPr>
        <w:t xml:space="preserve"> then reinsert</w:t>
      </w:r>
      <w:r w:rsidR="0026775C">
        <w:rPr>
          <w:rFonts w:ascii="Times New Roman" w:eastAsia="Times New Roman" w:hAnsi="Times New Roman" w:cs="Times New Roman"/>
          <w:sz w:val="24"/>
          <w:szCs w:val="24"/>
          <w:lang w:eastAsia="en-AU"/>
        </w:rPr>
        <w:t>ed</w:t>
      </w:r>
      <w:r w:rsidRPr="004F75B2">
        <w:rPr>
          <w:rFonts w:ascii="Times New Roman" w:eastAsia="Times New Roman" w:hAnsi="Times New Roman" w:cs="Times New Roman"/>
          <w:sz w:val="24"/>
          <w:szCs w:val="24"/>
          <w:lang w:eastAsia="en-AU"/>
        </w:rPr>
        <w:t xml:space="preserve"> these provision</w:t>
      </w:r>
      <w:r w:rsidR="0026775C">
        <w:rPr>
          <w:rFonts w:ascii="Times New Roman" w:eastAsia="Times New Roman" w:hAnsi="Times New Roman" w:cs="Times New Roman"/>
          <w:sz w:val="24"/>
          <w:szCs w:val="24"/>
          <w:lang w:eastAsia="en-AU"/>
        </w:rPr>
        <w:t>s from the day after it received</w:t>
      </w:r>
      <w:r w:rsidRPr="004F75B2">
        <w:rPr>
          <w:rFonts w:ascii="Times New Roman" w:eastAsia="Times New Roman" w:hAnsi="Times New Roman" w:cs="Times New Roman"/>
          <w:sz w:val="24"/>
          <w:szCs w:val="24"/>
          <w:lang w:eastAsia="en-AU"/>
        </w:rPr>
        <w:t xml:space="preserve"> the Royal Assent. As such, the </w:t>
      </w:r>
      <w:r w:rsidR="0026775C">
        <w:rPr>
          <w:rFonts w:ascii="Times New Roman" w:eastAsia="Times New Roman" w:hAnsi="Times New Roman" w:cs="Times New Roman"/>
          <w:sz w:val="24"/>
          <w:szCs w:val="24"/>
          <w:lang w:eastAsia="en-AU"/>
        </w:rPr>
        <w:t>Act</w:t>
      </w:r>
      <w:r w:rsidRPr="004F75B2">
        <w:rPr>
          <w:rFonts w:ascii="Times New Roman" w:eastAsia="Times New Roman" w:hAnsi="Times New Roman" w:cs="Times New Roman"/>
          <w:sz w:val="24"/>
          <w:szCs w:val="24"/>
          <w:lang w:eastAsia="en-AU"/>
        </w:rPr>
        <w:t xml:space="preserve"> only </w:t>
      </w:r>
      <w:r w:rsidR="001E0259" w:rsidRPr="004F75B2">
        <w:rPr>
          <w:rFonts w:ascii="Times New Roman" w:eastAsia="Times New Roman" w:hAnsi="Times New Roman" w:cs="Times New Roman"/>
          <w:sz w:val="24"/>
          <w:szCs w:val="24"/>
          <w:lang w:eastAsia="en-AU"/>
        </w:rPr>
        <w:t>address</w:t>
      </w:r>
      <w:r w:rsidR="0026775C">
        <w:rPr>
          <w:rFonts w:ascii="Times New Roman" w:eastAsia="Times New Roman" w:hAnsi="Times New Roman" w:cs="Times New Roman"/>
          <w:sz w:val="24"/>
          <w:szCs w:val="24"/>
          <w:lang w:eastAsia="en-AU"/>
        </w:rPr>
        <w:t>es</w:t>
      </w:r>
      <w:r w:rsidR="001E0259" w:rsidRPr="004F75B2">
        <w:rPr>
          <w:rFonts w:ascii="Times New Roman" w:eastAsia="Times New Roman" w:hAnsi="Times New Roman" w:cs="Times New Roman"/>
          <w:sz w:val="24"/>
          <w:szCs w:val="24"/>
          <w:lang w:eastAsia="en-AU"/>
        </w:rPr>
        <w:t xml:space="preserve"> the historical application of the Seacare scheme.</w:t>
      </w:r>
      <w:r w:rsidR="00AD300A" w:rsidRPr="004F75B2">
        <w:rPr>
          <w:rFonts w:ascii="Times New Roman" w:eastAsia="Times New Roman" w:hAnsi="Times New Roman" w:cs="Times New Roman"/>
          <w:sz w:val="24"/>
          <w:szCs w:val="24"/>
          <w:lang w:eastAsia="en-AU"/>
        </w:rPr>
        <w:t xml:space="preserve"> This d</w:t>
      </w:r>
      <w:r w:rsidR="00166745" w:rsidRPr="004F75B2">
        <w:rPr>
          <w:rFonts w:ascii="Times New Roman" w:eastAsia="Times New Roman" w:hAnsi="Times New Roman" w:cs="Times New Roman"/>
          <w:sz w:val="24"/>
          <w:szCs w:val="24"/>
          <w:lang w:eastAsia="en-AU"/>
        </w:rPr>
        <w:t xml:space="preserve">eclaration works in concert with the </w:t>
      </w:r>
      <w:r w:rsidR="0026775C">
        <w:rPr>
          <w:rFonts w:ascii="Times New Roman" w:eastAsia="Times New Roman" w:hAnsi="Times New Roman" w:cs="Times New Roman"/>
          <w:sz w:val="24"/>
          <w:szCs w:val="24"/>
          <w:lang w:eastAsia="en-AU"/>
        </w:rPr>
        <w:t>Act</w:t>
      </w:r>
      <w:r w:rsidR="00166745" w:rsidRPr="004F75B2">
        <w:rPr>
          <w:rFonts w:ascii="Times New Roman" w:eastAsia="Times New Roman" w:hAnsi="Times New Roman" w:cs="Times New Roman"/>
          <w:sz w:val="24"/>
          <w:szCs w:val="24"/>
          <w:lang w:eastAsia="en-AU"/>
        </w:rPr>
        <w:t xml:space="preserve"> by addressing the prospective coverage of the OHS(MI) Act.</w:t>
      </w:r>
      <w:r w:rsidR="0026775C">
        <w:rPr>
          <w:rFonts w:ascii="Times New Roman" w:eastAsia="Times New Roman" w:hAnsi="Times New Roman" w:cs="Times New Roman"/>
          <w:sz w:val="24"/>
          <w:szCs w:val="24"/>
          <w:lang w:eastAsia="en-AU"/>
        </w:rPr>
        <w:t xml:space="preserve"> Two exemptions issued by the Seacare Authority and the </w:t>
      </w:r>
      <w:r w:rsidR="0026775C">
        <w:rPr>
          <w:rFonts w:ascii="Times New Roman" w:eastAsia="Times New Roman" w:hAnsi="Times New Roman" w:cs="Times New Roman"/>
          <w:i/>
          <w:sz w:val="24"/>
          <w:szCs w:val="24"/>
          <w:lang w:eastAsia="en-AU"/>
        </w:rPr>
        <w:t>Seafarers Rehabilitation and Compensation (Prescribed Ship — Intra-State Trade) Declaration 2015 (No. 2)</w:t>
      </w:r>
      <w:r w:rsidR="0026775C">
        <w:rPr>
          <w:rFonts w:ascii="Times New Roman" w:eastAsia="Times New Roman" w:hAnsi="Times New Roman" w:cs="Times New Roman"/>
          <w:sz w:val="24"/>
          <w:szCs w:val="24"/>
          <w:lang w:eastAsia="en-AU"/>
        </w:rPr>
        <w:t xml:space="preserve"> will address the prospective coverage of the Seafarers Act</w:t>
      </w:r>
    </w:p>
    <w:p w14:paraId="5A3E437B" w14:textId="77777777" w:rsidR="00D027E1" w:rsidRDefault="00D027E1" w:rsidP="0045788E">
      <w:pPr>
        <w:rPr>
          <w:rFonts w:ascii="Times New Roman" w:eastAsia="Times New Roman" w:hAnsi="Times New Roman" w:cs="Times New Roman"/>
          <w:sz w:val="24"/>
          <w:szCs w:val="24"/>
          <w:lang w:eastAsia="en-AU"/>
        </w:rPr>
      </w:pPr>
    </w:p>
    <w:p w14:paraId="5A3E437C" w14:textId="77777777" w:rsidR="00D027E1" w:rsidRPr="00D027E1" w:rsidRDefault="00D027E1" w:rsidP="0045788E">
      <w:pP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Legislative Provisions</w:t>
      </w:r>
    </w:p>
    <w:p w14:paraId="5A3E437D" w14:textId="77777777" w:rsidR="00D027E1" w:rsidRDefault="00D027E1" w:rsidP="0045788E">
      <w:pPr>
        <w:rPr>
          <w:rFonts w:ascii="Times New Roman" w:eastAsia="Times New Roman" w:hAnsi="Times New Roman" w:cs="Times New Roman"/>
          <w:sz w:val="24"/>
          <w:szCs w:val="24"/>
          <w:lang w:eastAsia="en-AU"/>
        </w:rPr>
      </w:pPr>
    </w:p>
    <w:p w14:paraId="5A3E437E" w14:textId="08B187F1" w:rsidR="00D027E1" w:rsidRDefault="00996CEA" w:rsidP="0045788E">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addition to the application provisions discussed above, t</w:t>
      </w:r>
      <w:r w:rsidR="00D027E1">
        <w:rPr>
          <w:rFonts w:ascii="Times New Roman" w:eastAsia="Times New Roman" w:hAnsi="Times New Roman" w:cs="Times New Roman"/>
          <w:sz w:val="24"/>
          <w:szCs w:val="24"/>
          <w:lang w:eastAsia="en-AU"/>
        </w:rPr>
        <w:t xml:space="preserve">he OHS(MI) Act </w:t>
      </w:r>
      <w:r>
        <w:rPr>
          <w:rFonts w:ascii="Times New Roman" w:eastAsia="Times New Roman" w:hAnsi="Times New Roman" w:cs="Times New Roman"/>
          <w:sz w:val="24"/>
          <w:szCs w:val="24"/>
          <w:lang w:eastAsia="en-AU"/>
        </w:rPr>
        <w:t>generally only applies to a ship or vessel if it is a ‘prescribed ship’ or a</w:t>
      </w:r>
      <w:r w:rsidR="00807516">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prescribed unit’, which are defined terms in section 4.</w:t>
      </w:r>
      <w:r w:rsidR="000204F9">
        <w:rPr>
          <w:rFonts w:ascii="Times New Roman" w:eastAsia="Times New Roman" w:hAnsi="Times New Roman" w:cs="Times New Roman"/>
          <w:sz w:val="24"/>
          <w:szCs w:val="24"/>
          <w:lang w:eastAsia="en-AU"/>
        </w:rPr>
        <w:t xml:space="preserve"> Under s</w:t>
      </w:r>
      <w:r w:rsidR="005C4A0E">
        <w:rPr>
          <w:rFonts w:ascii="Times New Roman" w:eastAsia="Times New Roman" w:hAnsi="Times New Roman" w:cs="Times New Roman"/>
          <w:sz w:val="24"/>
          <w:szCs w:val="24"/>
          <w:lang w:eastAsia="en-AU"/>
        </w:rPr>
        <w:t>ubs</w:t>
      </w:r>
      <w:r w:rsidR="000204F9">
        <w:rPr>
          <w:rFonts w:ascii="Times New Roman" w:eastAsia="Times New Roman" w:hAnsi="Times New Roman" w:cs="Times New Roman"/>
          <w:sz w:val="24"/>
          <w:szCs w:val="24"/>
          <w:lang w:eastAsia="en-AU"/>
        </w:rPr>
        <w:t>ection</w:t>
      </w:r>
      <w:r w:rsidR="00D027E1">
        <w:rPr>
          <w:rFonts w:ascii="Times New Roman" w:eastAsia="Times New Roman" w:hAnsi="Times New Roman" w:cs="Times New Roman"/>
          <w:sz w:val="24"/>
          <w:szCs w:val="24"/>
          <w:lang w:eastAsia="en-AU"/>
        </w:rPr>
        <w:t xml:space="preserve"> </w:t>
      </w:r>
      <w:proofErr w:type="spellStart"/>
      <w:r w:rsidR="00D027E1">
        <w:rPr>
          <w:rFonts w:ascii="Times New Roman" w:eastAsia="Times New Roman" w:hAnsi="Times New Roman" w:cs="Times New Roman"/>
          <w:sz w:val="24"/>
          <w:szCs w:val="24"/>
          <w:lang w:eastAsia="en-AU"/>
        </w:rPr>
        <w:t>4A</w:t>
      </w:r>
      <w:proofErr w:type="spellEnd"/>
      <w:r w:rsidR="0026775C">
        <w:rPr>
          <w:rFonts w:ascii="Times New Roman" w:eastAsia="Times New Roman" w:hAnsi="Times New Roman" w:cs="Times New Roman"/>
          <w:sz w:val="24"/>
          <w:szCs w:val="24"/>
          <w:lang w:eastAsia="en-AU"/>
        </w:rPr>
        <w:t>(2)</w:t>
      </w:r>
      <w:r w:rsidR="00D027E1">
        <w:rPr>
          <w:rFonts w:ascii="Times New Roman" w:eastAsia="Times New Roman" w:hAnsi="Times New Roman" w:cs="Times New Roman"/>
          <w:sz w:val="24"/>
          <w:szCs w:val="24"/>
          <w:lang w:eastAsia="en-AU"/>
        </w:rPr>
        <w:t xml:space="preserve"> </w:t>
      </w:r>
      <w:r w:rsidR="000204F9">
        <w:rPr>
          <w:rFonts w:ascii="Times New Roman" w:eastAsia="Times New Roman" w:hAnsi="Times New Roman" w:cs="Times New Roman"/>
          <w:sz w:val="24"/>
          <w:szCs w:val="24"/>
          <w:lang w:eastAsia="en-AU"/>
        </w:rPr>
        <w:t>the Minister may declare a ship to</w:t>
      </w:r>
      <w:r w:rsidR="00807516">
        <w:rPr>
          <w:rFonts w:ascii="Times New Roman" w:eastAsia="Times New Roman" w:hAnsi="Times New Roman" w:cs="Times New Roman"/>
          <w:sz w:val="24"/>
          <w:szCs w:val="24"/>
          <w:lang w:eastAsia="en-AU"/>
        </w:rPr>
        <w:t xml:space="preserve"> be or to</w:t>
      </w:r>
      <w:r w:rsidR="000204F9">
        <w:rPr>
          <w:rFonts w:ascii="Times New Roman" w:eastAsia="Times New Roman" w:hAnsi="Times New Roman" w:cs="Times New Roman"/>
          <w:sz w:val="24"/>
          <w:szCs w:val="24"/>
          <w:lang w:eastAsia="en-AU"/>
        </w:rPr>
        <w:t xml:space="preserve"> not be a </w:t>
      </w:r>
      <w:r w:rsidR="000204F9">
        <w:rPr>
          <w:rFonts w:ascii="Times New Roman" w:eastAsia="Times New Roman" w:hAnsi="Times New Roman" w:cs="Times New Roman"/>
          <w:sz w:val="24"/>
          <w:szCs w:val="24"/>
          <w:lang w:eastAsia="en-AU"/>
        </w:rPr>
        <w:lastRenderedPageBreak/>
        <w:t>prescribed ship and under s</w:t>
      </w:r>
      <w:r w:rsidR="005C4A0E">
        <w:rPr>
          <w:rFonts w:ascii="Times New Roman" w:eastAsia="Times New Roman" w:hAnsi="Times New Roman" w:cs="Times New Roman"/>
          <w:sz w:val="24"/>
          <w:szCs w:val="24"/>
          <w:lang w:eastAsia="en-AU"/>
        </w:rPr>
        <w:t>ubs</w:t>
      </w:r>
      <w:r w:rsidR="000204F9">
        <w:rPr>
          <w:rFonts w:ascii="Times New Roman" w:eastAsia="Times New Roman" w:hAnsi="Times New Roman" w:cs="Times New Roman"/>
          <w:sz w:val="24"/>
          <w:szCs w:val="24"/>
          <w:lang w:eastAsia="en-AU"/>
        </w:rPr>
        <w:t xml:space="preserve">ection </w:t>
      </w:r>
      <w:proofErr w:type="spellStart"/>
      <w:r w:rsidR="000204F9">
        <w:rPr>
          <w:rFonts w:ascii="Times New Roman" w:eastAsia="Times New Roman" w:hAnsi="Times New Roman" w:cs="Times New Roman"/>
          <w:sz w:val="24"/>
          <w:szCs w:val="24"/>
          <w:lang w:eastAsia="en-AU"/>
        </w:rPr>
        <w:t>4B</w:t>
      </w:r>
      <w:proofErr w:type="spellEnd"/>
      <w:r w:rsidR="0026775C">
        <w:rPr>
          <w:rFonts w:ascii="Times New Roman" w:eastAsia="Times New Roman" w:hAnsi="Times New Roman" w:cs="Times New Roman"/>
          <w:sz w:val="24"/>
          <w:szCs w:val="24"/>
          <w:lang w:eastAsia="en-AU"/>
        </w:rPr>
        <w:t>(2)</w:t>
      </w:r>
      <w:r w:rsidR="000204F9">
        <w:rPr>
          <w:rFonts w:ascii="Times New Roman" w:eastAsia="Times New Roman" w:hAnsi="Times New Roman" w:cs="Times New Roman"/>
          <w:sz w:val="24"/>
          <w:szCs w:val="24"/>
          <w:lang w:eastAsia="en-AU"/>
        </w:rPr>
        <w:t xml:space="preserve"> the Minister may declare a vessel</w:t>
      </w:r>
      <w:r w:rsidR="00807516">
        <w:rPr>
          <w:rFonts w:ascii="Times New Roman" w:eastAsia="Times New Roman" w:hAnsi="Times New Roman" w:cs="Times New Roman"/>
          <w:sz w:val="24"/>
          <w:szCs w:val="24"/>
          <w:lang w:eastAsia="en-AU"/>
        </w:rPr>
        <w:t xml:space="preserve"> or structure</w:t>
      </w:r>
      <w:r w:rsidR="000204F9">
        <w:rPr>
          <w:rFonts w:ascii="Times New Roman" w:eastAsia="Times New Roman" w:hAnsi="Times New Roman" w:cs="Times New Roman"/>
          <w:sz w:val="24"/>
          <w:szCs w:val="24"/>
          <w:lang w:eastAsia="en-AU"/>
        </w:rPr>
        <w:t xml:space="preserve"> to</w:t>
      </w:r>
      <w:r w:rsidR="00807516">
        <w:rPr>
          <w:rFonts w:ascii="Times New Roman" w:eastAsia="Times New Roman" w:hAnsi="Times New Roman" w:cs="Times New Roman"/>
          <w:sz w:val="24"/>
          <w:szCs w:val="24"/>
          <w:lang w:eastAsia="en-AU"/>
        </w:rPr>
        <w:t xml:space="preserve"> be or to not be</w:t>
      </w:r>
      <w:r w:rsidR="000204F9">
        <w:rPr>
          <w:rFonts w:ascii="Times New Roman" w:eastAsia="Times New Roman" w:hAnsi="Times New Roman" w:cs="Times New Roman"/>
          <w:sz w:val="24"/>
          <w:szCs w:val="24"/>
          <w:lang w:eastAsia="en-AU"/>
        </w:rPr>
        <w:t xml:space="preserve"> a prescribed unit.</w:t>
      </w:r>
    </w:p>
    <w:p w14:paraId="5A3E437F" w14:textId="77777777" w:rsidR="0047517C" w:rsidRDefault="0047517C" w:rsidP="0045788E">
      <w:pPr>
        <w:rPr>
          <w:rFonts w:ascii="Times New Roman" w:eastAsia="Times New Roman" w:hAnsi="Times New Roman" w:cs="Times New Roman"/>
          <w:sz w:val="24"/>
          <w:szCs w:val="24"/>
          <w:lang w:eastAsia="en-AU"/>
        </w:rPr>
      </w:pPr>
    </w:p>
    <w:p w14:paraId="5A3E4380" w14:textId="77777777" w:rsidR="000204F9" w:rsidRDefault="000204F9" w:rsidP="0045788E">
      <w:pPr>
        <w:rPr>
          <w:rFonts w:ascii="Times New Roman" w:eastAsia="Times New Roman" w:hAnsi="Times New Roman" w:cs="Times New Roman"/>
          <w:sz w:val="24"/>
          <w:szCs w:val="24"/>
          <w:lang w:eastAsia="en-AU"/>
        </w:rPr>
      </w:pPr>
    </w:p>
    <w:p w14:paraId="5A3E4381" w14:textId="77777777" w:rsidR="000204F9" w:rsidRDefault="000204F9" w:rsidP="00A9620C">
      <w:pPr>
        <w:keepNext/>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Effect of Declaration</w:t>
      </w:r>
    </w:p>
    <w:p w14:paraId="5A3E4382" w14:textId="77777777" w:rsidR="000204F9" w:rsidRDefault="000204F9" w:rsidP="0045788E">
      <w:pPr>
        <w:rPr>
          <w:rFonts w:ascii="Times New Roman" w:eastAsia="Times New Roman" w:hAnsi="Times New Roman" w:cs="Times New Roman"/>
          <w:b/>
          <w:sz w:val="24"/>
          <w:szCs w:val="24"/>
          <w:lang w:eastAsia="en-AU"/>
        </w:rPr>
      </w:pPr>
    </w:p>
    <w:p w14:paraId="5A3E4383" w14:textId="77777777" w:rsidR="000204F9" w:rsidRPr="004F75B2" w:rsidRDefault="000204F9" w:rsidP="000204F9">
      <w:pPr>
        <w:rPr>
          <w:rFonts w:ascii="Times New Roman" w:eastAsia="Times New Roman" w:hAnsi="Times New Roman" w:cs="Times New Roman"/>
          <w:sz w:val="24"/>
          <w:szCs w:val="24"/>
          <w:lang w:eastAsia="en-AU"/>
        </w:rPr>
      </w:pPr>
      <w:r w:rsidRPr="004F75B2">
        <w:rPr>
          <w:rFonts w:ascii="Times New Roman" w:eastAsia="Times New Roman" w:hAnsi="Times New Roman" w:cs="Times New Roman"/>
          <w:sz w:val="24"/>
          <w:szCs w:val="24"/>
          <w:lang w:eastAsia="en-AU"/>
        </w:rPr>
        <w:t xml:space="preserve">The </w:t>
      </w:r>
      <w:r w:rsidRPr="004F75B2">
        <w:rPr>
          <w:rFonts w:ascii="Times New Roman" w:eastAsia="Times New Roman" w:hAnsi="Times New Roman" w:cs="Times New Roman"/>
          <w:i/>
          <w:sz w:val="24"/>
          <w:szCs w:val="24"/>
          <w:lang w:eastAsia="en-AU"/>
        </w:rPr>
        <w:t xml:space="preserve">Occupational Health and Safety (Maritime Industry) (Prescribed Ship or Unit — Intra-State Trade) Declaration 2015 </w:t>
      </w:r>
      <w:r w:rsidR="00F70F1C" w:rsidRPr="004F75B2">
        <w:rPr>
          <w:rFonts w:ascii="Times New Roman" w:eastAsia="Times New Roman" w:hAnsi="Times New Roman" w:cs="Times New Roman"/>
          <w:i/>
          <w:sz w:val="24"/>
          <w:szCs w:val="24"/>
          <w:lang w:eastAsia="en-AU"/>
        </w:rPr>
        <w:t>(No. 2)</w:t>
      </w:r>
      <w:r w:rsidR="00F70F1C" w:rsidRPr="004F75B2">
        <w:rPr>
          <w:rFonts w:ascii="Times New Roman" w:eastAsia="Times New Roman" w:hAnsi="Times New Roman" w:cs="Times New Roman"/>
          <w:sz w:val="24"/>
          <w:szCs w:val="24"/>
          <w:lang w:eastAsia="en-AU"/>
        </w:rPr>
        <w:t xml:space="preserve"> </w:t>
      </w:r>
      <w:r w:rsidRPr="004F75B2">
        <w:rPr>
          <w:rFonts w:ascii="Times New Roman" w:eastAsia="Times New Roman" w:hAnsi="Times New Roman" w:cs="Times New Roman"/>
          <w:sz w:val="24"/>
          <w:szCs w:val="24"/>
          <w:lang w:eastAsia="en-AU"/>
        </w:rPr>
        <w:t>(the Declaration) declares that a ship or vessel which is only engaged in intrastate trade is not a prescribed ship or a prescribed unit for the purposes of the OHS(MI) Act.</w:t>
      </w:r>
    </w:p>
    <w:p w14:paraId="5A3E4384" w14:textId="77777777" w:rsidR="000204F9" w:rsidRPr="004F75B2" w:rsidRDefault="000204F9" w:rsidP="000204F9">
      <w:pPr>
        <w:rPr>
          <w:rFonts w:ascii="Times New Roman" w:eastAsia="Times New Roman" w:hAnsi="Times New Roman" w:cs="Times New Roman"/>
          <w:sz w:val="24"/>
          <w:szCs w:val="24"/>
          <w:lang w:eastAsia="en-AU"/>
        </w:rPr>
      </w:pPr>
    </w:p>
    <w:p w14:paraId="5A3E4385" w14:textId="77777777" w:rsidR="000204F9" w:rsidRPr="004F75B2" w:rsidRDefault="000204F9" w:rsidP="000204F9">
      <w:pPr>
        <w:rPr>
          <w:rFonts w:ascii="Times New Roman" w:eastAsia="Times New Roman" w:hAnsi="Times New Roman" w:cs="Times New Roman"/>
          <w:sz w:val="24"/>
          <w:szCs w:val="24"/>
          <w:lang w:eastAsia="en-AU"/>
        </w:rPr>
      </w:pPr>
      <w:r w:rsidRPr="004F75B2">
        <w:rPr>
          <w:rFonts w:ascii="Times New Roman" w:eastAsia="Times New Roman" w:hAnsi="Times New Roman" w:cs="Times New Roman"/>
          <w:sz w:val="24"/>
          <w:szCs w:val="24"/>
          <w:lang w:eastAsia="en-AU"/>
        </w:rPr>
        <w:t xml:space="preserve">The OHS(MI) Act will not apply to ships and vessels which are affected by this declaration (that is, ships and vessels only engaged in intrastate trade). These ships and vessels will instead be subject to </w:t>
      </w:r>
      <w:r w:rsidR="00BD00F2" w:rsidRPr="004F75B2">
        <w:rPr>
          <w:rFonts w:ascii="Times New Roman" w:eastAsia="Times New Roman" w:hAnsi="Times New Roman" w:cs="Times New Roman"/>
          <w:sz w:val="24"/>
          <w:szCs w:val="24"/>
          <w:lang w:eastAsia="en-AU"/>
        </w:rPr>
        <w:t>the</w:t>
      </w:r>
      <w:r w:rsidRPr="004F75B2">
        <w:rPr>
          <w:rFonts w:ascii="Times New Roman" w:eastAsia="Times New Roman" w:hAnsi="Times New Roman" w:cs="Times New Roman"/>
          <w:sz w:val="24"/>
          <w:szCs w:val="24"/>
          <w:lang w:eastAsia="en-AU"/>
        </w:rPr>
        <w:t xml:space="preserve"> work health and safety legislation</w:t>
      </w:r>
      <w:r w:rsidR="00BD00F2" w:rsidRPr="004F75B2">
        <w:rPr>
          <w:rFonts w:ascii="Times New Roman" w:eastAsia="Times New Roman" w:hAnsi="Times New Roman" w:cs="Times New Roman"/>
          <w:sz w:val="24"/>
          <w:szCs w:val="24"/>
          <w:lang w:eastAsia="en-AU"/>
        </w:rPr>
        <w:t xml:space="preserve"> of the state in which they operate, with the work health and safety inspectorate of that state responsible for enforcing those laws</w:t>
      </w:r>
      <w:r w:rsidRPr="004F75B2">
        <w:rPr>
          <w:rFonts w:ascii="Times New Roman" w:eastAsia="Times New Roman" w:hAnsi="Times New Roman" w:cs="Times New Roman"/>
          <w:sz w:val="24"/>
          <w:szCs w:val="24"/>
          <w:lang w:eastAsia="en-AU"/>
        </w:rPr>
        <w:t>.</w:t>
      </w:r>
    </w:p>
    <w:p w14:paraId="5A3E4386" w14:textId="77777777" w:rsidR="002C68B4" w:rsidRPr="004F75B2" w:rsidRDefault="002C68B4" w:rsidP="000204F9">
      <w:pPr>
        <w:rPr>
          <w:rFonts w:ascii="Times New Roman" w:eastAsia="Times New Roman" w:hAnsi="Times New Roman" w:cs="Times New Roman"/>
          <w:sz w:val="24"/>
          <w:szCs w:val="24"/>
          <w:lang w:eastAsia="en-AU"/>
        </w:rPr>
      </w:pPr>
    </w:p>
    <w:p w14:paraId="5A3E4387" w14:textId="515E18B2" w:rsidR="00810504" w:rsidRDefault="00810504" w:rsidP="00810504">
      <w:pPr>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The </w:t>
      </w:r>
      <w:r w:rsidR="00961735">
        <w:rPr>
          <w:rFonts w:ascii="Times New Roman" w:hAnsi="Times New Roman" w:cs="Times New Roman"/>
          <w:sz w:val="24"/>
          <w:szCs w:val="24"/>
          <w:lang w:eastAsia="en-AU"/>
        </w:rPr>
        <w:t>Declaration</w:t>
      </w:r>
      <w:r>
        <w:rPr>
          <w:rFonts w:ascii="Times New Roman" w:hAnsi="Times New Roman" w:cs="Times New Roman"/>
          <w:sz w:val="24"/>
          <w:szCs w:val="24"/>
          <w:lang w:eastAsia="en-AU"/>
        </w:rPr>
        <w:t xml:space="preserve"> specifically addresses the concern raised during consultation about ships covered by declarations under the now repealed </w:t>
      </w:r>
      <w:r>
        <w:rPr>
          <w:rFonts w:ascii="Times New Roman" w:hAnsi="Times New Roman" w:cs="Times New Roman"/>
          <w:i/>
          <w:sz w:val="24"/>
          <w:szCs w:val="24"/>
          <w:lang w:eastAsia="en-AU"/>
        </w:rPr>
        <w:t>Navigation Act 1912</w:t>
      </w:r>
      <w:r>
        <w:rPr>
          <w:rFonts w:ascii="Times New Roman" w:hAnsi="Times New Roman" w:cs="Times New Roman"/>
          <w:sz w:val="24"/>
          <w:szCs w:val="24"/>
          <w:lang w:eastAsia="en-AU"/>
        </w:rPr>
        <w:t xml:space="preserve">. The </w:t>
      </w:r>
      <w:r w:rsidR="00961735">
        <w:rPr>
          <w:rFonts w:ascii="Times New Roman" w:hAnsi="Times New Roman" w:cs="Times New Roman"/>
          <w:sz w:val="24"/>
          <w:szCs w:val="24"/>
          <w:lang w:eastAsia="en-AU"/>
        </w:rPr>
        <w:t>Declaration</w:t>
      </w:r>
      <w:r>
        <w:rPr>
          <w:rFonts w:ascii="Times New Roman" w:hAnsi="Times New Roman" w:cs="Times New Roman"/>
          <w:sz w:val="24"/>
          <w:szCs w:val="24"/>
          <w:lang w:eastAsia="en-AU"/>
        </w:rPr>
        <w:t xml:space="preserve"> will not affect ships </w:t>
      </w:r>
      <w:r w:rsidR="00784AF6">
        <w:rPr>
          <w:rFonts w:ascii="Times New Roman" w:hAnsi="Times New Roman" w:cs="Times New Roman"/>
          <w:sz w:val="24"/>
          <w:szCs w:val="24"/>
          <w:lang w:eastAsia="en-AU"/>
        </w:rPr>
        <w:t xml:space="preserve">that </w:t>
      </w:r>
      <w:r>
        <w:rPr>
          <w:rFonts w:ascii="Times New Roman" w:hAnsi="Times New Roman" w:cs="Times New Roman"/>
          <w:sz w:val="24"/>
          <w:szCs w:val="24"/>
          <w:lang w:eastAsia="en-AU"/>
        </w:rPr>
        <w:t xml:space="preserve">are subject to the OHS(MI) Act because they are covered by a declaration under sections </w:t>
      </w:r>
      <w:proofErr w:type="spellStart"/>
      <w:r>
        <w:rPr>
          <w:rFonts w:ascii="Times New Roman" w:hAnsi="Times New Roman" w:cs="Times New Roman"/>
          <w:sz w:val="24"/>
          <w:szCs w:val="24"/>
          <w:lang w:eastAsia="en-AU"/>
        </w:rPr>
        <w:t>8A</w:t>
      </w:r>
      <w:proofErr w:type="spellEnd"/>
      <w:r>
        <w:rPr>
          <w:rFonts w:ascii="Times New Roman" w:hAnsi="Times New Roman" w:cs="Times New Roman"/>
          <w:sz w:val="24"/>
          <w:szCs w:val="24"/>
          <w:lang w:eastAsia="en-AU"/>
        </w:rPr>
        <w:t xml:space="preserve"> or </w:t>
      </w:r>
      <w:proofErr w:type="spellStart"/>
      <w:r>
        <w:rPr>
          <w:rFonts w:ascii="Times New Roman" w:hAnsi="Times New Roman" w:cs="Times New Roman"/>
          <w:sz w:val="24"/>
          <w:szCs w:val="24"/>
          <w:lang w:eastAsia="en-AU"/>
        </w:rPr>
        <w:t>8AA</w:t>
      </w:r>
      <w:proofErr w:type="spellEnd"/>
      <w:r>
        <w:rPr>
          <w:rFonts w:ascii="Times New Roman" w:hAnsi="Times New Roman" w:cs="Times New Roman"/>
          <w:sz w:val="24"/>
          <w:szCs w:val="24"/>
          <w:lang w:eastAsia="en-AU"/>
        </w:rPr>
        <w:t xml:space="preserve"> of the now repealed </w:t>
      </w:r>
      <w:r>
        <w:rPr>
          <w:rFonts w:ascii="Times New Roman" w:hAnsi="Times New Roman" w:cs="Times New Roman"/>
          <w:i/>
          <w:iCs/>
          <w:sz w:val="24"/>
          <w:szCs w:val="24"/>
          <w:lang w:eastAsia="en-AU"/>
        </w:rPr>
        <w:t>Navigation Act 1912</w:t>
      </w:r>
      <w:r>
        <w:rPr>
          <w:rFonts w:ascii="Times New Roman" w:hAnsi="Times New Roman" w:cs="Times New Roman"/>
          <w:sz w:val="24"/>
          <w:szCs w:val="24"/>
          <w:lang w:eastAsia="en-AU"/>
        </w:rPr>
        <w:t xml:space="preserve"> or because they are licenced under the </w:t>
      </w:r>
      <w:r>
        <w:rPr>
          <w:rFonts w:ascii="Times New Roman" w:hAnsi="Times New Roman" w:cs="Times New Roman"/>
          <w:i/>
          <w:iCs/>
          <w:sz w:val="24"/>
          <w:szCs w:val="24"/>
          <w:lang w:eastAsia="en-AU"/>
        </w:rPr>
        <w:t>Coastal Shipping (Revitalising Australian Shipping) Act 2012</w:t>
      </w:r>
      <w:r>
        <w:rPr>
          <w:rFonts w:ascii="Times New Roman" w:hAnsi="Times New Roman" w:cs="Times New Roman"/>
          <w:sz w:val="24"/>
          <w:szCs w:val="24"/>
          <w:lang w:eastAsia="en-AU"/>
        </w:rPr>
        <w:t>. The OHS(MI) Act applies to these ships under subsections 6(3) and (</w:t>
      </w:r>
      <w:proofErr w:type="spellStart"/>
      <w:r>
        <w:rPr>
          <w:rFonts w:ascii="Times New Roman" w:hAnsi="Times New Roman" w:cs="Times New Roman"/>
          <w:sz w:val="24"/>
          <w:szCs w:val="24"/>
          <w:lang w:eastAsia="en-AU"/>
        </w:rPr>
        <w:t>3A</w:t>
      </w:r>
      <w:proofErr w:type="spellEnd"/>
      <w:r>
        <w:rPr>
          <w:rFonts w:ascii="Times New Roman" w:hAnsi="Times New Roman" w:cs="Times New Roman"/>
          <w:sz w:val="24"/>
          <w:szCs w:val="24"/>
          <w:lang w:eastAsia="en-AU"/>
        </w:rPr>
        <w:t xml:space="preserve">). </w:t>
      </w:r>
      <w:r w:rsidRPr="00810504">
        <w:rPr>
          <w:rFonts w:ascii="Times New Roman" w:hAnsi="Times New Roman" w:cs="Times New Roman"/>
          <w:sz w:val="24"/>
          <w:szCs w:val="24"/>
          <w:lang w:eastAsia="en-AU"/>
        </w:rPr>
        <w:t>Clause (3)</w:t>
      </w:r>
      <w:r>
        <w:rPr>
          <w:rFonts w:ascii="Times New Roman" w:hAnsi="Times New Roman" w:cs="Times New Roman"/>
          <w:sz w:val="24"/>
          <w:szCs w:val="24"/>
          <w:lang w:eastAsia="en-AU"/>
        </w:rPr>
        <w:t xml:space="preserve"> ensures that the Declaration does not apply to ships to which these subsections apply.</w:t>
      </w:r>
    </w:p>
    <w:p w14:paraId="5A3E4388" w14:textId="77777777" w:rsidR="000204F9" w:rsidRPr="004F75B2" w:rsidRDefault="000204F9" w:rsidP="000204F9">
      <w:pPr>
        <w:rPr>
          <w:rFonts w:ascii="Times New Roman" w:eastAsia="Times New Roman" w:hAnsi="Times New Roman" w:cs="Times New Roman"/>
          <w:sz w:val="24"/>
          <w:szCs w:val="24"/>
          <w:lang w:eastAsia="en-AU"/>
        </w:rPr>
      </w:pPr>
    </w:p>
    <w:p w14:paraId="5A3E4389" w14:textId="21E63F8E" w:rsidR="002E7780" w:rsidRPr="004F75B2" w:rsidRDefault="000204F9" w:rsidP="000204F9">
      <w:pPr>
        <w:rPr>
          <w:rFonts w:ascii="Times New Roman" w:eastAsia="Times New Roman" w:hAnsi="Times New Roman" w:cs="Times New Roman"/>
          <w:sz w:val="24"/>
          <w:szCs w:val="24"/>
          <w:lang w:eastAsia="en-AU"/>
        </w:rPr>
      </w:pPr>
      <w:r w:rsidRPr="004F75B2">
        <w:rPr>
          <w:rFonts w:ascii="Times New Roman" w:eastAsia="Times New Roman" w:hAnsi="Times New Roman" w:cs="Times New Roman"/>
          <w:sz w:val="24"/>
          <w:szCs w:val="24"/>
          <w:lang w:eastAsia="en-AU"/>
        </w:rPr>
        <w:t xml:space="preserve">The effect of the Declaration </w:t>
      </w:r>
      <w:r w:rsidR="002E7780" w:rsidRPr="004F75B2">
        <w:rPr>
          <w:rFonts w:ascii="Times New Roman" w:eastAsia="Times New Roman" w:hAnsi="Times New Roman" w:cs="Times New Roman"/>
          <w:sz w:val="24"/>
          <w:szCs w:val="24"/>
          <w:lang w:eastAsia="en-AU"/>
        </w:rPr>
        <w:t xml:space="preserve">is that ships and vessels </w:t>
      </w:r>
      <w:r w:rsidR="00784AF6">
        <w:rPr>
          <w:rFonts w:ascii="Times New Roman" w:eastAsia="Times New Roman" w:hAnsi="Times New Roman" w:cs="Times New Roman"/>
          <w:sz w:val="24"/>
          <w:szCs w:val="24"/>
          <w:lang w:eastAsia="en-AU"/>
        </w:rPr>
        <w:t>that</w:t>
      </w:r>
      <w:r w:rsidR="00784AF6" w:rsidRPr="004F75B2">
        <w:rPr>
          <w:rFonts w:ascii="Times New Roman" w:eastAsia="Times New Roman" w:hAnsi="Times New Roman" w:cs="Times New Roman"/>
          <w:sz w:val="24"/>
          <w:szCs w:val="24"/>
          <w:lang w:eastAsia="en-AU"/>
        </w:rPr>
        <w:t xml:space="preserve"> </w:t>
      </w:r>
      <w:r w:rsidR="005C4A0E" w:rsidRPr="004F75B2">
        <w:rPr>
          <w:rFonts w:ascii="Times New Roman" w:eastAsia="Times New Roman" w:hAnsi="Times New Roman" w:cs="Times New Roman"/>
          <w:sz w:val="24"/>
          <w:szCs w:val="24"/>
          <w:lang w:eastAsia="en-AU"/>
        </w:rPr>
        <w:t>had been understood to be outside the coverage of the</w:t>
      </w:r>
      <w:r w:rsidR="002E7780" w:rsidRPr="004F75B2">
        <w:rPr>
          <w:rFonts w:ascii="Times New Roman" w:eastAsia="Times New Roman" w:hAnsi="Times New Roman" w:cs="Times New Roman"/>
          <w:sz w:val="24"/>
          <w:szCs w:val="24"/>
          <w:lang w:eastAsia="en-AU"/>
        </w:rPr>
        <w:t xml:space="preserve"> OHS(MI) Act prior to the Federal Court’s </w:t>
      </w:r>
      <w:proofErr w:type="spellStart"/>
      <w:r w:rsidR="002E7780" w:rsidRPr="004F75B2">
        <w:rPr>
          <w:rFonts w:ascii="Times New Roman" w:eastAsia="Times New Roman" w:hAnsi="Times New Roman" w:cs="Times New Roman"/>
          <w:i/>
          <w:sz w:val="24"/>
          <w:szCs w:val="24"/>
          <w:lang w:eastAsia="en-AU"/>
        </w:rPr>
        <w:t>Aucote</w:t>
      </w:r>
      <w:proofErr w:type="spellEnd"/>
      <w:r w:rsidR="002E7780" w:rsidRPr="004F75B2">
        <w:rPr>
          <w:rFonts w:ascii="Times New Roman" w:eastAsia="Times New Roman" w:hAnsi="Times New Roman" w:cs="Times New Roman"/>
          <w:sz w:val="24"/>
          <w:szCs w:val="24"/>
          <w:lang w:eastAsia="en-AU"/>
        </w:rPr>
        <w:t xml:space="preserve"> decision will no longer be covered by the OHS(MI) Act. As such, the Declaration will re-align the application of the OHS(MI) Act with how it has been historically understood by regulators and scheme participants.</w:t>
      </w:r>
      <w:r w:rsidR="0047517C" w:rsidRPr="004F75B2">
        <w:rPr>
          <w:rFonts w:ascii="Times New Roman" w:eastAsia="Times New Roman" w:hAnsi="Times New Roman" w:cs="Times New Roman"/>
          <w:sz w:val="24"/>
          <w:szCs w:val="24"/>
          <w:lang w:eastAsia="en-AU"/>
        </w:rPr>
        <w:t xml:space="preserve"> The Declaration will act in concert with the Bill</w:t>
      </w:r>
      <w:r w:rsidR="00251360" w:rsidRPr="004F75B2">
        <w:rPr>
          <w:rFonts w:ascii="Times New Roman" w:eastAsia="Times New Roman" w:hAnsi="Times New Roman" w:cs="Times New Roman"/>
          <w:sz w:val="24"/>
          <w:szCs w:val="24"/>
          <w:lang w:eastAsia="en-AU"/>
        </w:rPr>
        <w:t>, which provides for historic coverage,</w:t>
      </w:r>
      <w:r w:rsidR="0047517C" w:rsidRPr="004F75B2">
        <w:rPr>
          <w:rFonts w:ascii="Times New Roman" w:eastAsia="Times New Roman" w:hAnsi="Times New Roman" w:cs="Times New Roman"/>
          <w:sz w:val="24"/>
          <w:szCs w:val="24"/>
          <w:lang w:eastAsia="en-AU"/>
        </w:rPr>
        <w:t xml:space="preserve"> by clarifying the prospective coverage of the OHS(MI) Act. </w:t>
      </w:r>
    </w:p>
    <w:p w14:paraId="5A3E438A" w14:textId="77777777" w:rsidR="007B24F3" w:rsidRPr="004F75B2" w:rsidRDefault="007B24F3" w:rsidP="000204F9">
      <w:pPr>
        <w:rPr>
          <w:rFonts w:ascii="Times New Roman" w:eastAsia="Times New Roman" w:hAnsi="Times New Roman" w:cs="Times New Roman"/>
          <w:sz w:val="24"/>
          <w:szCs w:val="24"/>
          <w:lang w:eastAsia="en-AU"/>
        </w:rPr>
      </w:pPr>
    </w:p>
    <w:p w14:paraId="5A3E438B" w14:textId="77777777" w:rsidR="007B24F3" w:rsidRPr="004F75B2" w:rsidRDefault="007B24F3" w:rsidP="000204F9">
      <w:pPr>
        <w:rPr>
          <w:rFonts w:ascii="Times New Roman" w:eastAsia="Times New Roman" w:hAnsi="Times New Roman" w:cs="Times New Roman"/>
          <w:sz w:val="24"/>
          <w:szCs w:val="24"/>
          <w:lang w:eastAsia="en-AU"/>
        </w:rPr>
      </w:pPr>
      <w:r w:rsidRPr="004F75B2">
        <w:rPr>
          <w:rFonts w:ascii="Times New Roman" w:eastAsia="Times New Roman" w:hAnsi="Times New Roman" w:cs="Times New Roman"/>
          <w:sz w:val="24"/>
          <w:szCs w:val="24"/>
          <w:lang w:eastAsia="en-AU"/>
        </w:rPr>
        <w:t>The Declaration also repeals the existing</w:t>
      </w:r>
      <w:r w:rsidRPr="004F75B2">
        <w:rPr>
          <w:rFonts w:ascii="Times New Roman" w:eastAsia="Times New Roman" w:hAnsi="Times New Roman" w:cs="Times New Roman"/>
          <w:i/>
          <w:sz w:val="24"/>
          <w:szCs w:val="24"/>
          <w:lang w:eastAsia="en-AU"/>
        </w:rPr>
        <w:t xml:space="preserve"> Occupational Health and Safety (Maritime Industry)</w:t>
      </w:r>
      <w:r w:rsidRPr="004F75B2">
        <w:rPr>
          <w:rFonts w:ascii="Times New Roman" w:eastAsia="Times New Roman" w:hAnsi="Times New Roman" w:cs="Times New Roman"/>
          <w:sz w:val="24"/>
          <w:szCs w:val="24"/>
          <w:lang w:eastAsia="en-AU"/>
        </w:rPr>
        <w:t xml:space="preserve"> </w:t>
      </w:r>
      <w:r w:rsidRPr="004F75B2">
        <w:rPr>
          <w:rFonts w:ascii="Times New Roman" w:eastAsia="Times New Roman" w:hAnsi="Times New Roman" w:cs="Times New Roman"/>
          <w:i/>
          <w:sz w:val="24"/>
          <w:szCs w:val="24"/>
          <w:lang w:eastAsia="en-AU"/>
        </w:rPr>
        <w:t>(Prescribed Ship or Unit — Intra-State Trade)</w:t>
      </w:r>
      <w:r w:rsidRPr="004F75B2">
        <w:rPr>
          <w:rFonts w:ascii="Times New Roman" w:eastAsia="Times New Roman" w:hAnsi="Times New Roman" w:cs="Times New Roman"/>
          <w:sz w:val="24"/>
          <w:szCs w:val="24"/>
          <w:lang w:eastAsia="en-AU"/>
        </w:rPr>
        <w:t xml:space="preserve"> </w:t>
      </w:r>
      <w:r w:rsidRPr="004F75B2">
        <w:rPr>
          <w:rFonts w:ascii="Times New Roman" w:eastAsia="Times New Roman" w:hAnsi="Times New Roman" w:cs="Times New Roman"/>
          <w:i/>
          <w:sz w:val="24"/>
          <w:szCs w:val="24"/>
          <w:lang w:eastAsia="en-AU"/>
        </w:rPr>
        <w:t>Declaration 2015</w:t>
      </w:r>
      <w:r w:rsidRPr="004F75B2">
        <w:rPr>
          <w:rFonts w:ascii="Times New Roman" w:eastAsia="Times New Roman" w:hAnsi="Times New Roman" w:cs="Times New Roman"/>
          <w:sz w:val="24"/>
          <w:szCs w:val="24"/>
          <w:lang w:eastAsia="en-AU"/>
        </w:rPr>
        <w:t>, which it replaces.</w:t>
      </w:r>
    </w:p>
    <w:p w14:paraId="5A3E438C" w14:textId="77777777" w:rsidR="000204F9" w:rsidRPr="004F75B2" w:rsidRDefault="000204F9" w:rsidP="0045788E">
      <w:pPr>
        <w:rPr>
          <w:rFonts w:ascii="Times New Roman" w:eastAsia="Times New Roman" w:hAnsi="Times New Roman" w:cs="Times New Roman"/>
          <w:sz w:val="24"/>
          <w:szCs w:val="24"/>
          <w:lang w:eastAsia="en-AU"/>
        </w:rPr>
      </w:pPr>
    </w:p>
    <w:p w14:paraId="5A3E438D" w14:textId="77777777" w:rsidR="00B33AF2" w:rsidRPr="004F75B2" w:rsidRDefault="00B33AF2" w:rsidP="0045788E">
      <w:pPr>
        <w:rPr>
          <w:rFonts w:ascii="Times New Roman" w:eastAsia="Times New Roman" w:hAnsi="Times New Roman" w:cs="Times New Roman"/>
          <w:sz w:val="24"/>
          <w:szCs w:val="24"/>
          <w:lang w:eastAsia="en-AU"/>
        </w:rPr>
      </w:pPr>
      <w:r w:rsidRPr="00DF4898">
        <w:rPr>
          <w:rFonts w:ascii="Times New Roman" w:eastAsia="Times New Roman" w:hAnsi="Times New Roman" w:cs="Times New Roman"/>
          <w:sz w:val="24"/>
          <w:szCs w:val="24"/>
          <w:lang w:eastAsia="en-AU"/>
        </w:rPr>
        <w:t>The Office of Best Practice Regulation was consulted regarding this declaration and indicated that a Regulation Impact Statement was not required for this declaration (</w:t>
      </w:r>
      <w:proofErr w:type="spellStart"/>
      <w:r w:rsidRPr="00DF4898">
        <w:rPr>
          <w:rFonts w:ascii="Times New Roman" w:eastAsia="Times New Roman" w:hAnsi="Times New Roman" w:cs="Times New Roman"/>
          <w:sz w:val="24"/>
          <w:szCs w:val="24"/>
          <w:lang w:eastAsia="en-AU"/>
        </w:rPr>
        <w:t>OBPR</w:t>
      </w:r>
      <w:proofErr w:type="spellEnd"/>
      <w:r w:rsidRPr="00DF4898">
        <w:rPr>
          <w:rFonts w:ascii="Times New Roman" w:eastAsia="Times New Roman" w:hAnsi="Times New Roman" w:cs="Times New Roman"/>
          <w:sz w:val="24"/>
          <w:szCs w:val="24"/>
          <w:lang w:eastAsia="en-AU"/>
        </w:rPr>
        <w:t xml:space="preserve"> ID </w:t>
      </w:r>
      <w:r w:rsidR="00BD00F2" w:rsidRPr="00DF4898">
        <w:rPr>
          <w:rFonts w:ascii="Times New Roman" w:eastAsia="Times New Roman" w:hAnsi="Times New Roman" w:cs="Times New Roman"/>
          <w:sz w:val="24"/>
          <w:szCs w:val="24"/>
          <w:lang w:eastAsia="en-AU"/>
        </w:rPr>
        <w:t>18393</w:t>
      </w:r>
      <w:r w:rsidRPr="00DF4898">
        <w:rPr>
          <w:rFonts w:ascii="Times New Roman" w:eastAsia="Times New Roman" w:hAnsi="Times New Roman" w:cs="Times New Roman"/>
          <w:sz w:val="24"/>
          <w:szCs w:val="24"/>
          <w:lang w:eastAsia="en-AU"/>
        </w:rPr>
        <w:t>).</w:t>
      </w:r>
    </w:p>
    <w:p w14:paraId="5A3E438E" w14:textId="77777777" w:rsidR="00B33AF2" w:rsidRPr="004F75B2" w:rsidRDefault="00B33AF2" w:rsidP="0045788E">
      <w:pPr>
        <w:rPr>
          <w:rFonts w:ascii="Times New Roman" w:eastAsia="Times New Roman" w:hAnsi="Times New Roman" w:cs="Times New Roman"/>
          <w:sz w:val="24"/>
          <w:szCs w:val="24"/>
          <w:lang w:eastAsia="en-AU"/>
        </w:rPr>
      </w:pPr>
    </w:p>
    <w:p w14:paraId="5A3E4391" w14:textId="140E23DE" w:rsidR="002C68B4" w:rsidRPr="004F75B2" w:rsidRDefault="00B33AF2" w:rsidP="0026775C">
      <w:pPr>
        <w:rPr>
          <w:rFonts w:ascii="Times New Roman" w:eastAsia="Times New Roman" w:hAnsi="Times New Roman" w:cs="Times New Roman"/>
          <w:sz w:val="24"/>
          <w:szCs w:val="24"/>
          <w:lang w:eastAsia="en-AU"/>
        </w:rPr>
      </w:pPr>
      <w:r w:rsidRPr="004F75B2">
        <w:rPr>
          <w:rFonts w:ascii="Times New Roman" w:eastAsia="Times New Roman" w:hAnsi="Times New Roman" w:cs="Times New Roman"/>
          <w:sz w:val="24"/>
          <w:szCs w:val="24"/>
          <w:lang w:eastAsia="en-AU"/>
        </w:rPr>
        <w:t>This instrument will come into effect the day after it is registered on the Federal Regi</w:t>
      </w:r>
      <w:r w:rsidR="002C68B4" w:rsidRPr="004F75B2">
        <w:rPr>
          <w:rFonts w:ascii="Times New Roman" w:eastAsia="Times New Roman" w:hAnsi="Times New Roman" w:cs="Times New Roman"/>
          <w:sz w:val="24"/>
          <w:szCs w:val="24"/>
          <w:lang w:eastAsia="en-AU"/>
        </w:rPr>
        <w:t>ster of Legislative Instruments</w:t>
      </w:r>
      <w:r w:rsidR="0026775C">
        <w:rPr>
          <w:rFonts w:ascii="Times New Roman" w:eastAsia="Times New Roman" w:hAnsi="Times New Roman" w:cs="Times New Roman"/>
          <w:sz w:val="24"/>
          <w:szCs w:val="24"/>
          <w:lang w:eastAsia="en-AU"/>
        </w:rPr>
        <w:t>.</w:t>
      </w:r>
    </w:p>
    <w:p w14:paraId="5A3E4392" w14:textId="77777777" w:rsidR="002C68B4" w:rsidRPr="004F75B2" w:rsidRDefault="002C68B4" w:rsidP="0045788E">
      <w:pPr>
        <w:rPr>
          <w:rFonts w:ascii="Times New Roman" w:eastAsia="Times New Roman" w:hAnsi="Times New Roman" w:cs="Times New Roman"/>
          <w:sz w:val="24"/>
          <w:szCs w:val="24"/>
          <w:lang w:eastAsia="en-AU"/>
        </w:rPr>
      </w:pPr>
    </w:p>
    <w:p w14:paraId="5A3E4393" w14:textId="77777777" w:rsidR="00B33AF2" w:rsidRPr="004F75B2" w:rsidRDefault="003A278A" w:rsidP="0045788E">
      <w:pPr>
        <w:rPr>
          <w:rFonts w:ascii="Times New Roman" w:eastAsia="Times New Roman" w:hAnsi="Times New Roman" w:cs="Times New Roman"/>
          <w:sz w:val="24"/>
          <w:szCs w:val="24"/>
          <w:lang w:eastAsia="en-AU"/>
        </w:rPr>
      </w:pPr>
      <w:r w:rsidRPr="004F75B2">
        <w:rPr>
          <w:rFonts w:ascii="Times New Roman" w:eastAsia="Times New Roman" w:hAnsi="Times New Roman" w:cs="Times New Roman"/>
          <w:sz w:val="24"/>
          <w:szCs w:val="24"/>
          <w:lang w:eastAsia="en-AU"/>
        </w:rPr>
        <w:t xml:space="preserve">The </w:t>
      </w:r>
      <w:r w:rsidR="00961735">
        <w:rPr>
          <w:rFonts w:ascii="Times New Roman" w:eastAsia="Times New Roman" w:hAnsi="Times New Roman" w:cs="Times New Roman"/>
          <w:sz w:val="24"/>
          <w:szCs w:val="24"/>
          <w:lang w:eastAsia="en-AU"/>
        </w:rPr>
        <w:t>Declaration</w:t>
      </w:r>
      <w:r w:rsidRPr="004F75B2">
        <w:rPr>
          <w:rFonts w:ascii="Times New Roman" w:eastAsia="Times New Roman" w:hAnsi="Times New Roman" w:cs="Times New Roman"/>
          <w:sz w:val="24"/>
          <w:szCs w:val="24"/>
          <w:lang w:eastAsia="en-AU"/>
        </w:rPr>
        <w:t xml:space="preserve"> will sunset two years from the date on which it takes effect. </w:t>
      </w:r>
    </w:p>
    <w:p w14:paraId="5A3E4394" w14:textId="77777777" w:rsidR="0047517C" w:rsidRPr="004F75B2" w:rsidRDefault="0047517C" w:rsidP="0045788E">
      <w:pPr>
        <w:rPr>
          <w:rFonts w:ascii="Times New Roman" w:eastAsia="Times New Roman" w:hAnsi="Times New Roman" w:cs="Times New Roman"/>
          <w:sz w:val="24"/>
          <w:szCs w:val="24"/>
          <w:lang w:eastAsia="en-AU"/>
        </w:rPr>
      </w:pPr>
    </w:p>
    <w:p w14:paraId="5A3E4395" w14:textId="77777777" w:rsidR="0047517C" w:rsidRDefault="0047517C" w:rsidP="0045788E">
      <w:pPr>
        <w:rPr>
          <w:rFonts w:ascii="Times New Roman" w:eastAsia="Times New Roman" w:hAnsi="Times New Roman" w:cs="Times New Roman"/>
          <w:sz w:val="24"/>
          <w:szCs w:val="24"/>
          <w:lang w:eastAsia="en-AU"/>
        </w:rPr>
      </w:pPr>
      <w:r w:rsidRPr="004F75B2">
        <w:rPr>
          <w:rFonts w:ascii="Times New Roman" w:eastAsia="Times New Roman" w:hAnsi="Times New Roman" w:cs="Times New Roman"/>
          <w:sz w:val="24"/>
          <w:szCs w:val="24"/>
          <w:lang w:eastAsia="en-AU"/>
        </w:rPr>
        <w:t>The Government has committed to introducing legislation for a comprehensive reform</w:t>
      </w:r>
      <w:r w:rsidR="002C68B4" w:rsidRPr="004F75B2">
        <w:rPr>
          <w:rFonts w:ascii="Times New Roman" w:eastAsia="Times New Roman" w:hAnsi="Times New Roman" w:cs="Times New Roman"/>
          <w:sz w:val="24"/>
          <w:szCs w:val="24"/>
          <w:lang w:eastAsia="en-AU"/>
        </w:rPr>
        <w:t xml:space="preserve"> </w:t>
      </w:r>
      <w:r w:rsidRPr="004F75B2">
        <w:rPr>
          <w:rFonts w:ascii="Times New Roman" w:eastAsia="Times New Roman" w:hAnsi="Times New Roman" w:cs="Times New Roman"/>
          <w:sz w:val="24"/>
          <w:szCs w:val="24"/>
          <w:lang w:eastAsia="en-AU"/>
        </w:rPr>
        <w:t>of the Seacare scheme</w:t>
      </w:r>
      <w:r w:rsidR="002C68B4" w:rsidRPr="004F75B2">
        <w:rPr>
          <w:rFonts w:ascii="Times New Roman" w:eastAsia="Times New Roman" w:hAnsi="Times New Roman" w:cs="Times New Roman"/>
          <w:sz w:val="24"/>
          <w:szCs w:val="24"/>
          <w:lang w:eastAsia="en-AU"/>
        </w:rPr>
        <w:t xml:space="preserve">, including coverage rules, </w:t>
      </w:r>
      <w:r w:rsidRPr="004F75B2">
        <w:rPr>
          <w:rFonts w:ascii="Times New Roman" w:eastAsia="Times New Roman" w:hAnsi="Times New Roman" w:cs="Times New Roman"/>
          <w:sz w:val="24"/>
          <w:szCs w:val="24"/>
          <w:lang w:eastAsia="en-AU"/>
        </w:rPr>
        <w:t xml:space="preserve">before the end of 2015. </w:t>
      </w:r>
      <w:r w:rsidR="00A9620C" w:rsidRPr="004F75B2">
        <w:rPr>
          <w:rFonts w:ascii="Times New Roman" w:eastAsia="Times New Roman" w:hAnsi="Times New Roman" w:cs="Times New Roman"/>
          <w:sz w:val="24"/>
          <w:szCs w:val="24"/>
          <w:lang w:eastAsia="en-AU"/>
        </w:rPr>
        <w:t>The Declaration will provide an interim measure while the Government develops, and undertakes important consultations in relation to, this much needed reform of the Seacare scheme.</w:t>
      </w:r>
    </w:p>
    <w:p w14:paraId="5A3E4396" w14:textId="77777777" w:rsidR="0020131B" w:rsidRDefault="0020131B" w:rsidP="0045788E">
      <w:pPr>
        <w:rPr>
          <w:rFonts w:ascii="Times New Roman" w:eastAsia="Times New Roman" w:hAnsi="Times New Roman" w:cs="Times New Roman"/>
          <w:sz w:val="24"/>
          <w:szCs w:val="24"/>
          <w:lang w:eastAsia="en-AU"/>
        </w:rPr>
      </w:pPr>
    </w:p>
    <w:p w14:paraId="5A3E4397" w14:textId="77777777" w:rsidR="0020131B" w:rsidRDefault="0020131B" w:rsidP="0045788E">
      <w:pPr>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Consultation</w:t>
      </w:r>
    </w:p>
    <w:p w14:paraId="5A3E4398" w14:textId="77777777" w:rsidR="00AD300A" w:rsidRPr="0020131B" w:rsidRDefault="00AD300A" w:rsidP="0045788E">
      <w:pPr>
        <w:rPr>
          <w:rFonts w:ascii="Times New Roman" w:eastAsia="Times New Roman" w:hAnsi="Times New Roman" w:cs="Times New Roman"/>
          <w:sz w:val="24"/>
          <w:szCs w:val="24"/>
          <w:u w:val="single"/>
          <w:lang w:eastAsia="en-AU"/>
        </w:rPr>
      </w:pPr>
    </w:p>
    <w:p w14:paraId="04CB7BC8" w14:textId="1F009EF6" w:rsidR="0026775C" w:rsidRDefault="00646151" w:rsidP="000024E8">
      <w:pPr>
        <w:rPr>
          <w:rFonts w:ascii="Times New Roman" w:eastAsia="Times New Roman" w:hAnsi="Times New Roman" w:cs="Times New Roman"/>
          <w:sz w:val="24"/>
          <w:szCs w:val="24"/>
          <w:lang w:eastAsia="en-AU"/>
        </w:rPr>
      </w:pPr>
      <w:r w:rsidRPr="00DC49CC">
        <w:rPr>
          <w:rFonts w:ascii="Times New Roman" w:eastAsia="Times New Roman" w:hAnsi="Times New Roman" w:cs="Times New Roman"/>
          <w:sz w:val="24"/>
          <w:szCs w:val="24"/>
          <w:lang w:eastAsia="en-AU"/>
        </w:rPr>
        <w:t>Comcare (which assists the Seacare Authority</w:t>
      </w:r>
      <w:r>
        <w:rPr>
          <w:rFonts w:ascii="Times New Roman" w:eastAsia="Times New Roman" w:hAnsi="Times New Roman" w:cs="Times New Roman"/>
          <w:sz w:val="24"/>
          <w:szCs w:val="24"/>
          <w:lang w:eastAsia="en-AU"/>
        </w:rPr>
        <w:t xml:space="preserve"> to perform its Seacare scheme regulatory functions</w:t>
      </w:r>
      <w:r w:rsidRPr="00DC49CC">
        <w:rPr>
          <w:rFonts w:ascii="Times New Roman" w:eastAsia="Times New Roman" w:hAnsi="Times New Roman" w:cs="Times New Roman"/>
          <w:sz w:val="24"/>
          <w:szCs w:val="24"/>
          <w:lang w:eastAsia="en-AU"/>
        </w:rPr>
        <w:t>)</w:t>
      </w:r>
      <w:r w:rsidR="0020131B" w:rsidRPr="0026775C">
        <w:rPr>
          <w:rFonts w:ascii="Times New Roman" w:eastAsia="Times New Roman" w:hAnsi="Times New Roman" w:cs="Times New Roman"/>
          <w:sz w:val="24"/>
          <w:szCs w:val="24"/>
          <w:lang w:eastAsia="en-AU"/>
        </w:rPr>
        <w:t xml:space="preserve"> and the Austra</w:t>
      </w:r>
      <w:r w:rsidR="00AD300A" w:rsidRPr="0026775C">
        <w:rPr>
          <w:rFonts w:ascii="Times New Roman" w:eastAsia="Times New Roman" w:hAnsi="Times New Roman" w:cs="Times New Roman"/>
          <w:sz w:val="24"/>
          <w:szCs w:val="24"/>
          <w:lang w:eastAsia="en-AU"/>
        </w:rPr>
        <w:t>lian Maritime Safety Authority</w:t>
      </w:r>
      <w:r>
        <w:rPr>
          <w:rFonts w:ascii="Times New Roman" w:eastAsia="Times New Roman" w:hAnsi="Times New Roman" w:cs="Times New Roman"/>
          <w:sz w:val="24"/>
          <w:szCs w:val="24"/>
          <w:lang w:eastAsia="en-AU"/>
        </w:rPr>
        <w:t xml:space="preserve"> were consulted in the preparation of this declaration</w:t>
      </w:r>
      <w:r w:rsidR="000024E8">
        <w:rPr>
          <w:rFonts w:ascii="Times New Roman" w:eastAsia="Times New Roman" w:hAnsi="Times New Roman" w:cs="Times New Roman"/>
          <w:sz w:val="24"/>
          <w:szCs w:val="24"/>
          <w:lang w:eastAsia="en-AU"/>
        </w:rPr>
        <w:t>. Consultation was also conducted with the Members of the Seacare Authority and their deputies</w:t>
      </w:r>
      <w:r w:rsidR="00784AF6">
        <w:rPr>
          <w:rFonts w:ascii="Times New Roman" w:eastAsia="Times New Roman" w:hAnsi="Times New Roman" w:cs="Times New Roman"/>
          <w:sz w:val="24"/>
          <w:szCs w:val="24"/>
          <w:lang w:eastAsia="en-AU"/>
        </w:rPr>
        <w:t>,</w:t>
      </w:r>
      <w:r w:rsidR="000024E8">
        <w:rPr>
          <w:rFonts w:ascii="Times New Roman" w:eastAsia="Times New Roman" w:hAnsi="Times New Roman" w:cs="Times New Roman"/>
          <w:sz w:val="24"/>
          <w:szCs w:val="24"/>
          <w:lang w:eastAsia="en-AU"/>
        </w:rPr>
        <w:t xml:space="preserve"> Swire Pacific Ship Management, </w:t>
      </w:r>
      <w:proofErr w:type="spellStart"/>
      <w:r w:rsidR="000024E8">
        <w:rPr>
          <w:rFonts w:ascii="Times New Roman" w:eastAsia="Times New Roman" w:hAnsi="Times New Roman" w:cs="Times New Roman"/>
          <w:sz w:val="24"/>
          <w:szCs w:val="24"/>
          <w:lang w:eastAsia="en-AU"/>
        </w:rPr>
        <w:t>SeaRoad</w:t>
      </w:r>
      <w:proofErr w:type="spellEnd"/>
      <w:r w:rsidR="000024E8">
        <w:rPr>
          <w:rFonts w:ascii="Times New Roman" w:eastAsia="Times New Roman" w:hAnsi="Times New Roman" w:cs="Times New Roman"/>
          <w:sz w:val="24"/>
          <w:szCs w:val="24"/>
          <w:lang w:eastAsia="en-AU"/>
        </w:rPr>
        <w:t xml:space="preserve"> Shipping, the Australian Mines and Metals Association, the Maritime Industry Australia Ltd, the Maritime Union of Australia, the </w:t>
      </w:r>
      <w:r w:rsidR="000024E8">
        <w:rPr>
          <w:rFonts w:ascii="Times New Roman" w:eastAsia="Times New Roman" w:hAnsi="Times New Roman" w:cs="Times New Roman"/>
          <w:sz w:val="24"/>
          <w:szCs w:val="24"/>
          <w:lang w:eastAsia="en-AU"/>
        </w:rPr>
        <w:lastRenderedPageBreak/>
        <w:t xml:space="preserve">Australian Maritime Officers Unions and the Australian Institute of Marine and Power Engineers.  </w:t>
      </w:r>
    </w:p>
    <w:p w14:paraId="04B79E96" w14:textId="77777777" w:rsidR="0026775C" w:rsidRPr="0026775C" w:rsidRDefault="0026775C" w:rsidP="0026775C">
      <w:pPr>
        <w:rPr>
          <w:rFonts w:ascii="Times New Roman" w:eastAsia="Times New Roman" w:hAnsi="Times New Roman" w:cs="Times New Roman"/>
          <w:sz w:val="24"/>
          <w:szCs w:val="24"/>
          <w:lang w:eastAsia="en-AU"/>
        </w:rPr>
      </w:pPr>
    </w:p>
    <w:p w14:paraId="5A3E439A" w14:textId="77777777" w:rsidR="0045788E" w:rsidRDefault="0045788E" w:rsidP="0045788E">
      <w:pPr>
        <w:spacing w:after="220"/>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Statement of Compatibility with Human Rights</w:t>
      </w:r>
    </w:p>
    <w:p w14:paraId="5A3E439B" w14:textId="77777777" w:rsidR="0045788E" w:rsidRDefault="0045788E" w:rsidP="0045788E">
      <w:pPr>
        <w:spacing w:after="220"/>
        <w:jc w:val="center"/>
        <w:rPr>
          <w:rFonts w:ascii="Times New Roman" w:hAnsi="Times New Roman" w:cs="Times New Roman"/>
          <w:sz w:val="24"/>
          <w:szCs w:val="24"/>
        </w:rPr>
      </w:pPr>
      <w:r>
        <w:rPr>
          <w:rFonts w:ascii="Times New Roman" w:hAnsi="Times New Roman" w:cs="Times New Roman"/>
          <w:i/>
          <w:sz w:val="24"/>
          <w:szCs w:val="24"/>
        </w:rPr>
        <w:t>Prepared in accordance with Part 3 of the Human Rights (Parliamentary Scrutiny) Act 2011</w:t>
      </w:r>
    </w:p>
    <w:p w14:paraId="5A3E439C" w14:textId="77777777" w:rsidR="0045788E" w:rsidRPr="002E7780" w:rsidRDefault="002E7780" w:rsidP="0045788E">
      <w:pPr>
        <w:spacing w:after="220"/>
        <w:jc w:val="center"/>
        <w:rPr>
          <w:rFonts w:ascii="Times New Roman" w:hAnsi="Times New Roman" w:cs="Times New Roman"/>
          <w:b/>
          <w:bCs/>
          <w:i/>
          <w:iCs/>
          <w:sz w:val="24"/>
          <w:szCs w:val="24"/>
        </w:rPr>
      </w:pPr>
      <w:r w:rsidRPr="002E7780">
        <w:rPr>
          <w:rFonts w:ascii="Times New Roman" w:eastAsia="Times New Roman" w:hAnsi="Times New Roman" w:cs="Times New Roman"/>
          <w:b/>
          <w:sz w:val="24"/>
          <w:szCs w:val="24"/>
          <w:lang w:eastAsia="en-AU"/>
        </w:rPr>
        <w:t xml:space="preserve">Occupational Health and Safety (Maritime Industry) </w:t>
      </w:r>
      <w:r w:rsidRPr="002E7780">
        <w:rPr>
          <w:rFonts w:ascii="Times New Roman" w:eastAsia="Times New Roman" w:hAnsi="Times New Roman" w:cs="Times New Roman"/>
          <w:b/>
          <w:i/>
          <w:sz w:val="24"/>
          <w:szCs w:val="24"/>
          <w:lang w:eastAsia="en-AU"/>
        </w:rPr>
        <w:t>(Prescribed Ship or Unit — Intra-State Trade)</w:t>
      </w:r>
      <w:r w:rsidRPr="002E7780">
        <w:rPr>
          <w:rFonts w:ascii="Times New Roman" w:eastAsia="Times New Roman" w:hAnsi="Times New Roman" w:cs="Times New Roman"/>
          <w:b/>
          <w:sz w:val="24"/>
          <w:szCs w:val="24"/>
          <w:lang w:eastAsia="en-AU"/>
        </w:rPr>
        <w:t xml:space="preserve"> Declaration 2015</w:t>
      </w:r>
      <w:r w:rsidR="007B24F3">
        <w:rPr>
          <w:rFonts w:ascii="Times New Roman" w:eastAsia="Times New Roman" w:hAnsi="Times New Roman" w:cs="Times New Roman"/>
          <w:b/>
          <w:sz w:val="24"/>
          <w:szCs w:val="24"/>
          <w:lang w:eastAsia="en-AU"/>
        </w:rPr>
        <w:t xml:space="preserve"> (No. 2)</w:t>
      </w:r>
    </w:p>
    <w:p w14:paraId="5A3E439D" w14:textId="77777777" w:rsidR="0045788E" w:rsidRDefault="0045788E" w:rsidP="00FA53C6">
      <w:pPr>
        <w:spacing w:after="220"/>
        <w:rPr>
          <w:rFonts w:ascii="Times New Roman" w:hAnsi="Times New Roman" w:cs="Times New Roman"/>
          <w:sz w:val="24"/>
          <w:szCs w:val="24"/>
        </w:rPr>
      </w:pPr>
      <w:r>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Pr>
          <w:rFonts w:ascii="Times New Roman" w:hAnsi="Times New Roman" w:cs="Times New Roman"/>
          <w:i/>
          <w:sz w:val="24"/>
          <w:szCs w:val="24"/>
        </w:rPr>
        <w:t>Human Rights (Parliamentary Scrutiny) Act 2011</w:t>
      </w:r>
      <w:r>
        <w:rPr>
          <w:rFonts w:ascii="Times New Roman" w:hAnsi="Times New Roman" w:cs="Times New Roman"/>
          <w:sz w:val="24"/>
          <w:szCs w:val="24"/>
        </w:rPr>
        <w:t>.</w:t>
      </w:r>
    </w:p>
    <w:p w14:paraId="5A3E439E" w14:textId="77777777" w:rsidR="0045788E" w:rsidRDefault="0045788E" w:rsidP="0045788E">
      <w:pPr>
        <w:spacing w:after="220"/>
        <w:rPr>
          <w:rFonts w:ascii="Times New Roman" w:hAnsi="Times New Roman" w:cs="Times New Roman"/>
          <w:b/>
          <w:sz w:val="24"/>
          <w:szCs w:val="24"/>
        </w:rPr>
      </w:pPr>
      <w:r>
        <w:rPr>
          <w:rFonts w:ascii="Times New Roman" w:hAnsi="Times New Roman" w:cs="Times New Roman"/>
          <w:b/>
          <w:sz w:val="24"/>
          <w:szCs w:val="24"/>
        </w:rPr>
        <w:t>Overview of the Legislative Instrument</w:t>
      </w:r>
    </w:p>
    <w:p w14:paraId="5A3E439F" w14:textId="77777777" w:rsidR="00413FF2" w:rsidRPr="00666005" w:rsidRDefault="00413FF2" w:rsidP="00413FF2">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i/>
          <w:sz w:val="24"/>
          <w:szCs w:val="24"/>
          <w:lang w:eastAsia="en-AU"/>
        </w:rPr>
        <w:t>Occupational Health and Safety (Maritime Industry) Act 1993</w:t>
      </w:r>
      <w:r>
        <w:rPr>
          <w:rFonts w:ascii="Times New Roman" w:eastAsia="Times New Roman" w:hAnsi="Times New Roman" w:cs="Times New Roman"/>
          <w:sz w:val="24"/>
          <w:szCs w:val="24"/>
          <w:lang w:eastAsia="en-AU"/>
        </w:rPr>
        <w:t xml:space="preserve"> (OHS(MI) Act) regulates work health and safety for a defined part of the Australian maritime industry. The OHS(MI) Act operates in conjunction with the </w:t>
      </w:r>
      <w:r>
        <w:rPr>
          <w:rFonts w:ascii="Times New Roman" w:eastAsia="Times New Roman" w:hAnsi="Times New Roman" w:cs="Times New Roman"/>
          <w:i/>
          <w:sz w:val="24"/>
          <w:szCs w:val="24"/>
          <w:lang w:eastAsia="en-AU"/>
        </w:rPr>
        <w:t>Seafarers Rehabilitation and Compensation Act 1992</w:t>
      </w:r>
      <w:r>
        <w:rPr>
          <w:rFonts w:ascii="Times New Roman" w:eastAsia="Times New Roman" w:hAnsi="Times New Roman" w:cs="Times New Roman"/>
          <w:sz w:val="24"/>
          <w:szCs w:val="24"/>
          <w:lang w:eastAsia="en-AU"/>
        </w:rPr>
        <w:t xml:space="preserve"> (Seafarers Act) to provide a combined work health and safety and workers’ compensation scheme known as the ‘Seacare scheme’. </w:t>
      </w:r>
      <w:r w:rsidRPr="00666005">
        <w:rPr>
          <w:rFonts w:ascii="Times New Roman" w:eastAsia="Times New Roman" w:hAnsi="Times New Roman" w:cs="Times New Roman"/>
          <w:sz w:val="24"/>
          <w:szCs w:val="24"/>
          <w:lang w:eastAsia="en-AU"/>
        </w:rPr>
        <w:t>The OHS(MI) Act is co</w:t>
      </w:r>
      <w:r>
        <w:rPr>
          <w:rFonts w:ascii="Times New Roman" w:eastAsia="Times New Roman" w:hAnsi="Times New Roman" w:cs="Times New Roman"/>
          <w:sz w:val="24"/>
          <w:szCs w:val="24"/>
          <w:lang w:eastAsia="en-AU"/>
        </w:rPr>
        <w:t>-</w:t>
      </w:r>
      <w:r w:rsidRPr="00666005">
        <w:rPr>
          <w:rFonts w:ascii="Times New Roman" w:eastAsia="Times New Roman" w:hAnsi="Times New Roman" w:cs="Times New Roman"/>
          <w:sz w:val="24"/>
          <w:szCs w:val="24"/>
          <w:lang w:eastAsia="en-AU"/>
        </w:rPr>
        <w:t xml:space="preserve">regulated by the Seafarers Safety, Rehabilitation and Compensation Authority </w:t>
      </w:r>
      <w:r>
        <w:rPr>
          <w:rFonts w:ascii="Times New Roman" w:eastAsia="Times New Roman" w:hAnsi="Times New Roman" w:cs="Times New Roman"/>
          <w:sz w:val="24"/>
          <w:szCs w:val="24"/>
          <w:lang w:eastAsia="en-AU"/>
        </w:rPr>
        <w:t>(‘</w:t>
      </w:r>
      <w:r w:rsidRPr="00666005">
        <w:rPr>
          <w:rFonts w:ascii="Times New Roman" w:eastAsia="Times New Roman" w:hAnsi="Times New Roman" w:cs="Times New Roman"/>
          <w:sz w:val="24"/>
          <w:szCs w:val="24"/>
          <w:lang w:eastAsia="en-AU"/>
        </w:rPr>
        <w:t>Seacare Authority</w:t>
      </w:r>
      <w:r>
        <w:rPr>
          <w:rFonts w:ascii="Times New Roman" w:eastAsia="Times New Roman" w:hAnsi="Times New Roman" w:cs="Times New Roman"/>
          <w:sz w:val="24"/>
          <w:szCs w:val="24"/>
          <w:lang w:eastAsia="en-AU"/>
        </w:rPr>
        <w:t>’)</w:t>
      </w:r>
      <w:r w:rsidRPr="00666005">
        <w:rPr>
          <w:rFonts w:ascii="Times New Roman" w:eastAsia="Times New Roman" w:hAnsi="Times New Roman" w:cs="Times New Roman"/>
          <w:sz w:val="24"/>
          <w:szCs w:val="24"/>
          <w:lang w:eastAsia="en-AU"/>
        </w:rPr>
        <w:t xml:space="preserve"> and the Australian Maritime Safety Authority (AMSA), with AMSA being the inspectorate responsible for enforcing the OHS(MI) Act.</w:t>
      </w:r>
    </w:p>
    <w:p w14:paraId="5A3E43A0" w14:textId="77777777" w:rsidR="00413FF2" w:rsidRDefault="00413FF2" w:rsidP="00413FF2">
      <w:pPr>
        <w:rPr>
          <w:rFonts w:ascii="Times New Roman" w:eastAsia="Times New Roman" w:hAnsi="Times New Roman" w:cs="Times New Roman"/>
          <w:sz w:val="24"/>
          <w:szCs w:val="24"/>
          <w:lang w:eastAsia="en-AU"/>
        </w:rPr>
      </w:pPr>
    </w:p>
    <w:p w14:paraId="5A3E43A1" w14:textId="77777777" w:rsidR="00484154" w:rsidRDefault="00484154" w:rsidP="00484154">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coverage of the Seacare scheme has historically been understood by maritime industry regulators and participants to operate primarily by reference to the form of trade or commerce being engaged in by a ship. Ships engaged in interstate or international trade or commerce were understood to be covered by the Seacare Scheme, while ships engaged in intrastate trade or commerce were understood to be covered by the legislation of the state in which they operate. </w:t>
      </w:r>
    </w:p>
    <w:p w14:paraId="5A3E43A2" w14:textId="77777777" w:rsidR="00413FF2" w:rsidRDefault="00413FF2" w:rsidP="00413FF2">
      <w:pPr>
        <w:rPr>
          <w:rFonts w:ascii="Times New Roman" w:eastAsia="Times New Roman" w:hAnsi="Times New Roman" w:cs="Times New Roman"/>
          <w:sz w:val="24"/>
          <w:szCs w:val="24"/>
          <w:lang w:eastAsia="en-AU"/>
        </w:rPr>
      </w:pPr>
    </w:p>
    <w:p w14:paraId="5A3E43A3" w14:textId="77777777" w:rsidR="00484154" w:rsidRDefault="00484154" w:rsidP="00484154">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w:t>
      </w:r>
      <w:r w:rsidRPr="00D027E1">
        <w:rPr>
          <w:rFonts w:ascii="Times New Roman" w:eastAsia="Times New Roman" w:hAnsi="Times New Roman" w:cs="Times New Roman"/>
          <w:i/>
          <w:sz w:val="24"/>
          <w:szCs w:val="24"/>
          <w:lang w:eastAsia="en-AU"/>
        </w:rPr>
        <w:t xml:space="preserve">Samson Maritime Pty Ltd v </w:t>
      </w:r>
      <w:proofErr w:type="spellStart"/>
      <w:r w:rsidRPr="00D027E1">
        <w:rPr>
          <w:rFonts w:ascii="Times New Roman" w:eastAsia="Times New Roman" w:hAnsi="Times New Roman" w:cs="Times New Roman"/>
          <w:i/>
          <w:sz w:val="24"/>
          <w:szCs w:val="24"/>
          <w:lang w:eastAsia="en-AU"/>
        </w:rPr>
        <w:t>Aucote</w:t>
      </w:r>
      <w:proofErr w:type="spellEnd"/>
      <w:r w:rsidRPr="00D027E1">
        <w:rPr>
          <w:rFonts w:ascii="Times New Roman" w:eastAsia="Times New Roman" w:hAnsi="Times New Roman" w:cs="Times New Roman"/>
          <w:i/>
          <w:sz w:val="24"/>
          <w:szCs w:val="24"/>
          <w:lang w:eastAsia="en-AU"/>
        </w:rPr>
        <w:t xml:space="preserve"> </w:t>
      </w:r>
      <w:r w:rsidRPr="00D027E1">
        <w:rPr>
          <w:rFonts w:ascii="Times New Roman" w:eastAsia="Times New Roman" w:hAnsi="Times New Roman" w:cs="Times New Roman"/>
          <w:sz w:val="24"/>
          <w:szCs w:val="24"/>
          <w:lang w:eastAsia="en-AU"/>
        </w:rPr>
        <w:t xml:space="preserve">[2014] </w:t>
      </w:r>
      <w:proofErr w:type="spellStart"/>
      <w:r w:rsidRPr="00D027E1">
        <w:rPr>
          <w:rFonts w:ascii="Times New Roman" w:eastAsia="Times New Roman" w:hAnsi="Times New Roman" w:cs="Times New Roman"/>
          <w:sz w:val="24"/>
          <w:szCs w:val="24"/>
          <w:lang w:eastAsia="en-AU"/>
        </w:rPr>
        <w:t>FCAFC</w:t>
      </w:r>
      <w:proofErr w:type="spellEnd"/>
      <w:r w:rsidRPr="00D027E1">
        <w:rPr>
          <w:rFonts w:ascii="Times New Roman" w:eastAsia="Times New Roman" w:hAnsi="Times New Roman" w:cs="Times New Roman"/>
          <w:sz w:val="24"/>
          <w:szCs w:val="24"/>
          <w:lang w:eastAsia="en-AU"/>
        </w:rPr>
        <w:t xml:space="preserve"> 182, the Full Court of the Federal Court held</w:t>
      </w:r>
      <w:r>
        <w:rPr>
          <w:rFonts w:ascii="Times New Roman" w:eastAsia="Times New Roman" w:hAnsi="Times New Roman" w:cs="Times New Roman"/>
          <w:sz w:val="24"/>
          <w:szCs w:val="24"/>
          <w:lang w:eastAsia="en-AU"/>
        </w:rPr>
        <w:t xml:space="preserve"> that the application provisions of the Seafarers Act operated to apply the Seafarers Act to seafarers employed by a trading, financial or foreign corporation on a prescribed ship, including ships engaged in intrastate trade. This is a substantially broader coverage than what has been historically understood by maritime industry regulators and participants. Because of the similarity of the application provisions in the Seafarers Act and the OHS(MI) Act, the decision has potential implications for the coverage of the OHS(MI) Act.</w:t>
      </w:r>
    </w:p>
    <w:p w14:paraId="34C18BC9" w14:textId="77777777" w:rsidR="0026775C" w:rsidRDefault="0026775C" w:rsidP="00484154">
      <w:pPr>
        <w:rPr>
          <w:rFonts w:ascii="Times New Roman" w:eastAsia="Times New Roman" w:hAnsi="Times New Roman" w:cs="Times New Roman"/>
          <w:sz w:val="24"/>
          <w:szCs w:val="24"/>
          <w:lang w:eastAsia="en-AU"/>
        </w:rPr>
      </w:pPr>
    </w:p>
    <w:p w14:paraId="001C7B29" w14:textId="23FABDAC" w:rsidR="0026775C" w:rsidRPr="0026775C" w:rsidRDefault="0026775C" w:rsidP="00484154">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i/>
          <w:sz w:val="24"/>
          <w:szCs w:val="24"/>
          <w:lang w:eastAsia="en-AU"/>
        </w:rPr>
        <w:t>Seafarers Rehabilitation and Compensation and Other Legislation Amendment Act 2015</w:t>
      </w:r>
      <w:r>
        <w:rPr>
          <w:rFonts w:ascii="Times New Roman" w:eastAsia="Times New Roman" w:hAnsi="Times New Roman" w:cs="Times New Roman"/>
          <w:sz w:val="24"/>
          <w:szCs w:val="24"/>
          <w:lang w:eastAsia="en-AU"/>
        </w:rPr>
        <w:t xml:space="preserve">, which received the Royal Assent on 26 May 2015, will address the retrospective coverage issues raised by the </w:t>
      </w:r>
      <w:proofErr w:type="spellStart"/>
      <w:r>
        <w:rPr>
          <w:rFonts w:ascii="Times New Roman" w:eastAsia="Times New Roman" w:hAnsi="Times New Roman" w:cs="Times New Roman"/>
          <w:i/>
          <w:sz w:val="24"/>
          <w:szCs w:val="24"/>
          <w:lang w:eastAsia="en-AU"/>
        </w:rPr>
        <w:t>Aucote</w:t>
      </w:r>
      <w:proofErr w:type="spellEnd"/>
      <w:r>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sz w:val="24"/>
          <w:szCs w:val="24"/>
          <w:lang w:eastAsia="en-AU"/>
        </w:rPr>
        <w:t>decision.</w:t>
      </w:r>
    </w:p>
    <w:p w14:paraId="5A3E43A4" w14:textId="77777777" w:rsidR="00413FF2" w:rsidRDefault="00413FF2" w:rsidP="00413FF2">
      <w:pPr>
        <w:rPr>
          <w:rFonts w:ascii="Times New Roman" w:eastAsia="Times New Roman" w:hAnsi="Times New Roman" w:cs="Times New Roman"/>
          <w:sz w:val="24"/>
          <w:szCs w:val="24"/>
          <w:lang w:eastAsia="en-AU"/>
        </w:rPr>
      </w:pPr>
    </w:p>
    <w:p w14:paraId="5A3E43A5" w14:textId="75DF042D" w:rsidR="00413FF2" w:rsidRDefault="005C4A0E" w:rsidP="00413FF2">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order to address the consequences of this decision, t</w:t>
      </w:r>
      <w:r w:rsidR="00413FF2">
        <w:rPr>
          <w:rFonts w:ascii="Times New Roman" w:eastAsia="Times New Roman" w:hAnsi="Times New Roman" w:cs="Times New Roman"/>
          <w:sz w:val="24"/>
          <w:szCs w:val="24"/>
          <w:lang w:eastAsia="en-AU"/>
        </w:rPr>
        <w:t xml:space="preserve">he </w:t>
      </w:r>
      <w:r w:rsidR="00413FF2" w:rsidRPr="0047517C">
        <w:rPr>
          <w:rFonts w:ascii="Times New Roman" w:eastAsia="Times New Roman" w:hAnsi="Times New Roman" w:cs="Times New Roman"/>
          <w:i/>
          <w:sz w:val="24"/>
          <w:szCs w:val="24"/>
          <w:lang w:eastAsia="en-AU"/>
        </w:rPr>
        <w:t>Occupational Health and Safety (Maritime Industry) (Prescribed Ship or Unit — Intra-State Trade) Declaration 2015</w:t>
      </w:r>
      <w:r w:rsidR="00413FF2">
        <w:rPr>
          <w:rFonts w:ascii="Times New Roman" w:eastAsia="Times New Roman" w:hAnsi="Times New Roman" w:cs="Times New Roman"/>
          <w:sz w:val="24"/>
          <w:szCs w:val="24"/>
          <w:lang w:eastAsia="en-AU"/>
        </w:rPr>
        <w:t xml:space="preserve"> </w:t>
      </w:r>
      <w:r w:rsidR="009B1159">
        <w:rPr>
          <w:rFonts w:ascii="Times New Roman" w:eastAsia="Times New Roman" w:hAnsi="Times New Roman" w:cs="Times New Roman"/>
          <w:i/>
          <w:sz w:val="24"/>
          <w:szCs w:val="24"/>
          <w:lang w:eastAsia="en-AU"/>
        </w:rPr>
        <w:t xml:space="preserve">(No. 2) </w:t>
      </w:r>
      <w:r w:rsidR="00413FF2">
        <w:rPr>
          <w:rFonts w:ascii="Times New Roman" w:eastAsia="Times New Roman" w:hAnsi="Times New Roman" w:cs="Times New Roman"/>
          <w:sz w:val="24"/>
          <w:szCs w:val="24"/>
          <w:lang w:eastAsia="en-AU"/>
        </w:rPr>
        <w:t>(the Declaration) declares that a ship or vessel which is only engaged in intrastate trade is not a prescribed ship or a prescribed unit for the purposes of the OHS(MI) Act</w:t>
      </w:r>
      <w:r w:rsidR="00413FF2" w:rsidRPr="004F75B2">
        <w:rPr>
          <w:rFonts w:ascii="Times New Roman" w:eastAsia="Times New Roman" w:hAnsi="Times New Roman" w:cs="Times New Roman"/>
          <w:sz w:val="24"/>
          <w:szCs w:val="24"/>
          <w:lang w:eastAsia="en-AU"/>
        </w:rPr>
        <w:t>.</w:t>
      </w:r>
      <w:r w:rsidR="009B1159" w:rsidRPr="004F75B2">
        <w:rPr>
          <w:rFonts w:ascii="Times New Roman" w:eastAsia="Times New Roman" w:hAnsi="Times New Roman" w:cs="Times New Roman"/>
          <w:sz w:val="24"/>
          <w:szCs w:val="24"/>
          <w:lang w:eastAsia="en-AU"/>
        </w:rPr>
        <w:t xml:space="preserve"> The Declaration will not affect ships </w:t>
      </w:r>
      <w:r w:rsidR="00466F6D">
        <w:rPr>
          <w:rFonts w:ascii="Times New Roman" w:eastAsia="Times New Roman" w:hAnsi="Times New Roman" w:cs="Times New Roman"/>
          <w:sz w:val="24"/>
          <w:szCs w:val="24"/>
          <w:lang w:eastAsia="en-AU"/>
        </w:rPr>
        <w:t>that</w:t>
      </w:r>
      <w:r w:rsidR="00466F6D" w:rsidRPr="004F75B2">
        <w:rPr>
          <w:rFonts w:ascii="Times New Roman" w:eastAsia="Times New Roman" w:hAnsi="Times New Roman" w:cs="Times New Roman"/>
          <w:sz w:val="24"/>
          <w:szCs w:val="24"/>
          <w:lang w:eastAsia="en-AU"/>
        </w:rPr>
        <w:t xml:space="preserve"> </w:t>
      </w:r>
      <w:r w:rsidR="009B1159" w:rsidRPr="004F75B2">
        <w:rPr>
          <w:rFonts w:ascii="Times New Roman" w:eastAsia="Times New Roman" w:hAnsi="Times New Roman" w:cs="Times New Roman"/>
          <w:sz w:val="24"/>
          <w:szCs w:val="24"/>
          <w:lang w:eastAsia="en-AU"/>
        </w:rPr>
        <w:t xml:space="preserve">are subject to the OHS(MI) Act because they are covered by declarations under the now repealed </w:t>
      </w:r>
      <w:r w:rsidR="009B1159" w:rsidRPr="004F75B2">
        <w:rPr>
          <w:rFonts w:ascii="Times New Roman" w:eastAsia="Times New Roman" w:hAnsi="Times New Roman" w:cs="Times New Roman"/>
          <w:i/>
          <w:sz w:val="24"/>
          <w:szCs w:val="24"/>
          <w:lang w:eastAsia="en-AU"/>
        </w:rPr>
        <w:t>Navigation Act 1912</w:t>
      </w:r>
      <w:r w:rsidR="009B1159" w:rsidRPr="004F75B2">
        <w:rPr>
          <w:rFonts w:ascii="Times New Roman" w:eastAsia="Times New Roman" w:hAnsi="Times New Roman" w:cs="Times New Roman"/>
          <w:sz w:val="24"/>
          <w:szCs w:val="24"/>
          <w:lang w:eastAsia="en-AU"/>
        </w:rPr>
        <w:t xml:space="preserve"> or because they are licenced under the </w:t>
      </w:r>
      <w:r w:rsidR="009B1159" w:rsidRPr="004F75B2">
        <w:rPr>
          <w:rFonts w:ascii="Times New Roman" w:eastAsia="Times New Roman" w:hAnsi="Times New Roman" w:cs="Times New Roman"/>
          <w:i/>
          <w:sz w:val="24"/>
          <w:szCs w:val="24"/>
          <w:lang w:eastAsia="en-AU"/>
        </w:rPr>
        <w:t>Coastal Shipping (Revitalising Australian Shipping) Act 2012</w:t>
      </w:r>
      <w:r w:rsidR="009B1159" w:rsidRPr="004F75B2">
        <w:rPr>
          <w:rFonts w:ascii="Times New Roman" w:eastAsia="Times New Roman" w:hAnsi="Times New Roman" w:cs="Times New Roman"/>
          <w:sz w:val="24"/>
          <w:szCs w:val="24"/>
          <w:lang w:eastAsia="en-AU"/>
        </w:rPr>
        <w:t>.</w:t>
      </w:r>
    </w:p>
    <w:p w14:paraId="5A3E43A6" w14:textId="77777777" w:rsidR="00413FF2" w:rsidRDefault="00413FF2" w:rsidP="00413FF2">
      <w:pPr>
        <w:rPr>
          <w:rFonts w:ascii="Times New Roman" w:eastAsia="Times New Roman" w:hAnsi="Times New Roman" w:cs="Times New Roman"/>
          <w:sz w:val="24"/>
          <w:szCs w:val="24"/>
          <w:lang w:eastAsia="en-AU"/>
        </w:rPr>
      </w:pPr>
    </w:p>
    <w:p w14:paraId="5A3E43A7" w14:textId="07B03720" w:rsidR="00413FF2" w:rsidRDefault="00413FF2" w:rsidP="00413FF2">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OHS(MI) Act will </w:t>
      </w:r>
      <w:r w:rsidR="005C4A0E">
        <w:rPr>
          <w:rFonts w:ascii="Times New Roman" w:eastAsia="Times New Roman" w:hAnsi="Times New Roman" w:cs="Times New Roman"/>
          <w:sz w:val="24"/>
          <w:szCs w:val="24"/>
          <w:lang w:eastAsia="en-AU"/>
        </w:rPr>
        <w:t>no longer</w:t>
      </w:r>
      <w:r>
        <w:rPr>
          <w:rFonts w:ascii="Times New Roman" w:eastAsia="Times New Roman" w:hAnsi="Times New Roman" w:cs="Times New Roman"/>
          <w:sz w:val="24"/>
          <w:szCs w:val="24"/>
          <w:lang w:eastAsia="en-AU"/>
        </w:rPr>
        <w:t xml:space="preserve"> apply to ships and vessels </w:t>
      </w:r>
      <w:r w:rsidR="00466F6D">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lang w:eastAsia="en-AU"/>
        </w:rPr>
        <w:t xml:space="preserve">are affected by </w:t>
      </w:r>
      <w:r w:rsidR="005C4A0E">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w:t>
      </w:r>
      <w:r w:rsidR="005C4A0E">
        <w:rPr>
          <w:rFonts w:ascii="Times New Roman" w:eastAsia="Times New Roman" w:hAnsi="Times New Roman" w:cs="Times New Roman"/>
          <w:sz w:val="24"/>
          <w:szCs w:val="24"/>
          <w:lang w:eastAsia="en-AU"/>
        </w:rPr>
        <w:t>D</w:t>
      </w:r>
      <w:r>
        <w:rPr>
          <w:rFonts w:ascii="Times New Roman" w:eastAsia="Times New Roman" w:hAnsi="Times New Roman" w:cs="Times New Roman"/>
          <w:sz w:val="24"/>
          <w:szCs w:val="24"/>
          <w:lang w:eastAsia="en-AU"/>
        </w:rPr>
        <w:t xml:space="preserve">eclaration (that is, ships and vessels only engaged in intra-state trade). These ships and vessels will instead be subject to </w:t>
      </w:r>
      <w:r w:rsidR="00484154">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work health and safety legislation</w:t>
      </w:r>
      <w:r w:rsidR="00484154">
        <w:rPr>
          <w:rFonts w:ascii="Times New Roman" w:eastAsia="Times New Roman" w:hAnsi="Times New Roman" w:cs="Times New Roman"/>
          <w:sz w:val="24"/>
          <w:szCs w:val="24"/>
          <w:lang w:eastAsia="en-AU"/>
        </w:rPr>
        <w:t xml:space="preserve"> of the state in which they operate</w:t>
      </w:r>
      <w:r>
        <w:rPr>
          <w:rFonts w:ascii="Times New Roman" w:eastAsia="Times New Roman" w:hAnsi="Times New Roman" w:cs="Times New Roman"/>
          <w:sz w:val="24"/>
          <w:szCs w:val="24"/>
          <w:lang w:eastAsia="en-AU"/>
        </w:rPr>
        <w:t>.</w:t>
      </w:r>
    </w:p>
    <w:p w14:paraId="312A6EF9" w14:textId="77777777" w:rsidR="0026775C" w:rsidRDefault="0026775C" w:rsidP="00413FF2">
      <w:pPr>
        <w:rPr>
          <w:rFonts w:ascii="Times New Roman" w:eastAsia="Times New Roman" w:hAnsi="Times New Roman" w:cs="Times New Roman"/>
          <w:sz w:val="24"/>
          <w:szCs w:val="24"/>
          <w:lang w:eastAsia="en-AU"/>
        </w:rPr>
      </w:pPr>
    </w:p>
    <w:p w14:paraId="7AB4C688" w14:textId="3CC545E8" w:rsidR="0026775C" w:rsidRPr="0026775C" w:rsidRDefault="0026775C" w:rsidP="0026775C">
      <w:pPr>
        <w:rPr>
          <w:rFonts w:ascii="Times New Roman" w:eastAsia="Times New Roman" w:hAnsi="Times New Roman" w:cs="Times New Roman"/>
          <w:sz w:val="24"/>
          <w:szCs w:val="24"/>
          <w:lang w:eastAsia="en-AU"/>
        </w:rPr>
      </w:pPr>
      <w:r w:rsidRPr="0026775C">
        <w:rPr>
          <w:rFonts w:ascii="Times New Roman" w:eastAsia="Times New Roman" w:hAnsi="Times New Roman" w:cs="Times New Roman"/>
          <w:sz w:val="24"/>
          <w:szCs w:val="24"/>
          <w:lang w:eastAsia="en-AU"/>
        </w:rPr>
        <w:t>The Government has committed to introducing legislation for a comprehensive reform of the Seacare scheme, including coverage rules, before the end of 2015. The Declaration will provide an interim measure while the Government develops, and undertakes important consultations in relation to, this much needed reform of the Seacare scheme.</w:t>
      </w:r>
    </w:p>
    <w:p w14:paraId="43F007B8" w14:textId="77777777" w:rsidR="0026775C" w:rsidRDefault="0026775C" w:rsidP="00413FF2">
      <w:pPr>
        <w:rPr>
          <w:rFonts w:ascii="Times New Roman" w:eastAsia="Times New Roman" w:hAnsi="Times New Roman" w:cs="Times New Roman"/>
          <w:sz w:val="24"/>
          <w:szCs w:val="24"/>
          <w:lang w:eastAsia="en-AU"/>
        </w:rPr>
      </w:pPr>
    </w:p>
    <w:p w14:paraId="5A3E43A8" w14:textId="77777777" w:rsidR="00413FF2" w:rsidRDefault="00413FF2" w:rsidP="00413FF2">
      <w:pPr>
        <w:rPr>
          <w:rFonts w:ascii="Times New Roman" w:eastAsia="Times New Roman" w:hAnsi="Times New Roman" w:cs="Times New Roman"/>
          <w:sz w:val="24"/>
          <w:szCs w:val="24"/>
          <w:lang w:eastAsia="en-AU"/>
        </w:rPr>
      </w:pPr>
    </w:p>
    <w:p w14:paraId="5A3E43A9" w14:textId="77777777" w:rsidR="0045788E" w:rsidRDefault="0045788E" w:rsidP="0045788E">
      <w:pPr>
        <w:spacing w:after="220"/>
        <w:rPr>
          <w:rFonts w:ascii="Times New Roman" w:hAnsi="Times New Roman" w:cs="Times New Roman"/>
          <w:b/>
          <w:sz w:val="24"/>
          <w:szCs w:val="24"/>
        </w:rPr>
      </w:pPr>
      <w:r>
        <w:rPr>
          <w:rFonts w:ascii="Times New Roman" w:hAnsi="Times New Roman" w:cs="Times New Roman"/>
          <w:b/>
          <w:sz w:val="24"/>
          <w:szCs w:val="24"/>
        </w:rPr>
        <w:t>Human rights implications</w:t>
      </w:r>
    </w:p>
    <w:p w14:paraId="5A3E43AA" w14:textId="77777777" w:rsidR="00413FF2" w:rsidRPr="00413FF2" w:rsidRDefault="00413FF2" w:rsidP="00413FF2">
      <w:pPr>
        <w:spacing w:after="240"/>
        <w:rPr>
          <w:rFonts w:ascii="Times New Roman" w:eastAsia="Times New Roman" w:hAnsi="Times New Roman" w:cs="Times New Roman"/>
          <w:sz w:val="24"/>
          <w:szCs w:val="24"/>
        </w:rPr>
      </w:pPr>
      <w:r w:rsidRPr="00413FF2">
        <w:rPr>
          <w:rFonts w:ascii="Times New Roman" w:eastAsia="Times New Roman" w:hAnsi="Times New Roman" w:cs="Times New Roman"/>
          <w:sz w:val="24"/>
          <w:szCs w:val="24"/>
        </w:rPr>
        <w:t>The right to safe and healthy working conditions is part of the set of interdependent rights relating to work and conditions of work set out in articles 6, 7 and 8 of</w:t>
      </w:r>
      <w:r>
        <w:rPr>
          <w:rFonts w:ascii="Times New Roman" w:eastAsia="Times New Roman" w:hAnsi="Times New Roman" w:cs="Times New Roman"/>
          <w:sz w:val="24"/>
          <w:szCs w:val="24"/>
        </w:rPr>
        <w:t xml:space="preserve"> the</w:t>
      </w:r>
      <w:r w:rsidRPr="00413FF2">
        <w:rPr>
          <w:rFonts w:ascii="Times New Roman" w:eastAsia="Times New Roman" w:hAnsi="Times New Roman" w:cs="Times New Roman"/>
          <w:sz w:val="24"/>
          <w:szCs w:val="24"/>
        </w:rPr>
        <w:t xml:space="preserve"> </w:t>
      </w:r>
      <w:r w:rsidRPr="00413FF2">
        <w:rPr>
          <w:rFonts w:ascii="Times New Roman" w:eastAsia="Times New Roman" w:hAnsi="Times New Roman" w:cs="Times New Roman"/>
          <w:i/>
          <w:sz w:val="24"/>
          <w:szCs w:val="24"/>
        </w:rPr>
        <w:t>International Convention on Economic Social and Cultural Rights</w:t>
      </w:r>
      <w:r>
        <w:rPr>
          <w:rFonts w:ascii="Times New Roman" w:eastAsia="Times New Roman" w:hAnsi="Times New Roman" w:cs="Times New Roman"/>
          <w:sz w:val="24"/>
          <w:szCs w:val="24"/>
        </w:rPr>
        <w:t xml:space="preserve"> (ICESCR)</w:t>
      </w:r>
      <w:r w:rsidRPr="00413FF2">
        <w:rPr>
          <w:rFonts w:ascii="Times New Roman" w:eastAsia="Times New Roman" w:hAnsi="Times New Roman" w:cs="Times New Roman"/>
          <w:sz w:val="24"/>
          <w:szCs w:val="24"/>
        </w:rPr>
        <w:t xml:space="preserve">. Article 7(b) of ICESCR requires </w:t>
      </w:r>
      <w:r w:rsidR="00BE2EFA">
        <w:rPr>
          <w:rFonts w:ascii="Times New Roman" w:eastAsia="Times New Roman" w:hAnsi="Times New Roman" w:cs="Times New Roman"/>
          <w:sz w:val="24"/>
          <w:szCs w:val="24"/>
        </w:rPr>
        <w:t xml:space="preserve">the </w:t>
      </w:r>
      <w:r w:rsidRPr="00413FF2">
        <w:rPr>
          <w:rFonts w:ascii="Times New Roman" w:eastAsia="Times New Roman" w:hAnsi="Times New Roman" w:cs="Times New Roman"/>
          <w:sz w:val="24"/>
          <w:szCs w:val="24"/>
        </w:rPr>
        <w:t xml:space="preserve">States Parties to recognise the right of everyone to safe and healthy working conditions. </w:t>
      </w:r>
    </w:p>
    <w:p w14:paraId="5A3E43AB" w14:textId="0E3F7502" w:rsidR="00413FF2" w:rsidRPr="00413FF2" w:rsidRDefault="00413FF2" w:rsidP="00413FF2">
      <w:pPr>
        <w:spacing w:after="240"/>
        <w:rPr>
          <w:rFonts w:ascii="Times New Roman" w:eastAsia="Times New Roman" w:hAnsi="Times New Roman" w:cs="Times New Roman"/>
          <w:sz w:val="24"/>
          <w:szCs w:val="24"/>
        </w:rPr>
      </w:pPr>
      <w:r w:rsidRPr="00413FF2">
        <w:rPr>
          <w:rFonts w:ascii="Times New Roman" w:eastAsia="Times New Roman" w:hAnsi="Times New Roman" w:cs="Times New Roman"/>
          <w:sz w:val="24"/>
          <w:szCs w:val="24"/>
        </w:rPr>
        <w:t>Australia principally complies with this obligation through a system of Commonwealth</w:t>
      </w:r>
      <w:r w:rsidR="00484154">
        <w:rPr>
          <w:rFonts w:ascii="Times New Roman" w:eastAsia="Times New Roman" w:hAnsi="Times New Roman" w:cs="Times New Roman"/>
          <w:sz w:val="24"/>
          <w:szCs w:val="24"/>
        </w:rPr>
        <w:t>,</w:t>
      </w:r>
      <w:r w:rsidRPr="00413FF2">
        <w:rPr>
          <w:rFonts w:ascii="Times New Roman" w:eastAsia="Times New Roman" w:hAnsi="Times New Roman" w:cs="Times New Roman"/>
          <w:sz w:val="24"/>
          <w:szCs w:val="24"/>
        </w:rPr>
        <w:t xml:space="preserve"> </w:t>
      </w:r>
      <w:r w:rsidR="00484154" w:rsidRPr="00413FF2">
        <w:rPr>
          <w:rFonts w:ascii="Times New Roman" w:eastAsia="Times New Roman" w:hAnsi="Times New Roman" w:cs="Times New Roman"/>
          <w:sz w:val="24"/>
          <w:szCs w:val="24"/>
        </w:rPr>
        <w:t>state</w:t>
      </w:r>
      <w:r w:rsidR="00484154">
        <w:rPr>
          <w:rFonts w:ascii="Times New Roman" w:eastAsia="Times New Roman" w:hAnsi="Times New Roman" w:cs="Times New Roman"/>
          <w:sz w:val="24"/>
          <w:szCs w:val="24"/>
        </w:rPr>
        <w:t xml:space="preserve"> and territory</w:t>
      </w:r>
      <w:r w:rsidR="00484154" w:rsidRPr="00413FF2">
        <w:rPr>
          <w:rFonts w:ascii="Times New Roman" w:eastAsia="Times New Roman" w:hAnsi="Times New Roman" w:cs="Times New Roman"/>
          <w:sz w:val="24"/>
          <w:szCs w:val="24"/>
        </w:rPr>
        <w:t xml:space="preserve"> </w:t>
      </w:r>
      <w:r w:rsidRPr="00413FF2">
        <w:rPr>
          <w:rFonts w:ascii="Times New Roman" w:eastAsia="Times New Roman" w:hAnsi="Times New Roman" w:cs="Times New Roman"/>
          <w:sz w:val="24"/>
          <w:szCs w:val="24"/>
        </w:rPr>
        <w:t xml:space="preserve">work health and safety laws, which have been harmonised across the majority of jurisdictions through the adoption of model laws. The OHS(MI) Act </w:t>
      </w:r>
      <w:r w:rsidR="00484154">
        <w:rPr>
          <w:rFonts w:ascii="Times New Roman" w:eastAsia="Times New Roman" w:hAnsi="Times New Roman" w:cs="Times New Roman"/>
          <w:sz w:val="24"/>
          <w:szCs w:val="24"/>
        </w:rPr>
        <w:t>represents</w:t>
      </w:r>
      <w:r w:rsidR="00484154" w:rsidRPr="00413FF2">
        <w:rPr>
          <w:rFonts w:ascii="Times New Roman" w:eastAsia="Times New Roman" w:hAnsi="Times New Roman" w:cs="Times New Roman"/>
          <w:sz w:val="24"/>
          <w:szCs w:val="24"/>
        </w:rPr>
        <w:t xml:space="preserve"> </w:t>
      </w:r>
      <w:r w:rsidRPr="00413FF2">
        <w:rPr>
          <w:rFonts w:ascii="Times New Roman" w:eastAsia="Times New Roman" w:hAnsi="Times New Roman" w:cs="Times New Roman"/>
          <w:sz w:val="24"/>
          <w:szCs w:val="24"/>
        </w:rPr>
        <w:t xml:space="preserve">work health and safety </w:t>
      </w:r>
      <w:r w:rsidR="00484154">
        <w:rPr>
          <w:rFonts w:ascii="Times New Roman" w:eastAsia="Times New Roman" w:hAnsi="Times New Roman" w:cs="Times New Roman"/>
          <w:sz w:val="24"/>
          <w:szCs w:val="24"/>
        </w:rPr>
        <w:t>laws</w:t>
      </w:r>
      <w:r w:rsidR="00484154" w:rsidRPr="00413FF2">
        <w:rPr>
          <w:rFonts w:ascii="Times New Roman" w:eastAsia="Times New Roman" w:hAnsi="Times New Roman" w:cs="Times New Roman"/>
          <w:sz w:val="24"/>
          <w:szCs w:val="24"/>
        </w:rPr>
        <w:t xml:space="preserve"> </w:t>
      </w:r>
      <w:r w:rsidRPr="00413FF2">
        <w:rPr>
          <w:rFonts w:ascii="Times New Roman" w:eastAsia="Times New Roman" w:hAnsi="Times New Roman" w:cs="Times New Roman"/>
          <w:sz w:val="24"/>
          <w:szCs w:val="24"/>
        </w:rPr>
        <w:t>for</w:t>
      </w:r>
      <w:r w:rsidR="00484154">
        <w:rPr>
          <w:rFonts w:ascii="Times New Roman" w:eastAsia="Times New Roman" w:hAnsi="Times New Roman" w:cs="Times New Roman"/>
          <w:sz w:val="24"/>
          <w:szCs w:val="24"/>
        </w:rPr>
        <w:t xml:space="preserve"> a defined part of</w:t>
      </w:r>
      <w:r w:rsidRPr="00413FF2">
        <w:rPr>
          <w:rFonts w:ascii="Times New Roman" w:eastAsia="Times New Roman" w:hAnsi="Times New Roman" w:cs="Times New Roman"/>
          <w:sz w:val="24"/>
          <w:szCs w:val="24"/>
        </w:rPr>
        <w:t xml:space="preserve"> the maritime industry. </w:t>
      </w:r>
    </w:p>
    <w:p w14:paraId="5A3E43AC" w14:textId="77777777" w:rsidR="00413FF2" w:rsidRPr="00413FF2" w:rsidRDefault="00413FF2" w:rsidP="00413FF2">
      <w:pPr>
        <w:spacing w:after="240"/>
        <w:rPr>
          <w:rFonts w:ascii="Times New Roman" w:eastAsia="Times New Roman" w:hAnsi="Times New Roman" w:cs="Times New Roman"/>
          <w:sz w:val="24"/>
          <w:szCs w:val="24"/>
        </w:rPr>
      </w:pPr>
      <w:r w:rsidRPr="00413FF2">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affect</w:t>
      </w:r>
      <w:r w:rsidR="005C4A0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w:t>
      </w:r>
      <w:r w:rsidRPr="00413FF2">
        <w:rPr>
          <w:rFonts w:ascii="Times New Roman" w:eastAsia="Times New Roman" w:hAnsi="Times New Roman" w:cs="Times New Roman"/>
          <w:sz w:val="24"/>
          <w:szCs w:val="24"/>
        </w:rPr>
        <w:t xml:space="preserve"> coverage of the OHS(MI) Act, the </w:t>
      </w:r>
      <w:r>
        <w:rPr>
          <w:rFonts w:ascii="Times New Roman" w:eastAsia="Times New Roman" w:hAnsi="Times New Roman" w:cs="Times New Roman"/>
          <w:sz w:val="24"/>
          <w:szCs w:val="24"/>
        </w:rPr>
        <w:t>Declaration</w:t>
      </w:r>
      <w:r w:rsidRPr="00413FF2">
        <w:rPr>
          <w:rFonts w:ascii="Times New Roman" w:eastAsia="Times New Roman" w:hAnsi="Times New Roman" w:cs="Times New Roman"/>
          <w:sz w:val="24"/>
          <w:szCs w:val="24"/>
        </w:rPr>
        <w:t xml:space="preserve"> engages the right to safe and healthy working conditions. The </w:t>
      </w:r>
      <w:r>
        <w:rPr>
          <w:rFonts w:ascii="Times New Roman" w:eastAsia="Times New Roman" w:hAnsi="Times New Roman" w:cs="Times New Roman"/>
          <w:sz w:val="24"/>
          <w:szCs w:val="24"/>
        </w:rPr>
        <w:t>Declaration</w:t>
      </w:r>
      <w:r w:rsidRPr="00413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w:t>
      </w:r>
      <w:r w:rsidRPr="00413FF2">
        <w:rPr>
          <w:rFonts w:ascii="Times New Roman" w:eastAsia="Times New Roman" w:hAnsi="Times New Roman" w:cs="Times New Roman"/>
          <w:sz w:val="24"/>
          <w:szCs w:val="24"/>
        </w:rPr>
        <w:t xml:space="preserve">ensure that the </w:t>
      </w:r>
      <w:r>
        <w:rPr>
          <w:rFonts w:ascii="Times New Roman" w:eastAsia="Times New Roman" w:hAnsi="Times New Roman" w:cs="Times New Roman"/>
          <w:sz w:val="24"/>
          <w:szCs w:val="24"/>
        </w:rPr>
        <w:t xml:space="preserve">OHS(MI) </w:t>
      </w:r>
      <w:r w:rsidRPr="00413FF2">
        <w:rPr>
          <w:rFonts w:ascii="Times New Roman" w:eastAsia="Times New Roman" w:hAnsi="Times New Roman" w:cs="Times New Roman"/>
          <w:sz w:val="24"/>
          <w:szCs w:val="24"/>
        </w:rPr>
        <w:t xml:space="preserve">Act does not apply to </w:t>
      </w:r>
      <w:r w:rsidR="00484154">
        <w:rPr>
          <w:rFonts w:ascii="Times New Roman" w:eastAsia="Times New Roman" w:hAnsi="Times New Roman" w:cs="Times New Roman"/>
          <w:sz w:val="24"/>
          <w:szCs w:val="24"/>
        </w:rPr>
        <w:t>ships or vessels only engaged</w:t>
      </w:r>
      <w:r w:rsidR="00484154" w:rsidRPr="00413FF2">
        <w:rPr>
          <w:rFonts w:ascii="Times New Roman" w:eastAsia="Times New Roman" w:hAnsi="Times New Roman" w:cs="Times New Roman"/>
          <w:sz w:val="24"/>
          <w:szCs w:val="24"/>
        </w:rPr>
        <w:t xml:space="preserve"> </w:t>
      </w:r>
      <w:r w:rsidR="00484154">
        <w:rPr>
          <w:rFonts w:ascii="Times New Roman" w:eastAsia="Times New Roman" w:hAnsi="Times New Roman" w:cs="Times New Roman"/>
          <w:sz w:val="24"/>
          <w:szCs w:val="24"/>
        </w:rPr>
        <w:t>in</w:t>
      </w:r>
      <w:r w:rsidR="00484154" w:rsidRPr="00413FF2">
        <w:rPr>
          <w:rFonts w:ascii="Times New Roman" w:eastAsia="Times New Roman" w:hAnsi="Times New Roman" w:cs="Times New Roman"/>
          <w:sz w:val="24"/>
          <w:szCs w:val="24"/>
        </w:rPr>
        <w:t xml:space="preserve"> </w:t>
      </w:r>
      <w:r w:rsidRPr="00413FF2">
        <w:rPr>
          <w:rFonts w:ascii="Times New Roman" w:eastAsia="Times New Roman" w:hAnsi="Times New Roman" w:cs="Times New Roman"/>
          <w:sz w:val="24"/>
          <w:szCs w:val="24"/>
        </w:rPr>
        <w:t xml:space="preserve">intrastate </w:t>
      </w:r>
      <w:r w:rsidR="00484154">
        <w:rPr>
          <w:rFonts w:ascii="Times New Roman" w:eastAsia="Times New Roman" w:hAnsi="Times New Roman" w:cs="Times New Roman"/>
          <w:sz w:val="24"/>
          <w:szCs w:val="24"/>
        </w:rPr>
        <w:t>trade or commerce</w:t>
      </w:r>
      <w:r w:rsidRPr="00413FF2">
        <w:rPr>
          <w:rFonts w:ascii="Times New Roman" w:eastAsia="Times New Roman" w:hAnsi="Times New Roman" w:cs="Times New Roman"/>
          <w:sz w:val="24"/>
          <w:szCs w:val="24"/>
        </w:rPr>
        <w:t xml:space="preserve">. In place of the OHS(MI) Act, </w:t>
      </w:r>
      <w:r w:rsidR="00484154" w:rsidRPr="00413FF2">
        <w:rPr>
          <w:rFonts w:ascii="Times New Roman" w:eastAsia="Times New Roman" w:hAnsi="Times New Roman" w:cs="Times New Roman"/>
          <w:sz w:val="24"/>
          <w:szCs w:val="24"/>
        </w:rPr>
        <w:t xml:space="preserve">employees </w:t>
      </w:r>
      <w:r w:rsidRPr="00413FF2">
        <w:rPr>
          <w:rFonts w:ascii="Times New Roman" w:eastAsia="Times New Roman" w:hAnsi="Times New Roman" w:cs="Times New Roman"/>
          <w:sz w:val="24"/>
          <w:szCs w:val="24"/>
        </w:rPr>
        <w:t>will</w:t>
      </w:r>
      <w:r w:rsidR="00DE779A">
        <w:rPr>
          <w:rFonts w:ascii="Times New Roman" w:eastAsia="Times New Roman" w:hAnsi="Times New Roman" w:cs="Times New Roman"/>
          <w:sz w:val="24"/>
          <w:szCs w:val="24"/>
        </w:rPr>
        <w:t xml:space="preserve"> continue to</w:t>
      </w:r>
      <w:r w:rsidRPr="00413FF2">
        <w:rPr>
          <w:rFonts w:ascii="Times New Roman" w:eastAsia="Times New Roman" w:hAnsi="Times New Roman" w:cs="Times New Roman"/>
          <w:sz w:val="24"/>
          <w:szCs w:val="24"/>
        </w:rPr>
        <w:t xml:space="preserve"> be covered by</w:t>
      </w:r>
      <w:r w:rsidR="00BE2EFA">
        <w:rPr>
          <w:rFonts w:ascii="Times New Roman" w:eastAsia="Times New Roman" w:hAnsi="Times New Roman" w:cs="Times New Roman"/>
          <w:sz w:val="24"/>
          <w:szCs w:val="24"/>
        </w:rPr>
        <w:t xml:space="preserve"> </w:t>
      </w:r>
      <w:r w:rsidR="00484154">
        <w:rPr>
          <w:rFonts w:ascii="Times New Roman" w:eastAsia="Times New Roman" w:hAnsi="Times New Roman" w:cs="Times New Roman"/>
          <w:sz w:val="24"/>
          <w:szCs w:val="24"/>
        </w:rPr>
        <w:t>the</w:t>
      </w:r>
      <w:r w:rsidRPr="00413FF2">
        <w:rPr>
          <w:rFonts w:ascii="Times New Roman" w:eastAsia="Times New Roman" w:hAnsi="Times New Roman" w:cs="Times New Roman"/>
          <w:sz w:val="24"/>
          <w:szCs w:val="24"/>
        </w:rPr>
        <w:t xml:space="preserve"> work health and safety laws</w:t>
      </w:r>
      <w:r w:rsidR="00484154">
        <w:rPr>
          <w:rFonts w:ascii="Times New Roman" w:eastAsia="Times New Roman" w:hAnsi="Times New Roman" w:cs="Times New Roman"/>
          <w:sz w:val="24"/>
          <w:szCs w:val="24"/>
        </w:rPr>
        <w:t xml:space="preserve"> of the state in which the ship or vessel operates</w:t>
      </w:r>
      <w:r w:rsidRPr="00413FF2">
        <w:rPr>
          <w:rFonts w:ascii="Times New Roman" w:eastAsia="Times New Roman" w:hAnsi="Times New Roman" w:cs="Times New Roman"/>
          <w:sz w:val="24"/>
          <w:szCs w:val="24"/>
        </w:rPr>
        <w:t xml:space="preserve">. </w:t>
      </w:r>
    </w:p>
    <w:p w14:paraId="5A3E43AD" w14:textId="33827CB9" w:rsidR="00413FF2" w:rsidRDefault="00413FF2" w:rsidP="00413FF2">
      <w:pPr>
        <w:spacing w:after="240"/>
        <w:rPr>
          <w:rFonts w:ascii="Times New Roman" w:eastAsia="Times New Roman" w:hAnsi="Times New Roman" w:cs="Times New Roman"/>
          <w:sz w:val="24"/>
          <w:szCs w:val="24"/>
        </w:rPr>
      </w:pPr>
      <w:r w:rsidRPr="00413FF2">
        <w:rPr>
          <w:rFonts w:ascii="Times New Roman" w:eastAsia="Times New Roman" w:hAnsi="Times New Roman" w:cs="Times New Roman"/>
          <w:sz w:val="24"/>
          <w:szCs w:val="24"/>
        </w:rPr>
        <w:t xml:space="preserve">The OHS(MI) Act was based on the </w:t>
      </w:r>
      <w:r w:rsidRPr="00413FF2">
        <w:rPr>
          <w:rFonts w:ascii="Times New Roman" w:eastAsia="Times New Roman" w:hAnsi="Times New Roman" w:cs="Times New Roman"/>
          <w:i/>
          <w:sz w:val="24"/>
          <w:szCs w:val="24"/>
        </w:rPr>
        <w:t>Occupational Health and Safety Act 1991</w:t>
      </w:r>
      <w:r w:rsidRPr="00413FF2">
        <w:rPr>
          <w:rFonts w:ascii="Times New Roman" w:eastAsia="Times New Roman" w:hAnsi="Times New Roman" w:cs="Times New Roman"/>
          <w:sz w:val="24"/>
          <w:szCs w:val="24"/>
        </w:rPr>
        <w:t xml:space="preserve">. This Act was replaced by the </w:t>
      </w:r>
      <w:r w:rsidRPr="00413FF2">
        <w:rPr>
          <w:rFonts w:ascii="Times New Roman" w:eastAsia="Times New Roman" w:hAnsi="Times New Roman" w:cs="Times New Roman"/>
          <w:i/>
          <w:sz w:val="24"/>
          <w:szCs w:val="24"/>
        </w:rPr>
        <w:t>Work Health and Safety Act 2011</w:t>
      </w:r>
      <w:r w:rsidRPr="00413FF2">
        <w:rPr>
          <w:rFonts w:ascii="Times New Roman" w:eastAsia="Times New Roman" w:hAnsi="Times New Roman" w:cs="Times New Roman"/>
          <w:sz w:val="24"/>
          <w:szCs w:val="24"/>
        </w:rPr>
        <w:t>, which represented the Commonwealth’s implementation of the model work health and safety laws. The OHS(MI) Act has not subsequently been updated to reflect the model laws. All employees no</w:t>
      </w:r>
      <w:r w:rsidR="00484154">
        <w:rPr>
          <w:rFonts w:ascii="Times New Roman" w:eastAsia="Times New Roman" w:hAnsi="Times New Roman" w:cs="Times New Roman"/>
          <w:sz w:val="24"/>
          <w:szCs w:val="24"/>
        </w:rPr>
        <w:t>t</w:t>
      </w:r>
      <w:r w:rsidRPr="00413FF2">
        <w:rPr>
          <w:rFonts w:ascii="Times New Roman" w:eastAsia="Times New Roman" w:hAnsi="Times New Roman" w:cs="Times New Roman"/>
          <w:sz w:val="24"/>
          <w:szCs w:val="24"/>
        </w:rPr>
        <w:t xml:space="preserve"> covered by the OHS(MI) Act </w:t>
      </w:r>
      <w:r w:rsidR="00484154">
        <w:rPr>
          <w:rFonts w:ascii="Times New Roman" w:eastAsia="Times New Roman" w:hAnsi="Times New Roman" w:cs="Times New Roman"/>
          <w:sz w:val="24"/>
          <w:szCs w:val="24"/>
        </w:rPr>
        <w:t xml:space="preserve">as a result of this Legislative Instrument </w:t>
      </w:r>
      <w:r w:rsidRPr="00413FF2">
        <w:rPr>
          <w:rFonts w:ascii="Times New Roman" w:eastAsia="Times New Roman" w:hAnsi="Times New Roman" w:cs="Times New Roman"/>
          <w:sz w:val="24"/>
          <w:szCs w:val="24"/>
        </w:rPr>
        <w:t xml:space="preserve">will </w:t>
      </w:r>
      <w:r w:rsidR="00484154">
        <w:rPr>
          <w:rFonts w:ascii="Times New Roman" w:eastAsia="Times New Roman" w:hAnsi="Times New Roman" w:cs="Times New Roman"/>
          <w:sz w:val="24"/>
          <w:szCs w:val="24"/>
        </w:rPr>
        <w:t>once again</w:t>
      </w:r>
      <w:r w:rsidRPr="00413FF2">
        <w:rPr>
          <w:rFonts w:ascii="Times New Roman" w:eastAsia="Times New Roman" w:hAnsi="Times New Roman" w:cs="Times New Roman"/>
          <w:sz w:val="24"/>
          <w:szCs w:val="24"/>
        </w:rPr>
        <w:t xml:space="preserve"> be protected by the more modern state work health and safety laws. As such, these amendments do not limit the right to safe and healthy working conditions. Moreover, ensuring that the interaction between the OHS(MI) Act and the state work health and safety legislation aligns with the shared operational understanding of the regulators will promote the effective oversight and enforcement of Australia’s multi-jurisdictional work health and safety system, supporting the right to safe and healthy working conditions.</w:t>
      </w:r>
    </w:p>
    <w:p w14:paraId="5A3E43AE" w14:textId="77777777" w:rsidR="0045788E" w:rsidRDefault="0045788E" w:rsidP="0045788E">
      <w:pPr>
        <w:keepNext/>
        <w:spacing w:after="220"/>
        <w:rPr>
          <w:rFonts w:ascii="Times New Roman" w:hAnsi="Times New Roman" w:cs="Times New Roman"/>
          <w:b/>
          <w:sz w:val="24"/>
          <w:szCs w:val="24"/>
        </w:rPr>
      </w:pPr>
      <w:r>
        <w:rPr>
          <w:rFonts w:ascii="Times New Roman" w:hAnsi="Times New Roman" w:cs="Times New Roman"/>
          <w:b/>
          <w:sz w:val="24"/>
          <w:szCs w:val="24"/>
        </w:rPr>
        <w:t>Conclusion</w:t>
      </w:r>
    </w:p>
    <w:p w14:paraId="5A3E43AF" w14:textId="77777777" w:rsidR="0045788E" w:rsidRDefault="0045788E" w:rsidP="0045788E">
      <w:pPr>
        <w:spacing w:after="220"/>
        <w:rPr>
          <w:rFonts w:ascii="Times New Roman" w:hAnsi="Times New Roman" w:cs="Times New Roman"/>
          <w:sz w:val="24"/>
          <w:szCs w:val="24"/>
        </w:rPr>
      </w:pPr>
      <w:r>
        <w:rPr>
          <w:rFonts w:ascii="Times New Roman" w:hAnsi="Times New Roman" w:cs="Times New Roman"/>
          <w:sz w:val="24"/>
          <w:szCs w:val="24"/>
        </w:rPr>
        <w:t>The Legislative Instrument is compatible with human rights because it does not negatively impact on human rights.</w:t>
      </w:r>
    </w:p>
    <w:p w14:paraId="5A3E43B0" w14:textId="518B17C7" w:rsidR="0045788E" w:rsidRDefault="007124AB" w:rsidP="0045788E">
      <w:pPr>
        <w:spacing w:after="220"/>
        <w:jc w:val="center"/>
        <w:rPr>
          <w:rFonts w:ascii="Times New Roman" w:hAnsi="Times New Roman" w:cs="Times New Roman"/>
          <w:b/>
          <w:sz w:val="24"/>
          <w:szCs w:val="24"/>
        </w:rPr>
      </w:pPr>
      <w:r>
        <w:rPr>
          <w:rFonts w:ascii="Times New Roman" w:hAnsi="Times New Roman" w:cs="Times New Roman"/>
          <w:b/>
          <w:sz w:val="24"/>
          <w:szCs w:val="24"/>
        </w:rPr>
        <w:t>T</w:t>
      </w:r>
      <w:r w:rsidR="0045788E">
        <w:rPr>
          <w:rFonts w:ascii="Times New Roman" w:hAnsi="Times New Roman" w:cs="Times New Roman"/>
          <w:b/>
          <w:sz w:val="24"/>
          <w:szCs w:val="24"/>
        </w:rPr>
        <w:t xml:space="preserve">he Hon. </w:t>
      </w:r>
      <w:r>
        <w:rPr>
          <w:rFonts w:ascii="Times New Roman" w:hAnsi="Times New Roman" w:cs="Times New Roman"/>
          <w:b/>
          <w:sz w:val="24"/>
          <w:szCs w:val="24"/>
        </w:rPr>
        <w:t xml:space="preserve">Luke </w:t>
      </w:r>
      <w:proofErr w:type="spellStart"/>
      <w:r>
        <w:rPr>
          <w:rFonts w:ascii="Times New Roman" w:hAnsi="Times New Roman" w:cs="Times New Roman"/>
          <w:b/>
          <w:sz w:val="24"/>
          <w:szCs w:val="24"/>
        </w:rPr>
        <w:t>Hartsuyker</w:t>
      </w:r>
      <w:proofErr w:type="spellEnd"/>
      <w:r>
        <w:rPr>
          <w:rFonts w:ascii="Times New Roman" w:hAnsi="Times New Roman" w:cs="Times New Roman"/>
          <w:b/>
          <w:sz w:val="24"/>
          <w:szCs w:val="24"/>
        </w:rPr>
        <w:t xml:space="preserve"> MP</w:t>
      </w:r>
      <w:r w:rsidR="0045788E">
        <w:rPr>
          <w:rFonts w:ascii="Times New Roman" w:hAnsi="Times New Roman" w:cs="Times New Roman"/>
          <w:b/>
          <w:sz w:val="24"/>
          <w:szCs w:val="24"/>
        </w:rPr>
        <w:t xml:space="preserve"> </w:t>
      </w:r>
    </w:p>
    <w:p w14:paraId="5A3E43B1" w14:textId="601C1D29" w:rsidR="0045788E" w:rsidRDefault="007124AB" w:rsidP="0045788E">
      <w:pPr>
        <w:jc w:val="center"/>
        <w:rPr>
          <w:rFonts w:ascii="Times New Roman" w:hAnsi="Times New Roman" w:cs="Times New Roman"/>
          <w:sz w:val="24"/>
          <w:szCs w:val="24"/>
        </w:rPr>
      </w:pPr>
      <w:r>
        <w:rPr>
          <w:rFonts w:ascii="Times New Roman" w:hAnsi="Times New Roman" w:cs="Times New Roman"/>
          <w:sz w:val="24"/>
          <w:szCs w:val="24"/>
        </w:rPr>
        <w:t xml:space="preserve">Assistant </w:t>
      </w:r>
      <w:r w:rsidR="0045788E">
        <w:rPr>
          <w:rFonts w:ascii="Times New Roman" w:hAnsi="Times New Roman" w:cs="Times New Roman"/>
          <w:sz w:val="24"/>
          <w:szCs w:val="24"/>
        </w:rPr>
        <w:t>Minister for Employment</w:t>
      </w:r>
    </w:p>
    <w:p w14:paraId="5A3E43B2" w14:textId="77777777" w:rsidR="0045788E" w:rsidRDefault="0045788E" w:rsidP="0045788E">
      <w:pPr>
        <w:jc w:val="center"/>
        <w:rPr>
          <w:rFonts w:ascii="Times New Roman" w:hAnsi="Times New Roman" w:cs="Times New Roman"/>
          <w:sz w:val="24"/>
          <w:szCs w:val="24"/>
        </w:rPr>
      </w:pPr>
    </w:p>
    <w:p w14:paraId="5A3E43B3" w14:textId="77777777" w:rsidR="002579ED" w:rsidRDefault="002579ED">
      <w:bookmarkStart w:id="0" w:name="_GoBack"/>
      <w:bookmarkEnd w:id="0"/>
    </w:p>
    <w:sectPr w:rsidR="002579ED" w:rsidSect="005368B6">
      <w:headerReference w:type="even" r:id="rId12"/>
      <w:headerReference w:type="default" r:id="rId13"/>
      <w:footerReference w:type="even" r:id="rId14"/>
      <w:footerReference w:type="default" r:id="rId15"/>
      <w:headerReference w:type="first" r:id="rId16"/>
      <w:footerReference w:type="first" r:id="rId17"/>
      <w:pgSz w:w="11906" w:h="16838"/>
      <w:pgMar w:top="851" w:right="1276" w:bottom="851" w:left="1276" w:header="28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43B6" w14:textId="77777777" w:rsidR="00836BA1" w:rsidRDefault="00836BA1" w:rsidP="0045788E">
      <w:r>
        <w:separator/>
      </w:r>
    </w:p>
  </w:endnote>
  <w:endnote w:type="continuationSeparator" w:id="0">
    <w:p w14:paraId="5A3E43B7" w14:textId="77777777" w:rsidR="00836BA1" w:rsidRDefault="00836BA1" w:rsidP="004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43BA" w14:textId="77777777" w:rsidR="00187697" w:rsidRDefault="00187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43BB" w14:textId="77777777" w:rsidR="00187697" w:rsidRDefault="00187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43BD" w14:textId="77777777" w:rsidR="00187697" w:rsidRDefault="0018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E43B4" w14:textId="77777777" w:rsidR="00836BA1" w:rsidRDefault="00836BA1" w:rsidP="0045788E">
      <w:r>
        <w:separator/>
      </w:r>
    </w:p>
  </w:footnote>
  <w:footnote w:type="continuationSeparator" w:id="0">
    <w:p w14:paraId="5A3E43B5" w14:textId="77777777" w:rsidR="00836BA1" w:rsidRDefault="00836BA1" w:rsidP="00457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43B8" w14:textId="77777777" w:rsidR="00187697" w:rsidRDefault="00187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43B9" w14:textId="77777777" w:rsidR="00187697" w:rsidRDefault="00187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43BC" w14:textId="77777777" w:rsidR="00187697" w:rsidRDefault="00187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40D"/>
    <w:multiLevelType w:val="hybridMultilevel"/>
    <w:tmpl w:val="1B70E348"/>
    <w:lvl w:ilvl="0" w:tplc="C206F356">
      <w:start w:val="1"/>
      <w:numFmt w:val="lowerLetter"/>
      <w:lvlText w:val="(%1)"/>
      <w:lvlJc w:val="left"/>
      <w:pPr>
        <w:tabs>
          <w:tab w:val="num" w:pos="720"/>
        </w:tabs>
        <w:ind w:left="720" w:hanging="360"/>
      </w:pPr>
    </w:lvl>
    <w:lvl w:ilvl="1" w:tplc="E7F8D008">
      <w:start w:val="1"/>
      <w:numFmt w:val="lowerLetter"/>
      <w:lvlText w:val="%2."/>
      <w:lvlJc w:val="left"/>
      <w:pPr>
        <w:tabs>
          <w:tab w:val="num" w:pos="1440"/>
        </w:tabs>
        <w:ind w:left="1440" w:hanging="360"/>
      </w:pPr>
    </w:lvl>
    <w:lvl w:ilvl="2" w:tplc="69E4D0C0">
      <w:start w:val="1"/>
      <w:numFmt w:val="lowerRoman"/>
      <w:lvlText w:val="%3."/>
      <w:lvlJc w:val="right"/>
      <w:pPr>
        <w:tabs>
          <w:tab w:val="num" w:pos="2160"/>
        </w:tabs>
        <w:ind w:left="2160" w:hanging="180"/>
      </w:pPr>
    </w:lvl>
    <w:lvl w:ilvl="3" w:tplc="00B8DC40">
      <w:start w:val="1"/>
      <w:numFmt w:val="decimal"/>
      <w:lvlText w:val="%4."/>
      <w:lvlJc w:val="left"/>
      <w:pPr>
        <w:tabs>
          <w:tab w:val="num" w:pos="2880"/>
        </w:tabs>
        <w:ind w:left="2880" w:hanging="360"/>
      </w:pPr>
    </w:lvl>
    <w:lvl w:ilvl="4" w:tplc="1A5EDAB4">
      <w:start w:val="1"/>
      <w:numFmt w:val="lowerLetter"/>
      <w:lvlText w:val="%5."/>
      <w:lvlJc w:val="left"/>
      <w:pPr>
        <w:tabs>
          <w:tab w:val="num" w:pos="3600"/>
        </w:tabs>
        <w:ind w:left="3600" w:hanging="360"/>
      </w:pPr>
    </w:lvl>
    <w:lvl w:ilvl="5" w:tplc="DDB87154">
      <w:start w:val="1"/>
      <w:numFmt w:val="lowerRoman"/>
      <w:lvlText w:val="%6."/>
      <w:lvlJc w:val="right"/>
      <w:pPr>
        <w:tabs>
          <w:tab w:val="num" w:pos="4320"/>
        </w:tabs>
        <w:ind w:left="4320" w:hanging="180"/>
      </w:pPr>
    </w:lvl>
    <w:lvl w:ilvl="6" w:tplc="0322B258">
      <w:start w:val="1"/>
      <w:numFmt w:val="decimal"/>
      <w:lvlText w:val="%7."/>
      <w:lvlJc w:val="left"/>
      <w:pPr>
        <w:tabs>
          <w:tab w:val="num" w:pos="5040"/>
        </w:tabs>
        <w:ind w:left="5040" w:hanging="360"/>
      </w:pPr>
    </w:lvl>
    <w:lvl w:ilvl="7" w:tplc="7ED8A748">
      <w:start w:val="1"/>
      <w:numFmt w:val="lowerLetter"/>
      <w:lvlText w:val="%8."/>
      <w:lvlJc w:val="left"/>
      <w:pPr>
        <w:tabs>
          <w:tab w:val="num" w:pos="5760"/>
        </w:tabs>
        <w:ind w:left="5760" w:hanging="360"/>
      </w:pPr>
    </w:lvl>
    <w:lvl w:ilvl="8" w:tplc="0E8EC042">
      <w:start w:val="1"/>
      <w:numFmt w:val="lowerRoman"/>
      <w:lvlText w:val="%9."/>
      <w:lvlJc w:val="right"/>
      <w:pPr>
        <w:tabs>
          <w:tab w:val="num" w:pos="6480"/>
        </w:tabs>
        <w:ind w:left="6480" w:hanging="180"/>
      </w:pPr>
    </w:lvl>
  </w:abstractNum>
  <w:abstractNum w:abstractNumId="1">
    <w:nsid w:val="19D230DF"/>
    <w:multiLevelType w:val="hybridMultilevel"/>
    <w:tmpl w:val="34668C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202B4071"/>
    <w:multiLevelType w:val="hybridMultilevel"/>
    <w:tmpl w:val="1B70E348"/>
    <w:lvl w:ilvl="0" w:tplc="C206F356">
      <w:start w:val="1"/>
      <w:numFmt w:val="lowerLetter"/>
      <w:lvlText w:val="(%1)"/>
      <w:lvlJc w:val="left"/>
      <w:pPr>
        <w:tabs>
          <w:tab w:val="num" w:pos="720"/>
        </w:tabs>
        <w:ind w:left="720" w:hanging="360"/>
      </w:pPr>
    </w:lvl>
    <w:lvl w:ilvl="1" w:tplc="E7F8D008">
      <w:start w:val="1"/>
      <w:numFmt w:val="lowerLetter"/>
      <w:lvlText w:val="%2."/>
      <w:lvlJc w:val="left"/>
      <w:pPr>
        <w:tabs>
          <w:tab w:val="num" w:pos="1440"/>
        </w:tabs>
        <w:ind w:left="1440" w:hanging="360"/>
      </w:pPr>
    </w:lvl>
    <w:lvl w:ilvl="2" w:tplc="69E4D0C0">
      <w:start w:val="1"/>
      <w:numFmt w:val="lowerRoman"/>
      <w:lvlText w:val="%3."/>
      <w:lvlJc w:val="right"/>
      <w:pPr>
        <w:tabs>
          <w:tab w:val="num" w:pos="2160"/>
        </w:tabs>
        <w:ind w:left="2160" w:hanging="180"/>
      </w:pPr>
    </w:lvl>
    <w:lvl w:ilvl="3" w:tplc="00B8DC40">
      <w:start w:val="1"/>
      <w:numFmt w:val="decimal"/>
      <w:lvlText w:val="%4."/>
      <w:lvlJc w:val="left"/>
      <w:pPr>
        <w:tabs>
          <w:tab w:val="num" w:pos="2880"/>
        </w:tabs>
        <w:ind w:left="2880" w:hanging="360"/>
      </w:pPr>
    </w:lvl>
    <w:lvl w:ilvl="4" w:tplc="1A5EDAB4">
      <w:start w:val="1"/>
      <w:numFmt w:val="lowerLetter"/>
      <w:lvlText w:val="%5."/>
      <w:lvlJc w:val="left"/>
      <w:pPr>
        <w:tabs>
          <w:tab w:val="num" w:pos="3600"/>
        </w:tabs>
        <w:ind w:left="3600" w:hanging="360"/>
      </w:pPr>
    </w:lvl>
    <w:lvl w:ilvl="5" w:tplc="DDB87154">
      <w:start w:val="1"/>
      <w:numFmt w:val="lowerRoman"/>
      <w:lvlText w:val="%6."/>
      <w:lvlJc w:val="right"/>
      <w:pPr>
        <w:tabs>
          <w:tab w:val="num" w:pos="4320"/>
        </w:tabs>
        <w:ind w:left="4320" w:hanging="180"/>
      </w:pPr>
    </w:lvl>
    <w:lvl w:ilvl="6" w:tplc="0322B258">
      <w:start w:val="1"/>
      <w:numFmt w:val="decimal"/>
      <w:lvlText w:val="%7."/>
      <w:lvlJc w:val="left"/>
      <w:pPr>
        <w:tabs>
          <w:tab w:val="num" w:pos="5040"/>
        </w:tabs>
        <w:ind w:left="5040" w:hanging="360"/>
      </w:pPr>
    </w:lvl>
    <w:lvl w:ilvl="7" w:tplc="7ED8A748">
      <w:start w:val="1"/>
      <w:numFmt w:val="lowerLetter"/>
      <w:lvlText w:val="%8."/>
      <w:lvlJc w:val="left"/>
      <w:pPr>
        <w:tabs>
          <w:tab w:val="num" w:pos="5760"/>
        </w:tabs>
        <w:ind w:left="5760" w:hanging="360"/>
      </w:pPr>
    </w:lvl>
    <w:lvl w:ilvl="8" w:tplc="0E8EC042">
      <w:start w:val="1"/>
      <w:numFmt w:val="lowerRoman"/>
      <w:lvlText w:val="%9."/>
      <w:lvlJc w:val="right"/>
      <w:pPr>
        <w:tabs>
          <w:tab w:val="num" w:pos="6480"/>
        </w:tabs>
        <w:ind w:left="6480" w:hanging="180"/>
      </w:pPr>
    </w:lvl>
  </w:abstractNum>
  <w:abstractNum w:abstractNumId="3">
    <w:nsid w:val="29B83E7E"/>
    <w:multiLevelType w:val="hybridMultilevel"/>
    <w:tmpl w:val="4F4ED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8400AE"/>
    <w:multiLevelType w:val="hybridMultilevel"/>
    <w:tmpl w:val="8FF67292"/>
    <w:lvl w:ilvl="0" w:tplc="36ACEE0E">
      <w:start w:val="1"/>
      <w:numFmt w:val="lowerLetter"/>
      <w:lvlText w:val="(%1)"/>
      <w:lvlJc w:val="left"/>
      <w:pPr>
        <w:tabs>
          <w:tab w:val="num" w:pos="360"/>
        </w:tabs>
        <w:ind w:left="360" w:hanging="360"/>
      </w:pPr>
    </w:lvl>
    <w:lvl w:ilvl="1" w:tplc="28746120">
      <w:start w:val="1"/>
      <w:numFmt w:val="lowerLetter"/>
      <w:lvlText w:val="%2."/>
      <w:lvlJc w:val="left"/>
      <w:pPr>
        <w:tabs>
          <w:tab w:val="num" w:pos="1440"/>
        </w:tabs>
        <w:ind w:left="1440" w:hanging="360"/>
      </w:pPr>
    </w:lvl>
    <w:lvl w:ilvl="2" w:tplc="A118BF92">
      <w:start w:val="1"/>
      <w:numFmt w:val="lowerRoman"/>
      <w:lvlText w:val="%3."/>
      <w:lvlJc w:val="right"/>
      <w:pPr>
        <w:tabs>
          <w:tab w:val="num" w:pos="2160"/>
        </w:tabs>
        <w:ind w:left="2160" w:hanging="180"/>
      </w:pPr>
    </w:lvl>
    <w:lvl w:ilvl="3" w:tplc="D096B926">
      <w:start w:val="1"/>
      <w:numFmt w:val="decimal"/>
      <w:lvlText w:val="%4."/>
      <w:lvlJc w:val="left"/>
      <w:pPr>
        <w:tabs>
          <w:tab w:val="num" w:pos="2880"/>
        </w:tabs>
        <w:ind w:left="2880" w:hanging="360"/>
      </w:pPr>
    </w:lvl>
    <w:lvl w:ilvl="4" w:tplc="9A8A1F56">
      <w:start w:val="1"/>
      <w:numFmt w:val="lowerLetter"/>
      <w:lvlText w:val="%5."/>
      <w:lvlJc w:val="left"/>
      <w:pPr>
        <w:tabs>
          <w:tab w:val="num" w:pos="3600"/>
        </w:tabs>
        <w:ind w:left="3600" w:hanging="360"/>
      </w:pPr>
    </w:lvl>
    <w:lvl w:ilvl="5" w:tplc="9E86E93A">
      <w:start w:val="1"/>
      <w:numFmt w:val="lowerRoman"/>
      <w:lvlText w:val="%6."/>
      <w:lvlJc w:val="right"/>
      <w:pPr>
        <w:tabs>
          <w:tab w:val="num" w:pos="4320"/>
        </w:tabs>
        <w:ind w:left="4320" w:hanging="180"/>
      </w:pPr>
    </w:lvl>
    <w:lvl w:ilvl="6" w:tplc="1728C30A">
      <w:start w:val="1"/>
      <w:numFmt w:val="decimal"/>
      <w:lvlText w:val="%7."/>
      <w:lvlJc w:val="left"/>
      <w:pPr>
        <w:tabs>
          <w:tab w:val="num" w:pos="5040"/>
        </w:tabs>
        <w:ind w:left="5040" w:hanging="360"/>
      </w:pPr>
    </w:lvl>
    <w:lvl w:ilvl="7" w:tplc="E30E429A">
      <w:start w:val="1"/>
      <w:numFmt w:val="lowerLetter"/>
      <w:lvlText w:val="%8."/>
      <w:lvlJc w:val="left"/>
      <w:pPr>
        <w:tabs>
          <w:tab w:val="num" w:pos="5760"/>
        </w:tabs>
        <w:ind w:left="5760" w:hanging="360"/>
      </w:pPr>
    </w:lvl>
    <w:lvl w:ilvl="8" w:tplc="8A601F24">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hideSpellingErrors/>
  <w:hideGrammaticalErrors/>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8E"/>
    <w:rsid w:val="000024E8"/>
    <w:rsid w:val="00002B07"/>
    <w:rsid w:val="000101A6"/>
    <w:rsid w:val="000204F9"/>
    <w:rsid w:val="00070850"/>
    <w:rsid w:val="000D2404"/>
    <w:rsid w:val="000E5286"/>
    <w:rsid w:val="00165441"/>
    <w:rsid w:val="00166745"/>
    <w:rsid w:val="00180405"/>
    <w:rsid w:val="00187697"/>
    <w:rsid w:val="001E0259"/>
    <w:rsid w:val="0020131B"/>
    <w:rsid w:val="0021534B"/>
    <w:rsid w:val="00237504"/>
    <w:rsid w:val="00251360"/>
    <w:rsid w:val="002579ED"/>
    <w:rsid w:val="0026775C"/>
    <w:rsid w:val="002C333F"/>
    <w:rsid w:val="002C68B4"/>
    <w:rsid w:val="002E7780"/>
    <w:rsid w:val="002E7FEC"/>
    <w:rsid w:val="00387F4B"/>
    <w:rsid w:val="00390080"/>
    <w:rsid w:val="003A278A"/>
    <w:rsid w:val="00400A89"/>
    <w:rsid w:val="004010BF"/>
    <w:rsid w:val="00413FF2"/>
    <w:rsid w:val="00442D36"/>
    <w:rsid w:val="0045788E"/>
    <w:rsid w:val="00466AF7"/>
    <w:rsid w:val="00466F6D"/>
    <w:rsid w:val="0047517C"/>
    <w:rsid w:val="00484154"/>
    <w:rsid w:val="004948FB"/>
    <w:rsid w:val="004E6936"/>
    <w:rsid w:val="004F75B2"/>
    <w:rsid w:val="00502706"/>
    <w:rsid w:val="005368B6"/>
    <w:rsid w:val="00545D30"/>
    <w:rsid w:val="005C4A0E"/>
    <w:rsid w:val="0060035A"/>
    <w:rsid w:val="00614A58"/>
    <w:rsid w:val="00625D76"/>
    <w:rsid w:val="00646151"/>
    <w:rsid w:val="00666005"/>
    <w:rsid w:val="00676766"/>
    <w:rsid w:val="00691366"/>
    <w:rsid w:val="006B2C09"/>
    <w:rsid w:val="006C0BA7"/>
    <w:rsid w:val="006E42D4"/>
    <w:rsid w:val="007124AB"/>
    <w:rsid w:val="00716B8D"/>
    <w:rsid w:val="007361BE"/>
    <w:rsid w:val="00784AF6"/>
    <w:rsid w:val="007A662A"/>
    <w:rsid w:val="007B24F3"/>
    <w:rsid w:val="00807516"/>
    <w:rsid w:val="00810504"/>
    <w:rsid w:val="00836BA1"/>
    <w:rsid w:val="008C6747"/>
    <w:rsid w:val="008F5DC0"/>
    <w:rsid w:val="009340F2"/>
    <w:rsid w:val="00961735"/>
    <w:rsid w:val="00996CEA"/>
    <w:rsid w:val="009A6883"/>
    <w:rsid w:val="009B1159"/>
    <w:rsid w:val="009B2986"/>
    <w:rsid w:val="00A44E8E"/>
    <w:rsid w:val="00A9620C"/>
    <w:rsid w:val="00AD300A"/>
    <w:rsid w:val="00AE56A7"/>
    <w:rsid w:val="00AF53C2"/>
    <w:rsid w:val="00B33AF2"/>
    <w:rsid w:val="00B45E13"/>
    <w:rsid w:val="00B83E07"/>
    <w:rsid w:val="00BB2676"/>
    <w:rsid w:val="00BD00F2"/>
    <w:rsid w:val="00BE2EFA"/>
    <w:rsid w:val="00CB1D59"/>
    <w:rsid w:val="00D027E1"/>
    <w:rsid w:val="00D609C8"/>
    <w:rsid w:val="00DD4CEF"/>
    <w:rsid w:val="00DE779A"/>
    <w:rsid w:val="00DF4898"/>
    <w:rsid w:val="00E51EC6"/>
    <w:rsid w:val="00E7588F"/>
    <w:rsid w:val="00ED7A79"/>
    <w:rsid w:val="00F117D3"/>
    <w:rsid w:val="00F15FB8"/>
    <w:rsid w:val="00F37ADB"/>
    <w:rsid w:val="00F70F1C"/>
    <w:rsid w:val="00FA53C6"/>
    <w:rsid w:val="00FB2D2E"/>
    <w:rsid w:val="00FB3F4F"/>
    <w:rsid w:val="00FF1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3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8E"/>
    <w:pPr>
      <w:spacing w:after="0" w:line="240" w:lineRule="auto"/>
    </w:pPr>
    <w:rPr>
      <w:rFonts w:ascii="Arial" w:eastAsia="Calibri" w:hAnsi="Arial" w:cs="Arial"/>
    </w:rPr>
  </w:style>
  <w:style w:type="paragraph" w:styleId="Heading3">
    <w:name w:val="heading 3"/>
    <w:basedOn w:val="Normal"/>
    <w:link w:val="Heading3Char"/>
    <w:qFormat/>
    <w:rsid w:val="0045788E"/>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788E"/>
    <w:rPr>
      <w:rFonts w:ascii="Times New Roman" w:eastAsia="Times New Roman" w:hAnsi="Times New Roman" w:cs="Times New Roman"/>
      <w:b/>
      <w:bCs/>
      <w:sz w:val="27"/>
      <w:szCs w:val="27"/>
      <w:lang w:eastAsia="en-AU"/>
    </w:rPr>
  </w:style>
  <w:style w:type="paragraph" w:styleId="FootnoteText">
    <w:name w:val="footnote text"/>
    <w:basedOn w:val="Normal"/>
    <w:link w:val="FootnoteTextChar"/>
    <w:rsid w:val="0045788E"/>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45788E"/>
    <w:rPr>
      <w:rFonts w:ascii="Times New Roman" w:eastAsia="Times New Roman" w:hAnsi="Times New Roman" w:cs="Times New Roman"/>
      <w:sz w:val="20"/>
      <w:szCs w:val="20"/>
      <w:lang w:eastAsia="en-AU"/>
    </w:rPr>
  </w:style>
  <w:style w:type="character" w:styleId="FootnoteReference">
    <w:name w:val="footnote reference"/>
    <w:rsid w:val="0045788E"/>
    <w:rPr>
      <w:vertAlign w:val="superscript"/>
    </w:rPr>
  </w:style>
  <w:style w:type="paragraph" w:styleId="Header">
    <w:name w:val="header"/>
    <w:basedOn w:val="Normal"/>
    <w:link w:val="HeaderChar"/>
    <w:uiPriority w:val="99"/>
    <w:unhideWhenUsed/>
    <w:rsid w:val="0045788E"/>
    <w:pPr>
      <w:tabs>
        <w:tab w:val="center" w:pos="4513"/>
        <w:tab w:val="right" w:pos="9026"/>
      </w:tabs>
    </w:pPr>
  </w:style>
  <w:style w:type="character" w:customStyle="1" w:styleId="HeaderChar">
    <w:name w:val="Header Char"/>
    <w:basedOn w:val="DefaultParagraphFont"/>
    <w:link w:val="Header"/>
    <w:uiPriority w:val="99"/>
    <w:rsid w:val="0045788E"/>
    <w:rPr>
      <w:rFonts w:ascii="Arial" w:eastAsia="Calibri" w:hAnsi="Arial" w:cs="Arial"/>
    </w:rPr>
  </w:style>
  <w:style w:type="paragraph" w:styleId="Footer">
    <w:name w:val="footer"/>
    <w:basedOn w:val="Normal"/>
    <w:link w:val="FooterChar"/>
    <w:uiPriority w:val="99"/>
    <w:unhideWhenUsed/>
    <w:rsid w:val="0045788E"/>
    <w:pPr>
      <w:tabs>
        <w:tab w:val="center" w:pos="4513"/>
        <w:tab w:val="right" w:pos="9026"/>
      </w:tabs>
    </w:pPr>
  </w:style>
  <w:style w:type="character" w:customStyle="1" w:styleId="FooterChar">
    <w:name w:val="Footer Char"/>
    <w:basedOn w:val="DefaultParagraphFont"/>
    <w:link w:val="Footer"/>
    <w:uiPriority w:val="99"/>
    <w:rsid w:val="0045788E"/>
    <w:rPr>
      <w:rFonts w:ascii="Arial" w:eastAsia="Calibri" w:hAnsi="Arial" w:cs="Arial"/>
    </w:rPr>
  </w:style>
  <w:style w:type="paragraph" w:customStyle="1" w:styleId="Default">
    <w:name w:val="Default"/>
    <w:rsid w:val="0023750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340F2"/>
    <w:rPr>
      <w:rFonts w:ascii="Tahoma" w:hAnsi="Tahoma" w:cs="Tahoma"/>
      <w:sz w:val="16"/>
      <w:szCs w:val="16"/>
    </w:rPr>
  </w:style>
  <w:style w:type="character" w:customStyle="1" w:styleId="BalloonTextChar">
    <w:name w:val="Balloon Text Char"/>
    <w:basedOn w:val="DefaultParagraphFont"/>
    <w:link w:val="BalloonText"/>
    <w:uiPriority w:val="99"/>
    <w:semiHidden/>
    <w:rsid w:val="009340F2"/>
    <w:rPr>
      <w:rFonts w:ascii="Tahoma" w:eastAsia="Calibri" w:hAnsi="Tahoma" w:cs="Tahoma"/>
      <w:sz w:val="16"/>
      <w:szCs w:val="16"/>
    </w:rPr>
  </w:style>
  <w:style w:type="character" w:styleId="CommentReference">
    <w:name w:val="annotation reference"/>
    <w:basedOn w:val="DefaultParagraphFont"/>
    <w:uiPriority w:val="99"/>
    <w:semiHidden/>
    <w:unhideWhenUsed/>
    <w:rsid w:val="00D609C8"/>
    <w:rPr>
      <w:sz w:val="16"/>
      <w:szCs w:val="16"/>
    </w:rPr>
  </w:style>
  <w:style w:type="paragraph" w:styleId="CommentText">
    <w:name w:val="annotation text"/>
    <w:basedOn w:val="Normal"/>
    <w:link w:val="CommentTextChar"/>
    <w:uiPriority w:val="99"/>
    <w:semiHidden/>
    <w:unhideWhenUsed/>
    <w:rsid w:val="00D609C8"/>
    <w:rPr>
      <w:sz w:val="20"/>
      <w:szCs w:val="20"/>
    </w:rPr>
  </w:style>
  <w:style w:type="character" w:customStyle="1" w:styleId="CommentTextChar">
    <w:name w:val="Comment Text Char"/>
    <w:basedOn w:val="DefaultParagraphFont"/>
    <w:link w:val="CommentText"/>
    <w:uiPriority w:val="99"/>
    <w:semiHidden/>
    <w:rsid w:val="00D609C8"/>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D609C8"/>
    <w:rPr>
      <w:b/>
      <w:bCs/>
    </w:rPr>
  </w:style>
  <w:style w:type="character" w:customStyle="1" w:styleId="CommentSubjectChar">
    <w:name w:val="Comment Subject Char"/>
    <w:basedOn w:val="CommentTextChar"/>
    <w:link w:val="CommentSubject"/>
    <w:uiPriority w:val="99"/>
    <w:semiHidden/>
    <w:rsid w:val="00D609C8"/>
    <w:rPr>
      <w:rFonts w:ascii="Arial" w:eastAsia="Calibri" w:hAnsi="Arial" w:cs="Arial"/>
      <w:b/>
      <w:bCs/>
      <w:sz w:val="20"/>
      <w:szCs w:val="20"/>
    </w:rPr>
  </w:style>
  <w:style w:type="paragraph" w:styleId="ListParagraph">
    <w:name w:val="List Paragraph"/>
    <w:basedOn w:val="Normal"/>
    <w:uiPriority w:val="34"/>
    <w:qFormat/>
    <w:rsid w:val="002C6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8E"/>
    <w:pPr>
      <w:spacing w:after="0" w:line="240" w:lineRule="auto"/>
    </w:pPr>
    <w:rPr>
      <w:rFonts w:ascii="Arial" w:eastAsia="Calibri" w:hAnsi="Arial" w:cs="Arial"/>
    </w:rPr>
  </w:style>
  <w:style w:type="paragraph" w:styleId="Heading3">
    <w:name w:val="heading 3"/>
    <w:basedOn w:val="Normal"/>
    <w:link w:val="Heading3Char"/>
    <w:qFormat/>
    <w:rsid w:val="0045788E"/>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788E"/>
    <w:rPr>
      <w:rFonts w:ascii="Times New Roman" w:eastAsia="Times New Roman" w:hAnsi="Times New Roman" w:cs="Times New Roman"/>
      <w:b/>
      <w:bCs/>
      <w:sz w:val="27"/>
      <w:szCs w:val="27"/>
      <w:lang w:eastAsia="en-AU"/>
    </w:rPr>
  </w:style>
  <w:style w:type="paragraph" w:styleId="FootnoteText">
    <w:name w:val="footnote text"/>
    <w:basedOn w:val="Normal"/>
    <w:link w:val="FootnoteTextChar"/>
    <w:rsid w:val="0045788E"/>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45788E"/>
    <w:rPr>
      <w:rFonts w:ascii="Times New Roman" w:eastAsia="Times New Roman" w:hAnsi="Times New Roman" w:cs="Times New Roman"/>
      <w:sz w:val="20"/>
      <w:szCs w:val="20"/>
      <w:lang w:eastAsia="en-AU"/>
    </w:rPr>
  </w:style>
  <w:style w:type="character" w:styleId="FootnoteReference">
    <w:name w:val="footnote reference"/>
    <w:rsid w:val="0045788E"/>
    <w:rPr>
      <w:vertAlign w:val="superscript"/>
    </w:rPr>
  </w:style>
  <w:style w:type="paragraph" w:styleId="Header">
    <w:name w:val="header"/>
    <w:basedOn w:val="Normal"/>
    <w:link w:val="HeaderChar"/>
    <w:uiPriority w:val="99"/>
    <w:unhideWhenUsed/>
    <w:rsid w:val="0045788E"/>
    <w:pPr>
      <w:tabs>
        <w:tab w:val="center" w:pos="4513"/>
        <w:tab w:val="right" w:pos="9026"/>
      </w:tabs>
    </w:pPr>
  </w:style>
  <w:style w:type="character" w:customStyle="1" w:styleId="HeaderChar">
    <w:name w:val="Header Char"/>
    <w:basedOn w:val="DefaultParagraphFont"/>
    <w:link w:val="Header"/>
    <w:uiPriority w:val="99"/>
    <w:rsid w:val="0045788E"/>
    <w:rPr>
      <w:rFonts w:ascii="Arial" w:eastAsia="Calibri" w:hAnsi="Arial" w:cs="Arial"/>
    </w:rPr>
  </w:style>
  <w:style w:type="paragraph" w:styleId="Footer">
    <w:name w:val="footer"/>
    <w:basedOn w:val="Normal"/>
    <w:link w:val="FooterChar"/>
    <w:uiPriority w:val="99"/>
    <w:unhideWhenUsed/>
    <w:rsid w:val="0045788E"/>
    <w:pPr>
      <w:tabs>
        <w:tab w:val="center" w:pos="4513"/>
        <w:tab w:val="right" w:pos="9026"/>
      </w:tabs>
    </w:pPr>
  </w:style>
  <w:style w:type="character" w:customStyle="1" w:styleId="FooterChar">
    <w:name w:val="Footer Char"/>
    <w:basedOn w:val="DefaultParagraphFont"/>
    <w:link w:val="Footer"/>
    <w:uiPriority w:val="99"/>
    <w:rsid w:val="0045788E"/>
    <w:rPr>
      <w:rFonts w:ascii="Arial" w:eastAsia="Calibri" w:hAnsi="Arial" w:cs="Arial"/>
    </w:rPr>
  </w:style>
  <w:style w:type="paragraph" w:customStyle="1" w:styleId="Default">
    <w:name w:val="Default"/>
    <w:rsid w:val="0023750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340F2"/>
    <w:rPr>
      <w:rFonts w:ascii="Tahoma" w:hAnsi="Tahoma" w:cs="Tahoma"/>
      <w:sz w:val="16"/>
      <w:szCs w:val="16"/>
    </w:rPr>
  </w:style>
  <w:style w:type="character" w:customStyle="1" w:styleId="BalloonTextChar">
    <w:name w:val="Balloon Text Char"/>
    <w:basedOn w:val="DefaultParagraphFont"/>
    <w:link w:val="BalloonText"/>
    <w:uiPriority w:val="99"/>
    <w:semiHidden/>
    <w:rsid w:val="009340F2"/>
    <w:rPr>
      <w:rFonts w:ascii="Tahoma" w:eastAsia="Calibri" w:hAnsi="Tahoma" w:cs="Tahoma"/>
      <w:sz w:val="16"/>
      <w:szCs w:val="16"/>
    </w:rPr>
  </w:style>
  <w:style w:type="character" w:styleId="CommentReference">
    <w:name w:val="annotation reference"/>
    <w:basedOn w:val="DefaultParagraphFont"/>
    <w:uiPriority w:val="99"/>
    <w:semiHidden/>
    <w:unhideWhenUsed/>
    <w:rsid w:val="00D609C8"/>
    <w:rPr>
      <w:sz w:val="16"/>
      <w:szCs w:val="16"/>
    </w:rPr>
  </w:style>
  <w:style w:type="paragraph" w:styleId="CommentText">
    <w:name w:val="annotation text"/>
    <w:basedOn w:val="Normal"/>
    <w:link w:val="CommentTextChar"/>
    <w:uiPriority w:val="99"/>
    <w:semiHidden/>
    <w:unhideWhenUsed/>
    <w:rsid w:val="00D609C8"/>
    <w:rPr>
      <w:sz w:val="20"/>
      <w:szCs w:val="20"/>
    </w:rPr>
  </w:style>
  <w:style w:type="character" w:customStyle="1" w:styleId="CommentTextChar">
    <w:name w:val="Comment Text Char"/>
    <w:basedOn w:val="DefaultParagraphFont"/>
    <w:link w:val="CommentText"/>
    <w:uiPriority w:val="99"/>
    <w:semiHidden/>
    <w:rsid w:val="00D609C8"/>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D609C8"/>
    <w:rPr>
      <w:b/>
      <w:bCs/>
    </w:rPr>
  </w:style>
  <w:style w:type="character" w:customStyle="1" w:styleId="CommentSubjectChar">
    <w:name w:val="Comment Subject Char"/>
    <w:basedOn w:val="CommentTextChar"/>
    <w:link w:val="CommentSubject"/>
    <w:uiPriority w:val="99"/>
    <w:semiHidden/>
    <w:rsid w:val="00D609C8"/>
    <w:rPr>
      <w:rFonts w:ascii="Arial" w:eastAsia="Calibri" w:hAnsi="Arial" w:cs="Arial"/>
      <w:b/>
      <w:bCs/>
      <w:sz w:val="20"/>
      <w:szCs w:val="20"/>
    </w:rPr>
  </w:style>
  <w:style w:type="paragraph" w:styleId="ListParagraph">
    <w:name w:val="List Paragraph"/>
    <w:basedOn w:val="Normal"/>
    <w:uiPriority w:val="34"/>
    <w:qFormat/>
    <w:rsid w:val="002C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1317383-B70B-4A09-965D-C91608C9A31B" xsi:nil="true"/>
    <pdms_AttachedBy xmlns="11317383-B70B-4A09-965D-C91608C9A31B" xsi:nil="true"/>
    <pdms_Reason xmlns="11317383-B70B-4A09-965D-C91608C9A31B" xsi:nil="true"/>
    <pdms_SecurityClassification xmlns="11317383-B70B-4A09-965D-C91608C9A31B" xsi:nil="true"/>
    <pdms_DocumentType xmlns="11317383-B70B-4A09-965D-C91608C9A3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2A153289A9ED6A428C83C180E26D80ED" ma:contentTypeVersion="" ma:contentTypeDescription="PDMS Documentation Content Type" ma:contentTypeScope="" ma:versionID="df54cf13d87032dec9b56b63d0758cc4">
  <xsd:schema xmlns:xsd="http://www.w3.org/2001/XMLSchema" xmlns:xs="http://www.w3.org/2001/XMLSchema" xmlns:p="http://schemas.microsoft.com/office/2006/metadata/properties" xmlns:ns2="11317383-B70B-4A09-965D-C91608C9A31B" targetNamespace="http://schemas.microsoft.com/office/2006/metadata/properties" ma:root="true" ma:fieldsID="190b5ada0dba5a3090e076b1a11538d3" ns2:_="">
    <xsd:import namespace="11317383-B70B-4A09-965D-C91608C9A31B"/>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17383-B70B-4A09-965D-C91608C9A31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354D-1E23-44BD-A978-22DA765E8273}">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11317383-B70B-4A09-965D-C91608C9A31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01DB15A-3CDF-4F09-AD3F-2200C2895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17383-B70B-4A09-965D-C91608C9A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64042-F2B6-4964-AECD-73E600F1B943}">
  <ds:schemaRefs>
    <ds:schemaRef ds:uri="http://schemas.microsoft.com/sharepoint/v3/contenttype/forms"/>
  </ds:schemaRefs>
</ds:datastoreItem>
</file>

<file path=customXml/itemProps4.xml><?xml version="1.0" encoding="utf-8"?>
<ds:datastoreItem xmlns:ds="http://schemas.openxmlformats.org/officeDocument/2006/customXml" ds:itemID="{60377404-13EA-4A79-B105-670F8D1D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5906FB96.dotm</Template>
  <TotalTime>0</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2015-06-09T03:39:00Z</dcterms:created>
  <dcterms:modified xsi:type="dcterms:W3CDTF">2015-06-09T03:40:00Z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0x010100266966F133664895A6EE3632470D45F501002A153289A9ED6A428C83C180E26D80ED</vt:lpwstr>
  </property>
  <property fmtid="{D5CDD505-2E9C-101B-9397-08002B2CF9AE}" pid="3" name="ItemRetentionFormula">
    <vt:lpwstr/>
  </property>
  <property fmtid="{D5CDD505-2E9C-101B-9397-08002B2CF9AE}" pid="4" name="_dlc_policyId">
    <vt:lpwstr/>
  </property>
</Properties>
</file>