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38" w:rsidRPr="00DB0561" w:rsidRDefault="006E3D38" w:rsidP="00DB0561">
      <w:pPr>
        <w:jc w:val="right"/>
        <w:rPr>
          <w:b/>
          <w:u w:val="single"/>
        </w:rPr>
      </w:pPr>
      <w:bookmarkStart w:id="0" w:name="_GoBack"/>
      <w:bookmarkEnd w:id="0"/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  <w:r>
        <w:t>EXPLANATORY STATEMENT</w:t>
      </w: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523F32" w:rsidRDefault="002A1FA5" w:rsidP="006E3D38">
      <w:pPr>
        <w:jc w:val="center"/>
      </w:pPr>
      <w:r w:rsidRPr="002A1FA5">
        <w:t xml:space="preserve">2015 STATEMENT OF EXPECTATIONS FOR THE </w:t>
      </w:r>
    </w:p>
    <w:p w:rsidR="006E3D38" w:rsidRDefault="002A1FA5" w:rsidP="006E3D38">
      <w:pPr>
        <w:jc w:val="center"/>
      </w:pPr>
      <w:proofErr w:type="gramStart"/>
      <w:r w:rsidRPr="002A1FA5">
        <w:t>BOARD OF AIRSERVICES AUSTRALIA.</w:t>
      </w:r>
      <w:proofErr w:type="gramEnd"/>
    </w:p>
    <w:p w:rsidR="006E3D38" w:rsidRDefault="006E3D38" w:rsidP="006E3D38">
      <w:pPr>
        <w:jc w:val="center"/>
      </w:pPr>
    </w:p>
    <w:p w:rsidR="006E3D38" w:rsidRDefault="00DB0561" w:rsidP="00DB0561">
      <w:pPr>
        <w:tabs>
          <w:tab w:val="left" w:pos="2670"/>
        </w:tabs>
      </w:pPr>
      <w:r>
        <w:tab/>
      </w: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6E3D38">
      <w:pPr>
        <w:jc w:val="center"/>
      </w:pPr>
    </w:p>
    <w:p w:rsidR="006E3D38" w:rsidRDefault="006E3D38" w:rsidP="00A6238F">
      <w:pPr>
        <w:spacing w:before="0"/>
        <w:ind w:right="-51"/>
        <w:rPr>
          <w:b/>
          <w:u w:val="single"/>
        </w:rPr>
      </w:pPr>
    </w:p>
    <w:p w:rsidR="006E3D38" w:rsidRDefault="006E3D38" w:rsidP="00A6238F">
      <w:pPr>
        <w:spacing w:before="0"/>
        <w:ind w:right="-51"/>
        <w:rPr>
          <w:b/>
          <w:u w:val="single"/>
        </w:rPr>
      </w:pPr>
      <w:r>
        <w:rPr>
          <w:b/>
          <w:u w:val="single"/>
        </w:rPr>
        <w:br w:type="page"/>
      </w:r>
    </w:p>
    <w:p w:rsidR="00B45DC7" w:rsidRPr="006E3D38" w:rsidRDefault="00AF7C51" w:rsidP="00A6238F">
      <w:pPr>
        <w:rPr>
          <w:b/>
          <w:sz w:val="28"/>
          <w:szCs w:val="28"/>
        </w:rPr>
      </w:pPr>
      <w:r w:rsidRPr="006E3D38">
        <w:rPr>
          <w:b/>
          <w:sz w:val="28"/>
          <w:szCs w:val="28"/>
        </w:rPr>
        <w:lastRenderedPageBreak/>
        <w:t>Statement of Expectations – Airservices Australia</w:t>
      </w:r>
    </w:p>
    <w:p w:rsidR="00B45DC7" w:rsidRDefault="00B45DC7" w:rsidP="00A6238F">
      <w:pPr>
        <w:pStyle w:val="Heading6"/>
        <w:spacing w:before="0"/>
        <w:ind w:right="-51"/>
      </w:pPr>
    </w:p>
    <w:p w:rsidR="006E3D38" w:rsidRPr="006E3D38" w:rsidRDefault="006E3D38" w:rsidP="006E3D38">
      <w:pPr>
        <w:spacing w:before="0"/>
        <w:ind w:right="-51"/>
        <w:rPr>
          <w:b/>
          <w:u w:val="single"/>
        </w:rPr>
      </w:pPr>
      <w:r w:rsidRPr="006E3D38">
        <w:rPr>
          <w:b/>
          <w:u w:val="single"/>
        </w:rPr>
        <w:t>Outline</w:t>
      </w:r>
    </w:p>
    <w:p w:rsidR="006E3D38" w:rsidRPr="006E3D38" w:rsidRDefault="006E3D38" w:rsidP="006E3D38">
      <w:pPr>
        <w:spacing w:before="0"/>
        <w:ind w:right="-51"/>
      </w:pPr>
    </w:p>
    <w:p w:rsidR="00AF7C51" w:rsidRPr="00AF7C51" w:rsidRDefault="00FA4B04" w:rsidP="00A6238F">
      <w:pPr>
        <w:spacing w:before="0"/>
        <w:ind w:right="-51"/>
      </w:pPr>
      <w:r>
        <w:t>The Statement of Expectations</w:t>
      </w:r>
      <w:r w:rsidR="00161616">
        <w:t xml:space="preserve"> (the Statement)</w:t>
      </w:r>
      <w:r>
        <w:t xml:space="preserve"> was i</w:t>
      </w:r>
      <w:r w:rsidR="00AF7C51">
        <w:t xml:space="preserve">ssued </w:t>
      </w:r>
      <w:r w:rsidR="002951FC">
        <w:t xml:space="preserve">by the Government </w:t>
      </w:r>
      <w:r w:rsidR="00AF7C51">
        <w:t>as a notic</w:t>
      </w:r>
      <w:r w:rsidR="002951FC">
        <w:t>e of strategic direction under S</w:t>
      </w:r>
      <w:r w:rsidR="00AF7C51">
        <w:t xml:space="preserve">ection 17 of the </w:t>
      </w:r>
      <w:r w:rsidR="00AF7C51" w:rsidRPr="00AF7C51">
        <w:rPr>
          <w:i/>
        </w:rPr>
        <w:t>Air Services Act 1995</w:t>
      </w:r>
      <w:r w:rsidR="002951FC">
        <w:t xml:space="preserve"> </w:t>
      </w:r>
      <w:r w:rsidR="00CE6DBA">
        <w:t>to Airservices</w:t>
      </w:r>
      <w:r w:rsidR="00664601">
        <w:t> </w:t>
      </w:r>
      <w:r w:rsidR="00CE6DBA">
        <w:t>Australia</w:t>
      </w:r>
      <w:r w:rsidR="002946C1">
        <w:t xml:space="preserve"> (Airservices)</w:t>
      </w:r>
      <w:r w:rsidR="00AF7C51" w:rsidRPr="00AF7C51">
        <w:t>.</w:t>
      </w:r>
    </w:p>
    <w:p w:rsidR="00AF7C51" w:rsidRDefault="00AF7C51" w:rsidP="00A6238F">
      <w:pPr>
        <w:spacing w:before="0"/>
        <w:ind w:right="-51"/>
        <w:rPr>
          <w:i/>
        </w:rPr>
      </w:pPr>
    </w:p>
    <w:p w:rsidR="00A60B5E" w:rsidRDefault="009E7C23" w:rsidP="00A6238F">
      <w:pPr>
        <w:spacing w:before="0"/>
        <w:ind w:right="-51"/>
      </w:pPr>
      <w:r>
        <w:t xml:space="preserve">Section 17 of the </w:t>
      </w:r>
      <w:r w:rsidRPr="001847B5">
        <w:rPr>
          <w:i/>
        </w:rPr>
        <w:t>Air Services Act 1995</w:t>
      </w:r>
      <w:r>
        <w:t xml:space="preserve"> provides </w:t>
      </w:r>
      <w:r w:rsidR="00CE6DBA">
        <w:t>th</w:t>
      </w:r>
      <w:r w:rsidR="00ED0C84">
        <w:t xml:space="preserve">at the </w:t>
      </w:r>
      <w:r>
        <w:t>Min</w:t>
      </w:r>
      <w:r w:rsidR="006076B4">
        <w:t>i</w:t>
      </w:r>
      <w:r>
        <w:t xml:space="preserve">ster </w:t>
      </w:r>
      <w:r w:rsidR="00ED0C84">
        <w:t>may</w:t>
      </w:r>
      <w:r>
        <w:t xml:space="preserve"> noti</w:t>
      </w:r>
      <w:r w:rsidR="00ED0C84">
        <w:t>fy</w:t>
      </w:r>
      <w:r>
        <w:t xml:space="preserve"> Airservices </w:t>
      </w:r>
      <w:r w:rsidR="00ED0C84">
        <w:t xml:space="preserve">in writing of the Minister’s views on the appropriate </w:t>
      </w:r>
      <w:r>
        <w:t xml:space="preserve">strategic direction </w:t>
      </w:r>
      <w:r w:rsidR="00AA4B72">
        <w:t xml:space="preserve">for Airservices </w:t>
      </w:r>
      <w:r>
        <w:t xml:space="preserve">and the manner in which </w:t>
      </w:r>
      <w:r w:rsidR="00ED0C84">
        <w:t xml:space="preserve">it </w:t>
      </w:r>
      <w:r>
        <w:t>should perform its functions.</w:t>
      </w:r>
    </w:p>
    <w:p w:rsidR="009E7C23" w:rsidRDefault="009E7C23" w:rsidP="00A6238F">
      <w:pPr>
        <w:spacing w:before="0"/>
        <w:ind w:right="-51"/>
      </w:pPr>
    </w:p>
    <w:p w:rsidR="00FF3A23" w:rsidRDefault="00A6238F" w:rsidP="00A6238F">
      <w:pPr>
        <w:spacing w:before="0"/>
        <w:ind w:right="-51"/>
      </w:pPr>
      <w:r>
        <w:t>The Statement of Expectation</w:t>
      </w:r>
      <w:r w:rsidR="00AA4B72">
        <w:t>s</w:t>
      </w:r>
      <w:r w:rsidR="00764FF9">
        <w:t xml:space="preserve"> </w:t>
      </w:r>
      <w:r>
        <w:t xml:space="preserve">outlines the Minister’s expectations </w:t>
      </w:r>
      <w:r w:rsidR="00AA4B72">
        <w:t>for the agency</w:t>
      </w:r>
      <w:r>
        <w:t xml:space="preserve"> in regard</w:t>
      </w:r>
      <w:r w:rsidR="00664601">
        <w:t>s</w:t>
      </w:r>
      <w:r>
        <w:t xml:space="preserve"> to </w:t>
      </w:r>
      <w:r w:rsidR="00AA4B72">
        <w:t xml:space="preserve">its operations and </w:t>
      </w:r>
      <w:r>
        <w:t>performance</w:t>
      </w:r>
      <w:r w:rsidR="00AA4B72">
        <w:t xml:space="preserve"> over the period 1 </w:t>
      </w:r>
      <w:r w:rsidR="00C51088">
        <w:t>July</w:t>
      </w:r>
      <w:r w:rsidR="00AA4B72">
        <w:t> 20</w:t>
      </w:r>
      <w:r w:rsidR="00C51088">
        <w:t>1</w:t>
      </w:r>
      <w:r w:rsidR="00780BC6">
        <w:t>5</w:t>
      </w:r>
      <w:r w:rsidR="00AA4B72">
        <w:t xml:space="preserve"> to 30 June 201</w:t>
      </w:r>
      <w:r w:rsidR="00780BC6">
        <w:t>7</w:t>
      </w:r>
      <w:r>
        <w:t>.</w:t>
      </w:r>
      <w:r w:rsidR="00935AB6">
        <w:t xml:space="preserve">  </w:t>
      </w:r>
    </w:p>
    <w:p w:rsidR="00FF3A23" w:rsidRDefault="00FF3A23" w:rsidP="00A6238F">
      <w:pPr>
        <w:spacing w:before="0"/>
        <w:ind w:right="-51"/>
      </w:pPr>
    </w:p>
    <w:p w:rsidR="00226AD0" w:rsidRDefault="00BD1F86" w:rsidP="00226AD0">
      <w:pPr>
        <w:spacing w:before="0"/>
        <w:ind w:right="-51"/>
      </w:pPr>
      <w:r>
        <w:t>The new S</w:t>
      </w:r>
      <w:r w:rsidR="00FF3A23">
        <w:t>tatement</w:t>
      </w:r>
      <w:r w:rsidR="0001213C">
        <w:t xml:space="preserve"> also</w:t>
      </w:r>
      <w:r w:rsidR="00FF3A23">
        <w:t xml:space="preserve"> </w:t>
      </w:r>
      <w:r w:rsidR="00AA4B72">
        <w:t xml:space="preserve">replaces the previous statement </w:t>
      </w:r>
      <w:r w:rsidR="002951FC">
        <w:t xml:space="preserve">which was </w:t>
      </w:r>
      <w:r w:rsidR="00AA4B72">
        <w:t xml:space="preserve">issued by the </w:t>
      </w:r>
      <w:r w:rsidR="00DD599C">
        <w:t xml:space="preserve">then </w:t>
      </w:r>
      <w:r w:rsidR="00AA4B72">
        <w:t>Minister for</w:t>
      </w:r>
      <w:r w:rsidR="00C51088">
        <w:t xml:space="preserve"> Infrastructure</w:t>
      </w:r>
      <w:r w:rsidR="0018598A">
        <w:t xml:space="preserve"> and</w:t>
      </w:r>
      <w:r w:rsidR="00C51088">
        <w:t xml:space="preserve"> </w:t>
      </w:r>
      <w:r w:rsidR="00AA4B72">
        <w:t>Transport</w:t>
      </w:r>
      <w:r w:rsidR="00C51088">
        <w:t>,</w:t>
      </w:r>
      <w:r w:rsidR="00AA4B72">
        <w:t xml:space="preserve"> the Hon </w:t>
      </w:r>
      <w:r w:rsidR="00C51088">
        <w:t>Anthony</w:t>
      </w:r>
      <w:r w:rsidR="00AA4B72">
        <w:t> </w:t>
      </w:r>
      <w:r w:rsidR="00C51088">
        <w:t>Albanese</w:t>
      </w:r>
      <w:r w:rsidR="00226AD0">
        <w:t xml:space="preserve"> MP, on </w:t>
      </w:r>
      <w:r w:rsidR="00161616">
        <w:t>29 </w:t>
      </w:r>
      <w:r w:rsidR="00780BC6">
        <w:t>April</w:t>
      </w:r>
      <w:r w:rsidR="00161616">
        <w:t> </w:t>
      </w:r>
      <w:r w:rsidR="0018598A">
        <w:t>201</w:t>
      </w:r>
      <w:r w:rsidR="00780BC6">
        <w:t>3</w:t>
      </w:r>
      <w:r w:rsidR="00226AD0">
        <w:t>.</w:t>
      </w:r>
    </w:p>
    <w:p w:rsidR="00226AD0" w:rsidRDefault="00226AD0" w:rsidP="00226AD0">
      <w:pPr>
        <w:spacing w:before="0"/>
        <w:ind w:right="-51"/>
      </w:pPr>
    </w:p>
    <w:p w:rsidR="002951FC" w:rsidRDefault="00AA4B72" w:rsidP="00226AD0">
      <w:pPr>
        <w:spacing w:before="0"/>
        <w:ind w:right="-51"/>
      </w:pPr>
      <w:r>
        <w:t xml:space="preserve">The Statement </w:t>
      </w:r>
      <w:r w:rsidR="00935AB6">
        <w:t xml:space="preserve">emphasises the need for </w:t>
      </w:r>
      <w:r w:rsidR="00BD1F86">
        <w:t xml:space="preserve">Airservices </w:t>
      </w:r>
      <w:r w:rsidR="00FF3A23">
        <w:t xml:space="preserve">to </w:t>
      </w:r>
      <w:r>
        <w:t>perform its functions in a manner t</w:t>
      </w:r>
      <w:r w:rsidR="000E21EF">
        <w:t xml:space="preserve">hat supports Government policy </w:t>
      </w:r>
      <w:r w:rsidR="00DD599C">
        <w:t>initiatives</w:t>
      </w:r>
      <w:r w:rsidR="0001213C">
        <w:t xml:space="preserve"> including the </w:t>
      </w:r>
      <w:r w:rsidR="0001213C" w:rsidRPr="00D22572">
        <w:t>Government’s response to the Aviation Safety Regulation Review Report</w:t>
      </w:r>
      <w:r w:rsidR="00654661">
        <w:t xml:space="preserve">.  Airservices is also expected to </w:t>
      </w:r>
      <w:r w:rsidR="00BD1F86">
        <w:t xml:space="preserve">comply with relevant legislation and to keep the Minister </w:t>
      </w:r>
      <w:r w:rsidR="007D7E40">
        <w:t>for</w:t>
      </w:r>
      <w:r w:rsidR="002A1FA5">
        <w:t xml:space="preserve"> Infrastructure and Regional Development </w:t>
      </w:r>
      <w:r w:rsidR="00BD1F86">
        <w:t xml:space="preserve">and the Secretary of the Department of Infrastructure and </w:t>
      </w:r>
      <w:r w:rsidR="00780BC6">
        <w:t xml:space="preserve">Regional Development </w:t>
      </w:r>
      <w:r w:rsidR="00664601">
        <w:t xml:space="preserve">(the Department) </w:t>
      </w:r>
      <w:r w:rsidR="00BD1F86">
        <w:t>informed of Airservices’ actions and initiatives.</w:t>
      </w:r>
    </w:p>
    <w:p w:rsidR="002951FC" w:rsidRDefault="002951FC" w:rsidP="00226AD0">
      <w:pPr>
        <w:spacing w:before="0"/>
        <w:ind w:right="-51"/>
      </w:pPr>
    </w:p>
    <w:p w:rsidR="002951FC" w:rsidRDefault="00935AB6" w:rsidP="00226AD0">
      <w:pPr>
        <w:spacing w:before="0"/>
        <w:ind w:right="-51"/>
      </w:pPr>
      <w:r>
        <w:t xml:space="preserve">Other major areas covered by the Statement include </w:t>
      </w:r>
      <w:r w:rsidR="00B048A2">
        <w:t>Airservices</w:t>
      </w:r>
      <w:r w:rsidR="002946C1">
        <w:t>’</w:t>
      </w:r>
      <w:r w:rsidR="00B048A2">
        <w:t xml:space="preserve"> infrastructure investment</w:t>
      </w:r>
      <w:r w:rsidR="0001213C">
        <w:t xml:space="preserve"> programme</w:t>
      </w:r>
      <w:r w:rsidR="00B048A2">
        <w:t xml:space="preserve">, </w:t>
      </w:r>
      <w:r w:rsidR="003957A7">
        <w:t>careful management of</w:t>
      </w:r>
      <w:r w:rsidR="00780BC6">
        <w:t xml:space="preserve"> Airservices</w:t>
      </w:r>
      <w:r w:rsidR="003957A7">
        <w:t>’</w:t>
      </w:r>
      <w:r w:rsidR="00780BC6">
        <w:t xml:space="preserve"> capital expenditure</w:t>
      </w:r>
      <w:r w:rsidR="003957A7">
        <w:t xml:space="preserve"> programme</w:t>
      </w:r>
      <w:r w:rsidR="00780BC6">
        <w:t>,</w:t>
      </w:r>
      <w:r w:rsidR="00F671CA">
        <w:t xml:space="preserve"> </w:t>
      </w:r>
      <w:r w:rsidR="00B048A2">
        <w:t>implement</w:t>
      </w:r>
      <w:r w:rsidR="000E21EF">
        <w:t xml:space="preserve">ation of </w:t>
      </w:r>
      <w:r w:rsidR="00B048A2">
        <w:t xml:space="preserve">environmental </w:t>
      </w:r>
      <w:r w:rsidR="0099104D">
        <w:t>initiatives</w:t>
      </w:r>
      <w:r w:rsidR="00654661">
        <w:t xml:space="preserve">, </w:t>
      </w:r>
      <w:r w:rsidR="003957A7">
        <w:t xml:space="preserve">effective </w:t>
      </w:r>
      <w:r w:rsidR="00654661">
        <w:t>stakeholder engagement</w:t>
      </w:r>
      <w:r w:rsidR="00B048A2">
        <w:t xml:space="preserve"> and</w:t>
      </w:r>
      <w:r>
        <w:t xml:space="preserve"> </w:t>
      </w:r>
      <w:r w:rsidR="0099104D">
        <w:t>workforce planning</w:t>
      </w:r>
      <w:r>
        <w:t xml:space="preserve">.  </w:t>
      </w:r>
    </w:p>
    <w:p w:rsidR="002951FC" w:rsidRDefault="002951FC" w:rsidP="00226AD0">
      <w:pPr>
        <w:spacing w:before="0"/>
        <w:ind w:right="-51"/>
      </w:pPr>
    </w:p>
    <w:p w:rsidR="00935AB6" w:rsidRDefault="00BD1F86" w:rsidP="00226AD0">
      <w:pPr>
        <w:spacing w:before="0"/>
        <w:ind w:right="-51"/>
      </w:pPr>
      <w:r>
        <w:t>The Statement outlines</w:t>
      </w:r>
      <w:r w:rsidR="00935AB6">
        <w:t xml:space="preserve"> the Government</w:t>
      </w:r>
      <w:r w:rsidR="00DB0561">
        <w:t>’</w:t>
      </w:r>
      <w:r w:rsidR="00935AB6">
        <w:t xml:space="preserve">s expectations in relation to the way Airservices conducts its functions </w:t>
      </w:r>
      <w:r w:rsidR="007921C9">
        <w:t>and</w:t>
      </w:r>
      <w:r w:rsidR="00935AB6">
        <w:t xml:space="preserve"> the need for consultation with </w:t>
      </w:r>
      <w:r w:rsidR="00755622">
        <w:t xml:space="preserve">the community, industry and </w:t>
      </w:r>
      <w:r w:rsidR="00935AB6">
        <w:t>Government agencies.</w:t>
      </w:r>
    </w:p>
    <w:p w:rsidR="00935AB6" w:rsidRDefault="00935AB6" w:rsidP="00226AD0">
      <w:pPr>
        <w:spacing w:before="0"/>
        <w:ind w:right="-51"/>
      </w:pPr>
    </w:p>
    <w:p w:rsidR="00A60B5E" w:rsidRPr="006F6C71" w:rsidRDefault="00A60B5E" w:rsidP="00A6238F">
      <w:pPr>
        <w:spacing w:before="0"/>
        <w:ind w:right="-51"/>
      </w:pPr>
      <w:r>
        <w:t xml:space="preserve">Details of the </w:t>
      </w:r>
      <w:r w:rsidR="00417336">
        <w:t xml:space="preserve">Statement of Expectations </w:t>
      </w:r>
      <w:r>
        <w:t xml:space="preserve">are set out in the </w:t>
      </w:r>
      <w:r w:rsidRPr="00B0568E">
        <w:rPr>
          <w:u w:val="single"/>
        </w:rPr>
        <w:t>At</w:t>
      </w:r>
      <w:r w:rsidRPr="006F6C71">
        <w:rPr>
          <w:u w:val="single"/>
        </w:rPr>
        <w:t>tachment</w:t>
      </w:r>
      <w:r>
        <w:t>.</w:t>
      </w:r>
    </w:p>
    <w:p w:rsidR="00A60B5E" w:rsidRDefault="00A60B5E" w:rsidP="00A6238F">
      <w:pPr>
        <w:spacing w:before="0"/>
        <w:ind w:right="-51"/>
      </w:pPr>
    </w:p>
    <w:p w:rsidR="008B5F78" w:rsidRDefault="00634E6F" w:rsidP="00A6238F">
      <w:pPr>
        <w:spacing w:before="0"/>
        <w:ind w:right="-51"/>
      </w:pPr>
      <w:r>
        <w:t>A</w:t>
      </w:r>
      <w:r w:rsidR="00D40A74">
        <w:t xml:space="preserve">irservices </w:t>
      </w:r>
      <w:r>
        <w:t>w</w:t>
      </w:r>
      <w:r w:rsidR="00CF45D7">
        <w:t>as</w:t>
      </w:r>
      <w:r>
        <w:t xml:space="preserve"> </w:t>
      </w:r>
      <w:r w:rsidR="00C3285A">
        <w:t>consulted</w:t>
      </w:r>
      <w:r>
        <w:t xml:space="preserve"> in finalising the Statement</w:t>
      </w:r>
      <w:r w:rsidR="00417336">
        <w:t xml:space="preserve">. </w:t>
      </w:r>
    </w:p>
    <w:p w:rsidR="00A60B5E" w:rsidRDefault="00A60B5E" w:rsidP="00A6238F">
      <w:pPr>
        <w:tabs>
          <w:tab w:val="left" w:pos="6521"/>
        </w:tabs>
        <w:spacing w:before="0"/>
        <w:ind w:right="-51"/>
      </w:pPr>
    </w:p>
    <w:p w:rsidR="00760B3F" w:rsidRDefault="00417336" w:rsidP="00A6238F">
      <w:pPr>
        <w:tabs>
          <w:tab w:val="left" w:pos="6521"/>
        </w:tabs>
        <w:spacing w:before="0"/>
        <w:ind w:right="-51"/>
      </w:pPr>
      <w:r>
        <w:t xml:space="preserve">Notices issued under </w:t>
      </w:r>
      <w:r w:rsidR="00664601">
        <w:t>S</w:t>
      </w:r>
      <w:r>
        <w:t xml:space="preserve">ection 17 of the </w:t>
      </w:r>
      <w:r w:rsidRPr="00417336">
        <w:rPr>
          <w:i/>
        </w:rPr>
        <w:t>Air Services Act 1995</w:t>
      </w:r>
      <w:r w:rsidR="00A60B5E" w:rsidRPr="00417336">
        <w:rPr>
          <w:i/>
        </w:rPr>
        <w:t xml:space="preserve"> </w:t>
      </w:r>
      <w:r w:rsidR="00C17503">
        <w:t xml:space="preserve">are </w:t>
      </w:r>
      <w:r w:rsidR="00A60B5E">
        <w:t xml:space="preserve">a legislative instrument for the purposes of the </w:t>
      </w:r>
      <w:r w:rsidR="00A60B5E" w:rsidRPr="00B63B3C">
        <w:rPr>
          <w:i/>
        </w:rPr>
        <w:t>Legislative Instruments Act 2003</w:t>
      </w:r>
      <w:r w:rsidR="00A60B5E">
        <w:t>.</w:t>
      </w:r>
      <w:r w:rsidR="008B5F78">
        <w:t xml:space="preserve"> </w:t>
      </w:r>
    </w:p>
    <w:p w:rsidR="00760B3F" w:rsidRDefault="00760B3F" w:rsidP="00A6238F">
      <w:pPr>
        <w:tabs>
          <w:tab w:val="left" w:pos="6521"/>
        </w:tabs>
        <w:spacing w:before="0"/>
        <w:ind w:right="-51"/>
      </w:pPr>
    </w:p>
    <w:p w:rsidR="00A60B5E" w:rsidRDefault="00A60B5E" w:rsidP="00A6238F">
      <w:pPr>
        <w:tabs>
          <w:tab w:val="left" w:pos="6521"/>
        </w:tabs>
        <w:spacing w:before="0"/>
        <w:ind w:right="-51"/>
      </w:pPr>
      <w:r>
        <w:t xml:space="preserve">The </w:t>
      </w:r>
      <w:r w:rsidR="00417336">
        <w:t>Statement of Expectations</w:t>
      </w:r>
      <w:r w:rsidR="00755622">
        <w:t xml:space="preserve"> </w:t>
      </w:r>
      <w:r w:rsidR="00642D67">
        <w:t>commences on</w:t>
      </w:r>
      <w:r w:rsidR="00A16579">
        <w:t xml:space="preserve"> </w:t>
      </w:r>
      <w:r w:rsidR="0099104D">
        <w:t>1 July</w:t>
      </w:r>
      <w:r w:rsidR="00417336">
        <w:t xml:space="preserve"> 20</w:t>
      </w:r>
      <w:r w:rsidR="00755622">
        <w:t>1</w:t>
      </w:r>
      <w:r w:rsidR="00780BC6">
        <w:t>5</w:t>
      </w:r>
      <w:r w:rsidR="00417336">
        <w:t xml:space="preserve"> </w:t>
      </w:r>
      <w:r w:rsidR="001B0BA0">
        <w:t xml:space="preserve">and expires on </w:t>
      </w:r>
      <w:r w:rsidR="00F87A4C">
        <w:t>30 </w:t>
      </w:r>
      <w:r w:rsidR="00B43D0B">
        <w:t>June </w:t>
      </w:r>
      <w:r w:rsidR="00417336">
        <w:t>201</w:t>
      </w:r>
      <w:r w:rsidR="00780BC6">
        <w:t>7</w:t>
      </w:r>
      <w:r w:rsidR="00417336">
        <w:t xml:space="preserve">.  </w:t>
      </w:r>
    </w:p>
    <w:p w:rsidR="00A60B5E" w:rsidRDefault="00A60B5E" w:rsidP="00A6238F">
      <w:pPr>
        <w:tabs>
          <w:tab w:val="left" w:pos="6521"/>
        </w:tabs>
        <w:spacing w:before="0"/>
        <w:ind w:right="-51"/>
      </w:pPr>
    </w:p>
    <w:p w:rsidR="00A60B5E" w:rsidRDefault="00A60B5E" w:rsidP="00A6238F">
      <w:pPr>
        <w:tabs>
          <w:tab w:val="left" w:pos="3969"/>
          <w:tab w:val="left" w:pos="5245"/>
        </w:tabs>
        <w:spacing w:before="0"/>
        <w:ind w:right="-51"/>
        <w:rPr>
          <w:i/>
        </w:rPr>
      </w:pPr>
      <w:r>
        <w:rPr>
          <w:u w:val="single"/>
        </w:rPr>
        <w:t>Authority:</w:t>
      </w:r>
      <w:r>
        <w:t xml:space="preserve"> Section </w:t>
      </w:r>
      <w:r w:rsidR="00A16579">
        <w:t>17</w:t>
      </w:r>
      <w:r>
        <w:t xml:space="preserve"> of the </w:t>
      </w:r>
      <w:r>
        <w:rPr>
          <w:i/>
        </w:rPr>
        <w:t>Air</w:t>
      </w:r>
      <w:r w:rsidR="00A16579">
        <w:rPr>
          <w:i/>
        </w:rPr>
        <w:t xml:space="preserve"> Services Act 1995</w:t>
      </w:r>
      <w:r w:rsidR="00BD1F86">
        <w:rPr>
          <w:i/>
        </w:rPr>
        <w:t>.</w:t>
      </w:r>
    </w:p>
    <w:p w:rsidR="00A60B5E" w:rsidRDefault="00A60B5E" w:rsidP="00A6238F">
      <w:pPr>
        <w:spacing w:before="0"/>
        <w:ind w:right="-51"/>
      </w:pPr>
    </w:p>
    <w:p w:rsidR="00A60B5E" w:rsidRPr="009C7A63" w:rsidRDefault="00A16579" w:rsidP="007921C9">
      <w:pPr>
        <w:spacing w:before="0"/>
        <w:ind w:right="-51"/>
        <w:jc w:val="right"/>
        <w:rPr>
          <w:u w:val="single"/>
        </w:rPr>
      </w:pPr>
      <w:r>
        <w:br w:type="page"/>
      </w:r>
      <w:r w:rsidR="00A60B5E" w:rsidRPr="009C7A63">
        <w:rPr>
          <w:b/>
          <w:u w:val="single"/>
        </w:rPr>
        <w:lastRenderedPageBreak/>
        <w:t>ATTACHMENT</w:t>
      </w:r>
    </w:p>
    <w:p w:rsidR="00A60B5E" w:rsidRDefault="00A60B5E" w:rsidP="00A6238F">
      <w:pPr>
        <w:spacing w:before="0"/>
        <w:ind w:right="-51"/>
      </w:pPr>
    </w:p>
    <w:p w:rsidR="00C71063" w:rsidRDefault="00C71063" w:rsidP="00A6238F">
      <w:pPr>
        <w:spacing w:before="0"/>
        <w:ind w:right="-51"/>
        <w:rPr>
          <w:b/>
          <w:u w:val="single"/>
        </w:rPr>
      </w:pPr>
    </w:p>
    <w:p w:rsidR="00C71063" w:rsidRDefault="00A60B5E" w:rsidP="00C20CF4">
      <w:pPr>
        <w:spacing w:before="0"/>
        <w:ind w:right="-51"/>
        <w:rPr>
          <w:u w:val="single"/>
        </w:rPr>
      </w:pPr>
      <w:r w:rsidRPr="009C7A63">
        <w:rPr>
          <w:b/>
          <w:u w:val="single"/>
        </w:rPr>
        <w:t xml:space="preserve">Details of the </w:t>
      </w:r>
      <w:r w:rsidR="008B3BB7">
        <w:rPr>
          <w:b/>
          <w:u w:val="single"/>
        </w:rPr>
        <w:t>Statement of Expectations</w:t>
      </w:r>
    </w:p>
    <w:p w:rsidR="00B648A9" w:rsidRDefault="001B168C" w:rsidP="00CB0CBC">
      <w:pPr>
        <w:ind w:right="-51"/>
        <w:rPr>
          <w:u w:val="single"/>
        </w:rPr>
      </w:pPr>
      <w:r>
        <w:rPr>
          <w:u w:val="single"/>
        </w:rPr>
        <w:t>Introduction</w:t>
      </w:r>
    </w:p>
    <w:p w:rsidR="00B648A9" w:rsidRPr="00CB0CBC" w:rsidRDefault="001B168C" w:rsidP="00CB0CBC">
      <w:pPr>
        <w:spacing w:before="0"/>
        <w:ind w:right="-51"/>
      </w:pPr>
      <w:r>
        <w:t xml:space="preserve">The introduction </w:t>
      </w:r>
      <w:r w:rsidRPr="001B168C">
        <w:t>repeals the previous Statement of Expectations for the Board of Airservices Australia (Airservices) for the period from 1 July 2013 to 30 June 2015</w:t>
      </w:r>
      <w:r>
        <w:t xml:space="preserve"> and establishes that this Statement of Expectations is a notice of strategic direction to Airservices </w:t>
      </w:r>
      <w:r w:rsidR="00664601">
        <w:t>under Section 1</w:t>
      </w:r>
      <w:r>
        <w:t xml:space="preserve">7 of the </w:t>
      </w:r>
      <w:r w:rsidRPr="008D475F">
        <w:rPr>
          <w:i/>
        </w:rPr>
        <w:t>Air Services Act 1995</w:t>
      </w:r>
      <w:r>
        <w:rPr>
          <w:i/>
        </w:rPr>
        <w:t xml:space="preserve">. </w:t>
      </w:r>
      <w:r w:rsidRPr="008D475F">
        <w:rPr>
          <w:i/>
        </w:rPr>
        <w:t xml:space="preserve"> </w:t>
      </w:r>
      <w:r>
        <w:t xml:space="preserve">The Statement of Expectations </w:t>
      </w:r>
      <w:r w:rsidRPr="008D475F">
        <w:t>will commence on 1 July 2015 and stops</w:t>
      </w:r>
      <w:r>
        <w:t xml:space="preserve"> having effect at the end of 30 </w:t>
      </w:r>
      <w:r w:rsidRPr="008D475F">
        <w:t xml:space="preserve">June 2017.  </w:t>
      </w:r>
    </w:p>
    <w:p w:rsidR="00C870F9" w:rsidRDefault="0029744C" w:rsidP="007921C9">
      <w:pPr>
        <w:spacing w:after="60"/>
        <w:ind w:right="-51"/>
        <w:rPr>
          <w:u w:val="single"/>
        </w:rPr>
      </w:pPr>
      <w:r>
        <w:rPr>
          <w:u w:val="single"/>
        </w:rPr>
        <w:t>Item</w:t>
      </w:r>
      <w:r w:rsidR="001B168C">
        <w:rPr>
          <w:u w:val="single"/>
        </w:rPr>
        <w:t>s 1-2</w:t>
      </w:r>
      <w:r w:rsidR="001D73BE">
        <w:rPr>
          <w:u w:val="single"/>
        </w:rPr>
        <w:t xml:space="preserve"> –</w:t>
      </w:r>
      <w:r w:rsidR="004F41D8">
        <w:rPr>
          <w:u w:val="single"/>
        </w:rPr>
        <w:t xml:space="preserve"> </w:t>
      </w:r>
      <w:r w:rsidR="003957A7">
        <w:rPr>
          <w:u w:val="single"/>
        </w:rPr>
        <w:t>Legislative and Governance Reporting</w:t>
      </w:r>
    </w:p>
    <w:p w:rsidR="00C870F9" w:rsidRPr="00CB0CBC" w:rsidRDefault="0029744C" w:rsidP="00CB0CBC">
      <w:pPr>
        <w:spacing w:before="0" w:after="60"/>
        <w:ind w:right="-51"/>
        <w:rPr>
          <w:u w:val="single"/>
        </w:rPr>
      </w:pPr>
      <w:r w:rsidRPr="00CB0CBC">
        <w:t>Th</w:t>
      </w:r>
      <w:r w:rsidR="001B168C">
        <w:t>ese</w:t>
      </w:r>
      <w:r w:rsidRPr="00CB0CBC">
        <w:t xml:space="preserve"> item</w:t>
      </w:r>
      <w:r w:rsidR="001B168C">
        <w:t>s</w:t>
      </w:r>
      <w:r w:rsidR="003957A7">
        <w:t xml:space="preserve"> require the</w:t>
      </w:r>
      <w:r>
        <w:t xml:space="preserve"> Board to ensure Airservices acts in accordance with</w:t>
      </w:r>
      <w:r w:rsidR="00AA1F28">
        <w:t xml:space="preserve"> the </w:t>
      </w:r>
      <w:r w:rsidR="00AA1F28" w:rsidRPr="00CB0CBC">
        <w:rPr>
          <w:i/>
        </w:rPr>
        <w:t>Air Services Act 1995, Public Governance, Performance and Accountability Act 2013</w:t>
      </w:r>
      <w:r w:rsidR="007D7E40">
        <w:t xml:space="preserve"> and</w:t>
      </w:r>
      <w:r w:rsidR="00AA1F28" w:rsidRPr="00AA1F28">
        <w:t xml:space="preserve"> other relevant legislation and legal instruments</w:t>
      </w:r>
      <w:r w:rsidR="00AA1F28">
        <w:t>.  The Board is also expected to</w:t>
      </w:r>
      <w:r w:rsidR="003E6254">
        <w:t xml:space="preserve"> keep</w:t>
      </w:r>
      <w:r w:rsidR="00AA1F28">
        <w:t xml:space="preserve"> the </w:t>
      </w:r>
      <w:r w:rsidR="0017215A">
        <w:t>M</w:t>
      </w:r>
      <w:r w:rsidR="00AA1F28">
        <w:t>inister</w:t>
      </w:r>
      <w:r w:rsidR="00664601">
        <w:t xml:space="preserve"> of Infrastructure and Regional Development (the Minister)</w:t>
      </w:r>
      <w:r w:rsidR="00AA1F28">
        <w:t xml:space="preserve"> and the Secretary of the Department of Infrastructure and Regional Development</w:t>
      </w:r>
      <w:r w:rsidR="003E6254">
        <w:t xml:space="preserve"> (the Secretary)</w:t>
      </w:r>
      <w:r w:rsidR="002C3EA8">
        <w:t xml:space="preserve"> informed abou</w:t>
      </w:r>
      <w:r w:rsidR="0017215A">
        <w:t xml:space="preserve">t the activities and initiatives of Airservices. </w:t>
      </w:r>
      <w:r w:rsidR="003B6F81">
        <w:t xml:space="preserve"> </w:t>
      </w:r>
      <w:r w:rsidR="0017215A">
        <w:t xml:space="preserve">The Board of Airservices is also expected to alert the Minister and the Secretary </w:t>
      </w:r>
      <w:r w:rsidR="003E6254">
        <w:t xml:space="preserve">if </w:t>
      </w:r>
      <w:r w:rsidR="0017215A">
        <w:t>any issues or events impact the operations of Airservices.</w:t>
      </w:r>
    </w:p>
    <w:p w:rsidR="00755622" w:rsidRDefault="007C38E6" w:rsidP="007921C9">
      <w:pPr>
        <w:spacing w:after="60"/>
        <w:ind w:right="-51"/>
        <w:rPr>
          <w:u w:val="single"/>
        </w:rPr>
      </w:pPr>
      <w:r>
        <w:rPr>
          <w:u w:val="single"/>
        </w:rPr>
        <w:t xml:space="preserve">Item </w:t>
      </w:r>
      <w:r w:rsidR="001B168C">
        <w:rPr>
          <w:u w:val="single"/>
        </w:rPr>
        <w:t>3</w:t>
      </w:r>
      <w:r>
        <w:rPr>
          <w:u w:val="single"/>
        </w:rPr>
        <w:t xml:space="preserve"> – Stakeholder </w:t>
      </w:r>
      <w:r w:rsidR="00755622">
        <w:rPr>
          <w:u w:val="single"/>
        </w:rPr>
        <w:t>Engagement</w:t>
      </w:r>
    </w:p>
    <w:p w:rsidR="00755622" w:rsidRPr="000231F5" w:rsidRDefault="000231F5" w:rsidP="000231F5">
      <w:pPr>
        <w:spacing w:before="0"/>
        <w:ind w:right="-51"/>
      </w:pPr>
      <w:r w:rsidRPr="000231F5">
        <w:t>This item re</w:t>
      </w:r>
      <w:r w:rsidR="007C38E6">
        <w:t xml:space="preserve">quires Airservices to </w:t>
      </w:r>
      <w:r w:rsidRPr="000231F5">
        <w:t>effective</w:t>
      </w:r>
      <w:r w:rsidR="007C38E6">
        <w:t>ly</w:t>
      </w:r>
      <w:r w:rsidR="00543ED2">
        <w:t xml:space="preserve"> </w:t>
      </w:r>
      <w:r w:rsidR="0018598A">
        <w:t>consult</w:t>
      </w:r>
      <w:r w:rsidR="0018598A" w:rsidRPr="000231F5">
        <w:t xml:space="preserve"> </w:t>
      </w:r>
      <w:r w:rsidRPr="000231F5">
        <w:t>wi</w:t>
      </w:r>
      <w:r>
        <w:t>th</w:t>
      </w:r>
      <w:r w:rsidRPr="000231F5">
        <w:t xml:space="preserve"> the community, industry an</w:t>
      </w:r>
      <w:r>
        <w:t>d</w:t>
      </w:r>
      <w:r w:rsidRPr="000231F5">
        <w:t xml:space="preserve"> Government in relation to the development and impleme</w:t>
      </w:r>
      <w:r>
        <w:t>ntation</w:t>
      </w:r>
      <w:r w:rsidRPr="000231F5">
        <w:t xml:space="preserve"> of significant</w:t>
      </w:r>
      <w:r>
        <w:t xml:space="preserve"> changes </w:t>
      </w:r>
      <w:r w:rsidRPr="000231F5">
        <w:t xml:space="preserve">to </w:t>
      </w:r>
      <w:r>
        <w:t>a</w:t>
      </w:r>
      <w:r w:rsidRPr="000231F5">
        <w:t>ir traffic and</w:t>
      </w:r>
      <w:r w:rsidR="0018598A">
        <w:t xml:space="preserve"> aviation rescue and</w:t>
      </w:r>
      <w:r w:rsidRPr="000231F5">
        <w:t xml:space="preserve"> fire fighting services.</w:t>
      </w:r>
    </w:p>
    <w:p w:rsidR="00A21DC1" w:rsidRDefault="00A21DC1" w:rsidP="00A6238F">
      <w:pPr>
        <w:spacing w:before="0"/>
        <w:ind w:right="-51"/>
      </w:pPr>
    </w:p>
    <w:p w:rsidR="00A21DC1" w:rsidRPr="009E5A4F" w:rsidRDefault="00A21DC1" w:rsidP="00A6238F">
      <w:pPr>
        <w:spacing w:before="0"/>
        <w:ind w:right="-51"/>
        <w:rPr>
          <w:u w:val="single"/>
        </w:rPr>
      </w:pPr>
      <w:r w:rsidRPr="009E5A4F">
        <w:rPr>
          <w:u w:val="single"/>
        </w:rPr>
        <w:t xml:space="preserve">Item </w:t>
      </w:r>
      <w:r w:rsidR="001B168C">
        <w:rPr>
          <w:u w:val="single"/>
        </w:rPr>
        <w:t>4</w:t>
      </w:r>
      <w:r w:rsidRPr="009E5A4F">
        <w:rPr>
          <w:u w:val="single"/>
        </w:rPr>
        <w:t xml:space="preserve"> –</w:t>
      </w:r>
      <w:r w:rsidR="00CF45D7">
        <w:rPr>
          <w:u w:val="single"/>
        </w:rPr>
        <w:t xml:space="preserve"> Implementing R</w:t>
      </w:r>
      <w:r w:rsidR="009E5A4F" w:rsidRPr="009E5A4F">
        <w:rPr>
          <w:u w:val="single"/>
        </w:rPr>
        <w:t xml:space="preserve">elevant </w:t>
      </w:r>
      <w:r w:rsidR="0018598A">
        <w:rPr>
          <w:u w:val="single"/>
        </w:rPr>
        <w:t>Government</w:t>
      </w:r>
      <w:r w:rsidR="009E5A4F" w:rsidRPr="009E5A4F">
        <w:rPr>
          <w:u w:val="single"/>
        </w:rPr>
        <w:t xml:space="preserve"> </w:t>
      </w:r>
      <w:r w:rsidR="00C20CF4">
        <w:rPr>
          <w:u w:val="single"/>
        </w:rPr>
        <w:t xml:space="preserve">Air Traffic </w:t>
      </w:r>
      <w:r w:rsidR="009E5A4F" w:rsidRPr="009E5A4F">
        <w:rPr>
          <w:u w:val="single"/>
        </w:rPr>
        <w:t>Initiatives</w:t>
      </w:r>
    </w:p>
    <w:p w:rsidR="009E5A4F" w:rsidRDefault="007C38E6" w:rsidP="00A6238F">
      <w:pPr>
        <w:spacing w:before="0"/>
        <w:ind w:right="-51"/>
      </w:pPr>
      <w:r>
        <w:t xml:space="preserve">The Government has </w:t>
      </w:r>
      <w:r w:rsidR="009E5A4F">
        <w:t xml:space="preserve">a number of </w:t>
      </w:r>
      <w:r>
        <w:t xml:space="preserve">ongoing </w:t>
      </w:r>
      <w:r w:rsidR="009E5A4F">
        <w:t xml:space="preserve">air traffic management and other </w:t>
      </w:r>
      <w:r>
        <w:t xml:space="preserve">airspace </w:t>
      </w:r>
      <w:r w:rsidR="0018598A">
        <w:t xml:space="preserve">policy </w:t>
      </w:r>
      <w:r w:rsidR="009E5A4F">
        <w:t>initiatives</w:t>
      </w:r>
      <w:r w:rsidR="00D22572">
        <w:t xml:space="preserve"> including outcomes arising from the </w:t>
      </w:r>
      <w:r w:rsidR="00D22572" w:rsidRPr="00D22572">
        <w:t>Government’s response to the Aviation Safety Regulation Review Report</w:t>
      </w:r>
      <w:r w:rsidR="009E5A4F">
        <w:t xml:space="preserve">.  Effective implementation </w:t>
      </w:r>
      <w:r>
        <w:t xml:space="preserve">of </w:t>
      </w:r>
      <w:r w:rsidR="000E1B2E">
        <w:t>these initiat</w:t>
      </w:r>
      <w:r w:rsidR="000E21EF">
        <w:t>iv</w:t>
      </w:r>
      <w:r w:rsidR="000E1B2E">
        <w:t xml:space="preserve">es </w:t>
      </w:r>
      <w:r w:rsidR="00D22572">
        <w:t xml:space="preserve">will require </w:t>
      </w:r>
      <w:r w:rsidR="000E1B2E">
        <w:t xml:space="preserve">Airservices </w:t>
      </w:r>
      <w:r w:rsidR="00D22572">
        <w:t xml:space="preserve">to work in conjunction with </w:t>
      </w:r>
      <w:r w:rsidR="000E1B2E">
        <w:t>the D</w:t>
      </w:r>
      <w:r w:rsidR="009E5A4F">
        <w:t xml:space="preserve">epartment, the Australian Transport </w:t>
      </w:r>
      <w:r w:rsidR="00CF45D7">
        <w:t xml:space="preserve">Safety </w:t>
      </w:r>
      <w:r w:rsidR="009E5A4F">
        <w:t>Bureau, the Civil Aviation Safety Authority</w:t>
      </w:r>
      <w:r w:rsidR="0008600A">
        <w:t xml:space="preserve"> (CASA)</w:t>
      </w:r>
      <w:r w:rsidR="009E5A4F">
        <w:t xml:space="preserve"> and the Department of Defence.</w:t>
      </w:r>
    </w:p>
    <w:p w:rsidR="009E319E" w:rsidRDefault="009E319E" w:rsidP="00A6238F">
      <w:pPr>
        <w:spacing w:before="0"/>
        <w:ind w:right="-51"/>
      </w:pPr>
    </w:p>
    <w:p w:rsidR="00A60B5E" w:rsidRPr="00AE63D2" w:rsidRDefault="00716CE0" w:rsidP="009E319E">
      <w:pPr>
        <w:spacing w:before="0" w:after="60"/>
        <w:ind w:right="-51"/>
        <w:rPr>
          <w:u w:val="single"/>
        </w:rPr>
      </w:pPr>
      <w:r>
        <w:rPr>
          <w:u w:val="single"/>
        </w:rPr>
        <w:t xml:space="preserve">Item </w:t>
      </w:r>
      <w:r w:rsidR="004F41D8">
        <w:rPr>
          <w:u w:val="single"/>
        </w:rPr>
        <w:t>5</w:t>
      </w:r>
      <w:r w:rsidR="006668CA">
        <w:rPr>
          <w:u w:val="single"/>
        </w:rPr>
        <w:t xml:space="preserve"> – </w:t>
      </w:r>
      <w:r w:rsidR="00CF45D7">
        <w:rPr>
          <w:u w:val="single"/>
        </w:rPr>
        <w:t>Provision of I</w:t>
      </w:r>
      <w:r w:rsidR="000E1B2E">
        <w:rPr>
          <w:u w:val="single"/>
        </w:rPr>
        <w:t xml:space="preserve">nformation, </w:t>
      </w:r>
      <w:r w:rsidR="00CF45D7">
        <w:rPr>
          <w:u w:val="single"/>
        </w:rPr>
        <w:t>A</w:t>
      </w:r>
      <w:r w:rsidR="000E1B2E">
        <w:rPr>
          <w:u w:val="single"/>
        </w:rPr>
        <w:t xml:space="preserve">ssistance or </w:t>
      </w:r>
      <w:r w:rsidR="00CF45D7">
        <w:rPr>
          <w:u w:val="single"/>
        </w:rPr>
        <w:t>A</w:t>
      </w:r>
      <w:r w:rsidR="000E1B2E">
        <w:rPr>
          <w:u w:val="single"/>
        </w:rPr>
        <w:t>dvice</w:t>
      </w:r>
    </w:p>
    <w:p w:rsidR="009E319E" w:rsidRDefault="00A60B5E" w:rsidP="00A6238F">
      <w:pPr>
        <w:spacing w:before="0"/>
        <w:ind w:right="-51"/>
      </w:pPr>
      <w:r>
        <w:t xml:space="preserve">This </w:t>
      </w:r>
      <w:r w:rsidR="008B3BB7">
        <w:t xml:space="preserve">item </w:t>
      </w:r>
      <w:r w:rsidR="00C20CF4">
        <w:t xml:space="preserve">requires </w:t>
      </w:r>
      <w:r w:rsidR="000E1B2E">
        <w:t xml:space="preserve">Airservices </w:t>
      </w:r>
      <w:r w:rsidR="00C20CF4">
        <w:t xml:space="preserve">to </w:t>
      </w:r>
      <w:r w:rsidR="000E1B2E">
        <w:t>provide information and</w:t>
      </w:r>
      <w:r w:rsidR="002951FC">
        <w:t xml:space="preserve"> advice to </w:t>
      </w:r>
      <w:r w:rsidR="00C20CF4">
        <w:t xml:space="preserve">other </w:t>
      </w:r>
      <w:r w:rsidR="002951FC">
        <w:t xml:space="preserve">Government </w:t>
      </w:r>
      <w:r w:rsidR="00C20CF4">
        <w:t xml:space="preserve">agencies </w:t>
      </w:r>
      <w:r w:rsidR="002951FC">
        <w:t xml:space="preserve">to assist in </w:t>
      </w:r>
      <w:r w:rsidR="00C20CF4">
        <w:t xml:space="preserve">their </w:t>
      </w:r>
      <w:r w:rsidR="002951FC">
        <w:t>perform</w:t>
      </w:r>
      <w:r w:rsidR="00C20CF4">
        <w:t>ance of</w:t>
      </w:r>
      <w:r w:rsidR="002951FC">
        <w:t xml:space="preserve"> regulatory and policy functions</w:t>
      </w:r>
      <w:r w:rsidR="00543ED2">
        <w:t>,</w:t>
      </w:r>
      <w:r w:rsidR="007C38E6">
        <w:t xml:space="preserve"> including relevant aviation and airport studies</w:t>
      </w:r>
      <w:r w:rsidR="000E1B2E">
        <w:t>.</w:t>
      </w:r>
    </w:p>
    <w:p w:rsidR="00642D1A" w:rsidRDefault="00642D1A" w:rsidP="00A6238F">
      <w:pPr>
        <w:spacing w:before="0"/>
        <w:ind w:right="-51"/>
      </w:pPr>
    </w:p>
    <w:p w:rsidR="00A60B5E" w:rsidRPr="007921C9" w:rsidRDefault="00A40C2F" w:rsidP="009E319E">
      <w:pPr>
        <w:spacing w:before="0" w:after="60"/>
        <w:ind w:right="-51"/>
        <w:rPr>
          <w:u w:val="single"/>
        </w:rPr>
      </w:pPr>
      <w:r>
        <w:rPr>
          <w:u w:val="single"/>
        </w:rPr>
        <w:t xml:space="preserve">Item </w:t>
      </w:r>
      <w:r w:rsidR="004F41D8">
        <w:rPr>
          <w:u w:val="single"/>
        </w:rPr>
        <w:t>6</w:t>
      </w:r>
      <w:r>
        <w:rPr>
          <w:u w:val="single"/>
        </w:rPr>
        <w:t xml:space="preserve"> –</w:t>
      </w:r>
      <w:r w:rsidR="004F41D8">
        <w:rPr>
          <w:u w:val="single"/>
        </w:rPr>
        <w:t xml:space="preserve"> </w:t>
      </w:r>
      <w:r>
        <w:rPr>
          <w:u w:val="single"/>
        </w:rPr>
        <w:t>Environmental</w:t>
      </w:r>
      <w:r w:rsidR="00AF64A8">
        <w:rPr>
          <w:u w:val="single"/>
        </w:rPr>
        <w:t xml:space="preserve"> Responsibilities</w:t>
      </w:r>
    </w:p>
    <w:p w:rsidR="00A40C2F" w:rsidRDefault="00A60B5E" w:rsidP="00A6238F">
      <w:pPr>
        <w:tabs>
          <w:tab w:val="num" w:pos="-5616"/>
        </w:tabs>
        <w:spacing w:before="0"/>
        <w:ind w:right="-51"/>
      </w:pPr>
      <w:r>
        <w:t xml:space="preserve">This </w:t>
      </w:r>
      <w:r w:rsidR="00CE6DBA">
        <w:t>item</w:t>
      </w:r>
      <w:r w:rsidR="00A40C2F">
        <w:t xml:space="preserve"> requires Airservices </w:t>
      </w:r>
      <w:r w:rsidR="000E09B6">
        <w:t xml:space="preserve">to </w:t>
      </w:r>
      <w:r w:rsidR="00A40C2F">
        <w:t xml:space="preserve">play a key role in </w:t>
      </w:r>
      <w:r w:rsidR="00935AB6">
        <w:t xml:space="preserve">supporting the Government’s initiatives </w:t>
      </w:r>
      <w:r w:rsidR="005124A6">
        <w:t>in relation to the</w:t>
      </w:r>
      <w:r w:rsidR="00A36F34">
        <w:t xml:space="preserve"> </w:t>
      </w:r>
      <w:r w:rsidR="007C38E6">
        <w:t xml:space="preserve">management of </w:t>
      </w:r>
      <w:r w:rsidR="00A36F34">
        <w:t>environmental impacts of a</w:t>
      </w:r>
      <w:r w:rsidR="005124A6">
        <w:t>ircraft operatio</w:t>
      </w:r>
      <w:r w:rsidR="00FA4B04">
        <w:t>ns,</w:t>
      </w:r>
      <w:r w:rsidR="002951FC">
        <w:t xml:space="preserve"> inc</w:t>
      </w:r>
      <w:r w:rsidR="007C38E6">
        <w:t>luding aircraft noise</w:t>
      </w:r>
      <w:r w:rsidR="002951FC">
        <w:t>.</w:t>
      </w:r>
      <w:r w:rsidR="005124A6">
        <w:t xml:space="preserve"> </w:t>
      </w:r>
      <w:r w:rsidR="002951FC">
        <w:t xml:space="preserve"> Airservices </w:t>
      </w:r>
      <w:r w:rsidR="00654661">
        <w:t xml:space="preserve">is expected </w:t>
      </w:r>
      <w:r w:rsidR="002951FC">
        <w:t>to</w:t>
      </w:r>
      <w:r w:rsidR="00716CE0">
        <w:t xml:space="preserve"> implement </w:t>
      </w:r>
      <w:r w:rsidR="00C20CF4">
        <w:t xml:space="preserve">agreed </w:t>
      </w:r>
      <w:r w:rsidR="00716CE0">
        <w:t xml:space="preserve">recommendations </w:t>
      </w:r>
      <w:r w:rsidR="0019261D">
        <w:t xml:space="preserve">from the Aircraft Noise Ombudsman, </w:t>
      </w:r>
      <w:r w:rsidR="00D22572">
        <w:t>provide and report against</w:t>
      </w:r>
      <w:r w:rsidR="007C38E6">
        <w:t xml:space="preserve"> </w:t>
      </w:r>
      <w:r w:rsidR="0019261D">
        <w:t xml:space="preserve">a </w:t>
      </w:r>
      <w:r w:rsidR="002951FC">
        <w:t xml:space="preserve">detailed </w:t>
      </w:r>
      <w:r w:rsidR="00D22572">
        <w:t xml:space="preserve">annual </w:t>
      </w:r>
      <w:r w:rsidR="002951FC">
        <w:t xml:space="preserve">environmental work </w:t>
      </w:r>
      <w:r w:rsidR="0018598A">
        <w:t xml:space="preserve">plan </w:t>
      </w:r>
      <w:r w:rsidR="002951FC">
        <w:t xml:space="preserve">and </w:t>
      </w:r>
      <w:r w:rsidR="0019261D">
        <w:t xml:space="preserve">continue </w:t>
      </w:r>
      <w:r w:rsidR="00C20CF4">
        <w:t xml:space="preserve">to </w:t>
      </w:r>
      <w:r w:rsidR="0019261D">
        <w:t xml:space="preserve">work on the </w:t>
      </w:r>
      <w:r w:rsidR="00492313">
        <w:t>wider use of Required Navigation Performance (RNP) at Australian airports</w:t>
      </w:r>
      <w:r w:rsidR="00C20CF4">
        <w:t xml:space="preserve"> in consultation with the community and industry</w:t>
      </w:r>
      <w:r w:rsidR="00492313">
        <w:t>.</w:t>
      </w:r>
    </w:p>
    <w:p w:rsidR="004F41D8" w:rsidRDefault="004F41D8" w:rsidP="00A6238F">
      <w:pPr>
        <w:tabs>
          <w:tab w:val="num" w:pos="-5616"/>
        </w:tabs>
        <w:spacing w:before="0"/>
        <w:ind w:right="-51"/>
      </w:pPr>
    </w:p>
    <w:p w:rsidR="004F41D8" w:rsidRDefault="004F41D8" w:rsidP="00A6238F">
      <w:pPr>
        <w:tabs>
          <w:tab w:val="num" w:pos="-5616"/>
        </w:tabs>
        <w:spacing w:before="0"/>
        <w:ind w:right="-51"/>
      </w:pPr>
    </w:p>
    <w:p w:rsidR="00AF64A8" w:rsidRPr="00987153" w:rsidRDefault="00AF64A8" w:rsidP="00A6238F">
      <w:pPr>
        <w:tabs>
          <w:tab w:val="num" w:pos="-5616"/>
        </w:tabs>
        <w:spacing w:before="0"/>
        <w:ind w:right="-51"/>
        <w:rPr>
          <w:u w:val="single"/>
        </w:rPr>
      </w:pPr>
      <w:r w:rsidRPr="00987153">
        <w:rPr>
          <w:u w:val="single"/>
        </w:rPr>
        <w:lastRenderedPageBreak/>
        <w:t xml:space="preserve">Item </w:t>
      </w:r>
      <w:r w:rsidR="00B648A9">
        <w:rPr>
          <w:u w:val="single"/>
        </w:rPr>
        <w:t>7</w:t>
      </w:r>
      <w:r w:rsidR="004F41D8">
        <w:rPr>
          <w:u w:val="single"/>
        </w:rPr>
        <w:t xml:space="preserve"> </w:t>
      </w:r>
      <w:r w:rsidRPr="00987153">
        <w:rPr>
          <w:u w:val="single"/>
        </w:rPr>
        <w:t xml:space="preserve">– </w:t>
      </w:r>
      <w:r w:rsidR="0019261D">
        <w:rPr>
          <w:u w:val="single"/>
        </w:rPr>
        <w:t>Airport Planning</w:t>
      </w:r>
    </w:p>
    <w:p w:rsidR="00AF64A8" w:rsidRDefault="00987153" w:rsidP="00A6238F">
      <w:pPr>
        <w:tabs>
          <w:tab w:val="num" w:pos="-5616"/>
        </w:tabs>
        <w:spacing w:before="0"/>
        <w:ind w:right="-51"/>
      </w:pPr>
      <w:r>
        <w:t>This item re</w:t>
      </w:r>
      <w:r w:rsidR="0019261D">
        <w:t xml:space="preserve">quires Airservices to contribute to a coordinated approach to airport planning including the </w:t>
      </w:r>
      <w:r w:rsidR="00654661">
        <w:t xml:space="preserve">appropriate </w:t>
      </w:r>
      <w:r w:rsidR="0019261D">
        <w:t>participation in a number of cross agency, industry and community forums</w:t>
      </w:r>
      <w:r w:rsidR="007C38E6">
        <w:t xml:space="preserve"> </w:t>
      </w:r>
      <w:r w:rsidR="007D7E40">
        <w:t>such as planning coordination forums and community a</w:t>
      </w:r>
      <w:r w:rsidR="007C38E6">
        <w:t>via</w:t>
      </w:r>
      <w:r w:rsidR="007D7E40">
        <w:t>tion consultation g</w:t>
      </w:r>
      <w:r w:rsidR="006840FA">
        <w:t>roups</w:t>
      </w:r>
      <w:r w:rsidR="0019261D">
        <w:t xml:space="preserve">.  </w:t>
      </w:r>
    </w:p>
    <w:p w:rsidR="00C71063" w:rsidRDefault="00C71063" w:rsidP="00A6238F">
      <w:pPr>
        <w:tabs>
          <w:tab w:val="num" w:pos="-5616"/>
        </w:tabs>
        <w:spacing w:before="0"/>
        <w:ind w:right="-51"/>
        <w:rPr>
          <w:u w:val="single"/>
        </w:rPr>
      </w:pPr>
    </w:p>
    <w:p w:rsidR="00987153" w:rsidRPr="00987153" w:rsidRDefault="00987153" w:rsidP="00A6238F">
      <w:pPr>
        <w:tabs>
          <w:tab w:val="num" w:pos="-5616"/>
        </w:tabs>
        <w:spacing w:before="0"/>
        <w:ind w:right="-51"/>
        <w:rPr>
          <w:u w:val="single"/>
        </w:rPr>
      </w:pPr>
      <w:r w:rsidRPr="00987153">
        <w:rPr>
          <w:u w:val="single"/>
        </w:rPr>
        <w:t xml:space="preserve">Item </w:t>
      </w:r>
      <w:r w:rsidR="004F41D8">
        <w:rPr>
          <w:u w:val="single"/>
        </w:rPr>
        <w:t>8</w:t>
      </w:r>
      <w:r w:rsidRPr="00987153">
        <w:rPr>
          <w:u w:val="single"/>
        </w:rPr>
        <w:t xml:space="preserve"> – Provision of </w:t>
      </w:r>
      <w:r w:rsidR="0018598A">
        <w:rPr>
          <w:u w:val="single"/>
        </w:rPr>
        <w:t>Aviation</w:t>
      </w:r>
      <w:r w:rsidR="0018598A" w:rsidRPr="00987153">
        <w:rPr>
          <w:u w:val="single"/>
        </w:rPr>
        <w:t xml:space="preserve"> </w:t>
      </w:r>
      <w:r w:rsidRPr="00987153">
        <w:rPr>
          <w:u w:val="single"/>
        </w:rPr>
        <w:t>Rescue and Fire Fighting Services (ARFFS)</w:t>
      </w:r>
    </w:p>
    <w:p w:rsidR="00725E16" w:rsidRDefault="002951FC" w:rsidP="00A6238F">
      <w:pPr>
        <w:tabs>
          <w:tab w:val="num" w:pos="-5616"/>
        </w:tabs>
        <w:spacing w:before="0"/>
        <w:ind w:right="-51"/>
      </w:pPr>
      <w:r>
        <w:t xml:space="preserve">Airservices will continue to </w:t>
      </w:r>
      <w:r w:rsidR="00725E16">
        <w:t>provide ARFFS functions for civil and joint user airports where required</w:t>
      </w:r>
      <w:r w:rsidR="00543ED2">
        <w:t xml:space="preserve"> </w:t>
      </w:r>
      <w:r w:rsidR="0001213C">
        <w:t>by</w:t>
      </w:r>
      <w:r w:rsidR="00543ED2">
        <w:t xml:space="preserve"> </w:t>
      </w:r>
      <w:r w:rsidR="003957A7">
        <w:t xml:space="preserve">the establishment criteria set out in </w:t>
      </w:r>
      <w:r>
        <w:t>aviation safety regulations</w:t>
      </w:r>
      <w:r w:rsidR="00D8104D">
        <w:t>.</w:t>
      </w:r>
      <w:r w:rsidR="006840FA">
        <w:t xml:space="preserve"> </w:t>
      </w:r>
    </w:p>
    <w:p w:rsidR="00D8104D" w:rsidRDefault="00D8104D" w:rsidP="00A6238F">
      <w:pPr>
        <w:tabs>
          <w:tab w:val="num" w:pos="-5616"/>
        </w:tabs>
        <w:spacing w:before="0"/>
        <w:ind w:right="-51"/>
      </w:pPr>
    </w:p>
    <w:p w:rsidR="00725E16" w:rsidRPr="00725E16" w:rsidRDefault="00725E16" w:rsidP="00A6238F">
      <w:pPr>
        <w:tabs>
          <w:tab w:val="num" w:pos="-5616"/>
        </w:tabs>
        <w:spacing w:before="0"/>
        <w:ind w:right="-51"/>
        <w:rPr>
          <w:u w:val="single"/>
        </w:rPr>
      </w:pPr>
      <w:r w:rsidRPr="00725E16">
        <w:rPr>
          <w:u w:val="single"/>
        </w:rPr>
        <w:t>Item</w:t>
      </w:r>
      <w:r w:rsidR="004F41D8">
        <w:rPr>
          <w:u w:val="single"/>
        </w:rPr>
        <w:t xml:space="preserve"> 9 </w:t>
      </w:r>
      <w:r w:rsidRPr="00725E16">
        <w:rPr>
          <w:u w:val="single"/>
        </w:rPr>
        <w:t xml:space="preserve">– Joint </w:t>
      </w:r>
      <w:r w:rsidR="009E319E">
        <w:rPr>
          <w:u w:val="single"/>
        </w:rPr>
        <w:t>C</w:t>
      </w:r>
      <w:r w:rsidRPr="00725E16">
        <w:rPr>
          <w:u w:val="single"/>
        </w:rPr>
        <w:t xml:space="preserve">ivil and </w:t>
      </w:r>
      <w:r w:rsidR="009E319E">
        <w:rPr>
          <w:u w:val="single"/>
        </w:rPr>
        <w:t>M</w:t>
      </w:r>
      <w:r w:rsidRPr="00725E16">
        <w:rPr>
          <w:u w:val="single"/>
        </w:rPr>
        <w:t>ilitary</w:t>
      </w:r>
      <w:r w:rsidR="009E319E">
        <w:rPr>
          <w:u w:val="single"/>
        </w:rPr>
        <w:t xml:space="preserve"> A</w:t>
      </w:r>
      <w:r w:rsidRPr="00725E16">
        <w:rPr>
          <w:u w:val="single"/>
        </w:rPr>
        <w:t xml:space="preserve">viation </w:t>
      </w:r>
      <w:r w:rsidR="009E319E">
        <w:rPr>
          <w:u w:val="single"/>
        </w:rPr>
        <w:t>H</w:t>
      </w:r>
      <w:r w:rsidRPr="00725E16">
        <w:rPr>
          <w:u w:val="single"/>
        </w:rPr>
        <w:t>armonisation</w:t>
      </w:r>
    </w:p>
    <w:p w:rsidR="009E319E" w:rsidRDefault="009E319E" w:rsidP="00A6238F">
      <w:pPr>
        <w:tabs>
          <w:tab w:val="num" w:pos="-5616"/>
        </w:tabs>
        <w:spacing w:before="0"/>
        <w:ind w:right="-51"/>
      </w:pPr>
      <w:r>
        <w:t>This item requires Airservices</w:t>
      </w:r>
      <w:r w:rsidR="00C656AC">
        <w:t xml:space="preserve"> to</w:t>
      </w:r>
      <w:r>
        <w:t xml:space="preserve"> continue to work with the Department of Defence</w:t>
      </w:r>
      <w:r w:rsidR="00664601">
        <w:t>,</w:t>
      </w:r>
      <w:r>
        <w:t xml:space="preserve"> to enhance civil and military </w:t>
      </w:r>
      <w:r w:rsidR="00C20CF4">
        <w:t xml:space="preserve">aviation </w:t>
      </w:r>
      <w:r>
        <w:t>harmonisation to realise the benefits of improved safety, better investment in personnel and infrastructure, seamless systems compatibility and smarter procurement practices</w:t>
      </w:r>
      <w:r w:rsidR="00C656AC">
        <w:t>.</w:t>
      </w:r>
      <w:r w:rsidR="00C20CF4">
        <w:t xml:space="preserve">  The provision confirms that Airservices will act as the lead agency in the joint future air traffic control system project.</w:t>
      </w:r>
    </w:p>
    <w:p w:rsidR="00CF45D7" w:rsidRDefault="00CF45D7" w:rsidP="00A6238F">
      <w:pPr>
        <w:tabs>
          <w:tab w:val="num" w:pos="-5616"/>
        </w:tabs>
        <w:spacing w:before="0"/>
        <w:ind w:right="-51"/>
      </w:pPr>
    </w:p>
    <w:p w:rsidR="00A40C2F" w:rsidRPr="00CF45D7" w:rsidRDefault="00A40C2F" w:rsidP="00CF45D7">
      <w:pPr>
        <w:tabs>
          <w:tab w:val="num" w:pos="-5616"/>
        </w:tabs>
        <w:spacing w:before="0"/>
        <w:ind w:right="-51"/>
        <w:rPr>
          <w:u w:val="single"/>
        </w:rPr>
      </w:pPr>
      <w:r>
        <w:rPr>
          <w:u w:val="single"/>
        </w:rPr>
        <w:t>Item</w:t>
      </w:r>
      <w:r w:rsidR="009E319E">
        <w:rPr>
          <w:u w:val="single"/>
        </w:rPr>
        <w:t xml:space="preserve"> </w:t>
      </w:r>
      <w:r w:rsidR="004F41D8">
        <w:rPr>
          <w:u w:val="single"/>
        </w:rPr>
        <w:t>10</w:t>
      </w:r>
      <w:r w:rsidR="009E319E">
        <w:rPr>
          <w:u w:val="single"/>
        </w:rPr>
        <w:t xml:space="preserve"> </w:t>
      </w:r>
      <w:r w:rsidR="004F41D8" w:rsidRPr="00987153">
        <w:rPr>
          <w:u w:val="single"/>
        </w:rPr>
        <w:t>–</w:t>
      </w:r>
      <w:r w:rsidR="009E319E">
        <w:rPr>
          <w:u w:val="single"/>
        </w:rPr>
        <w:t xml:space="preserve"> </w:t>
      </w:r>
      <w:r>
        <w:rPr>
          <w:u w:val="single"/>
        </w:rPr>
        <w:t xml:space="preserve">Future </w:t>
      </w:r>
      <w:r w:rsidR="00935AB6">
        <w:rPr>
          <w:u w:val="single"/>
        </w:rPr>
        <w:t>I</w:t>
      </w:r>
      <w:r>
        <w:rPr>
          <w:u w:val="single"/>
        </w:rPr>
        <w:t>nvestment in</w:t>
      </w:r>
      <w:r w:rsidR="009E319E">
        <w:rPr>
          <w:u w:val="single"/>
        </w:rPr>
        <w:t xml:space="preserve"> Technology and</w:t>
      </w:r>
      <w:r>
        <w:rPr>
          <w:u w:val="single"/>
        </w:rPr>
        <w:t xml:space="preserve"> </w:t>
      </w:r>
      <w:r w:rsidR="00935AB6">
        <w:rPr>
          <w:u w:val="single"/>
        </w:rPr>
        <w:t>I</w:t>
      </w:r>
      <w:r w:rsidR="00CE6DBA">
        <w:rPr>
          <w:u w:val="single"/>
        </w:rPr>
        <w:t>nfrastructure</w:t>
      </w:r>
    </w:p>
    <w:p w:rsidR="00C95890" w:rsidRDefault="00A40C2F" w:rsidP="00A6238F">
      <w:pPr>
        <w:spacing w:before="0" w:after="60"/>
      </w:pPr>
      <w:r>
        <w:t>Th</w:t>
      </w:r>
      <w:r w:rsidR="009E319E">
        <w:t>i</w:t>
      </w:r>
      <w:r>
        <w:t xml:space="preserve">s item </w:t>
      </w:r>
      <w:r w:rsidR="00C95890">
        <w:t>articulate</w:t>
      </w:r>
      <w:r w:rsidR="009E319E">
        <w:t>s</w:t>
      </w:r>
      <w:r w:rsidR="00C95890">
        <w:t xml:space="preserve"> the need for Airservices to </w:t>
      </w:r>
      <w:r w:rsidR="00935AB6">
        <w:t xml:space="preserve">support investment in </w:t>
      </w:r>
      <w:r>
        <w:t>aviation infrastructure</w:t>
      </w:r>
      <w:r w:rsidR="00E1589B">
        <w:t xml:space="preserve">, including </w:t>
      </w:r>
      <w:r w:rsidR="00C71063">
        <w:t xml:space="preserve">at </w:t>
      </w:r>
      <w:r w:rsidR="00E1589B">
        <w:t>regional airports.</w:t>
      </w:r>
    </w:p>
    <w:p w:rsidR="00B40EAE" w:rsidRDefault="00B40EAE" w:rsidP="00A6238F">
      <w:pPr>
        <w:spacing w:before="0" w:after="60"/>
      </w:pPr>
    </w:p>
    <w:p w:rsidR="00B40EAE" w:rsidRDefault="00DD599C" w:rsidP="00A6238F">
      <w:pPr>
        <w:spacing w:before="0" w:after="60"/>
        <w:rPr>
          <w:u w:val="single"/>
        </w:rPr>
      </w:pPr>
      <w:r>
        <w:rPr>
          <w:u w:val="single"/>
        </w:rPr>
        <w:t xml:space="preserve">Item </w:t>
      </w:r>
      <w:r w:rsidR="004F41D8">
        <w:rPr>
          <w:u w:val="single"/>
        </w:rPr>
        <w:t>11</w:t>
      </w:r>
      <w:r w:rsidR="00D8104D">
        <w:rPr>
          <w:u w:val="single"/>
        </w:rPr>
        <w:t xml:space="preserve"> </w:t>
      </w:r>
      <w:r w:rsidR="004F41D8" w:rsidRPr="00987153">
        <w:rPr>
          <w:u w:val="single"/>
        </w:rPr>
        <w:t>–</w:t>
      </w:r>
      <w:r w:rsidR="00B40EAE" w:rsidRPr="00B40EAE">
        <w:rPr>
          <w:u w:val="single"/>
        </w:rPr>
        <w:t xml:space="preserve"> Efficient Delivery of Airservices Capital Expenditure Programme</w:t>
      </w:r>
    </w:p>
    <w:p w:rsidR="00B40EAE" w:rsidRPr="00B40EAE" w:rsidRDefault="00B40EAE" w:rsidP="00A6238F">
      <w:pPr>
        <w:spacing w:before="0" w:after="60"/>
      </w:pPr>
      <w:r>
        <w:t>This item requires Airservices to ensure it delivers its future capital expenditure programme in an efficient</w:t>
      </w:r>
      <w:r w:rsidR="007D7E40">
        <w:t xml:space="preserve"> and timely</w:t>
      </w:r>
      <w:r>
        <w:t xml:space="preserve"> manner </w:t>
      </w:r>
      <w:r w:rsidR="007D7E40">
        <w:t>and on budget</w:t>
      </w:r>
      <w:r>
        <w:t>.</w:t>
      </w:r>
    </w:p>
    <w:p w:rsidR="00CF45D7" w:rsidRDefault="00CF45D7" w:rsidP="00A6238F">
      <w:pPr>
        <w:spacing w:before="0" w:after="60"/>
      </w:pPr>
    </w:p>
    <w:p w:rsidR="00F9458E" w:rsidRPr="00CF45D7" w:rsidRDefault="006958EB" w:rsidP="00CF45D7">
      <w:pPr>
        <w:tabs>
          <w:tab w:val="num" w:pos="-5616"/>
        </w:tabs>
        <w:spacing w:before="0"/>
        <w:ind w:right="-51"/>
        <w:rPr>
          <w:u w:val="single"/>
        </w:rPr>
      </w:pPr>
      <w:r>
        <w:rPr>
          <w:u w:val="single"/>
        </w:rPr>
        <w:t xml:space="preserve">Item </w:t>
      </w:r>
      <w:r w:rsidR="004F41D8">
        <w:rPr>
          <w:u w:val="single"/>
        </w:rPr>
        <w:t>12</w:t>
      </w:r>
      <w:r>
        <w:rPr>
          <w:u w:val="single"/>
        </w:rPr>
        <w:t xml:space="preserve"> – Sustainable W</w:t>
      </w:r>
      <w:r w:rsidR="00F9458E">
        <w:rPr>
          <w:u w:val="single"/>
        </w:rPr>
        <w:t xml:space="preserve">orkforce </w:t>
      </w:r>
      <w:r>
        <w:rPr>
          <w:u w:val="single"/>
        </w:rPr>
        <w:t>P</w:t>
      </w:r>
      <w:r w:rsidR="00F9458E">
        <w:rPr>
          <w:u w:val="single"/>
        </w:rPr>
        <w:t>lanning</w:t>
      </w:r>
    </w:p>
    <w:p w:rsidR="00B43D0B" w:rsidRDefault="0008600A" w:rsidP="00B43D0B">
      <w:pPr>
        <w:spacing w:before="0" w:after="60"/>
      </w:pPr>
      <w:r>
        <w:t>This item requires Airservices to focus efforts on human resources issues.</w:t>
      </w:r>
      <w:r w:rsidR="003B6F81">
        <w:t xml:space="preserve"> </w:t>
      </w:r>
      <w:r>
        <w:t xml:space="preserve"> Airservices must develop and implement proactive recruitment, training and retention polices that are consistent with </w:t>
      </w:r>
      <w:r w:rsidR="007D7E40">
        <w:t>G</w:t>
      </w:r>
      <w:r>
        <w:t>overnment workplace policies</w:t>
      </w:r>
      <w:r w:rsidR="0001213C">
        <w:t xml:space="preserve"> and publish an </w:t>
      </w:r>
      <w:r>
        <w:t xml:space="preserve">annual update to </w:t>
      </w:r>
      <w:r w:rsidR="00B43D0B">
        <w:t>Airservices</w:t>
      </w:r>
      <w:r w:rsidR="00642D1A">
        <w:t>’</w:t>
      </w:r>
      <w:r w:rsidR="00B43D0B">
        <w:t xml:space="preserve"> workforce plan.</w:t>
      </w:r>
      <w:r w:rsidR="00DD599C">
        <w:t xml:space="preserve"> </w:t>
      </w:r>
    </w:p>
    <w:p w:rsidR="00CF45D7" w:rsidRDefault="00CF45D7" w:rsidP="00A6238F">
      <w:pPr>
        <w:spacing w:before="0" w:after="60"/>
      </w:pPr>
    </w:p>
    <w:p w:rsidR="00F9458E" w:rsidRPr="00CF45D7" w:rsidRDefault="00F9458E" w:rsidP="00CF45D7">
      <w:pPr>
        <w:tabs>
          <w:tab w:val="num" w:pos="-5616"/>
        </w:tabs>
        <w:spacing w:before="0"/>
        <w:ind w:right="-51"/>
        <w:rPr>
          <w:u w:val="single"/>
        </w:rPr>
      </w:pPr>
      <w:r>
        <w:rPr>
          <w:u w:val="single"/>
        </w:rPr>
        <w:t xml:space="preserve">Item </w:t>
      </w:r>
      <w:r w:rsidR="004F41D8">
        <w:rPr>
          <w:u w:val="single"/>
        </w:rPr>
        <w:t>13</w:t>
      </w:r>
      <w:r>
        <w:rPr>
          <w:u w:val="single"/>
        </w:rPr>
        <w:t xml:space="preserve"> – </w:t>
      </w:r>
      <w:r w:rsidR="00C20CF4">
        <w:rPr>
          <w:u w:val="single"/>
        </w:rPr>
        <w:t xml:space="preserve">Asia-Pacific </w:t>
      </w:r>
      <w:r w:rsidR="00CF45D7">
        <w:rPr>
          <w:u w:val="single"/>
        </w:rPr>
        <w:t xml:space="preserve">Regional </w:t>
      </w:r>
      <w:r w:rsidR="00C20CF4">
        <w:rPr>
          <w:u w:val="single"/>
        </w:rPr>
        <w:t xml:space="preserve">Aviation </w:t>
      </w:r>
      <w:r w:rsidR="00CF45D7">
        <w:rPr>
          <w:u w:val="single"/>
        </w:rPr>
        <w:t>Safety</w:t>
      </w:r>
    </w:p>
    <w:p w:rsidR="00A40C2F" w:rsidRDefault="007119C8" w:rsidP="00A6238F">
      <w:pPr>
        <w:spacing w:before="0" w:after="60"/>
      </w:pPr>
      <w:r>
        <w:t xml:space="preserve">Australia has an important role to play in assisting our regional partners to meet their air traffic management responsibilities.  </w:t>
      </w:r>
      <w:r w:rsidR="00A40C2F">
        <w:t xml:space="preserve">Airservices </w:t>
      </w:r>
      <w:r w:rsidR="0079576C">
        <w:t>will continue to support</w:t>
      </w:r>
      <w:r w:rsidR="00EE78BB">
        <w:t xml:space="preserve"> the Australian Government’s</w:t>
      </w:r>
      <w:r w:rsidR="0079576C">
        <w:t xml:space="preserve"> aviation safety initiatives </w:t>
      </w:r>
      <w:r w:rsidR="00A40C2F">
        <w:t>in</w:t>
      </w:r>
      <w:r>
        <w:t xml:space="preserve"> the Asia</w:t>
      </w:r>
      <w:r w:rsidR="00721258">
        <w:t>-</w:t>
      </w:r>
      <w:r>
        <w:t xml:space="preserve">Pacific </w:t>
      </w:r>
      <w:r w:rsidR="00A40C2F">
        <w:t xml:space="preserve">region.  </w:t>
      </w:r>
    </w:p>
    <w:p w:rsidR="00CF45D7" w:rsidRDefault="00CF45D7" w:rsidP="00A6238F">
      <w:pPr>
        <w:spacing w:before="0" w:after="60"/>
      </w:pPr>
    </w:p>
    <w:p w:rsidR="00F9458E" w:rsidRPr="00CF45D7" w:rsidRDefault="00CF45D7" w:rsidP="00CF45D7">
      <w:pPr>
        <w:tabs>
          <w:tab w:val="num" w:pos="-5616"/>
        </w:tabs>
        <w:spacing w:before="0"/>
        <w:ind w:right="-51"/>
        <w:rPr>
          <w:u w:val="single"/>
        </w:rPr>
      </w:pPr>
      <w:r>
        <w:rPr>
          <w:u w:val="single"/>
        </w:rPr>
        <w:t xml:space="preserve">Items </w:t>
      </w:r>
      <w:r w:rsidR="004F41D8">
        <w:rPr>
          <w:u w:val="single"/>
        </w:rPr>
        <w:t>14</w:t>
      </w:r>
      <w:r>
        <w:rPr>
          <w:u w:val="single"/>
        </w:rPr>
        <w:t xml:space="preserve"> – </w:t>
      </w:r>
      <w:r w:rsidR="006840FA">
        <w:rPr>
          <w:u w:val="single"/>
        </w:rPr>
        <w:t xml:space="preserve">Public Sector </w:t>
      </w:r>
      <w:r>
        <w:rPr>
          <w:u w:val="single"/>
        </w:rPr>
        <w:t>Professionalism and A</w:t>
      </w:r>
      <w:r w:rsidR="00F9458E">
        <w:rPr>
          <w:u w:val="single"/>
        </w:rPr>
        <w:t xml:space="preserve">ccountability </w:t>
      </w:r>
    </w:p>
    <w:p w:rsidR="00A40C2F" w:rsidRDefault="00F9458E" w:rsidP="00A6238F">
      <w:pPr>
        <w:spacing w:before="0" w:after="60"/>
      </w:pPr>
      <w:r>
        <w:t>Th</w:t>
      </w:r>
      <w:r w:rsidR="00CF45D7">
        <w:t>is item</w:t>
      </w:r>
      <w:r>
        <w:t xml:space="preserve"> </w:t>
      </w:r>
      <w:r w:rsidR="00C20CF4">
        <w:t xml:space="preserve">reflects that </w:t>
      </w:r>
      <w:r w:rsidR="007E79CA">
        <w:t xml:space="preserve">Airservices </w:t>
      </w:r>
      <w:r w:rsidR="00C20CF4">
        <w:t xml:space="preserve">should </w:t>
      </w:r>
      <w:r w:rsidR="007E79CA">
        <w:t xml:space="preserve">operate in a manner consistent with the standards expected of a </w:t>
      </w:r>
      <w:r w:rsidR="00A40C2F">
        <w:t>highly professional</w:t>
      </w:r>
      <w:r w:rsidR="007E79CA">
        <w:t xml:space="preserve"> public sector </w:t>
      </w:r>
      <w:r w:rsidR="00A40C2F">
        <w:t xml:space="preserve">organisation </w:t>
      </w:r>
      <w:r w:rsidR="0079576C">
        <w:t xml:space="preserve">with </w:t>
      </w:r>
      <w:r w:rsidR="00A40C2F">
        <w:t>a strong culture of accountability and transparency.</w:t>
      </w:r>
    </w:p>
    <w:p w:rsidR="00DD599C" w:rsidRDefault="00DD599C" w:rsidP="00A6238F">
      <w:pPr>
        <w:spacing w:before="0" w:after="60"/>
      </w:pPr>
    </w:p>
    <w:p w:rsidR="00DD599C" w:rsidRDefault="00DD599C" w:rsidP="00721BF5">
      <w:pPr>
        <w:tabs>
          <w:tab w:val="num" w:pos="-5616"/>
        </w:tabs>
        <w:spacing w:before="0"/>
        <w:ind w:right="-51"/>
      </w:pPr>
    </w:p>
    <w:sectPr w:rsidR="00DD599C" w:rsidSect="00654661">
      <w:footerReference w:type="even" r:id="rId9"/>
      <w:footerReference w:type="default" r:id="rId10"/>
      <w:type w:val="continuous"/>
      <w:pgSz w:w="11907" w:h="16840" w:code="9"/>
      <w:pgMar w:top="1134" w:right="170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9C" w:rsidRDefault="00424F9C">
      <w:r>
        <w:separator/>
      </w:r>
    </w:p>
  </w:endnote>
  <w:endnote w:type="continuationSeparator" w:id="0">
    <w:p w:rsidR="00424F9C" w:rsidRDefault="004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FD" w:rsidRDefault="00976AFD" w:rsidP="00A60B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636">
      <w:rPr>
        <w:rStyle w:val="PageNumber"/>
        <w:noProof/>
      </w:rPr>
      <w:t>4</w:t>
    </w:r>
    <w:r>
      <w:rPr>
        <w:rStyle w:val="PageNumber"/>
      </w:rPr>
      <w:fldChar w:fldCharType="end"/>
    </w:r>
  </w:p>
  <w:p w:rsidR="00976AFD" w:rsidRDefault="00976AFD" w:rsidP="00A60B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FD" w:rsidRDefault="00976AFD" w:rsidP="00A60B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9C" w:rsidRDefault="00424F9C">
      <w:r>
        <w:separator/>
      </w:r>
    </w:p>
  </w:footnote>
  <w:footnote w:type="continuationSeparator" w:id="0">
    <w:p w:rsidR="00424F9C" w:rsidRDefault="0042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D1B"/>
    <w:multiLevelType w:val="hybridMultilevel"/>
    <w:tmpl w:val="678824A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D3E1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42C62CB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45AD2"/>
    <w:multiLevelType w:val="hybridMultilevel"/>
    <w:tmpl w:val="4E4C4EA2"/>
    <w:lvl w:ilvl="0" w:tplc="4A8675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9085F"/>
    <w:multiLevelType w:val="hybridMultilevel"/>
    <w:tmpl w:val="54B29194"/>
    <w:lvl w:ilvl="0" w:tplc="6060BBB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C151F9"/>
    <w:multiLevelType w:val="hybridMultilevel"/>
    <w:tmpl w:val="215AF956"/>
    <w:lvl w:ilvl="0" w:tplc="42C62CB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50028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780694D"/>
    <w:multiLevelType w:val="hybridMultilevel"/>
    <w:tmpl w:val="FBBC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946E6"/>
    <w:multiLevelType w:val="hybridMultilevel"/>
    <w:tmpl w:val="6724467E"/>
    <w:lvl w:ilvl="0" w:tplc="1BD04878">
      <w:start w:val="1"/>
      <w:numFmt w:val="lowerRoman"/>
      <w:lvlText w:val="(%1)"/>
      <w:lvlJc w:val="left"/>
      <w:pPr>
        <w:ind w:left="14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489E2452"/>
    <w:multiLevelType w:val="hybridMultilevel"/>
    <w:tmpl w:val="32B48266"/>
    <w:lvl w:ilvl="0" w:tplc="42C62CB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7561C5"/>
    <w:multiLevelType w:val="hybridMultilevel"/>
    <w:tmpl w:val="785E3E3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0028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2C62CB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562C3D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425CC"/>
    <w:multiLevelType w:val="hybridMultilevel"/>
    <w:tmpl w:val="D24A1170"/>
    <w:lvl w:ilvl="0" w:tplc="71AA0314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A0820C">
      <w:numFmt w:val="none"/>
      <w:lvlText w:val=""/>
      <w:lvlJc w:val="left"/>
      <w:pPr>
        <w:tabs>
          <w:tab w:val="num" w:pos="360"/>
        </w:tabs>
      </w:pPr>
    </w:lvl>
    <w:lvl w:ilvl="2" w:tplc="A9E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2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E6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1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66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C0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80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71D96E14"/>
    <w:multiLevelType w:val="hybridMultilevel"/>
    <w:tmpl w:val="871245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854ED"/>
    <w:multiLevelType w:val="hybridMultilevel"/>
    <w:tmpl w:val="2D0453C4"/>
    <w:lvl w:ilvl="0" w:tplc="62D284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F71253"/>
    <w:multiLevelType w:val="hybridMultilevel"/>
    <w:tmpl w:val="52504DB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0028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5E"/>
    <w:rsid w:val="00007954"/>
    <w:rsid w:val="00010797"/>
    <w:rsid w:val="00010ABD"/>
    <w:rsid w:val="0001135E"/>
    <w:rsid w:val="0001213C"/>
    <w:rsid w:val="000231F5"/>
    <w:rsid w:val="000302B7"/>
    <w:rsid w:val="00030893"/>
    <w:rsid w:val="0004677F"/>
    <w:rsid w:val="00050779"/>
    <w:rsid w:val="000508E6"/>
    <w:rsid w:val="00053227"/>
    <w:rsid w:val="000657C4"/>
    <w:rsid w:val="00083DDA"/>
    <w:rsid w:val="0008600A"/>
    <w:rsid w:val="00086DD4"/>
    <w:rsid w:val="00097626"/>
    <w:rsid w:val="000B25BF"/>
    <w:rsid w:val="000D0F49"/>
    <w:rsid w:val="000D45B1"/>
    <w:rsid w:val="000E09B6"/>
    <w:rsid w:val="000E1B2E"/>
    <w:rsid w:val="000E21EF"/>
    <w:rsid w:val="000E7598"/>
    <w:rsid w:val="000E7AFC"/>
    <w:rsid w:val="000F3EC8"/>
    <w:rsid w:val="000F4AA7"/>
    <w:rsid w:val="0010092F"/>
    <w:rsid w:val="0013498C"/>
    <w:rsid w:val="00135994"/>
    <w:rsid w:val="00160982"/>
    <w:rsid w:val="00161616"/>
    <w:rsid w:val="00170782"/>
    <w:rsid w:val="0017215A"/>
    <w:rsid w:val="00175C07"/>
    <w:rsid w:val="001847B5"/>
    <w:rsid w:val="0018598A"/>
    <w:rsid w:val="0019261D"/>
    <w:rsid w:val="001A086C"/>
    <w:rsid w:val="001B0BA0"/>
    <w:rsid w:val="001B168C"/>
    <w:rsid w:val="001C5636"/>
    <w:rsid w:val="001D73BE"/>
    <w:rsid w:val="00202EF5"/>
    <w:rsid w:val="0021081D"/>
    <w:rsid w:val="002154F5"/>
    <w:rsid w:val="0022178C"/>
    <w:rsid w:val="002222E4"/>
    <w:rsid w:val="00226AD0"/>
    <w:rsid w:val="00246577"/>
    <w:rsid w:val="00246B78"/>
    <w:rsid w:val="00286E03"/>
    <w:rsid w:val="002924D4"/>
    <w:rsid w:val="002946C1"/>
    <w:rsid w:val="002951FC"/>
    <w:rsid w:val="002952C0"/>
    <w:rsid w:val="0029744C"/>
    <w:rsid w:val="002A1FA5"/>
    <w:rsid w:val="002B00FA"/>
    <w:rsid w:val="002C3EA8"/>
    <w:rsid w:val="00316FA7"/>
    <w:rsid w:val="003206DE"/>
    <w:rsid w:val="0033603B"/>
    <w:rsid w:val="003363A0"/>
    <w:rsid w:val="0034511D"/>
    <w:rsid w:val="003518A2"/>
    <w:rsid w:val="00361570"/>
    <w:rsid w:val="00364211"/>
    <w:rsid w:val="00367BF1"/>
    <w:rsid w:val="0038503F"/>
    <w:rsid w:val="00393E4D"/>
    <w:rsid w:val="003957A7"/>
    <w:rsid w:val="0039703D"/>
    <w:rsid w:val="00397148"/>
    <w:rsid w:val="003B6F81"/>
    <w:rsid w:val="003E6254"/>
    <w:rsid w:val="00417336"/>
    <w:rsid w:val="004176C8"/>
    <w:rsid w:val="00424F9C"/>
    <w:rsid w:val="00433D89"/>
    <w:rsid w:val="00445196"/>
    <w:rsid w:val="00454375"/>
    <w:rsid w:val="004557B4"/>
    <w:rsid w:val="00457B42"/>
    <w:rsid w:val="00480E15"/>
    <w:rsid w:val="00484CD0"/>
    <w:rsid w:val="00492313"/>
    <w:rsid w:val="004A2B05"/>
    <w:rsid w:val="004B3B41"/>
    <w:rsid w:val="004B6898"/>
    <w:rsid w:val="004C2DC9"/>
    <w:rsid w:val="004F244C"/>
    <w:rsid w:val="004F369A"/>
    <w:rsid w:val="004F41D8"/>
    <w:rsid w:val="005124A6"/>
    <w:rsid w:val="00523E2F"/>
    <w:rsid w:val="00523F32"/>
    <w:rsid w:val="00532314"/>
    <w:rsid w:val="00543ED2"/>
    <w:rsid w:val="00546ABD"/>
    <w:rsid w:val="00546B0E"/>
    <w:rsid w:val="00566780"/>
    <w:rsid w:val="00570DDD"/>
    <w:rsid w:val="005E295D"/>
    <w:rsid w:val="006076B4"/>
    <w:rsid w:val="00621BDE"/>
    <w:rsid w:val="00624A23"/>
    <w:rsid w:val="00634E6F"/>
    <w:rsid w:val="006351CD"/>
    <w:rsid w:val="0063744F"/>
    <w:rsid w:val="00637FBD"/>
    <w:rsid w:val="00642D1A"/>
    <w:rsid w:val="00642D67"/>
    <w:rsid w:val="00647C52"/>
    <w:rsid w:val="00654661"/>
    <w:rsid w:val="00664601"/>
    <w:rsid w:val="006668CA"/>
    <w:rsid w:val="0066771E"/>
    <w:rsid w:val="00675308"/>
    <w:rsid w:val="0068280F"/>
    <w:rsid w:val="006840FA"/>
    <w:rsid w:val="00690808"/>
    <w:rsid w:val="00692124"/>
    <w:rsid w:val="00693819"/>
    <w:rsid w:val="006958EB"/>
    <w:rsid w:val="006A4F70"/>
    <w:rsid w:val="006B09A8"/>
    <w:rsid w:val="006D2DC5"/>
    <w:rsid w:val="006E3D38"/>
    <w:rsid w:val="006E43CC"/>
    <w:rsid w:val="006F7A48"/>
    <w:rsid w:val="007119C8"/>
    <w:rsid w:val="00714E2B"/>
    <w:rsid w:val="00716CE0"/>
    <w:rsid w:val="00721258"/>
    <w:rsid w:val="00721BF5"/>
    <w:rsid w:val="00722012"/>
    <w:rsid w:val="00723156"/>
    <w:rsid w:val="00725E16"/>
    <w:rsid w:val="007315A0"/>
    <w:rsid w:val="00755622"/>
    <w:rsid w:val="00760B3F"/>
    <w:rsid w:val="00763B1F"/>
    <w:rsid w:val="00764438"/>
    <w:rsid w:val="00764FF9"/>
    <w:rsid w:val="00767D59"/>
    <w:rsid w:val="00780BC6"/>
    <w:rsid w:val="00785315"/>
    <w:rsid w:val="007921C9"/>
    <w:rsid w:val="0079576C"/>
    <w:rsid w:val="007B1352"/>
    <w:rsid w:val="007B3E73"/>
    <w:rsid w:val="007C38E6"/>
    <w:rsid w:val="007D0FB4"/>
    <w:rsid w:val="007D2754"/>
    <w:rsid w:val="007D3201"/>
    <w:rsid w:val="007D7E40"/>
    <w:rsid w:val="007E79CA"/>
    <w:rsid w:val="007F04D2"/>
    <w:rsid w:val="007F2CD3"/>
    <w:rsid w:val="0081561A"/>
    <w:rsid w:val="008426C2"/>
    <w:rsid w:val="008468D6"/>
    <w:rsid w:val="00852B93"/>
    <w:rsid w:val="00852D22"/>
    <w:rsid w:val="00853724"/>
    <w:rsid w:val="00875A16"/>
    <w:rsid w:val="00892AB2"/>
    <w:rsid w:val="00893138"/>
    <w:rsid w:val="0089451E"/>
    <w:rsid w:val="008A2836"/>
    <w:rsid w:val="008B23DD"/>
    <w:rsid w:val="008B3BB7"/>
    <w:rsid w:val="008B5F78"/>
    <w:rsid w:val="008D12C0"/>
    <w:rsid w:val="008D475F"/>
    <w:rsid w:val="008D7EF3"/>
    <w:rsid w:val="008E74C9"/>
    <w:rsid w:val="008F6E01"/>
    <w:rsid w:val="00904B7F"/>
    <w:rsid w:val="009077C8"/>
    <w:rsid w:val="00914017"/>
    <w:rsid w:val="00917A71"/>
    <w:rsid w:val="00935AB6"/>
    <w:rsid w:val="009379A8"/>
    <w:rsid w:val="0094760F"/>
    <w:rsid w:val="0095111F"/>
    <w:rsid w:val="00963D0A"/>
    <w:rsid w:val="009700EE"/>
    <w:rsid w:val="00976AFD"/>
    <w:rsid w:val="00981C76"/>
    <w:rsid w:val="0098645D"/>
    <w:rsid w:val="00987153"/>
    <w:rsid w:val="00987CAF"/>
    <w:rsid w:val="0099104D"/>
    <w:rsid w:val="009A517C"/>
    <w:rsid w:val="009D20B3"/>
    <w:rsid w:val="009E319E"/>
    <w:rsid w:val="009E5A4F"/>
    <w:rsid w:val="009E7C23"/>
    <w:rsid w:val="00A049F1"/>
    <w:rsid w:val="00A16579"/>
    <w:rsid w:val="00A2160A"/>
    <w:rsid w:val="00A21DC1"/>
    <w:rsid w:val="00A26665"/>
    <w:rsid w:val="00A36F34"/>
    <w:rsid w:val="00A40C2F"/>
    <w:rsid w:val="00A4254E"/>
    <w:rsid w:val="00A42838"/>
    <w:rsid w:val="00A542B5"/>
    <w:rsid w:val="00A60B5E"/>
    <w:rsid w:val="00A6238F"/>
    <w:rsid w:val="00A74840"/>
    <w:rsid w:val="00A80B56"/>
    <w:rsid w:val="00A86262"/>
    <w:rsid w:val="00AA1F28"/>
    <w:rsid w:val="00AA4B72"/>
    <w:rsid w:val="00AC75C7"/>
    <w:rsid w:val="00AD5783"/>
    <w:rsid w:val="00AF074B"/>
    <w:rsid w:val="00AF64A8"/>
    <w:rsid w:val="00AF7C51"/>
    <w:rsid w:val="00B048A2"/>
    <w:rsid w:val="00B20730"/>
    <w:rsid w:val="00B237B4"/>
    <w:rsid w:val="00B27899"/>
    <w:rsid w:val="00B40EAE"/>
    <w:rsid w:val="00B43D0B"/>
    <w:rsid w:val="00B45DC7"/>
    <w:rsid w:val="00B551B4"/>
    <w:rsid w:val="00B63EBC"/>
    <w:rsid w:val="00B6424F"/>
    <w:rsid w:val="00B648A9"/>
    <w:rsid w:val="00B72F45"/>
    <w:rsid w:val="00B73BBD"/>
    <w:rsid w:val="00B7500B"/>
    <w:rsid w:val="00BA1875"/>
    <w:rsid w:val="00BC625C"/>
    <w:rsid w:val="00BD1F86"/>
    <w:rsid w:val="00C162A4"/>
    <w:rsid w:val="00C17503"/>
    <w:rsid w:val="00C20CF4"/>
    <w:rsid w:val="00C24131"/>
    <w:rsid w:val="00C25643"/>
    <w:rsid w:val="00C3285A"/>
    <w:rsid w:val="00C4002F"/>
    <w:rsid w:val="00C42247"/>
    <w:rsid w:val="00C450F9"/>
    <w:rsid w:val="00C51088"/>
    <w:rsid w:val="00C5156A"/>
    <w:rsid w:val="00C63313"/>
    <w:rsid w:val="00C656AC"/>
    <w:rsid w:val="00C71063"/>
    <w:rsid w:val="00C71BC6"/>
    <w:rsid w:val="00C74F71"/>
    <w:rsid w:val="00C870F9"/>
    <w:rsid w:val="00C95890"/>
    <w:rsid w:val="00CB0408"/>
    <w:rsid w:val="00CB0CBC"/>
    <w:rsid w:val="00CC1F20"/>
    <w:rsid w:val="00CC4904"/>
    <w:rsid w:val="00CD3123"/>
    <w:rsid w:val="00CE1122"/>
    <w:rsid w:val="00CE4CD8"/>
    <w:rsid w:val="00CE6DBA"/>
    <w:rsid w:val="00CE712D"/>
    <w:rsid w:val="00CF45D7"/>
    <w:rsid w:val="00D22572"/>
    <w:rsid w:val="00D26C54"/>
    <w:rsid w:val="00D40A74"/>
    <w:rsid w:val="00D4221F"/>
    <w:rsid w:val="00D43854"/>
    <w:rsid w:val="00D43E33"/>
    <w:rsid w:val="00D44F65"/>
    <w:rsid w:val="00D53640"/>
    <w:rsid w:val="00D611FC"/>
    <w:rsid w:val="00D626D7"/>
    <w:rsid w:val="00D671B9"/>
    <w:rsid w:val="00D70BBA"/>
    <w:rsid w:val="00D80D39"/>
    <w:rsid w:val="00D8104D"/>
    <w:rsid w:val="00DB0561"/>
    <w:rsid w:val="00DD52EF"/>
    <w:rsid w:val="00DD599C"/>
    <w:rsid w:val="00E02C7D"/>
    <w:rsid w:val="00E0721D"/>
    <w:rsid w:val="00E1589B"/>
    <w:rsid w:val="00E37B99"/>
    <w:rsid w:val="00E43E89"/>
    <w:rsid w:val="00E44DF3"/>
    <w:rsid w:val="00E5455D"/>
    <w:rsid w:val="00E54C9C"/>
    <w:rsid w:val="00E54FAF"/>
    <w:rsid w:val="00E65CFA"/>
    <w:rsid w:val="00E674C1"/>
    <w:rsid w:val="00E9763F"/>
    <w:rsid w:val="00E97CFE"/>
    <w:rsid w:val="00EA526F"/>
    <w:rsid w:val="00EB083A"/>
    <w:rsid w:val="00EC49C5"/>
    <w:rsid w:val="00EC4D00"/>
    <w:rsid w:val="00ED0503"/>
    <w:rsid w:val="00ED0C84"/>
    <w:rsid w:val="00ED1E28"/>
    <w:rsid w:val="00ED5BEC"/>
    <w:rsid w:val="00EE763D"/>
    <w:rsid w:val="00EE78BB"/>
    <w:rsid w:val="00F02A44"/>
    <w:rsid w:val="00F13935"/>
    <w:rsid w:val="00F23DF3"/>
    <w:rsid w:val="00F313BD"/>
    <w:rsid w:val="00F671CA"/>
    <w:rsid w:val="00F87A4C"/>
    <w:rsid w:val="00F9458E"/>
    <w:rsid w:val="00FA05B3"/>
    <w:rsid w:val="00FA4B04"/>
    <w:rsid w:val="00FB31BF"/>
    <w:rsid w:val="00FC3220"/>
    <w:rsid w:val="00FC534B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B5E"/>
    <w:pPr>
      <w:spacing w:before="24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09B6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60B5E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0B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0B5E"/>
  </w:style>
  <w:style w:type="paragraph" w:styleId="Header">
    <w:name w:val="header"/>
    <w:basedOn w:val="Normal"/>
    <w:rsid w:val="00A60B5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542B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0C2F"/>
    <w:pPr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C2F"/>
  </w:style>
  <w:style w:type="character" w:customStyle="1" w:styleId="Heading2Char">
    <w:name w:val="Heading 2 Char"/>
    <w:basedOn w:val="DefaultParagraphFont"/>
    <w:link w:val="Heading2"/>
    <w:semiHidden/>
    <w:rsid w:val="000E09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E0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0E09B6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E09B6"/>
    <w:rPr>
      <w:rFonts w:ascii="Arial" w:hAnsi="Arial" w:cs="Arial"/>
      <w:sz w:val="24"/>
      <w:szCs w:val="24"/>
    </w:rPr>
  </w:style>
  <w:style w:type="character" w:styleId="EndnoteReference">
    <w:name w:val="endnote reference"/>
    <w:uiPriority w:val="99"/>
    <w:rsid w:val="000E09B6"/>
    <w:rPr>
      <w:color w:val="000000"/>
    </w:rPr>
  </w:style>
  <w:style w:type="paragraph" w:customStyle="1" w:styleId="Bullet">
    <w:name w:val="Bullet"/>
    <w:basedOn w:val="Default"/>
    <w:next w:val="Default"/>
    <w:uiPriority w:val="99"/>
    <w:rsid w:val="000E09B6"/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D26C5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E763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8D475F"/>
    <w:pPr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B5E"/>
    <w:pPr>
      <w:spacing w:before="24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09B6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60B5E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0B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0B5E"/>
  </w:style>
  <w:style w:type="paragraph" w:styleId="Header">
    <w:name w:val="header"/>
    <w:basedOn w:val="Normal"/>
    <w:rsid w:val="00A60B5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542B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0C2F"/>
    <w:pPr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C2F"/>
  </w:style>
  <w:style w:type="character" w:customStyle="1" w:styleId="Heading2Char">
    <w:name w:val="Heading 2 Char"/>
    <w:basedOn w:val="DefaultParagraphFont"/>
    <w:link w:val="Heading2"/>
    <w:semiHidden/>
    <w:rsid w:val="000E09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E0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0E09B6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E09B6"/>
    <w:rPr>
      <w:rFonts w:ascii="Arial" w:hAnsi="Arial" w:cs="Arial"/>
      <w:sz w:val="24"/>
      <w:szCs w:val="24"/>
    </w:rPr>
  </w:style>
  <w:style w:type="character" w:styleId="EndnoteReference">
    <w:name w:val="endnote reference"/>
    <w:uiPriority w:val="99"/>
    <w:rsid w:val="000E09B6"/>
    <w:rPr>
      <w:color w:val="000000"/>
    </w:rPr>
  </w:style>
  <w:style w:type="paragraph" w:customStyle="1" w:styleId="Bullet">
    <w:name w:val="Bullet"/>
    <w:basedOn w:val="Default"/>
    <w:next w:val="Default"/>
    <w:uiPriority w:val="99"/>
    <w:rsid w:val="000E09B6"/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D26C5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E763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8D475F"/>
    <w:pPr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4713-E333-40D0-AD3E-27F60A25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DOTARS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adam baker</dc:creator>
  <cp:lastModifiedBy>Jacqueline McKinnon</cp:lastModifiedBy>
  <cp:revision>2</cp:revision>
  <cp:lastPrinted>2015-06-04T05:44:00Z</cp:lastPrinted>
  <dcterms:created xsi:type="dcterms:W3CDTF">2015-06-17T01:03:00Z</dcterms:created>
  <dcterms:modified xsi:type="dcterms:W3CDTF">2015-06-17T01:03:00Z</dcterms:modified>
</cp:coreProperties>
</file>