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20" w:rsidRPr="00DE776F" w:rsidRDefault="00DE776F" w:rsidP="00DE776F">
      <w:pPr>
        <w:spacing w:after="0" w:line="240" w:lineRule="auto"/>
        <w:jc w:val="center"/>
        <w:rPr>
          <w:b/>
        </w:rPr>
      </w:pPr>
      <w:bookmarkStart w:id="0" w:name="_GoBack"/>
      <w:bookmarkEnd w:id="0"/>
      <w:r w:rsidRPr="00DE776F">
        <w:rPr>
          <w:b/>
        </w:rPr>
        <w:t>EXPLANATORY STATEMENT</w:t>
      </w:r>
    </w:p>
    <w:p w:rsidR="00DE776F" w:rsidRPr="00DE776F" w:rsidRDefault="00DE776F" w:rsidP="00DE776F">
      <w:pPr>
        <w:spacing w:after="0" w:line="240" w:lineRule="auto"/>
        <w:jc w:val="center"/>
        <w:rPr>
          <w:b/>
        </w:rPr>
      </w:pPr>
    </w:p>
    <w:p w:rsidR="00DE776F" w:rsidRPr="00DE776F" w:rsidRDefault="00DE776F" w:rsidP="00DE776F">
      <w:pPr>
        <w:spacing w:after="0" w:line="240" w:lineRule="auto"/>
        <w:jc w:val="center"/>
        <w:rPr>
          <w:b/>
          <w:i/>
        </w:rPr>
      </w:pPr>
      <w:r w:rsidRPr="00DE776F">
        <w:rPr>
          <w:b/>
          <w:i/>
        </w:rPr>
        <w:t>HEALTH INSURANCE ACT 1973</w:t>
      </w:r>
    </w:p>
    <w:p w:rsidR="00DE776F" w:rsidRPr="00DE776F" w:rsidRDefault="00DE776F" w:rsidP="00DE776F">
      <w:pPr>
        <w:spacing w:after="0" w:line="240" w:lineRule="auto"/>
        <w:jc w:val="center"/>
        <w:rPr>
          <w:b/>
        </w:rPr>
      </w:pPr>
    </w:p>
    <w:p w:rsidR="00DE776F" w:rsidRPr="00DE776F" w:rsidRDefault="00DE776F" w:rsidP="00DE776F">
      <w:pPr>
        <w:spacing w:after="0" w:line="240" w:lineRule="auto"/>
        <w:jc w:val="center"/>
        <w:rPr>
          <w:b/>
          <w:i/>
        </w:rPr>
      </w:pPr>
      <w:r w:rsidRPr="00DE776F">
        <w:rPr>
          <w:b/>
          <w:i/>
        </w:rPr>
        <w:t xml:space="preserve">Health Insurance (Accredited Pathology Laboratories – Approval) </w:t>
      </w:r>
    </w:p>
    <w:p w:rsidR="00DE776F" w:rsidRPr="00DE776F" w:rsidRDefault="00DE776F" w:rsidP="00DE776F">
      <w:pPr>
        <w:spacing w:after="0" w:line="240" w:lineRule="auto"/>
        <w:jc w:val="center"/>
        <w:rPr>
          <w:b/>
        </w:rPr>
      </w:pPr>
      <w:r>
        <w:rPr>
          <w:b/>
          <w:i/>
        </w:rPr>
        <w:t xml:space="preserve">Amendment Principles </w:t>
      </w:r>
      <w:r w:rsidRPr="00DE776F">
        <w:rPr>
          <w:b/>
          <w:i/>
        </w:rPr>
        <w:t>2015 (No. 1)</w:t>
      </w:r>
    </w:p>
    <w:p w:rsidR="00DE776F" w:rsidRDefault="00DE776F" w:rsidP="00DE776F">
      <w:pPr>
        <w:spacing w:after="0" w:line="240" w:lineRule="auto"/>
      </w:pPr>
    </w:p>
    <w:p w:rsidR="00C5277A" w:rsidRDefault="008D5A4F" w:rsidP="00DE776F">
      <w:pPr>
        <w:spacing w:after="0" w:line="240" w:lineRule="auto"/>
      </w:pPr>
      <w:r>
        <w:t>Section 23</w:t>
      </w:r>
      <w:r w:rsidR="00DE776F">
        <w:t xml:space="preserve">DNA of the </w:t>
      </w:r>
      <w:r w:rsidR="00DE776F" w:rsidRPr="00DE776F">
        <w:rPr>
          <w:i/>
        </w:rPr>
        <w:t>Health Insurance Act 1973</w:t>
      </w:r>
      <w:r w:rsidR="00BA0FA0">
        <w:t xml:space="preserve"> (‘</w:t>
      </w:r>
      <w:r w:rsidR="00DE776F">
        <w:t>the Act’) provides for the Minister to determine the principle</w:t>
      </w:r>
      <w:r w:rsidR="00222B72">
        <w:t xml:space="preserve">s to be applied </w:t>
      </w:r>
      <w:r w:rsidR="00DE776F">
        <w:t xml:space="preserve">in exercising his or her powers under Section 23DN of the Act to approve in principle, or refuse to approve, premises as an accredited pathology laboratory.  </w:t>
      </w:r>
      <w:r w:rsidR="00C5277A">
        <w:t xml:space="preserve"> The current principles determined under Section 23DNA are the </w:t>
      </w:r>
      <w:r w:rsidR="00C5277A" w:rsidRPr="00DE776F">
        <w:rPr>
          <w:i/>
        </w:rPr>
        <w:t xml:space="preserve">Health Insurance (Accredited Pathology Laboratories – Approval) Principles 2002 </w:t>
      </w:r>
      <w:r w:rsidR="00C5277A">
        <w:t xml:space="preserve">(‘the Principles’).  </w:t>
      </w:r>
    </w:p>
    <w:p w:rsidR="00C5277A" w:rsidRDefault="00C5277A" w:rsidP="00DE776F">
      <w:pPr>
        <w:spacing w:after="0" w:line="240" w:lineRule="auto"/>
      </w:pPr>
    </w:p>
    <w:p w:rsidR="00965097" w:rsidRDefault="00965097" w:rsidP="008065E0">
      <w:pPr>
        <w:spacing w:after="0" w:line="240" w:lineRule="auto"/>
      </w:pPr>
      <w:r>
        <w:t>With the exception of some basic tests conducted by some medical practitioners within their own medical practice, Medicare benefits for pathology services are only payable when they are rendered in an accredited pathology laboratory.  The Principles operate to ensure minimum acceptable standards in pathology laboratories at which Medicare eligible pathology services are provided.</w:t>
      </w:r>
    </w:p>
    <w:p w:rsidR="00965097" w:rsidRDefault="00965097" w:rsidP="008065E0">
      <w:pPr>
        <w:spacing w:after="0" w:line="240" w:lineRule="auto"/>
      </w:pPr>
    </w:p>
    <w:p w:rsidR="008065E0" w:rsidRDefault="0073779B" w:rsidP="008065E0">
      <w:pPr>
        <w:spacing w:after="0" w:line="240" w:lineRule="auto"/>
      </w:pPr>
      <w:r>
        <w:t>Schedule 1 of t</w:t>
      </w:r>
      <w:r w:rsidR="00C5277A">
        <w:t>he Princip</w:t>
      </w:r>
      <w:r>
        <w:t>les specifies</w:t>
      </w:r>
      <w:r w:rsidR="00EF355E">
        <w:t xml:space="preserve"> accreditation materials </w:t>
      </w:r>
      <w:r w:rsidR="00C5277A">
        <w:t>that set out relevant standards against which applicants for accreditation are to be assessed.</w:t>
      </w:r>
      <w:r w:rsidR="008065E0">
        <w:t xml:space="preserve">  These documents are developed and maintained by the</w:t>
      </w:r>
      <w:r w:rsidR="008065E0">
        <w:rPr>
          <w:szCs w:val="24"/>
        </w:rPr>
        <w:t xml:space="preserve"> </w:t>
      </w:r>
      <w:r w:rsidR="008065E0" w:rsidRPr="008979CE">
        <w:rPr>
          <w:szCs w:val="24"/>
        </w:rPr>
        <w:t>National Pathology Accreditation Advisory Council (NPAAC)</w:t>
      </w:r>
      <w:r w:rsidR="00965097">
        <w:rPr>
          <w:szCs w:val="24"/>
        </w:rPr>
        <w:t xml:space="preserve"> or endorsed by NPAAC as supplementary accreditation materials</w:t>
      </w:r>
      <w:r w:rsidR="008065E0">
        <w:t xml:space="preserve">.  The </w:t>
      </w:r>
      <w:r w:rsidR="000A082D">
        <w:t xml:space="preserve">accreditation process is administered by the </w:t>
      </w:r>
      <w:r w:rsidR="008065E0">
        <w:t>Depar</w:t>
      </w:r>
      <w:r w:rsidR="000A082D">
        <w:t xml:space="preserve">tment of Human Services, while </w:t>
      </w:r>
      <w:r w:rsidR="008065E0">
        <w:t>the National Association of Testing Authorities (NATA) conducts the accreditation assessment</w:t>
      </w:r>
      <w:r w:rsidR="00234698">
        <w:t xml:space="preserve"> of pathology laboratories</w:t>
      </w:r>
      <w:r w:rsidR="008065E0">
        <w:t>, in conjunction with the Royal College of Pathologists of Australasia.</w:t>
      </w:r>
    </w:p>
    <w:p w:rsidR="008D5A4F" w:rsidRDefault="008D5A4F" w:rsidP="00DE776F">
      <w:pPr>
        <w:spacing w:after="0" w:line="240" w:lineRule="auto"/>
      </w:pPr>
    </w:p>
    <w:p w:rsidR="00712368" w:rsidRDefault="00712368" w:rsidP="00DE776F">
      <w:pPr>
        <w:spacing w:after="0" w:line="240" w:lineRule="auto"/>
      </w:pPr>
      <w:r>
        <w:t>The purpose of</w:t>
      </w:r>
      <w:r w:rsidR="00624B53">
        <w:t xml:space="preserve"> the</w:t>
      </w:r>
      <w:r>
        <w:t xml:space="preserve"> </w:t>
      </w:r>
      <w:r w:rsidRPr="00712368">
        <w:rPr>
          <w:i/>
        </w:rPr>
        <w:t>Health Insurance (Accredited Pathology Laboratories – Approval) Amendment Principles 2015 (No. 1)</w:t>
      </w:r>
      <w:r>
        <w:t xml:space="preserve"> (</w:t>
      </w:r>
      <w:r w:rsidR="00B63E34">
        <w:t>‘</w:t>
      </w:r>
      <w:r>
        <w:t>the Amending Principles</w:t>
      </w:r>
      <w:r w:rsidR="00B63E34">
        <w:t>’</w:t>
      </w:r>
      <w:r>
        <w:t xml:space="preserve">) is to amend Schedule 1 </w:t>
      </w:r>
      <w:r w:rsidR="0073779B">
        <w:t>of</w:t>
      </w:r>
      <w:r>
        <w:t xml:space="preserve"> the Principles to i</w:t>
      </w:r>
      <w:r w:rsidR="0073779B">
        <w:t xml:space="preserve">ncorporate the following revised versions of </w:t>
      </w:r>
      <w:r>
        <w:t xml:space="preserve"> </w:t>
      </w:r>
      <w:r w:rsidR="00155864">
        <w:t xml:space="preserve">NPAAC </w:t>
      </w:r>
      <w:r>
        <w:t>accreditation material</w:t>
      </w:r>
      <w:r w:rsidR="00155864">
        <w:t>s</w:t>
      </w:r>
      <w:r w:rsidR="0073779B">
        <w:t xml:space="preserve"> currently listed in Schedule 1</w:t>
      </w:r>
      <w:r w:rsidR="00E96E82">
        <w:t xml:space="preserve"> </w:t>
      </w:r>
      <w:r w:rsidR="000C558C">
        <w:t>of the Principles</w:t>
      </w:r>
      <w:r>
        <w:t>:</w:t>
      </w:r>
    </w:p>
    <w:p w:rsidR="00712368" w:rsidRDefault="00712368" w:rsidP="00DE776F">
      <w:pPr>
        <w:spacing w:after="0" w:line="240" w:lineRule="auto"/>
      </w:pPr>
    </w:p>
    <w:p w:rsidR="00712368" w:rsidRDefault="00712368" w:rsidP="00712368">
      <w:pPr>
        <w:pStyle w:val="TableTextform"/>
        <w:numPr>
          <w:ilvl w:val="0"/>
          <w:numId w:val="3"/>
        </w:numPr>
        <w:spacing w:before="0" w:after="0"/>
        <w:rPr>
          <w:rFonts w:ascii="Times New Roman" w:hAnsi="Times New Roman" w:cs="Times New Roman"/>
          <w:i/>
          <w:sz w:val="24"/>
          <w:szCs w:val="24"/>
        </w:rPr>
      </w:pPr>
      <w:r w:rsidRPr="00712368">
        <w:rPr>
          <w:rFonts w:ascii="Times New Roman" w:hAnsi="Times New Roman" w:cs="Times New Roman"/>
          <w:i/>
          <w:sz w:val="24"/>
          <w:szCs w:val="24"/>
        </w:rPr>
        <w:t xml:space="preserve">Performance Measures for Australian Laboratories Reporting Cervical Cytology (Third Edition </w:t>
      </w:r>
      <w:r w:rsidR="00965097" w:rsidRPr="00712368">
        <w:rPr>
          <w:rFonts w:ascii="Times New Roman" w:hAnsi="Times New Roman" w:cs="Times New Roman"/>
          <w:i/>
          <w:sz w:val="24"/>
          <w:szCs w:val="24"/>
        </w:rPr>
        <w:t>201</w:t>
      </w:r>
      <w:r w:rsidR="00965097">
        <w:rPr>
          <w:rFonts w:ascii="Times New Roman" w:hAnsi="Times New Roman" w:cs="Times New Roman"/>
          <w:i/>
          <w:sz w:val="24"/>
          <w:szCs w:val="24"/>
        </w:rPr>
        <w:t>5</w:t>
      </w:r>
      <w:r w:rsidRPr="00712368">
        <w:rPr>
          <w:rFonts w:ascii="Times New Roman" w:hAnsi="Times New Roman" w:cs="Times New Roman"/>
          <w:i/>
          <w:sz w:val="24"/>
          <w:szCs w:val="24"/>
        </w:rPr>
        <w:t>)</w:t>
      </w:r>
      <w:r w:rsidR="00335C91">
        <w:rPr>
          <w:rFonts w:ascii="Times New Roman" w:hAnsi="Times New Roman" w:cs="Times New Roman"/>
          <w:sz w:val="24"/>
          <w:szCs w:val="24"/>
        </w:rPr>
        <w:t>; and</w:t>
      </w:r>
    </w:p>
    <w:p w:rsidR="00712368" w:rsidRDefault="00712368" w:rsidP="00712368">
      <w:pPr>
        <w:pStyle w:val="TableTextform"/>
        <w:spacing w:before="0" w:after="0"/>
        <w:ind w:left="720"/>
        <w:rPr>
          <w:rFonts w:ascii="Times New Roman" w:hAnsi="Times New Roman" w:cs="Times New Roman"/>
          <w:i/>
          <w:sz w:val="24"/>
          <w:szCs w:val="24"/>
        </w:rPr>
      </w:pPr>
    </w:p>
    <w:p w:rsidR="00712368" w:rsidRDefault="00712368" w:rsidP="00712368">
      <w:pPr>
        <w:pStyle w:val="TableTextform"/>
        <w:numPr>
          <w:ilvl w:val="0"/>
          <w:numId w:val="3"/>
        </w:numPr>
        <w:spacing w:before="0" w:after="0"/>
        <w:rPr>
          <w:rFonts w:ascii="Times New Roman" w:hAnsi="Times New Roman" w:cs="Times New Roman"/>
          <w:i/>
          <w:sz w:val="24"/>
          <w:szCs w:val="24"/>
        </w:rPr>
      </w:pPr>
      <w:r w:rsidRPr="00712368">
        <w:rPr>
          <w:rFonts w:ascii="Times New Roman" w:hAnsi="Times New Roman" w:cs="Times New Roman"/>
          <w:i/>
          <w:sz w:val="24"/>
          <w:szCs w:val="24"/>
        </w:rPr>
        <w:t xml:space="preserve">Requirements for Procedures Related to the Collection, Processing, Storage and Issue of Human </w:t>
      </w:r>
      <w:proofErr w:type="spellStart"/>
      <w:r w:rsidRPr="00712368">
        <w:rPr>
          <w:rFonts w:ascii="Times New Roman" w:hAnsi="Times New Roman" w:cs="Times New Roman"/>
          <w:i/>
          <w:sz w:val="24"/>
          <w:szCs w:val="24"/>
        </w:rPr>
        <w:t>Haemopoietic</w:t>
      </w:r>
      <w:proofErr w:type="spellEnd"/>
      <w:r w:rsidRPr="00712368">
        <w:rPr>
          <w:rFonts w:ascii="Times New Roman" w:hAnsi="Times New Roman" w:cs="Times New Roman"/>
          <w:i/>
          <w:sz w:val="24"/>
          <w:szCs w:val="24"/>
        </w:rPr>
        <w:t xml:space="preserve"> Progenitor Cells (Fifth Edition </w:t>
      </w:r>
      <w:r w:rsidR="00965097" w:rsidRPr="00712368">
        <w:rPr>
          <w:rFonts w:ascii="Times New Roman" w:hAnsi="Times New Roman" w:cs="Times New Roman"/>
          <w:i/>
          <w:sz w:val="24"/>
          <w:szCs w:val="24"/>
        </w:rPr>
        <w:t>201</w:t>
      </w:r>
      <w:r w:rsidR="00965097">
        <w:rPr>
          <w:rFonts w:ascii="Times New Roman" w:hAnsi="Times New Roman" w:cs="Times New Roman"/>
          <w:i/>
          <w:sz w:val="24"/>
          <w:szCs w:val="24"/>
        </w:rPr>
        <w:t>5</w:t>
      </w:r>
      <w:r w:rsidRPr="00712368">
        <w:rPr>
          <w:rFonts w:ascii="Times New Roman" w:hAnsi="Times New Roman" w:cs="Times New Roman"/>
          <w:i/>
          <w:sz w:val="24"/>
          <w:szCs w:val="24"/>
        </w:rPr>
        <w:t>)</w:t>
      </w:r>
    </w:p>
    <w:p w:rsidR="00712368" w:rsidRDefault="00712368" w:rsidP="00DE776F">
      <w:pPr>
        <w:spacing w:after="0" w:line="240" w:lineRule="auto"/>
      </w:pPr>
    </w:p>
    <w:p w:rsidR="00475A08" w:rsidRDefault="00475A08" w:rsidP="00475A08">
      <w:pPr>
        <w:spacing w:after="0" w:line="240" w:lineRule="auto"/>
        <w:rPr>
          <w:szCs w:val="24"/>
        </w:rPr>
      </w:pPr>
      <w:r>
        <w:rPr>
          <w:szCs w:val="24"/>
        </w:rPr>
        <w:t>The revision of these documents is part of the ongoing process of refining accreditation requirements to maintain their currency and to ensure they reflect contemporary clinical best practice.  This helps assure the quality of Australian pathology services.</w:t>
      </w:r>
    </w:p>
    <w:p w:rsidR="00273E51" w:rsidRDefault="00273E51" w:rsidP="00155864">
      <w:pPr>
        <w:spacing w:after="0" w:line="240" w:lineRule="auto"/>
      </w:pPr>
    </w:p>
    <w:p w:rsidR="00D26E94" w:rsidRPr="00D26E94" w:rsidRDefault="00D26E94" w:rsidP="00D26E94">
      <w:pPr>
        <w:pStyle w:val="TableTextform"/>
        <w:rPr>
          <w:rFonts w:ascii="Times New Roman" w:hAnsi="Times New Roman" w:cs="Times New Roman"/>
          <w:b/>
          <w:i/>
          <w:sz w:val="24"/>
          <w:szCs w:val="24"/>
        </w:rPr>
      </w:pPr>
      <w:r w:rsidRPr="00D26E94">
        <w:rPr>
          <w:rFonts w:ascii="Times New Roman" w:hAnsi="Times New Roman" w:cs="Times New Roman"/>
          <w:b/>
          <w:i/>
          <w:sz w:val="24"/>
          <w:szCs w:val="24"/>
        </w:rPr>
        <w:t xml:space="preserve">Performance Measures for Australian Laboratories Reporting Cervical Cytology (Third Edition 2015) </w:t>
      </w:r>
    </w:p>
    <w:p w:rsidR="00F24C23" w:rsidRPr="00F24C23" w:rsidRDefault="00965097" w:rsidP="00F24C23">
      <w:pPr>
        <w:pStyle w:val="TableTextform"/>
        <w:rPr>
          <w:rFonts w:ascii="Times New Roman" w:hAnsi="Times New Roman" w:cs="Times New Roman"/>
          <w:sz w:val="24"/>
          <w:szCs w:val="24"/>
        </w:rPr>
      </w:pPr>
      <w:r>
        <w:rPr>
          <w:rFonts w:ascii="Times New Roman" w:hAnsi="Times New Roman" w:cs="Times New Roman"/>
          <w:sz w:val="24"/>
          <w:szCs w:val="24"/>
        </w:rPr>
        <w:t xml:space="preserve">This document is a revision of the 2006 edition of the </w:t>
      </w:r>
      <w:r w:rsidRPr="001E0CFA">
        <w:rPr>
          <w:rFonts w:ascii="Times New Roman" w:hAnsi="Times New Roman" w:cs="Times New Roman"/>
          <w:i/>
          <w:sz w:val="24"/>
          <w:szCs w:val="24"/>
        </w:rPr>
        <w:t>Performance Measures for Australian Labor</w:t>
      </w:r>
      <w:r w:rsidR="006B57E4" w:rsidRPr="001E0CFA">
        <w:rPr>
          <w:rFonts w:ascii="Times New Roman" w:hAnsi="Times New Roman" w:cs="Times New Roman"/>
          <w:i/>
          <w:sz w:val="24"/>
          <w:szCs w:val="24"/>
        </w:rPr>
        <w:t>a</w:t>
      </w:r>
      <w:r w:rsidRPr="001E0CFA">
        <w:rPr>
          <w:rFonts w:ascii="Times New Roman" w:hAnsi="Times New Roman" w:cs="Times New Roman"/>
          <w:i/>
          <w:sz w:val="24"/>
          <w:szCs w:val="24"/>
        </w:rPr>
        <w:t>tories Reporting Cervical Cytology</w:t>
      </w:r>
      <w:r>
        <w:rPr>
          <w:rFonts w:ascii="Times New Roman" w:hAnsi="Times New Roman" w:cs="Times New Roman"/>
          <w:sz w:val="24"/>
          <w:szCs w:val="24"/>
        </w:rPr>
        <w:t xml:space="preserve">.  </w:t>
      </w:r>
      <w:r w:rsidR="006B57E4">
        <w:rPr>
          <w:rFonts w:ascii="Times New Roman" w:hAnsi="Times New Roman" w:cs="Times New Roman"/>
          <w:sz w:val="24"/>
          <w:szCs w:val="24"/>
        </w:rPr>
        <w:t>T</w:t>
      </w:r>
      <w:r>
        <w:rPr>
          <w:rFonts w:ascii="Times New Roman" w:hAnsi="Times New Roman" w:cs="Times New Roman"/>
          <w:sz w:val="24"/>
          <w:szCs w:val="24"/>
        </w:rPr>
        <w:t xml:space="preserve">he </w:t>
      </w:r>
      <w:r w:rsidR="00F24C23">
        <w:rPr>
          <w:rFonts w:ascii="Times New Roman" w:hAnsi="Times New Roman" w:cs="Times New Roman"/>
          <w:sz w:val="24"/>
          <w:szCs w:val="24"/>
        </w:rPr>
        <w:t xml:space="preserve">document </w:t>
      </w:r>
      <w:r w:rsidR="00403818">
        <w:rPr>
          <w:rFonts w:ascii="Times New Roman" w:hAnsi="Times New Roman" w:cs="Times New Roman"/>
          <w:sz w:val="24"/>
          <w:szCs w:val="24"/>
        </w:rPr>
        <w:t>defines</w:t>
      </w:r>
      <w:r w:rsidR="00F24C23" w:rsidRPr="00F24C23">
        <w:rPr>
          <w:rFonts w:ascii="Times New Roman" w:hAnsi="Times New Roman" w:cs="Times New Roman"/>
          <w:sz w:val="24"/>
          <w:szCs w:val="24"/>
        </w:rPr>
        <w:t xml:space="preserve"> the key elements of the day-to-day performance of a laboratory reporting cervical cytology </w:t>
      </w:r>
      <w:r w:rsidR="00403818">
        <w:rPr>
          <w:rFonts w:ascii="Times New Roman" w:hAnsi="Times New Roman" w:cs="Times New Roman"/>
          <w:sz w:val="24"/>
          <w:szCs w:val="24"/>
        </w:rPr>
        <w:t>to ensure a high degree of accur</w:t>
      </w:r>
      <w:r w:rsidR="00273E51">
        <w:rPr>
          <w:rFonts w:ascii="Times New Roman" w:hAnsi="Times New Roman" w:cs="Times New Roman"/>
          <w:sz w:val="24"/>
          <w:szCs w:val="24"/>
        </w:rPr>
        <w:t>acy in the reporting of results</w:t>
      </w:r>
      <w:r w:rsidR="00F24C23" w:rsidRPr="00F24C23">
        <w:rPr>
          <w:rFonts w:ascii="Times New Roman" w:hAnsi="Times New Roman" w:cs="Times New Roman"/>
          <w:sz w:val="24"/>
          <w:szCs w:val="24"/>
        </w:rPr>
        <w:t xml:space="preserve">. </w:t>
      </w:r>
      <w:r w:rsidR="00234698">
        <w:rPr>
          <w:rFonts w:ascii="Times New Roman" w:hAnsi="Times New Roman" w:cs="Times New Roman"/>
          <w:sz w:val="24"/>
          <w:szCs w:val="24"/>
        </w:rPr>
        <w:t xml:space="preserve"> These standards apply to cytology used as a primary screening test.</w:t>
      </w:r>
    </w:p>
    <w:p w:rsidR="00712368" w:rsidRDefault="00F24C23" w:rsidP="00F24C23">
      <w:pPr>
        <w:spacing w:after="0" w:line="240" w:lineRule="auto"/>
        <w:rPr>
          <w:rFonts w:cs="Times New Roman"/>
          <w:szCs w:val="24"/>
        </w:rPr>
      </w:pPr>
      <w:r w:rsidRPr="00F24C23">
        <w:rPr>
          <w:rFonts w:cs="Times New Roman"/>
          <w:szCs w:val="24"/>
        </w:rPr>
        <w:lastRenderedPageBreak/>
        <w:t>The document has been revised to</w:t>
      </w:r>
      <w:r w:rsidR="00965097">
        <w:rPr>
          <w:rFonts w:cs="Times New Roman"/>
          <w:szCs w:val="24"/>
        </w:rPr>
        <w:t xml:space="preserve"> be read in conjunction with the NPAAC overarching document, </w:t>
      </w:r>
      <w:r w:rsidR="00965097" w:rsidRPr="001E0CFA">
        <w:rPr>
          <w:rFonts w:cs="Times New Roman"/>
          <w:i/>
          <w:szCs w:val="24"/>
        </w:rPr>
        <w:t>Requirements for Medical Pathology Services</w:t>
      </w:r>
      <w:r w:rsidR="00014239">
        <w:rPr>
          <w:rFonts w:cs="Times New Roman"/>
          <w:i/>
          <w:szCs w:val="24"/>
        </w:rPr>
        <w:t>,</w:t>
      </w:r>
      <w:r w:rsidR="007838CF">
        <w:rPr>
          <w:rFonts w:cs="Times New Roman"/>
          <w:szCs w:val="24"/>
        </w:rPr>
        <w:t xml:space="preserve"> </w:t>
      </w:r>
      <w:r w:rsidR="00014239">
        <w:rPr>
          <w:rFonts w:cs="Times New Roman"/>
          <w:szCs w:val="24"/>
        </w:rPr>
        <w:t>which sets</w:t>
      </w:r>
      <w:r w:rsidR="006B57E4">
        <w:rPr>
          <w:rFonts w:cs="Times New Roman"/>
          <w:szCs w:val="24"/>
        </w:rPr>
        <w:t xml:space="preserve"> out key elements of good laboratory practice</w:t>
      </w:r>
      <w:r w:rsidR="00014239">
        <w:rPr>
          <w:rFonts w:cs="Times New Roman"/>
          <w:szCs w:val="24"/>
        </w:rPr>
        <w:t>,</w:t>
      </w:r>
      <w:r w:rsidR="006B57E4">
        <w:rPr>
          <w:rFonts w:cs="Times New Roman"/>
          <w:szCs w:val="24"/>
        </w:rPr>
        <w:t xml:space="preserve"> and</w:t>
      </w:r>
      <w:r w:rsidRPr="00F24C23">
        <w:rPr>
          <w:rFonts w:cs="Times New Roman"/>
          <w:szCs w:val="24"/>
        </w:rPr>
        <w:t xml:space="preserve"> </w:t>
      </w:r>
      <w:r w:rsidR="00014239">
        <w:rPr>
          <w:rFonts w:cs="Times New Roman"/>
          <w:szCs w:val="24"/>
        </w:rPr>
        <w:t xml:space="preserve">to </w:t>
      </w:r>
      <w:r w:rsidRPr="00F24C23">
        <w:rPr>
          <w:rFonts w:cs="Times New Roman"/>
          <w:szCs w:val="24"/>
        </w:rPr>
        <w:t xml:space="preserve">reflect current best practice </w:t>
      </w:r>
      <w:r w:rsidR="006B57E4">
        <w:rPr>
          <w:rFonts w:cs="Times New Roman"/>
          <w:szCs w:val="24"/>
        </w:rPr>
        <w:t>in consideration of</w:t>
      </w:r>
      <w:r w:rsidR="006B57E4" w:rsidRPr="00F24C23">
        <w:rPr>
          <w:rFonts w:cs="Times New Roman"/>
          <w:szCs w:val="24"/>
        </w:rPr>
        <w:t xml:space="preserve"> </w:t>
      </w:r>
      <w:r w:rsidR="00B04D25">
        <w:rPr>
          <w:rFonts w:cs="Times New Roman"/>
          <w:szCs w:val="24"/>
        </w:rPr>
        <w:t>current cytopathology data</w:t>
      </w:r>
      <w:r w:rsidRPr="00F24C23">
        <w:rPr>
          <w:rFonts w:cs="Times New Roman"/>
          <w:szCs w:val="24"/>
        </w:rPr>
        <w:t>.  In addition, the document</w:t>
      </w:r>
      <w:r w:rsidR="005A13BB">
        <w:rPr>
          <w:rFonts w:cs="Times New Roman"/>
          <w:szCs w:val="24"/>
        </w:rPr>
        <w:t>, as revised,</w:t>
      </w:r>
      <w:r w:rsidRPr="00F24C23">
        <w:rPr>
          <w:rFonts w:cs="Times New Roman"/>
          <w:szCs w:val="24"/>
        </w:rPr>
        <w:t xml:space="preserve"> includes guidance for laboratories on</w:t>
      </w:r>
      <w:r w:rsidR="0055166A">
        <w:rPr>
          <w:rFonts w:cs="Times New Roman"/>
          <w:szCs w:val="24"/>
        </w:rPr>
        <w:t xml:space="preserve"> how to achieve the performance</w:t>
      </w:r>
      <w:r w:rsidRPr="00F24C23">
        <w:rPr>
          <w:rFonts w:cs="Times New Roman"/>
          <w:szCs w:val="24"/>
        </w:rPr>
        <w:t xml:space="preserve"> measures and standards and the consequences </w:t>
      </w:r>
      <w:r w:rsidR="00403818">
        <w:rPr>
          <w:rFonts w:cs="Times New Roman"/>
          <w:szCs w:val="24"/>
        </w:rPr>
        <w:t>of</w:t>
      </w:r>
      <w:r w:rsidRPr="00F24C23">
        <w:rPr>
          <w:rFonts w:cs="Times New Roman"/>
          <w:szCs w:val="24"/>
        </w:rPr>
        <w:t xml:space="preserve"> failure to meet the minimum best practice standards.</w:t>
      </w:r>
      <w:r w:rsidR="00234698">
        <w:rPr>
          <w:rFonts w:cs="Times New Roman"/>
          <w:szCs w:val="24"/>
        </w:rPr>
        <w:t xml:space="preserve">  Key changes include:</w:t>
      </w:r>
    </w:p>
    <w:p w:rsidR="00234698" w:rsidRDefault="00234698" w:rsidP="00F24C23">
      <w:pPr>
        <w:spacing w:after="0" w:line="240" w:lineRule="auto"/>
        <w:rPr>
          <w:rFonts w:cs="Times New Roman"/>
          <w:szCs w:val="24"/>
        </w:rPr>
      </w:pPr>
    </w:p>
    <w:p w:rsidR="00234698" w:rsidRPr="00B735B0" w:rsidRDefault="005872D1" w:rsidP="00C60AC5">
      <w:pPr>
        <w:pStyle w:val="ListParagraph"/>
        <w:numPr>
          <w:ilvl w:val="0"/>
          <w:numId w:val="6"/>
        </w:numPr>
        <w:spacing w:after="0" w:line="240" w:lineRule="auto"/>
        <w:rPr>
          <w:rFonts w:cs="Times New Roman"/>
          <w:szCs w:val="24"/>
        </w:rPr>
      </w:pPr>
      <w:r>
        <w:rPr>
          <w:rFonts w:cs="Times New Roman"/>
          <w:szCs w:val="24"/>
        </w:rPr>
        <w:t>r</w:t>
      </w:r>
      <w:r w:rsidR="00234698" w:rsidRPr="005872D1">
        <w:rPr>
          <w:rFonts w:cs="Times New Roman"/>
          <w:szCs w:val="24"/>
        </w:rPr>
        <w:t xml:space="preserve">evised date for laboratories to submit data to </w:t>
      </w:r>
      <w:r w:rsidR="0057185F" w:rsidRPr="005872D1">
        <w:rPr>
          <w:rFonts w:cs="Times New Roman"/>
          <w:szCs w:val="24"/>
        </w:rPr>
        <w:t xml:space="preserve">the </w:t>
      </w:r>
      <w:r w:rsidR="00234698" w:rsidRPr="005872D1">
        <w:rPr>
          <w:rFonts w:cs="Times New Roman"/>
          <w:szCs w:val="24"/>
        </w:rPr>
        <w:t>R</w:t>
      </w:r>
      <w:r w:rsidR="0057185F" w:rsidRPr="005872D1">
        <w:rPr>
          <w:rFonts w:cs="Times New Roman"/>
          <w:szCs w:val="24"/>
        </w:rPr>
        <w:t>oyal College of Pathologists of Australasia Quality Assurance Program</w:t>
      </w:r>
      <w:r w:rsidR="0057185F" w:rsidRPr="00621C92">
        <w:rPr>
          <w:rFonts w:cs="Times New Roman"/>
          <w:szCs w:val="24"/>
        </w:rPr>
        <w:t xml:space="preserve"> (R</w:t>
      </w:r>
      <w:r w:rsidR="00234698" w:rsidRPr="00621C92">
        <w:rPr>
          <w:rFonts w:cs="Times New Roman"/>
          <w:szCs w:val="24"/>
        </w:rPr>
        <w:t>CPA QAP</w:t>
      </w:r>
      <w:r w:rsidR="0057185F" w:rsidRPr="00621C92">
        <w:rPr>
          <w:rFonts w:cs="Times New Roman"/>
          <w:szCs w:val="24"/>
        </w:rPr>
        <w:t>)</w:t>
      </w:r>
      <w:r w:rsidR="00234698" w:rsidRPr="00621C92">
        <w:rPr>
          <w:rFonts w:cs="Times New Roman"/>
          <w:szCs w:val="24"/>
        </w:rPr>
        <w:t xml:space="preserve"> </w:t>
      </w:r>
      <w:r w:rsidR="0057185F" w:rsidRPr="00621C92">
        <w:rPr>
          <w:rFonts w:cs="Times New Roman"/>
          <w:szCs w:val="24"/>
        </w:rPr>
        <w:t xml:space="preserve">to </w:t>
      </w:r>
      <w:r w:rsidR="0057185F" w:rsidRPr="00B735B0">
        <w:rPr>
          <w:rFonts w:cs="Times New Roman"/>
          <w:szCs w:val="24"/>
        </w:rPr>
        <w:t>allow adequate time to receive</w:t>
      </w:r>
      <w:r w:rsidR="00234698" w:rsidRPr="00B735B0">
        <w:rPr>
          <w:rFonts w:cs="Times New Roman"/>
          <w:szCs w:val="24"/>
        </w:rPr>
        <w:t xml:space="preserve"> data from the Pap test registers.</w:t>
      </w:r>
    </w:p>
    <w:p w:rsidR="00234698" w:rsidRDefault="00234698" w:rsidP="00F24C23">
      <w:pPr>
        <w:spacing w:after="0" w:line="240" w:lineRule="auto"/>
        <w:rPr>
          <w:rFonts w:cs="Times New Roman"/>
          <w:szCs w:val="24"/>
        </w:rPr>
      </w:pPr>
    </w:p>
    <w:p w:rsidR="00234698" w:rsidRPr="00B735B0" w:rsidRDefault="005872D1" w:rsidP="00C60AC5">
      <w:pPr>
        <w:pStyle w:val="ListParagraph"/>
        <w:numPr>
          <w:ilvl w:val="0"/>
          <w:numId w:val="6"/>
        </w:numPr>
        <w:spacing w:after="0" w:line="240" w:lineRule="auto"/>
        <w:rPr>
          <w:rFonts w:cs="Times New Roman"/>
          <w:szCs w:val="24"/>
        </w:rPr>
      </w:pPr>
      <w:r>
        <w:rPr>
          <w:rFonts w:cs="Times New Roman"/>
          <w:szCs w:val="24"/>
        </w:rPr>
        <w:t>t</w:t>
      </w:r>
      <w:r w:rsidR="00234698" w:rsidRPr="005872D1">
        <w:rPr>
          <w:rFonts w:cs="Times New Roman"/>
          <w:szCs w:val="24"/>
        </w:rPr>
        <w:t xml:space="preserve">he </w:t>
      </w:r>
      <w:r w:rsidR="0057185F" w:rsidRPr="005872D1">
        <w:rPr>
          <w:rFonts w:cs="Times New Roman"/>
          <w:szCs w:val="24"/>
        </w:rPr>
        <w:t xml:space="preserve">standard for </w:t>
      </w:r>
      <w:r w:rsidR="0057185F" w:rsidRPr="00621C92">
        <w:rPr>
          <w:rFonts w:cs="Times New Roman"/>
          <w:szCs w:val="24"/>
        </w:rPr>
        <w:t>Performance M</w:t>
      </w:r>
      <w:r w:rsidR="00234698" w:rsidRPr="00621C92">
        <w:rPr>
          <w:rFonts w:cs="Times New Roman"/>
          <w:szCs w:val="24"/>
        </w:rPr>
        <w:t xml:space="preserve">easure 3B, </w:t>
      </w:r>
      <w:r w:rsidR="0057185F" w:rsidRPr="00621C92">
        <w:rPr>
          <w:rFonts w:cs="Times New Roman"/>
          <w:szCs w:val="24"/>
        </w:rPr>
        <w:t>which describes the proportion</w:t>
      </w:r>
      <w:r w:rsidR="0057185F" w:rsidRPr="00B735B0">
        <w:rPr>
          <w:rFonts w:cs="Times New Roman"/>
          <w:szCs w:val="24"/>
        </w:rPr>
        <w:t xml:space="preserve"> of</w:t>
      </w:r>
      <w:r w:rsidR="00234698" w:rsidRPr="00B735B0">
        <w:rPr>
          <w:rFonts w:cs="Times New Roman"/>
          <w:szCs w:val="24"/>
        </w:rPr>
        <w:t xml:space="preserve"> cytology specimens reported as a possible high-grade abnormality </w:t>
      </w:r>
      <w:r w:rsidR="0057185F" w:rsidRPr="00B735B0">
        <w:rPr>
          <w:rFonts w:cs="Times New Roman"/>
          <w:szCs w:val="24"/>
        </w:rPr>
        <w:t xml:space="preserve">that </w:t>
      </w:r>
      <w:r w:rsidR="00234698" w:rsidRPr="00B735B0">
        <w:rPr>
          <w:rFonts w:cs="Times New Roman"/>
          <w:szCs w:val="24"/>
        </w:rPr>
        <w:t xml:space="preserve">must be confirmed </w:t>
      </w:r>
      <w:r w:rsidR="0057185F" w:rsidRPr="00B735B0">
        <w:rPr>
          <w:rFonts w:cs="Times New Roman"/>
          <w:szCs w:val="24"/>
        </w:rPr>
        <w:t xml:space="preserve">on </w:t>
      </w:r>
      <w:r w:rsidR="00234698" w:rsidRPr="00B735B0">
        <w:rPr>
          <w:rFonts w:cs="Times New Roman"/>
          <w:szCs w:val="24"/>
        </w:rPr>
        <w:t xml:space="preserve">cervical histopathology at a slightly increased rate of 40%, which is </w:t>
      </w:r>
      <w:r w:rsidR="0057185F" w:rsidRPr="00B735B0">
        <w:rPr>
          <w:rFonts w:cs="Times New Roman"/>
          <w:szCs w:val="24"/>
        </w:rPr>
        <w:t>achievable</w:t>
      </w:r>
      <w:r w:rsidR="00234698" w:rsidRPr="00B735B0">
        <w:rPr>
          <w:rFonts w:cs="Times New Roman"/>
          <w:szCs w:val="24"/>
        </w:rPr>
        <w:t xml:space="preserve"> based on data collected by the RCPA QAP and desirable for the optimal patient outcome.</w:t>
      </w:r>
    </w:p>
    <w:p w:rsidR="00234698" w:rsidRDefault="00234698" w:rsidP="00F24C23">
      <w:pPr>
        <w:spacing w:after="0" w:line="240" w:lineRule="auto"/>
        <w:rPr>
          <w:rFonts w:cs="Times New Roman"/>
          <w:szCs w:val="24"/>
        </w:rPr>
      </w:pPr>
    </w:p>
    <w:p w:rsidR="00234698" w:rsidRPr="00B735B0" w:rsidRDefault="00621C92" w:rsidP="00C60AC5">
      <w:pPr>
        <w:pStyle w:val="ListParagraph"/>
        <w:numPr>
          <w:ilvl w:val="0"/>
          <w:numId w:val="6"/>
        </w:numPr>
        <w:spacing w:after="0" w:line="240" w:lineRule="auto"/>
        <w:rPr>
          <w:rFonts w:cs="Times New Roman"/>
          <w:szCs w:val="24"/>
        </w:rPr>
      </w:pPr>
      <w:r>
        <w:rPr>
          <w:rFonts w:cs="Times New Roman"/>
          <w:szCs w:val="24"/>
        </w:rPr>
        <w:t>l</w:t>
      </w:r>
      <w:r w:rsidR="0057185F" w:rsidRPr="00621C92">
        <w:rPr>
          <w:rFonts w:cs="Times New Roman"/>
          <w:szCs w:val="24"/>
        </w:rPr>
        <w:t xml:space="preserve">owering </w:t>
      </w:r>
      <w:r w:rsidR="00234698" w:rsidRPr="00621C92">
        <w:rPr>
          <w:rFonts w:cs="Times New Roman"/>
          <w:szCs w:val="24"/>
        </w:rPr>
        <w:t>the acceptable negative c</w:t>
      </w:r>
      <w:r w:rsidR="0057185F" w:rsidRPr="00621C92">
        <w:rPr>
          <w:rFonts w:cs="Times New Roman"/>
          <w:szCs w:val="24"/>
        </w:rPr>
        <w:t>ytology reports from 10% to 7%</w:t>
      </w:r>
      <w:r w:rsidR="00234698" w:rsidRPr="00621C92">
        <w:rPr>
          <w:rFonts w:cs="Times New Roman"/>
          <w:szCs w:val="24"/>
        </w:rPr>
        <w:t xml:space="preserve">.  A lower </w:t>
      </w:r>
      <w:r w:rsidR="0057185F" w:rsidRPr="00621C92">
        <w:rPr>
          <w:rFonts w:cs="Times New Roman"/>
          <w:szCs w:val="24"/>
        </w:rPr>
        <w:t>false</w:t>
      </w:r>
      <w:r w:rsidR="00234698" w:rsidRPr="00B735B0">
        <w:rPr>
          <w:rFonts w:cs="Times New Roman"/>
          <w:szCs w:val="24"/>
        </w:rPr>
        <w:t xml:space="preserve"> negative </w:t>
      </w:r>
      <w:r w:rsidR="0057185F" w:rsidRPr="00B735B0">
        <w:rPr>
          <w:rFonts w:cs="Times New Roman"/>
          <w:szCs w:val="24"/>
        </w:rPr>
        <w:t>rate</w:t>
      </w:r>
      <w:r w:rsidR="00234698" w:rsidRPr="00B735B0">
        <w:rPr>
          <w:rFonts w:cs="Times New Roman"/>
          <w:szCs w:val="24"/>
        </w:rPr>
        <w:t xml:space="preserve"> is more desirable for better patient outcomes</w:t>
      </w:r>
      <w:r w:rsidR="0057185F" w:rsidRPr="00B735B0">
        <w:rPr>
          <w:rFonts w:cs="Times New Roman"/>
          <w:szCs w:val="24"/>
        </w:rPr>
        <w:t>.</w:t>
      </w:r>
    </w:p>
    <w:p w:rsidR="00234698" w:rsidRDefault="00234698" w:rsidP="00F24C23">
      <w:pPr>
        <w:spacing w:after="0" w:line="240" w:lineRule="auto"/>
        <w:rPr>
          <w:rFonts w:cs="Times New Roman"/>
          <w:szCs w:val="24"/>
        </w:rPr>
      </w:pPr>
    </w:p>
    <w:p w:rsidR="00234698" w:rsidRPr="00B735B0" w:rsidRDefault="00621C92" w:rsidP="00C60AC5">
      <w:pPr>
        <w:pStyle w:val="ListParagraph"/>
        <w:numPr>
          <w:ilvl w:val="0"/>
          <w:numId w:val="6"/>
        </w:numPr>
        <w:spacing w:after="0" w:line="240" w:lineRule="auto"/>
        <w:rPr>
          <w:rFonts w:cs="Times New Roman"/>
          <w:szCs w:val="24"/>
        </w:rPr>
      </w:pPr>
      <w:r>
        <w:rPr>
          <w:rFonts w:cs="Times New Roman"/>
          <w:szCs w:val="24"/>
        </w:rPr>
        <w:t>i</w:t>
      </w:r>
      <w:r w:rsidR="00234698" w:rsidRPr="00621C92">
        <w:rPr>
          <w:rFonts w:cs="Times New Roman"/>
          <w:szCs w:val="24"/>
        </w:rPr>
        <w:t xml:space="preserve">nclusion of </w:t>
      </w:r>
      <w:r w:rsidR="0057185F" w:rsidRPr="00621C92">
        <w:rPr>
          <w:rFonts w:cs="Times New Roman"/>
          <w:szCs w:val="24"/>
        </w:rPr>
        <w:t>guidance on how to achieve the performance standards of repeated failure to mee</w:t>
      </w:r>
      <w:r w:rsidR="0057185F" w:rsidRPr="00B735B0">
        <w:rPr>
          <w:rFonts w:cs="Times New Roman"/>
          <w:szCs w:val="24"/>
        </w:rPr>
        <w:t>t the standards.</w:t>
      </w:r>
      <w:r w:rsidR="00234698" w:rsidRPr="00B735B0">
        <w:rPr>
          <w:rFonts w:cs="Times New Roman"/>
          <w:szCs w:val="24"/>
        </w:rPr>
        <w:t xml:space="preserve"> </w:t>
      </w:r>
    </w:p>
    <w:p w:rsidR="006B57E4" w:rsidRDefault="006B57E4" w:rsidP="00F24C23">
      <w:pPr>
        <w:spacing w:after="0" w:line="240" w:lineRule="auto"/>
        <w:rPr>
          <w:rFonts w:cs="Times New Roman"/>
          <w:szCs w:val="24"/>
        </w:rPr>
      </w:pPr>
    </w:p>
    <w:p w:rsidR="0098751A" w:rsidRDefault="0098751A" w:rsidP="00F24C23">
      <w:pPr>
        <w:spacing w:after="0" w:line="240" w:lineRule="auto"/>
        <w:rPr>
          <w:rFonts w:cs="Times New Roman"/>
          <w:szCs w:val="24"/>
        </w:rPr>
      </w:pPr>
      <w:r>
        <w:rPr>
          <w:rFonts w:cs="Times New Roman"/>
          <w:szCs w:val="24"/>
        </w:rPr>
        <w:t>Based on expert advice, it is expected that there would be minimal to nil costs associated with the revised Requirements.</w:t>
      </w:r>
    </w:p>
    <w:p w:rsidR="00DE776F" w:rsidRDefault="00DE776F" w:rsidP="00DE776F">
      <w:pPr>
        <w:spacing w:after="0" w:line="240" w:lineRule="auto"/>
      </w:pPr>
    </w:p>
    <w:p w:rsidR="00F24C23" w:rsidRDefault="00F24C23" w:rsidP="00F24C23">
      <w:pPr>
        <w:pStyle w:val="TableTextform"/>
        <w:spacing w:before="0" w:after="0"/>
        <w:rPr>
          <w:rFonts w:ascii="Times New Roman" w:hAnsi="Times New Roman" w:cs="Times New Roman"/>
          <w:i/>
          <w:sz w:val="24"/>
          <w:szCs w:val="24"/>
        </w:rPr>
      </w:pPr>
      <w:r w:rsidRPr="00F24C23">
        <w:rPr>
          <w:rFonts w:ascii="Times New Roman" w:hAnsi="Times New Roman" w:cs="Times New Roman"/>
          <w:b/>
          <w:i/>
          <w:sz w:val="24"/>
          <w:szCs w:val="24"/>
        </w:rPr>
        <w:t xml:space="preserve">Requirements for Procedures Related to the Collection, Processing, Storage and Issue of Human </w:t>
      </w:r>
      <w:proofErr w:type="spellStart"/>
      <w:r w:rsidRPr="00F24C23">
        <w:rPr>
          <w:rFonts w:ascii="Times New Roman" w:hAnsi="Times New Roman" w:cs="Times New Roman"/>
          <w:b/>
          <w:i/>
          <w:sz w:val="24"/>
          <w:szCs w:val="24"/>
        </w:rPr>
        <w:t>Haemopoietic</w:t>
      </w:r>
      <w:proofErr w:type="spellEnd"/>
      <w:r w:rsidRPr="00F24C23">
        <w:rPr>
          <w:rFonts w:ascii="Times New Roman" w:hAnsi="Times New Roman" w:cs="Times New Roman"/>
          <w:b/>
          <w:i/>
          <w:sz w:val="24"/>
          <w:szCs w:val="24"/>
        </w:rPr>
        <w:t xml:space="preserve"> Progenitor Cells (Fifth Edition </w:t>
      </w:r>
      <w:r w:rsidR="00965097" w:rsidRPr="00F24C23">
        <w:rPr>
          <w:rFonts w:ascii="Times New Roman" w:hAnsi="Times New Roman" w:cs="Times New Roman"/>
          <w:b/>
          <w:i/>
          <w:sz w:val="24"/>
          <w:szCs w:val="24"/>
        </w:rPr>
        <w:t>201</w:t>
      </w:r>
      <w:r w:rsidR="00965097">
        <w:rPr>
          <w:rFonts w:ascii="Times New Roman" w:hAnsi="Times New Roman" w:cs="Times New Roman"/>
          <w:b/>
          <w:i/>
          <w:sz w:val="24"/>
          <w:szCs w:val="24"/>
        </w:rPr>
        <w:t>5</w:t>
      </w:r>
      <w:r w:rsidRPr="00F24C23">
        <w:rPr>
          <w:rFonts w:ascii="Times New Roman" w:hAnsi="Times New Roman" w:cs="Times New Roman"/>
          <w:b/>
          <w:i/>
          <w:sz w:val="24"/>
          <w:szCs w:val="24"/>
        </w:rPr>
        <w:t>)</w:t>
      </w:r>
      <w:r w:rsidRPr="00F24C23">
        <w:rPr>
          <w:rFonts w:ascii="Times New Roman" w:hAnsi="Times New Roman" w:cs="Times New Roman"/>
          <w:i/>
          <w:sz w:val="24"/>
          <w:szCs w:val="24"/>
        </w:rPr>
        <w:t xml:space="preserve"> </w:t>
      </w:r>
    </w:p>
    <w:p w:rsidR="00F24C23" w:rsidRDefault="00F24C23" w:rsidP="00F24C23">
      <w:pPr>
        <w:pStyle w:val="TableTextform"/>
        <w:spacing w:before="0" w:after="0"/>
        <w:rPr>
          <w:rFonts w:ascii="Times New Roman" w:hAnsi="Times New Roman" w:cs="Times New Roman"/>
          <w:sz w:val="24"/>
          <w:szCs w:val="24"/>
        </w:rPr>
      </w:pPr>
    </w:p>
    <w:p w:rsidR="00F24C23" w:rsidRPr="00F24C23" w:rsidRDefault="006B57E4" w:rsidP="00F24C23">
      <w:pPr>
        <w:pStyle w:val="TableTextform"/>
        <w:spacing w:before="0" w:after="0"/>
        <w:rPr>
          <w:rFonts w:ascii="Times New Roman" w:hAnsi="Times New Roman" w:cs="Times New Roman"/>
          <w:i/>
          <w:sz w:val="24"/>
          <w:szCs w:val="24"/>
        </w:rPr>
      </w:pPr>
      <w:r>
        <w:rPr>
          <w:rFonts w:ascii="Times New Roman" w:hAnsi="Times New Roman" w:cs="Times New Roman"/>
          <w:sz w:val="24"/>
          <w:szCs w:val="24"/>
        </w:rPr>
        <w:t xml:space="preserve">This document is a revision of the </w:t>
      </w:r>
      <w:r w:rsidRPr="001E0CFA">
        <w:rPr>
          <w:rFonts w:ascii="Times New Roman" w:hAnsi="Times New Roman" w:cs="Times New Roman"/>
          <w:i/>
          <w:sz w:val="24"/>
          <w:szCs w:val="24"/>
        </w:rPr>
        <w:t xml:space="preserve">Requirements for Procedures Related to the Collection, Processing, Storage and Issue of Human </w:t>
      </w:r>
      <w:proofErr w:type="spellStart"/>
      <w:r w:rsidRPr="001E0CFA">
        <w:rPr>
          <w:rFonts w:ascii="Times New Roman" w:hAnsi="Times New Roman" w:cs="Times New Roman"/>
          <w:i/>
          <w:sz w:val="24"/>
          <w:szCs w:val="24"/>
        </w:rPr>
        <w:t>Haemopoietic</w:t>
      </w:r>
      <w:proofErr w:type="spellEnd"/>
      <w:r w:rsidRPr="001E0CFA">
        <w:rPr>
          <w:rFonts w:ascii="Times New Roman" w:hAnsi="Times New Roman" w:cs="Times New Roman"/>
          <w:i/>
          <w:sz w:val="24"/>
          <w:szCs w:val="24"/>
        </w:rPr>
        <w:t xml:space="preserve"> Progenitor Cells</w:t>
      </w:r>
      <w:r>
        <w:rPr>
          <w:rFonts w:ascii="Times New Roman" w:hAnsi="Times New Roman" w:cs="Times New Roman"/>
          <w:sz w:val="24"/>
          <w:szCs w:val="24"/>
        </w:rPr>
        <w:t xml:space="preserve"> </w:t>
      </w:r>
      <w:r w:rsidR="00867CC4">
        <w:rPr>
          <w:rFonts w:ascii="Times New Roman" w:hAnsi="Times New Roman" w:cs="Times New Roman"/>
          <w:sz w:val="24"/>
          <w:szCs w:val="24"/>
        </w:rPr>
        <w:t xml:space="preserve">(the Requirements) </w:t>
      </w:r>
      <w:r>
        <w:rPr>
          <w:rFonts w:ascii="Times New Roman" w:hAnsi="Times New Roman" w:cs="Times New Roman"/>
          <w:sz w:val="24"/>
          <w:szCs w:val="24"/>
        </w:rPr>
        <w:t>published in 2009 (noting that the 2013 edition was only a reformatted document that was to be read in conjunction with the NPAAC overarching document</w:t>
      </w:r>
      <w:r w:rsidR="00304342">
        <w:rPr>
          <w:rFonts w:ascii="Times New Roman" w:hAnsi="Times New Roman" w:cs="Times New Roman"/>
          <w:sz w:val="24"/>
          <w:szCs w:val="24"/>
        </w:rPr>
        <w:t>,</w:t>
      </w:r>
      <w:r>
        <w:rPr>
          <w:rFonts w:ascii="Times New Roman" w:hAnsi="Times New Roman" w:cs="Times New Roman"/>
          <w:sz w:val="24"/>
          <w:szCs w:val="24"/>
        </w:rPr>
        <w:t xml:space="preserve"> </w:t>
      </w:r>
      <w:r w:rsidRPr="001E0CFA">
        <w:rPr>
          <w:rFonts w:ascii="Times New Roman" w:hAnsi="Times New Roman" w:cs="Times New Roman"/>
          <w:i/>
          <w:sz w:val="24"/>
          <w:szCs w:val="24"/>
        </w:rPr>
        <w:t>Requirements for Medical Pathology Services</w:t>
      </w:r>
      <w:r>
        <w:rPr>
          <w:rFonts w:ascii="Times New Roman" w:hAnsi="Times New Roman" w:cs="Times New Roman"/>
          <w:sz w:val="24"/>
          <w:szCs w:val="24"/>
        </w:rPr>
        <w:t xml:space="preserve">). The </w:t>
      </w:r>
      <w:r w:rsidR="00F24C23">
        <w:rPr>
          <w:rFonts w:ascii="Times New Roman" w:hAnsi="Times New Roman" w:cs="Times New Roman"/>
          <w:sz w:val="24"/>
          <w:szCs w:val="24"/>
        </w:rPr>
        <w:t xml:space="preserve">document </w:t>
      </w:r>
      <w:r w:rsidR="00F24C23" w:rsidRPr="00F24C23">
        <w:rPr>
          <w:rFonts w:ascii="Times New Roman" w:hAnsi="Times New Roman" w:cs="Times New Roman"/>
          <w:sz w:val="24"/>
          <w:szCs w:val="24"/>
        </w:rPr>
        <w:t xml:space="preserve">sets out the minimum requirements for competence and quality to be met by </w:t>
      </w:r>
      <w:proofErr w:type="spellStart"/>
      <w:r w:rsidR="00F24C23" w:rsidRPr="00F24C23">
        <w:rPr>
          <w:rFonts w:ascii="Times New Roman" w:hAnsi="Times New Roman" w:cs="Times New Roman"/>
          <w:bCs w:val="0"/>
          <w:sz w:val="24"/>
          <w:szCs w:val="24"/>
        </w:rPr>
        <w:t>haemopoietic</w:t>
      </w:r>
      <w:proofErr w:type="spellEnd"/>
      <w:r w:rsidR="00F24C23" w:rsidRPr="00F24C23">
        <w:rPr>
          <w:rFonts w:ascii="Times New Roman" w:hAnsi="Times New Roman" w:cs="Times New Roman"/>
          <w:sz w:val="24"/>
          <w:szCs w:val="24"/>
        </w:rPr>
        <w:t xml:space="preserve"> progenitor cell (HPC) transplant facilities.  </w:t>
      </w:r>
    </w:p>
    <w:p w:rsidR="00F24C23" w:rsidRDefault="00F24C23" w:rsidP="00F24C23">
      <w:pPr>
        <w:spacing w:after="0" w:line="240" w:lineRule="auto"/>
        <w:rPr>
          <w:rFonts w:eastAsiaTheme="majorEastAsia" w:cs="Times New Roman"/>
          <w:bCs/>
          <w:szCs w:val="24"/>
        </w:rPr>
      </w:pPr>
    </w:p>
    <w:p w:rsidR="00F24C23" w:rsidRDefault="00C84D55" w:rsidP="00F24C23">
      <w:pPr>
        <w:spacing w:after="0" w:line="240" w:lineRule="auto"/>
        <w:rPr>
          <w:rFonts w:eastAsiaTheme="majorEastAsia" w:cs="Times New Roman"/>
          <w:bCs/>
          <w:szCs w:val="24"/>
        </w:rPr>
      </w:pPr>
      <w:r>
        <w:rPr>
          <w:rFonts w:eastAsiaTheme="majorEastAsia" w:cs="Times New Roman"/>
          <w:bCs/>
          <w:szCs w:val="24"/>
        </w:rPr>
        <w:t>The document has</w:t>
      </w:r>
      <w:r w:rsidR="00F24C23" w:rsidRPr="00F24C23">
        <w:rPr>
          <w:rFonts w:eastAsiaTheme="majorEastAsia" w:cs="Times New Roman"/>
          <w:bCs/>
          <w:szCs w:val="24"/>
        </w:rPr>
        <w:t xml:space="preserve"> been revised to </w:t>
      </w:r>
      <w:r w:rsidR="006B57E4">
        <w:rPr>
          <w:rFonts w:eastAsiaTheme="majorEastAsia" w:cs="Times New Roman"/>
          <w:bCs/>
          <w:szCs w:val="24"/>
        </w:rPr>
        <w:t>be more comprehensive</w:t>
      </w:r>
      <w:r w:rsidR="00F24C23" w:rsidRPr="00F24C23">
        <w:rPr>
          <w:rFonts w:eastAsiaTheme="majorEastAsia" w:cs="Times New Roman"/>
          <w:bCs/>
          <w:szCs w:val="24"/>
        </w:rPr>
        <w:t xml:space="preserve"> and reflect</w:t>
      </w:r>
      <w:r w:rsidR="006B57E4">
        <w:rPr>
          <w:rFonts w:eastAsiaTheme="majorEastAsia" w:cs="Times New Roman"/>
          <w:bCs/>
          <w:szCs w:val="24"/>
        </w:rPr>
        <w:t>s</w:t>
      </w:r>
      <w:r w:rsidR="00F24C23" w:rsidRPr="00F24C23">
        <w:rPr>
          <w:rFonts w:eastAsiaTheme="majorEastAsia" w:cs="Times New Roman"/>
          <w:bCs/>
          <w:szCs w:val="24"/>
        </w:rPr>
        <w:t xml:space="preserve"> current best practice</w:t>
      </w:r>
      <w:r w:rsidR="00923FF6">
        <w:rPr>
          <w:rFonts w:eastAsiaTheme="majorEastAsia" w:cs="Times New Roman"/>
          <w:bCs/>
          <w:szCs w:val="24"/>
        </w:rPr>
        <w:t>,</w:t>
      </w:r>
      <w:r w:rsidR="00925738">
        <w:rPr>
          <w:rFonts w:eastAsiaTheme="majorEastAsia" w:cs="Times New Roman"/>
          <w:bCs/>
          <w:szCs w:val="24"/>
        </w:rPr>
        <w:t xml:space="preserve"> including harmonisation with the relevant international standards,</w:t>
      </w:r>
      <w:r w:rsidR="00F24C23" w:rsidRPr="00F24C23">
        <w:rPr>
          <w:rFonts w:eastAsiaTheme="majorEastAsia" w:cs="Times New Roman"/>
          <w:bCs/>
          <w:szCs w:val="24"/>
        </w:rPr>
        <w:t xml:space="preserve"> for facilities involved in donor selection, collection, processing, storage and issue or disposal of </w:t>
      </w:r>
      <w:r w:rsidR="007838CF">
        <w:rPr>
          <w:rFonts w:eastAsiaTheme="majorEastAsia" w:cs="Times New Roman"/>
          <w:bCs/>
          <w:szCs w:val="24"/>
        </w:rPr>
        <w:t>HPCs</w:t>
      </w:r>
      <w:r w:rsidR="00F24C23" w:rsidRPr="00F24C23">
        <w:rPr>
          <w:rFonts w:eastAsiaTheme="majorEastAsia" w:cs="Times New Roman"/>
          <w:bCs/>
          <w:szCs w:val="24"/>
        </w:rPr>
        <w:t xml:space="preserve"> and lymphocytes used for cellular therapy.</w:t>
      </w:r>
      <w:r w:rsidR="00B735B0">
        <w:rPr>
          <w:rFonts w:eastAsiaTheme="majorEastAsia" w:cs="Times New Roman"/>
          <w:bCs/>
          <w:szCs w:val="24"/>
        </w:rPr>
        <w:t xml:space="preserve">  Key changes include:</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i</w:t>
      </w:r>
      <w:r w:rsidRPr="00C60AC5">
        <w:rPr>
          <w:rFonts w:eastAsiaTheme="majorEastAsia" w:cs="Times New Roman"/>
          <w:bCs/>
          <w:szCs w:val="24"/>
        </w:rPr>
        <w:t xml:space="preserve">nclusion of directed cord bloods (but not autologous or unrelated cord bloods) within the </w:t>
      </w:r>
      <w:r w:rsidR="00B42A70">
        <w:rPr>
          <w:rFonts w:eastAsiaTheme="majorEastAsia" w:cs="Times New Roman"/>
          <w:bCs/>
          <w:szCs w:val="24"/>
        </w:rPr>
        <w:t>s</w:t>
      </w:r>
      <w:r w:rsidRPr="00C60AC5">
        <w:rPr>
          <w:rFonts w:eastAsiaTheme="majorEastAsia" w:cs="Times New Roman"/>
          <w:bCs/>
          <w:szCs w:val="24"/>
        </w:rPr>
        <w:t xml:space="preserve">cope of the Requirements so as to provide a safety and quality framework </w:t>
      </w:r>
      <w:r w:rsidR="00B42A70">
        <w:rPr>
          <w:rFonts w:eastAsiaTheme="majorEastAsia" w:cs="Times New Roman"/>
          <w:bCs/>
          <w:szCs w:val="24"/>
        </w:rPr>
        <w:t>for</w:t>
      </w:r>
      <w:r w:rsidRPr="00C60AC5">
        <w:rPr>
          <w:rFonts w:eastAsiaTheme="majorEastAsia" w:cs="Times New Roman"/>
          <w:bCs/>
          <w:szCs w:val="24"/>
        </w:rPr>
        <w:t xml:space="preserve"> this material</w:t>
      </w:r>
      <w:r w:rsidR="00B42A70">
        <w:rPr>
          <w:rFonts w:eastAsiaTheme="majorEastAsia" w:cs="Times New Roman"/>
          <w:bCs/>
          <w:szCs w:val="24"/>
        </w:rPr>
        <w:t xml:space="preserve"> </w:t>
      </w:r>
      <w:r w:rsidRPr="00C60AC5">
        <w:rPr>
          <w:rFonts w:eastAsiaTheme="majorEastAsia" w:cs="Times New Roman"/>
          <w:bCs/>
          <w:szCs w:val="24"/>
        </w:rPr>
        <w:t>increasingly used in sibling paediatric recipients.</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h</w:t>
      </w:r>
      <w:r w:rsidRPr="00C60AC5">
        <w:rPr>
          <w:rFonts w:eastAsiaTheme="majorEastAsia" w:cs="Times New Roman"/>
          <w:bCs/>
          <w:szCs w:val="24"/>
        </w:rPr>
        <w:t>armonisation with Therapeutic Goods Order No 88, in that donor Nucleic Acid Testing (NAT) is now required for HIV-1, Hepatitis B and Hepatitis C.</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a</w:t>
      </w:r>
      <w:r w:rsidRPr="00C60AC5">
        <w:rPr>
          <w:rFonts w:eastAsiaTheme="majorEastAsia" w:cs="Times New Roman"/>
          <w:bCs/>
          <w:szCs w:val="24"/>
        </w:rPr>
        <w:t>lignment of terminology, definitions and abbreviations with the International Societ</w:t>
      </w:r>
      <w:r w:rsidR="00B42A70">
        <w:rPr>
          <w:rFonts w:eastAsiaTheme="majorEastAsia" w:cs="Times New Roman"/>
          <w:bCs/>
          <w:szCs w:val="24"/>
        </w:rPr>
        <w:t>y of Blood Transfusion standard</w:t>
      </w:r>
      <w:r w:rsidRPr="00C60AC5">
        <w:rPr>
          <w:rFonts w:eastAsiaTheme="majorEastAsia" w:cs="Times New Roman"/>
          <w:bCs/>
          <w:szCs w:val="24"/>
        </w:rPr>
        <w:t xml:space="preserve"> terminology for Blood Cellular Therapy and Tissue Product description (ISBT 128).</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r</w:t>
      </w:r>
      <w:r w:rsidRPr="00C60AC5">
        <w:rPr>
          <w:rFonts w:eastAsiaTheme="majorEastAsia" w:cs="Times New Roman"/>
          <w:bCs/>
          <w:szCs w:val="24"/>
        </w:rPr>
        <w:t>emoval of the previous requirement for autologous donors to be subjected to a Blood Donation Questionnaire and Statement.</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s</w:t>
      </w:r>
      <w:r w:rsidRPr="00C60AC5">
        <w:rPr>
          <w:rFonts w:eastAsiaTheme="majorEastAsia" w:cs="Times New Roman"/>
          <w:bCs/>
          <w:szCs w:val="24"/>
        </w:rPr>
        <w:t>trengthening the requirement that HPC processing facilities only accept products from NATA accredited or TGA licenced apheresis collection centres.</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p</w:t>
      </w:r>
      <w:r w:rsidRPr="00C60AC5">
        <w:rPr>
          <w:rFonts w:eastAsiaTheme="majorEastAsia" w:cs="Times New Roman"/>
          <w:bCs/>
          <w:szCs w:val="24"/>
        </w:rPr>
        <w:t>rovision of a process for the accreditation of new apheresis collection facilities.</w:t>
      </w:r>
    </w:p>
    <w:p w:rsidR="00B735B0" w:rsidRDefault="00B735B0" w:rsidP="00F24C23">
      <w:pPr>
        <w:spacing w:after="0" w:line="240" w:lineRule="auto"/>
        <w:rPr>
          <w:rFonts w:eastAsiaTheme="majorEastAsia" w:cs="Times New Roman"/>
          <w:bCs/>
          <w:szCs w:val="24"/>
        </w:rPr>
      </w:pPr>
    </w:p>
    <w:p w:rsidR="00B735B0" w:rsidRPr="00C60AC5" w:rsidRDefault="00B735B0" w:rsidP="00C60AC5">
      <w:pPr>
        <w:pStyle w:val="ListParagraph"/>
        <w:numPr>
          <w:ilvl w:val="0"/>
          <w:numId w:val="7"/>
        </w:numPr>
        <w:spacing w:after="0" w:line="240" w:lineRule="auto"/>
        <w:rPr>
          <w:rFonts w:eastAsiaTheme="majorEastAsia" w:cs="Times New Roman"/>
          <w:bCs/>
          <w:szCs w:val="24"/>
        </w:rPr>
      </w:pPr>
      <w:r>
        <w:rPr>
          <w:rFonts w:eastAsiaTheme="majorEastAsia" w:cs="Times New Roman"/>
          <w:bCs/>
          <w:szCs w:val="24"/>
        </w:rPr>
        <w:t>h</w:t>
      </w:r>
      <w:r w:rsidRPr="00C60AC5">
        <w:rPr>
          <w:rFonts w:eastAsiaTheme="majorEastAsia" w:cs="Times New Roman"/>
          <w:bCs/>
          <w:szCs w:val="24"/>
        </w:rPr>
        <w:t>armonisation of the Requirement</w:t>
      </w:r>
      <w:r w:rsidR="001C3FE0">
        <w:rPr>
          <w:rFonts w:eastAsiaTheme="majorEastAsia" w:cs="Times New Roman"/>
          <w:bCs/>
          <w:szCs w:val="24"/>
        </w:rPr>
        <w:t>s</w:t>
      </w:r>
      <w:r w:rsidRPr="00C60AC5">
        <w:rPr>
          <w:rFonts w:eastAsiaTheme="majorEastAsia" w:cs="Times New Roman"/>
          <w:bCs/>
          <w:szCs w:val="24"/>
        </w:rPr>
        <w:t xml:space="preserve"> with the current Foundation for the Accreditation of Cellular Therapy (FACT) standards.</w:t>
      </w:r>
    </w:p>
    <w:p w:rsidR="00ED331B" w:rsidRDefault="00ED331B" w:rsidP="00F24C23">
      <w:pPr>
        <w:spacing w:after="0" w:line="240" w:lineRule="auto"/>
        <w:rPr>
          <w:rFonts w:eastAsiaTheme="majorEastAsia" w:cs="Times New Roman"/>
          <w:bCs/>
          <w:szCs w:val="24"/>
        </w:rPr>
      </w:pPr>
    </w:p>
    <w:p w:rsidR="00ED331B" w:rsidRDefault="00ED331B" w:rsidP="00ED331B">
      <w:pPr>
        <w:spacing w:after="0" w:line="240" w:lineRule="auto"/>
      </w:pPr>
      <w:r>
        <w:rPr>
          <w:rFonts w:cs="Times New Roman"/>
          <w:szCs w:val="24"/>
        </w:rPr>
        <w:t>The Requirements, as revised, are more comprehensive and do not include any new requirements that would have an additional compliance cost.</w:t>
      </w:r>
    </w:p>
    <w:p w:rsidR="00D26E94" w:rsidRDefault="00D26E94" w:rsidP="00F24C23">
      <w:pPr>
        <w:spacing w:after="0" w:line="240" w:lineRule="auto"/>
        <w:rPr>
          <w:rFonts w:eastAsiaTheme="majorEastAsia" w:cs="Times New Roman"/>
          <w:bCs/>
          <w:szCs w:val="24"/>
        </w:rPr>
      </w:pPr>
    </w:p>
    <w:p w:rsidR="00D26E94" w:rsidRDefault="00D26E94" w:rsidP="00D26E94">
      <w:pPr>
        <w:spacing w:after="0" w:line="240" w:lineRule="auto"/>
      </w:pPr>
      <w:r>
        <w:t>The Amending Principles also correct</w:t>
      </w:r>
      <w:r w:rsidR="00C61A35">
        <w:t xml:space="preserve"> two administrative errors in the </w:t>
      </w:r>
      <w:r>
        <w:t xml:space="preserve">edition </w:t>
      </w:r>
      <w:r w:rsidR="00C61A35">
        <w:t>references</w:t>
      </w:r>
      <w:r>
        <w:t xml:space="preserve"> of two other NPAAC accreditation materials currently listed in Schedule 1 of the Principles: </w:t>
      </w:r>
    </w:p>
    <w:p w:rsidR="00D26E94" w:rsidRDefault="00D26E94" w:rsidP="00D26E94">
      <w:pPr>
        <w:spacing w:after="0" w:line="240" w:lineRule="auto"/>
      </w:pPr>
    </w:p>
    <w:p w:rsidR="00D26E94" w:rsidRPr="00C60AC5" w:rsidRDefault="00D26E94" w:rsidP="00C60AC5">
      <w:pPr>
        <w:pStyle w:val="ListParagraph"/>
        <w:numPr>
          <w:ilvl w:val="0"/>
          <w:numId w:val="8"/>
        </w:numPr>
        <w:spacing w:after="0" w:line="240" w:lineRule="auto"/>
        <w:rPr>
          <w:rFonts w:cs="Times New Roman"/>
          <w:szCs w:val="24"/>
        </w:rPr>
      </w:pPr>
      <w:r w:rsidRPr="00C60AC5">
        <w:rPr>
          <w:rFonts w:cs="Times New Roman"/>
          <w:i/>
          <w:szCs w:val="24"/>
        </w:rPr>
        <w:t>Requirements for Cytogenetic Testing</w:t>
      </w:r>
      <w:r w:rsidR="00E84AF2" w:rsidRPr="00C60AC5">
        <w:rPr>
          <w:rFonts w:cs="Times New Roman"/>
          <w:szCs w:val="24"/>
        </w:rPr>
        <w:t>;</w:t>
      </w:r>
      <w:r w:rsidRPr="00C60AC5">
        <w:rPr>
          <w:rFonts w:cs="Times New Roman"/>
          <w:szCs w:val="24"/>
        </w:rPr>
        <w:t xml:space="preserve"> </w:t>
      </w:r>
      <w:r w:rsidR="002304B0">
        <w:rPr>
          <w:rFonts w:cs="Times New Roman"/>
          <w:szCs w:val="24"/>
        </w:rPr>
        <w:t>and</w:t>
      </w:r>
    </w:p>
    <w:p w:rsidR="00D26E94" w:rsidRPr="00C60AC5" w:rsidRDefault="00D26E94" w:rsidP="00D26E94">
      <w:pPr>
        <w:pStyle w:val="ListParagraph"/>
        <w:spacing w:after="0" w:line="240" w:lineRule="auto"/>
        <w:rPr>
          <w:rFonts w:cs="Times New Roman"/>
          <w:szCs w:val="24"/>
        </w:rPr>
      </w:pPr>
    </w:p>
    <w:p w:rsidR="00D26E94" w:rsidRPr="00C60AC5" w:rsidRDefault="00D26E94" w:rsidP="00C60AC5">
      <w:pPr>
        <w:pStyle w:val="ListParagraph"/>
        <w:numPr>
          <w:ilvl w:val="0"/>
          <w:numId w:val="8"/>
        </w:numPr>
        <w:spacing w:after="0" w:line="240" w:lineRule="auto"/>
      </w:pPr>
      <w:r w:rsidRPr="00C60AC5">
        <w:rPr>
          <w:rFonts w:cs="Times New Roman"/>
          <w:i/>
          <w:szCs w:val="24"/>
        </w:rPr>
        <w:t>Requirements for the Packaging and Transport of Pathology Specimens and Associated</w:t>
      </w:r>
      <w:r w:rsidRPr="00C60AC5">
        <w:rPr>
          <w:rFonts w:cs="Times New Roman"/>
          <w:szCs w:val="24"/>
        </w:rPr>
        <w:t xml:space="preserve"> </w:t>
      </w:r>
      <w:r w:rsidRPr="00C60AC5">
        <w:rPr>
          <w:rFonts w:cs="Times New Roman"/>
          <w:i/>
          <w:szCs w:val="24"/>
        </w:rPr>
        <w:t>Materials</w:t>
      </w:r>
      <w:r w:rsidR="002304B0">
        <w:rPr>
          <w:rFonts w:cs="Times New Roman"/>
          <w:i/>
          <w:szCs w:val="24"/>
        </w:rPr>
        <w:t>.</w:t>
      </w:r>
      <w:r w:rsidRPr="00C60AC5">
        <w:rPr>
          <w:rFonts w:cs="Times New Roman"/>
          <w:szCs w:val="24"/>
        </w:rPr>
        <w:t xml:space="preserve"> </w:t>
      </w:r>
    </w:p>
    <w:p w:rsidR="00F24C23" w:rsidRDefault="00F24C23" w:rsidP="00F24C23">
      <w:pPr>
        <w:spacing w:after="0" w:line="240" w:lineRule="auto"/>
      </w:pPr>
    </w:p>
    <w:p w:rsidR="00B2014D" w:rsidRPr="00B2014D" w:rsidRDefault="00B2014D" w:rsidP="00F24C23">
      <w:pPr>
        <w:spacing w:after="0" w:line="240" w:lineRule="auto"/>
        <w:rPr>
          <w:b/>
        </w:rPr>
      </w:pPr>
      <w:r w:rsidRPr="00B2014D">
        <w:rPr>
          <w:b/>
        </w:rPr>
        <w:t>CONSULTATIONS</w:t>
      </w:r>
    </w:p>
    <w:p w:rsidR="00B2014D" w:rsidRDefault="00B2014D" w:rsidP="00F24C23">
      <w:pPr>
        <w:spacing w:after="0" w:line="240" w:lineRule="auto"/>
      </w:pPr>
      <w:r>
        <w:t>In accordance with established NPAAC public consultation and drafting processes, the revised documents were circulated for comment as follows:</w:t>
      </w:r>
    </w:p>
    <w:p w:rsidR="00B2014D" w:rsidRDefault="00B2014D" w:rsidP="00F24C23">
      <w:pPr>
        <w:spacing w:after="0" w:line="240" w:lineRule="auto"/>
      </w:pPr>
    </w:p>
    <w:p w:rsidR="00B2014D" w:rsidRDefault="00B2014D" w:rsidP="00B04D25">
      <w:pPr>
        <w:pStyle w:val="ListParagraph"/>
        <w:numPr>
          <w:ilvl w:val="0"/>
          <w:numId w:val="4"/>
        </w:numPr>
        <w:spacing w:after="0" w:line="240" w:lineRule="auto"/>
      </w:pPr>
      <w:r w:rsidRPr="00B2014D">
        <w:rPr>
          <w:rFonts w:cs="Times New Roman"/>
          <w:i/>
          <w:szCs w:val="24"/>
        </w:rPr>
        <w:t xml:space="preserve">Performance Measures for Australian Laboratories Reporting Cervical Cytology (Third Edition </w:t>
      </w:r>
      <w:r w:rsidR="00925738" w:rsidRPr="00B2014D">
        <w:rPr>
          <w:rFonts w:cs="Times New Roman"/>
          <w:i/>
          <w:szCs w:val="24"/>
        </w:rPr>
        <w:t>201</w:t>
      </w:r>
      <w:r w:rsidR="00925738">
        <w:rPr>
          <w:rFonts w:cs="Times New Roman"/>
          <w:i/>
          <w:szCs w:val="24"/>
        </w:rPr>
        <w:t>5</w:t>
      </w:r>
      <w:r w:rsidRPr="00B2014D">
        <w:rPr>
          <w:rFonts w:cs="Times New Roman"/>
          <w:i/>
          <w:szCs w:val="24"/>
        </w:rPr>
        <w:t>)</w:t>
      </w:r>
      <w:r w:rsidR="00B04D25">
        <w:rPr>
          <w:rFonts w:cs="Times New Roman"/>
          <w:i/>
          <w:szCs w:val="24"/>
        </w:rPr>
        <w:t xml:space="preserve"> - </w:t>
      </w:r>
      <w:r w:rsidR="00B04D25">
        <w:t>s</w:t>
      </w:r>
      <w:r>
        <w:t>takeholders c</w:t>
      </w:r>
      <w:r w:rsidR="00695290">
        <w:t>onsulted</w:t>
      </w:r>
      <w:r>
        <w:t xml:space="preserve"> included </w:t>
      </w:r>
      <w:r w:rsidR="00925738">
        <w:t>all pathology laboratories,</w:t>
      </w:r>
      <w:r w:rsidR="00525D7A">
        <w:t xml:space="preserve"> </w:t>
      </w:r>
      <w:r>
        <w:t xml:space="preserve">state and </w:t>
      </w:r>
      <w:r w:rsidR="00B04D25">
        <w:t xml:space="preserve">territory </w:t>
      </w:r>
      <w:r w:rsidR="00925738">
        <w:t xml:space="preserve">representatives, </w:t>
      </w:r>
      <w:r w:rsidR="00B04D25">
        <w:t>cervical</w:t>
      </w:r>
      <w:r w:rsidR="00FB2AE7">
        <w:t xml:space="preserve"> </w:t>
      </w:r>
      <w:r>
        <w:t xml:space="preserve">cancer screening </w:t>
      </w:r>
      <w:r w:rsidR="00925738">
        <w:t>registries</w:t>
      </w:r>
      <w:r>
        <w:t>, peak pathology organisations and consumers.</w:t>
      </w:r>
    </w:p>
    <w:p w:rsidR="00B2014D" w:rsidRDefault="00B2014D" w:rsidP="00F24C23">
      <w:pPr>
        <w:spacing w:after="0" w:line="240" w:lineRule="auto"/>
      </w:pPr>
    </w:p>
    <w:p w:rsidR="00B2014D" w:rsidRDefault="00B2014D" w:rsidP="00B04D25">
      <w:pPr>
        <w:pStyle w:val="ListParagraph"/>
        <w:numPr>
          <w:ilvl w:val="0"/>
          <w:numId w:val="4"/>
        </w:numPr>
        <w:spacing w:after="0" w:line="240" w:lineRule="auto"/>
      </w:pPr>
      <w:r w:rsidRPr="00BB17A4">
        <w:rPr>
          <w:rFonts w:cs="Times New Roman"/>
          <w:i/>
          <w:szCs w:val="24"/>
        </w:rPr>
        <w:t xml:space="preserve">Requirements for Procedures Related to the Collection, Processing, Storage and Issue of Human </w:t>
      </w:r>
      <w:proofErr w:type="spellStart"/>
      <w:r w:rsidRPr="00BB17A4">
        <w:rPr>
          <w:rFonts w:cs="Times New Roman"/>
          <w:i/>
          <w:szCs w:val="24"/>
        </w:rPr>
        <w:t>Haemopoietic</w:t>
      </w:r>
      <w:proofErr w:type="spellEnd"/>
      <w:r w:rsidRPr="00BB17A4">
        <w:rPr>
          <w:rFonts w:cs="Times New Roman"/>
          <w:i/>
          <w:szCs w:val="24"/>
        </w:rPr>
        <w:t xml:space="preserve"> Progenitor Cells (Fifth Edition </w:t>
      </w:r>
      <w:r w:rsidR="00925738" w:rsidRPr="00BB17A4">
        <w:rPr>
          <w:rFonts w:cs="Times New Roman"/>
          <w:i/>
          <w:szCs w:val="24"/>
        </w:rPr>
        <w:t>201</w:t>
      </w:r>
      <w:r w:rsidR="00925738">
        <w:rPr>
          <w:rFonts w:cs="Times New Roman"/>
          <w:i/>
          <w:szCs w:val="24"/>
        </w:rPr>
        <w:t>5</w:t>
      </w:r>
      <w:r w:rsidRPr="00BB17A4">
        <w:rPr>
          <w:rFonts w:cs="Times New Roman"/>
          <w:i/>
          <w:szCs w:val="24"/>
        </w:rPr>
        <w:t>)</w:t>
      </w:r>
      <w:r w:rsidR="00B04D25">
        <w:rPr>
          <w:rFonts w:cs="Times New Roman"/>
          <w:i/>
          <w:szCs w:val="24"/>
        </w:rPr>
        <w:t xml:space="preserve"> - </w:t>
      </w:r>
      <w:r w:rsidR="00B04D25" w:rsidRPr="00B04D25">
        <w:rPr>
          <w:rFonts w:cs="Times New Roman"/>
          <w:szCs w:val="24"/>
        </w:rPr>
        <w:t>s</w:t>
      </w:r>
      <w:r>
        <w:t>takeholders co</w:t>
      </w:r>
      <w:r w:rsidR="00695290">
        <w:t xml:space="preserve">nsulted </w:t>
      </w:r>
      <w:r>
        <w:t xml:space="preserve">included the Australian Red Cross Blood Service, hospitals, </w:t>
      </w:r>
      <w:proofErr w:type="spellStart"/>
      <w:r w:rsidR="0068167D">
        <w:t>aspheresis</w:t>
      </w:r>
      <w:proofErr w:type="spellEnd"/>
      <w:r w:rsidR="0068167D">
        <w:t xml:space="preserve"> </w:t>
      </w:r>
      <w:r w:rsidR="00525D7A">
        <w:t xml:space="preserve">facilities, Australian Bone </w:t>
      </w:r>
      <w:r w:rsidR="0068167D">
        <w:t xml:space="preserve">Marrow organisation, </w:t>
      </w:r>
      <w:r>
        <w:t xml:space="preserve">pathology laboratories and peak pathology </w:t>
      </w:r>
      <w:r w:rsidR="0068167D">
        <w:t xml:space="preserve">and scientific </w:t>
      </w:r>
      <w:r>
        <w:t>organisations.</w:t>
      </w:r>
    </w:p>
    <w:p w:rsidR="00BB17A4" w:rsidRDefault="00BB17A4" w:rsidP="00BB17A4">
      <w:pPr>
        <w:spacing w:after="0" w:line="240" w:lineRule="auto"/>
      </w:pPr>
    </w:p>
    <w:p w:rsidR="00BB17A4" w:rsidRDefault="00BB17A4" w:rsidP="00BB17A4">
      <w:pPr>
        <w:spacing w:after="0" w:line="240" w:lineRule="auto"/>
      </w:pPr>
      <w:r>
        <w:t xml:space="preserve">Submissions </w:t>
      </w:r>
      <w:r w:rsidR="00403818">
        <w:t>were received from a broa</w:t>
      </w:r>
      <w:r w:rsidR="00273E51">
        <w:t>d ra</w:t>
      </w:r>
      <w:r w:rsidR="008D5C39">
        <w:t>nge of stakeholder</w:t>
      </w:r>
      <w:r w:rsidR="00695290">
        <w:t xml:space="preserve"> groups and the revised documents take into consideration the comments received.</w:t>
      </w:r>
      <w:r w:rsidR="009474E7">
        <w:t xml:space="preserve">  Feedback from stakeholders was supportive of the proposed requirements.</w:t>
      </w:r>
      <w:r w:rsidR="00525D7A">
        <w:t xml:space="preserve">  </w:t>
      </w:r>
    </w:p>
    <w:p w:rsidR="00760B7F" w:rsidRDefault="00760B7F" w:rsidP="00BB17A4">
      <w:pPr>
        <w:spacing w:after="0" w:line="240" w:lineRule="auto"/>
      </w:pPr>
    </w:p>
    <w:p w:rsidR="00760B7F" w:rsidRDefault="00760B7F" w:rsidP="00BB17A4">
      <w:pPr>
        <w:spacing w:after="0" w:line="240" w:lineRule="auto"/>
      </w:pPr>
      <w:r>
        <w:t xml:space="preserve">No consultation was carried out in relation to the correction of the edition numbering for the </w:t>
      </w:r>
      <w:r w:rsidR="00B26729">
        <w:t xml:space="preserve">two </w:t>
      </w:r>
      <w:r>
        <w:t>NPAAC materials</w:t>
      </w:r>
      <w:r w:rsidR="00B26729">
        <w:t xml:space="preserve"> noted above, given that these</w:t>
      </w:r>
      <w:r>
        <w:t xml:space="preserve"> correction</w:t>
      </w:r>
      <w:r w:rsidR="00B26729">
        <w:t>s</w:t>
      </w:r>
      <w:r>
        <w:t xml:space="preserve"> </w:t>
      </w:r>
      <w:r w:rsidR="00B26729">
        <w:t>are</w:t>
      </w:r>
      <w:r>
        <w:t xml:space="preserve"> of </w:t>
      </w:r>
      <w:r w:rsidR="00B26729">
        <w:t>an administrative nature and do</w:t>
      </w:r>
      <w:r>
        <w:t xml:space="preserve"> not affect the content of the materials. </w:t>
      </w:r>
    </w:p>
    <w:p w:rsidR="00BB17A4" w:rsidRDefault="00BB17A4" w:rsidP="00BB17A4">
      <w:pPr>
        <w:spacing w:after="0" w:line="240" w:lineRule="auto"/>
      </w:pPr>
    </w:p>
    <w:p w:rsidR="00BB17A4" w:rsidRDefault="00B42D2C" w:rsidP="00BB17A4">
      <w:pPr>
        <w:spacing w:after="0" w:line="240" w:lineRule="auto"/>
      </w:pPr>
      <w:r>
        <w:t xml:space="preserve">The Office of Best Practice Regulation (OBPR) has confirmed that the proposed amendments do not require a Regulation Impact Statement (OBPR reference number </w:t>
      </w:r>
      <w:r w:rsidR="0098751A" w:rsidRPr="00C60AC5">
        <w:rPr>
          <w:rFonts w:cs="Times New Roman"/>
          <w:szCs w:val="24"/>
          <w:lang w:val="en-US" w:eastAsia="en-AU"/>
        </w:rPr>
        <w:t>18493</w:t>
      </w:r>
      <w:r>
        <w:t>)</w:t>
      </w:r>
      <w:r w:rsidR="007B4F75">
        <w:t>.</w:t>
      </w:r>
    </w:p>
    <w:p w:rsidR="007B4F75" w:rsidRDefault="007B4F75" w:rsidP="00BB17A4">
      <w:pPr>
        <w:spacing w:after="0" w:line="240" w:lineRule="auto"/>
      </w:pPr>
    </w:p>
    <w:p w:rsidR="007B4F75" w:rsidRDefault="007B4F75" w:rsidP="00BB17A4">
      <w:pPr>
        <w:spacing w:after="0" w:line="240" w:lineRule="auto"/>
      </w:pPr>
      <w:r>
        <w:t>All NPAAC documents are available on the NPAAC website –</w:t>
      </w:r>
    </w:p>
    <w:p w:rsidR="007B4F75" w:rsidRDefault="003670A8" w:rsidP="00BB17A4">
      <w:pPr>
        <w:spacing w:after="0" w:line="240" w:lineRule="auto"/>
      </w:pPr>
      <w:hyperlink r:id="rId7" w:history="1">
        <w:r w:rsidR="007B4F75" w:rsidRPr="00A56F73">
          <w:rPr>
            <w:rStyle w:val="Hyperlink"/>
          </w:rPr>
          <w:t>www.health.gov.au/npaac</w:t>
        </w:r>
      </w:hyperlink>
      <w:r w:rsidR="007B4F75">
        <w:t>.</w:t>
      </w:r>
    </w:p>
    <w:p w:rsidR="007B4F75" w:rsidRDefault="007B4F75" w:rsidP="00BB17A4">
      <w:pPr>
        <w:spacing w:after="0" w:line="240" w:lineRule="auto"/>
      </w:pPr>
    </w:p>
    <w:p w:rsidR="007B4F75" w:rsidRDefault="007B4F75" w:rsidP="00BB17A4">
      <w:pPr>
        <w:spacing w:after="0" w:line="240" w:lineRule="auto"/>
      </w:pPr>
      <w:r>
        <w:t xml:space="preserve">The Amending Principles commence on </w:t>
      </w:r>
      <w:r w:rsidR="0098751A">
        <w:t>1 August</w:t>
      </w:r>
      <w:r>
        <w:t xml:space="preserve"> 2015.</w:t>
      </w:r>
    </w:p>
    <w:p w:rsidR="007B4F75" w:rsidRDefault="007B4F75" w:rsidP="00BB17A4">
      <w:pPr>
        <w:spacing w:after="0" w:line="240" w:lineRule="auto"/>
      </w:pPr>
    </w:p>
    <w:p w:rsidR="007B4F75" w:rsidRDefault="007B4F75" w:rsidP="00BB17A4">
      <w:pPr>
        <w:spacing w:after="0" w:line="240" w:lineRule="auto"/>
      </w:pPr>
      <w:r>
        <w:t xml:space="preserve">The Amending Principles are a legislative instrument for the purposes of the </w:t>
      </w:r>
      <w:r w:rsidRPr="007B4F75">
        <w:rPr>
          <w:i/>
        </w:rPr>
        <w:t>Legislative Instruments Act 2003</w:t>
      </w:r>
      <w:r>
        <w:t>.</w:t>
      </w:r>
    </w:p>
    <w:sectPr w:rsidR="007B4F75" w:rsidSect="007B4F75">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E6DC6"/>
    <w:multiLevelType w:val="hybridMultilevel"/>
    <w:tmpl w:val="C03C63F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EED63D8"/>
    <w:multiLevelType w:val="hybridMultilevel"/>
    <w:tmpl w:val="75722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5676C74"/>
    <w:multiLevelType w:val="hybridMultilevel"/>
    <w:tmpl w:val="962ED506"/>
    <w:lvl w:ilvl="0" w:tplc="FCC017A6">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41DB1FD2"/>
    <w:multiLevelType w:val="hybridMultilevel"/>
    <w:tmpl w:val="FAAC4A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95878D3"/>
    <w:multiLevelType w:val="hybridMultilevel"/>
    <w:tmpl w:val="9F561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96D1C1D"/>
    <w:multiLevelType w:val="hybridMultilevel"/>
    <w:tmpl w:val="E6D287C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nsid w:val="54602C33"/>
    <w:multiLevelType w:val="hybridMultilevel"/>
    <w:tmpl w:val="588EC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88B6B1A"/>
    <w:multiLevelType w:val="hybridMultilevel"/>
    <w:tmpl w:val="E38AC486"/>
    <w:lvl w:ilvl="0" w:tplc="E1446984">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6F"/>
    <w:rsid w:val="00014239"/>
    <w:rsid w:val="00095EB2"/>
    <w:rsid w:val="000A082D"/>
    <w:rsid w:val="000B571A"/>
    <w:rsid w:val="000C558C"/>
    <w:rsid w:val="00155864"/>
    <w:rsid w:val="001837D1"/>
    <w:rsid w:val="001A1C17"/>
    <w:rsid w:val="001C3FE0"/>
    <w:rsid w:val="001E0CFA"/>
    <w:rsid w:val="00222B72"/>
    <w:rsid w:val="002304B0"/>
    <w:rsid w:val="00234698"/>
    <w:rsid w:val="00273E51"/>
    <w:rsid w:val="00304342"/>
    <w:rsid w:val="003113D1"/>
    <w:rsid w:val="00335C91"/>
    <w:rsid w:val="003670A8"/>
    <w:rsid w:val="0038758E"/>
    <w:rsid w:val="003F22CD"/>
    <w:rsid w:val="00403818"/>
    <w:rsid w:val="004603D4"/>
    <w:rsid w:val="00475A08"/>
    <w:rsid w:val="004A7580"/>
    <w:rsid w:val="004A7663"/>
    <w:rsid w:val="004C0DD3"/>
    <w:rsid w:val="004D5B39"/>
    <w:rsid w:val="00525D7A"/>
    <w:rsid w:val="00534A20"/>
    <w:rsid w:val="0055166A"/>
    <w:rsid w:val="00554574"/>
    <w:rsid w:val="0057185F"/>
    <w:rsid w:val="005872D1"/>
    <w:rsid w:val="005A13BB"/>
    <w:rsid w:val="005E206D"/>
    <w:rsid w:val="00621C92"/>
    <w:rsid w:val="00624B53"/>
    <w:rsid w:val="00650D31"/>
    <w:rsid w:val="00675F2B"/>
    <w:rsid w:val="0068167D"/>
    <w:rsid w:val="00695290"/>
    <w:rsid w:val="006B57E4"/>
    <w:rsid w:val="00711389"/>
    <w:rsid w:val="00712368"/>
    <w:rsid w:val="0073779B"/>
    <w:rsid w:val="00760B7F"/>
    <w:rsid w:val="007838CF"/>
    <w:rsid w:val="007959EB"/>
    <w:rsid w:val="007B4F75"/>
    <w:rsid w:val="007E7FD5"/>
    <w:rsid w:val="007F4E20"/>
    <w:rsid w:val="008065E0"/>
    <w:rsid w:val="00810DE2"/>
    <w:rsid w:val="008115A0"/>
    <w:rsid w:val="008647CC"/>
    <w:rsid w:val="00867CC4"/>
    <w:rsid w:val="008A661F"/>
    <w:rsid w:val="008D5A4F"/>
    <w:rsid w:val="008D5C39"/>
    <w:rsid w:val="00923FF6"/>
    <w:rsid w:val="00925738"/>
    <w:rsid w:val="009474E7"/>
    <w:rsid w:val="00965097"/>
    <w:rsid w:val="0098751A"/>
    <w:rsid w:val="00A01383"/>
    <w:rsid w:val="00A25C35"/>
    <w:rsid w:val="00A30ADD"/>
    <w:rsid w:val="00A62CD3"/>
    <w:rsid w:val="00AF1F52"/>
    <w:rsid w:val="00B0494F"/>
    <w:rsid w:val="00B04D25"/>
    <w:rsid w:val="00B2014D"/>
    <w:rsid w:val="00B26729"/>
    <w:rsid w:val="00B40653"/>
    <w:rsid w:val="00B42A70"/>
    <w:rsid w:val="00B42D2C"/>
    <w:rsid w:val="00B46A54"/>
    <w:rsid w:val="00B63E34"/>
    <w:rsid w:val="00B735B0"/>
    <w:rsid w:val="00B842A1"/>
    <w:rsid w:val="00B84E97"/>
    <w:rsid w:val="00B9260D"/>
    <w:rsid w:val="00B9626F"/>
    <w:rsid w:val="00BA0FA0"/>
    <w:rsid w:val="00BB17A4"/>
    <w:rsid w:val="00BB7B1C"/>
    <w:rsid w:val="00BC0403"/>
    <w:rsid w:val="00C0242E"/>
    <w:rsid w:val="00C14960"/>
    <w:rsid w:val="00C5277A"/>
    <w:rsid w:val="00C60AC5"/>
    <w:rsid w:val="00C61A35"/>
    <w:rsid w:val="00C84D55"/>
    <w:rsid w:val="00CA2E0F"/>
    <w:rsid w:val="00D022D3"/>
    <w:rsid w:val="00D11B10"/>
    <w:rsid w:val="00D26E94"/>
    <w:rsid w:val="00D64B9B"/>
    <w:rsid w:val="00D9417D"/>
    <w:rsid w:val="00D958E1"/>
    <w:rsid w:val="00DC3181"/>
    <w:rsid w:val="00DE776F"/>
    <w:rsid w:val="00DF4382"/>
    <w:rsid w:val="00E21156"/>
    <w:rsid w:val="00E6391E"/>
    <w:rsid w:val="00E84AF2"/>
    <w:rsid w:val="00E96E82"/>
    <w:rsid w:val="00ED04C1"/>
    <w:rsid w:val="00ED331B"/>
    <w:rsid w:val="00EF355E"/>
    <w:rsid w:val="00EF49B3"/>
    <w:rsid w:val="00F24C23"/>
    <w:rsid w:val="00F476A0"/>
    <w:rsid w:val="00F66C1F"/>
    <w:rsid w:val="00F71DCE"/>
    <w:rsid w:val="00FB2AE7"/>
    <w:rsid w:val="00FB4010"/>
    <w:rsid w:val="00FF1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68"/>
    <w:pPr>
      <w:ind w:left="720"/>
      <w:contextualSpacing/>
    </w:pPr>
  </w:style>
  <w:style w:type="paragraph" w:customStyle="1" w:styleId="TableTextform">
    <w:name w:val="TableText form"/>
    <w:basedOn w:val="Normal"/>
    <w:qFormat/>
    <w:rsid w:val="00712368"/>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7B4F75"/>
    <w:rPr>
      <w:color w:val="0000FF" w:themeColor="hyperlink"/>
      <w:u w:val="single"/>
    </w:rPr>
  </w:style>
  <w:style w:type="paragraph" w:styleId="BalloonText">
    <w:name w:val="Balloon Text"/>
    <w:basedOn w:val="Normal"/>
    <w:link w:val="BalloonTextChar"/>
    <w:uiPriority w:val="99"/>
    <w:semiHidden/>
    <w:unhideWhenUsed/>
    <w:rsid w:val="0096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97"/>
    <w:rPr>
      <w:rFonts w:ascii="Tahoma" w:hAnsi="Tahoma" w:cs="Tahoma"/>
      <w:sz w:val="16"/>
      <w:szCs w:val="16"/>
    </w:rPr>
  </w:style>
  <w:style w:type="character" w:styleId="CommentReference">
    <w:name w:val="annotation reference"/>
    <w:basedOn w:val="DefaultParagraphFont"/>
    <w:uiPriority w:val="99"/>
    <w:semiHidden/>
    <w:unhideWhenUsed/>
    <w:rsid w:val="004A7580"/>
    <w:rPr>
      <w:sz w:val="16"/>
      <w:szCs w:val="16"/>
    </w:rPr>
  </w:style>
  <w:style w:type="paragraph" w:styleId="CommentText">
    <w:name w:val="annotation text"/>
    <w:basedOn w:val="Normal"/>
    <w:link w:val="CommentTextChar"/>
    <w:uiPriority w:val="99"/>
    <w:semiHidden/>
    <w:unhideWhenUsed/>
    <w:rsid w:val="004A7580"/>
    <w:pPr>
      <w:spacing w:line="240" w:lineRule="auto"/>
    </w:pPr>
    <w:rPr>
      <w:sz w:val="20"/>
      <w:szCs w:val="20"/>
    </w:rPr>
  </w:style>
  <w:style w:type="character" w:customStyle="1" w:styleId="CommentTextChar">
    <w:name w:val="Comment Text Char"/>
    <w:basedOn w:val="DefaultParagraphFont"/>
    <w:link w:val="CommentText"/>
    <w:uiPriority w:val="99"/>
    <w:semiHidden/>
    <w:rsid w:val="004A7580"/>
    <w:rPr>
      <w:sz w:val="20"/>
      <w:szCs w:val="20"/>
    </w:rPr>
  </w:style>
  <w:style w:type="paragraph" w:styleId="CommentSubject">
    <w:name w:val="annotation subject"/>
    <w:basedOn w:val="CommentText"/>
    <w:next w:val="CommentText"/>
    <w:link w:val="CommentSubjectChar"/>
    <w:uiPriority w:val="99"/>
    <w:semiHidden/>
    <w:unhideWhenUsed/>
    <w:rsid w:val="004A7580"/>
    <w:rPr>
      <w:b/>
      <w:bCs/>
    </w:rPr>
  </w:style>
  <w:style w:type="character" w:customStyle="1" w:styleId="CommentSubjectChar">
    <w:name w:val="Comment Subject Char"/>
    <w:basedOn w:val="CommentTextChar"/>
    <w:link w:val="CommentSubject"/>
    <w:uiPriority w:val="99"/>
    <w:semiHidden/>
    <w:rsid w:val="004A75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68"/>
    <w:pPr>
      <w:ind w:left="720"/>
      <w:contextualSpacing/>
    </w:pPr>
  </w:style>
  <w:style w:type="paragraph" w:customStyle="1" w:styleId="TableTextform">
    <w:name w:val="TableText form"/>
    <w:basedOn w:val="Normal"/>
    <w:qFormat/>
    <w:rsid w:val="00712368"/>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7B4F75"/>
    <w:rPr>
      <w:color w:val="0000FF" w:themeColor="hyperlink"/>
      <w:u w:val="single"/>
    </w:rPr>
  </w:style>
  <w:style w:type="paragraph" w:styleId="BalloonText">
    <w:name w:val="Balloon Text"/>
    <w:basedOn w:val="Normal"/>
    <w:link w:val="BalloonTextChar"/>
    <w:uiPriority w:val="99"/>
    <w:semiHidden/>
    <w:unhideWhenUsed/>
    <w:rsid w:val="0096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97"/>
    <w:rPr>
      <w:rFonts w:ascii="Tahoma" w:hAnsi="Tahoma" w:cs="Tahoma"/>
      <w:sz w:val="16"/>
      <w:szCs w:val="16"/>
    </w:rPr>
  </w:style>
  <w:style w:type="character" w:styleId="CommentReference">
    <w:name w:val="annotation reference"/>
    <w:basedOn w:val="DefaultParagraphFont"/>
    <w:uiPriority w:val="99"/>
    <w:semiHidden/>
    <w:unhideWhenUsed/>
    <w:rsid w:val="004A7580"/>
    <w:rPr>
      <w:sz w:val="16"/>
      <w:szCs w:val="16"/>
    </w:rPr>
  </w:style>
  <w:style w:type="paragraph" w:styleId="CommentText">
    <w:name w:val="annotation text"/>
    <w:basedOn w:val="Normal"/>
    <w:link w:val="CommentTextChar"/>
    <w:uiPriority w:val="99"/>
    <w:semiHidden/>
    <w:unhideWhenUsed/>
    <w:rsid w:val="004A7580"/>
    <w:pPr>
      <w:spacing w:line="240" w:lineRule="auto"/>
    </w:pPr>
    <w:rPr>
      <w:sz w:val="20"/>
      <w:szCs w:val="20"/>
    </w:rPr>
  </w:style>
  <w:style w:type="character" w:customStyle="1" w:styleId="CommentTextChar">
    <w:name w:val="Comment Text Char"/>
    <w:basedOn w:val="DefaultParagraphFont"/>
    <w:link w:val="CommentText"/>
    <w:uiPriority w:val="99"/>
    <w:semiHidden/>
    <w:rsid w:val="004A7580"/>
    <w:rPr>
      <w:sz w:val="20"/>
      <w:szCs w:val="20"/>
    </w:rPr>
  </w:style>
  <w:style w:type="paragraph" w:styleId="CommentSubject">
    <w:name w:val="annotation subject"/>
    <w:basedOn w:val="CommentText"/>
    <w:next w:val="CommentText"/>
    <w:link w:val="CommentSubjectChar"/>
    <w:uiPriority w:val="99"/>
    <w:semiHidden/>
    <w:unhideWhenUsed/>
    <w:rsid w:val="004A7580"/>
    <w:rPr>
      <w:b/>
      <w:bCs/>
    </w:rPr>
  </w:style>
  <w:style w:type="character" w:customStyle="1" w:styleId="CommentSubjectChar">
    <w:name w:val="Comment Subject Char"/>
    <w:basedOn w:val="CommentTextChar"/>
    <w:link w:val="CommentSubject"/>
    <w:uiPriority w:val="99"/>
    <w:semiHidden/>
    <w:rsid w:val="004A7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ealth.gov.au/npa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FA322-C8BB-4A47-B903-36AF9403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1279</Words>
  <Characters>7294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Grassia Maria</dc:creator>
  <cp:lastModifiedBy>Lewis Eleanor</cp:lastModifiedBy>
  <cp:revision>2</cp:revision>
  <cp:lastPrinted>2015-05-27T04:21:00Z</cp:lastPrinted>
  <dcterms:created xsi:type="dcterms:W3CDTF">2015-06-18T06:41:00Z</dcterms:created>
  <dcterms:modified xsi:type="dcterms:W3CDTF">2015-06-18T06:41:00Z</dcterms:modified>
</cp:coreProperties>
</file>