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73D72" w:rsidRDefault="00193461" w:rsidP="00C63713">
      <w:pPr>
        <w:rPr>
          <w:sz w:val="28"/>
        </w:rPr>
      </w:pPr>
      <w:r w:rsidRPr="00773D72">
        <w:rPr>
          <w:noProof/>
          <w:lang w:eastAsia="en-AU"/>
        </w:rPr>
        <w:drawing>
          <wp:inline distT="0" distB="0" distL="0" distR="0" wp14:anchorId="39B33770" wp14:editId="2B6286E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73D72" w:rsidRDefault="0048364F" w:rsidP="0048364F">
      <w:pPr>
        <w:rPr>
          <w:sz w:val="19"/>
        </w:rPr>
      </w:pPr>
    </w:p>
    <w:p w:rsidR="0048364F" w:rsidRPr="00773D72" w:rsidRDefault="009A2D5A" w:rsidP="0048364F">
      <w:pPr>
        <w:pStyle w:val="ShortT"/>
      </w:pPr>
      <w:r w:rsidRPr="00773D72">
        <w:t>Therapeutic Goods (Charges) Amendment (2015 Measures No.</w:t>
      </w:r>
      <w:r w:rsidR="00773D72" w:rsidRPr="00773D72">
        <w:t> </w:t>
      </w:r>
      <w:r w:rsidRPr="00773D72">
        <w:t>1) Regulation</w:t>
      </w:r>
      <w:r w:rsidR="00773D72" w:rsidRPr="00773D72">
        <w:t> </w:t>
      </w:r>
      <w:r w:rsidRPr="00773D72">
        <w:t>2015</w:t>
      </w:r>
    </w:p>
    <w:p w:rsidR="0048364F" w:rsidRPr="00773D72" w:rsidRDefault="0048364F" w:rsidP="0048364F"/>
    <w:p w:rsidR="0048364F" w:rsidRPr="00773D72" w:rsidRDefault="00A4361F" w:rsidP="00680F17">
      <w:pPr>
        <w:pStyle w:val="InstNo"/>
      </w:pPr>
      <w:r w:rsidRPr="00773D72">
        <w:t>Select Legislative Instrument</w:t>
      </w:r>
      <w:r w:rsidR="00154EAC" w:rsidRPr="00773D72">
        <w:t xml:space="preserve"> </w:t>
      </w:r>
      <w:bookmarkStart w:id="0" w:name="BKCheck15B_1"/>
      <w:bookmarkEnd w:id="0"/>
      <w:r w:rsidR="00D0104A" w:rsidRPr="00773D72">
        <w:fldChar w:fldCharType="begin"/>
      </w:r>
      <w:r w:rsidR="00D0104A" w:rsidRPr="00773D72">
        <w:instrText xml:space="preserve"> DOCPROPERTY  ActNo </w:instrText>
      </w:r>
      <w:r w:rsidR="00D0104A" w:rsidRPr="00773D72">
        <w:fldChar w:fldCharType="separate"/>
      </w:r>
      <w:r w:rsidR="008C723A">
        <w:t>No. 86, 2015</w:t>
      </w:r>
      <w:r w:rsidR="00D0104A" w:rsidRPr="00773D72">
        <w:fldChar w:fldCharType="end"/>
      </w:r>
    </w:p>
    <w:p w:rsidR="00D4782A" w:rsidRPr="00773D72" w:rsidRDefault="00D4782A" w:rsidP="000C5962">
      <w:pPr>
        <w:pStyle w:val="SignCoverPageStart"/>
        <w:spacing w:before="240"/>
        <w:rPr>
          <w:szCs w:val="22"/>
        </w:rPr>
      </w:pPr>
      <w:r w:rsidRPr="00773D72">
        <w:rPr>
          <w:szCs w:val="22"/>
        </w:rPr>
        <w:t xml:space="preserve">I, General the Honourable Sir Peter Cosgrove AK MC (Ret’d), </w:t>
      </w:r>
      <w:r w:rsidR="00773D72" w:rsidRPr="00773D72">
        <w:rPr>
          <w:szCs w:val="22"/>
        </w:rPr>
        <w:t>Governor</w:t>
      </w:r>
      <w:r w:rsidR="00773D72">
        <w:rPr>
          <w:szCs w:val="22"/>
        </w:rPr>
        <w:noBreakHyphen/>
      </w:r>
      <w:r w:rsidR="00773D72" w:rsidRPr="00773D72">
        <w:rPr>
          <w:szCs w:val="22"/>
        </w:rPr>
        <w:t>General</w:t>
      </w:r>
      <w:r w:rsidRPr="00773D72">
        <w:rPr>
          <w:szCs w:val="22"/>
        </w:rPr>
        <w:t xml:space="preserve"> of the Commonwealth of Australia, acting with the advice of the Federal Executive Council, make the following regulation.</w:t>
      </w:r>
    </w:p>
    <w:p w:rsidR="00D4782A" w:rsidRPr="00773D72" w:rsidRDefault="00D4782A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773D72">
        <w:rPr>
          <w:szCs w:val="22"/>
        </w:rPr>
        <w:t xml:space="preserve">Dated </w:t>
      </w:r>
      <w:bookmarkStart w:id="1" w:name="BKCheck15B_2"/>
      <w:bookmarkEnd w:id="1"/>
      <w:r w:rsidRPr="00773D72">
        <w:rPr>
          <w:szCs w:val="22"/>
        </w:rPr>
        <w:fldChar w:fldCharType="begin"/>
      </w:r>
      <w:r w:rsidRPr="00773D72">
        <w:rPr>
          <w:szCs w:val="22"/>
        </w:rPr>
        <w:instrText xml:space="preserve"> DOCPROPERTY  DateMade </w:instrText>
      </w:r>
      <w:r w:rsidRPr="00773D72">
        <w:rPr>
          <w:szCs w:val="22"/>
        </w:rPr>
        <w:fldChar w:fldCharType="separate"/>
      </w:r>
      <w:r w:rsidR="008C723A">
        <w:rPr>
          <w:szCs w:val="22"/>
        </w:rPr>
        <w:t>17 June 2015</w:t>
      </w:r>
      <w:r w:rsidRPr="00773D72">
        <w:rPr>
          <w:szCs w:val="22"/>
        </w:rPr>
        <w:fldChar w:fldCharType="end"/>
      </w:r>
    </w:p>
    <w:p w:rsidR="00D4782A" w:rsidRPr="00773D72" w:rsidRDefault="00D4782A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73D72">
        <w:rPr>
          <w:szCs w:val="22"/>
        </w:rPr>
        <w:t>Peter Cosgrove</w:t>
      </w:r>
    </w:p>
    <w:p w:rsidR="00D4782A" w:rsidRPr="00773D72" w:rsidRDefault="00773D72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73D72">
        <w:rPr>
          <w:szCs w:val="22"/>
        </w:rPr>
        <w:t>Governor</w:t>
      </w:r>
      <w:r>
        <w:rPr>
          <w:szCs w:val="22"/>
        </w:rPr>
        <w:noBreakHyphen/>
      </w:r>
      <w:r w:rsidRPr="00773D72">
        <w:rPr>
          <w:szCs w:val="22"/>
        </w:rPr>
        <w:t>General</w:t>
      </w:r>
    </w:p>
    <w:p w:rsidR="00D4782A" w:rsidRPr="00773D72" w:rsidRDefault="00D4782A" w:rsidP="00B250A0">
      <w:pPr>
        <w:keepNext/>
        <w:tabs>
          <w:tab w:val="left" w:pos="3402"/>
        </w:tabs>
        <w:spacing w:before="480" w:after="1080" w:line="300" w:lineRule="atLeast"/>
        <w:ind w:right="397"/>
        <w:rPr>
          <w:szCs w:val="22"/>
        </w:rPr>
      </w:pPr>
      <w:r w:rsidRPr="00773D72">
        <w:rPr>
          <w:szCs w:val="22"/>
        </w:rPr>
        <w:t>By His Excellency’s Command</w:t>
      </w:r>
    </w:p>
    <w:p w:rsidR="00D4782A" w:rsidRPr="00773D72" w:rsidRDefault="00D04104" w:rsidP="000C5962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773D72">
        <w:rPr>
          <w:szCs w:val="22"/>
        </w:rPr>
        <w:t>Fiona Nash</w:t>
      </w:r>
    </w:p>
    <w:p w:rsidR="00D4782A" w:rsidRPr="00773D72" w:rsidRDefault="00D4782A" w:rsidP="000C5962">
      <w:pPr>
        <w:pStyle w:val="SignCoverPageEnd"/>
        <w:rPr>
          <w:szCs w:val="22"/>
        </w:rPr>
      </w:pPr>
      <w:r w:rsidRPr="00773D72">
        <w:rPr>
          <w:szCs w:val="22"/>
        </w:rPr>
        <w:t>Assistant Minister for Health</w:t>
      </w:r>
    </w:p>
    <w:p w:rsidR="00D4782A" w:rsidRPr="00773D72" w:rsidRDefault="00D4782A" w:rsidP="00D4782A"/>
    <w:p w:rsidR="0048364F" w:rsidRPr="00773D72" w:rsidRDefault="0048364F" w:rsidP="0048364F">
      <w:pPr>
        <w:pStyle w:val="Header"/>
        <w:tabs>
          <w:tab w:val="clear" w:pos="4150"/>
          <w:tab w:val="clear" w:pos="8307"/>
        </w:tabs>
      </w:pPr>
      <w:r w:rsidRPr="00773D72">
        <w:rPr>
          <w:rStyle w:val="CharAmSchNo"/>
        </w:rPr>
        <w:t xml:space="preserve"> </w:t>
      </w:r>
      <w:r w:rsidRPr="00773D72">
        <w:rPr>
          <w:rStyle w:val="CharAmSchText"/>
        </w:rPr>
        <w:t xml:space="preserve"> </w:t>
      </w:r>
    </w:p>
    <w:p w:rsidR="0048364F" w:rsidRPr="00773D72" w:rsidRDefault="0048364F" w:rsidP="0048364F">
      <w:pPr>
        <w:pStyle w:val="Header"/>
        <w:tabs>
          <w:tab w:val="clear" w:pos="4150"/>
          <w:tab w:val="clear" w:pos="8307"/>
        </w:tabs>
      </w:pPr>
      <w:r w:rsidRPr="00773D72">
        <w:rPr>
          <w:rStyle w:val="CharAmPartNo"/>
        </w:rPr>
        <w:t xml:space="preserve"> </w:t>
      </w:r>
      <w:r w:rsidRPr="00773D72">
        <w:rPr>
          <w:rStyle w:val="CharAmPartText"/>
        </w:rPr>
        <w:t xml:space="preserve"> </w:t>
      </w:r>
    </w:p>
    <w:p w:rsidR="0048364F" w:rsidRPr="00773D72" w:rsidRDefault="0048364F" w:rsidP="0048364F">
      <w:pPr>
        <w:sectPr w:rsidR="0048364F" w:rsidRPr="00773D72" w:rsidSect="006306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773D72" w:rsidRDefault="0048364F" w:rsidP="009647C9">
      <w:pPr>
        <w:rPr>
          <w:sz w:val="36"/>
        </w:rPr>
      </w:pPr>
      <w:r w:rsidRPr="00773D72">
        <w:rPr>
          <w:sz w:val="36"/>
        </w:rPr>
        <w:lastRenderedPageBreak/>
        <w:t>Contents</w:t>
      </w:r>
    </w:p>
    <w:bookmarkStart w:id="2" w:name="BKCheck15B_3"/>
    <w:bookmarkEnd w:id="2"/>
    <w:p w:rsidR="00D04104" w:rsidRPr="00773D72" w:rsidRDefault="00D041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3D72">
        <w:fldChar w:fldCharType="begin"/>
      </w:r>
      <w:r w:rsidRPr="00773D72">
        <w:instrText xml:space="preserve"> TOC \o "1-9" </w:instrText>
      </w:r>
      <w:r w:rsidRPr="00773D72">
        <w:fldChar w:fldCharType="separate"/>
      </w:r>
      <w:r w:rsidRPr="00773D72">
        <w:rPr>
          <w:noProof/>
        </w:rPr>
        <w:t>1</w:t>
      </w:r>
      <w:r w:rsidRPr="00773D72">
        <w:rPr>
          <w:noProof/>
        </w:rPr>
        <w:tab/>
        <w:t>Name</w:t>
      </w:r>
      <w:r w:rsidRPr="00773D72">
        <w:rPr>
          <w:noProof/>
        </w:rPr>
        <w:tab/>
      </w:r>
      <w:r w:rsidRPr="00773D72">
        <w:rPr>
          <w:noProof/>
        </w:rPr>
        <w:fldChar w:fldCharType="begin"/>
      </w:r>
      <w:r w:rsidRPr="00773D72">
        <w:rPr>
          <w:noProof/>
        </w:rPr>
        <w:instrText xml:space="preserve"> PAGEREF _Toc419799017 \h </w:instrText>
      </w:r>
      <w:r w:rsidRPr="00773D72">
        <w:rPr>
          <w:noProof/>
        </w:rPr>
      </w:r>
      <w:r w:rsidRPr="00773D72">
        <w:rPr>
          <w:noProof/>
        </w:rPr>
        <w:fldChar w:fldCharType="separate"/>
      </w:r>
      <w:r w:rsidR="008C723A">
        <w:rPr>
          <w:noProof/>
        </w:rPr>
        <w:t>1</w:t>
      </w:r>
      <w:r w:rsidRPr="00773D72">
        <w:rPr>
          <w:noProof/>
        </w:rPr>
        <w:fldChar w:fldCharType="end"/>
      </w:r>
    </w:p>
    <w:p w:rsidR="00D04104" w:rsidRPr="00773D72" w:rsidRDefault="00D041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3D72">
        <w:rPr>
          <w:noProof/>
        </w:rPr>
        <w:t>2</w:t>
      </w:r>
      <w:r w:rsidRPr="00773D72">
        <w:rPr>
          <w:noProof/>
        </w:rPr>
        <w:tab/>
        <w:t>Commencement</w:t>
      </w:r>
      <w:r w:rsidRPr="00773D72">
        <w:rPr>
          <w:noProof/>
        </w:rPr>
        <w:tab/>
      </w:r>
      <w:r w:rsidRPr="00773D72">
        <w:rPr>
          <w:noProof/>
        </w:rPr>
        <w:fldChar w:fldCharType="begin"/>
      </w:r>
      <w:r w:rsidRPr="00773D72">
        <w:rPr>
          <w:noProof/>
        </w:rPr>
        <w:instrText xml:space="preserve"> PAGEREF _Toc419799018 \h </w:instrText>
      </w:r>
      <w:r w:rsidRPr="00773D72">
        <w:rPr>
          <w:noProof/>
        </w:rPr>
      </w:r>
      <w:r w:rsidRPr="00773D72">
        <w:rPr>
          <w:noProof/>
        </w:rPr>
        <w:fldChar w:fldCharType="separate"/>
      </w:r>
      <w:r w:rsidR="008C723A">
        <w:rPr>
          <w:noProof/>
        </w:rPr>
        <w:t>1</w:t>
      </w:r>
      <w:r w:rsidRPr="00773D72">
        <w:rPr>
          <w:noProof/>
        </w:rPr>
        <w:fldChar w:fldCharType="end"/>
      </w:r>
    </w:p>
    <w:p w:rsidR="00D04104" w:rsidRPr="00773D72" w:rsidRDefault="00D041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3D72">
        <w:rPr>
          <w:noProof/>
        </w:rPr>
        <w:t>3</w:t>
      </w:r>
      <w:r w:rsidRPr="00773D72">
        <w:rPr>
          <w:noProof/>
        </w:rPr>
        <w:tab/>
        <w:t>Authority</w:t>
      </w:r>
      <w:r w:rsidRPr="00773D72">
        <w:rPr>
          <w:noProof/>
        </w:rPr>
        <w:tab/>
      </w:r>
      <w:r w:rsidRPr="00773D72">
        <w:rPr>
          <w:noProof/>
        </w:rPr>
        <w:fldChar w:fldCharType="begin"/>
      </w:r>
      <w:r w:rsidRPr="00773D72">
        <w:rPr>
          <w:noProof/>
        </w:rPr>
        <w:instrText xml:space="preserve"> PAGEREF _Toc419799019 \h </w:instrText>
      </w:r>
      <w:r w:rsidRPr="00773D72">
        <w:rPr>
          <w:noProof/>
        </w:rPr>
      </w:r>
      <w:r w:rsidRPr="00773D72">
        <w:rPr>
          <w:noProof/>
        </w:rPr>
        <w:fldChar w:fldCharType="separate"/>
      </w:r>
      <w:r w:rsidR="008C723A">
        <w:rPr>
          <w:noProof/>
        </w:rPr>
        <w:t>1</w:t>
      </w:r>
      <w:r w:rsidRPr="00773D72">
        <w:rPr>
          <w:noProof/>
        </w:rPr>
        <w:fldChar w:fldCharType="end"/>
      </w:r>
    </w:p>
    <w:p w:rsidR="00D04104" w:rsidRPr="00773D72" w:rsidRDefault="00D041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3D72">
        <w:rPr>
          <w:noProof/>
        </w:rPr>
        <w:t>4</w:t>
      </w:r>
      <w:r w:rsidRPr="00773D72">
        <w:rPr>
          <w:noProof/>
        </w:rPr>
        <w:tab/>
        <w:t>Schedules</w:t>
      </w:r>
      <w:r w:rsidRPr="00773D72">
        <w:rPr>
          <w:noProof/>
        </w:rPr>
        <w:tab/>
      </w:r>
      <w:r w:rsidRPr="00773D72">
        <w:rPr>
          <w:noProof/>
        </w:rPr>
        <w:fldChar w:fldCharType="begin"/>
      </w:r>
      <w:r w:rsidRPr="00773D72">
        <w:rPr>
          <w:noProof/>
        </w:rPr>
        <w:instrText xml:space="preserve"> PAGEREF _Toc419799020 \h </w:instrText>
      </w:r>
      <w:r w:rsidRPr="00773D72">
        <w:rPr>
          <w:noProof/>
        </w:rPr>
      </w:r>
      <w:r w:rsidRPr="00773D72">
        <w:rPr>
          <w:noProof/>
        </w:rPr>
        <w:fldChar w:fldCharType="separate"/>
      </w:r>
      <w:r w:rsidR="008C723A">
        <w:rPr>
          <w:noProof/>
        </w:rPr>
        <w:t>1</w:t>
      </w:r>
      <w:r w:rsidRPr="00773D72">
        <w:rPr>
          <w:noProof/>
        </w:rPr>
        <w:fldChar w:fldCharType="end"/>
      </w:r>
    </w:p>
    <w:p w:rsidR="00D04104" w:rsidRPr="00773D72" w:rsidRDefault="00D0410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73D72">
        <w:rPr>
          <w:noProof/>
        </w:rPr>
        <w:t>Schedule</w:t>
      </w:r>
      <w:r w:rsidR="00773D72" w:rsidRPr="00773D72">
        <w:rPr>
          <w:noProof/>
        </w:rPr>
        <w:t> </w:t>
      </w:r>
      <w:r w:rsidRPr="00773D72">
        <w:rPr>
          <w:noProof/>
        </w:rPr>
        <w:t>1—Annual charges for 2015</w:t>
      </w:r>
      <w:r w:rsidR="00773D72">
        <w:rPr>
          <w:noProof/>
        </w:rPr>
        <w:noBreakHyphen/>
      </w:r>
      <w:r w:rsidRPr="00773D72">
        <w:rPr>
          <w:noProof/>
        </w:rPr>
        <w:t>16</w:t>
      </w:r>
      <w:r w:rsidRPr="00773D72">
        <w:rPr>
          <w:b w:val="0"/>
          <w:noProof/>
          <w:sz w:val="18"/>
        </w:rPr>
        <w:tab/>
      </w:r>
      <w:r w:rsidRPr="00773D72">
        <w:rPr>
          <w:b w:val="0"/>
          <w:noProof/>
          <w:sz w:val="18"/>
        </w:rPr>
        <w:fldChar w:fldCharType="begin"/>
      </w:r>
      <w:r w:rsidRPr="00773D72">
        <w:rPr>
          <w:b w:val="0"/>
          <w:noProof/>
          <w:sz w:val="18"/>
        </w:rPr>
        <w:instrText xml:space="preserve"> PAGEREF _Toc419799021 \h </w:instrText>
      </w:r>
      <w:r w:rsidRPr="00773D72">
        <w:rPr>
          <w:b w:val="0"/>
          <w:noProof/>
          <w:sz w:val="18"/>
        </w:rPr>
      </w:r>
      <w:r w:rsidRPr="00773D72">
        <w:rPr>
          <w:b w:val="0"/>
          <w:noProof/>
          <w:sz w:val="18"/>
        </w:rPr>
        <w:fldChar w:fldCharType="separate"/>
      </w:r>
      <w:r w:rsidR="008C723A">
        <w:rPr>
          <w:b w:val="0"/>
          <w:noProof/>
          <w:sz w:val="18"/>
        </w:rPr>
        <w:t>2</w:t>
      </w:r>
      <w:r w:rsidRPr="00773D72">
        <w:rPr>
          <w:b w:val="0"/>
          <w:noProof/>
          <w:sz w:val="18"/>
        </w:rPr>
        <w:fldChar w:fldCharType="end"/>
      </w:r>
    </w:p>
    <w:p w:rsidR="00D04104" w:rsidRPr="00773D72" w:rsidRDefault="00D041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73D72">
        <w:rPr>
          <w:noProof/>
        </w:rPr>
        <w:t>Therapeutic Goods (Charges) Regulations</w:t>
      </w:r>
      <w:r w:rsidR="00773D72" w:rsidRPr="00773D72">
        <w:rPr>
          <w:noProof/>
        </w:rPr>
        <w:t> </w:t>
      </w:r>
      <w:r w:rsidRPr="00773D72">
        <w:rPr>
          <w:noProof/>
        </w:rPr>
        <w:t>1990</w:t>
      </w:r>
      <w:r w:rsidRPr="00773D72">
        <w:rPr>
          <w:i w:val="0"/>
          <w:noProof/>
          <w:sz w:val="18"/>
        </w:rPr>
        <w:tab/>
      </w:r>
      <w:r w:rsidRPr="00773D72">
        <w:rPr>
          <w:i w:val="0"/>
          <w:noProof/>
          <w:sz w:val="18"/>
        </w:rPr>
        <w:fldChar w:fldCharType="begin"/>
      </w:r>
      <w:r w:rsidRPr="00773D72">
        <w:rPr>
          <w:i w:val="0"/>
          <w:noProof/>
          <w:sz w:val="18"/>
        </w:rPr>
        <w:instrText xml:space="preserve"> PAGEREF _Toc419799022 \h </w:instrText>
      </w:r>
      <w:r w:rsidRPr="00773D72">
        <w:rPr>
          <w:i w:val="0"/>
          <w:noProof/>
          <w:sz w:val="18"/>
        </w:rPr>
      </w:r>
      <w:r w:rsidRPr="00773D72">
        <w:rPr>
          <w:i w:val="0"/>
          <w:noProof/>
          <w:sz w:val="18"/>
        </w:rPr>
        <w:fldChar w:fldCharType="separate"/>
      </w:r>
      <w:r w:rsidR="008C723A">
        <w:rPr>
          <w:i w:val="0"/>
          <w:noProof/>
          <w:sz w:val="18"/>
        </w:rPr>
        <w:t>2</w:t>
      </w:r>
      <w:r w:rsidRPr="00773D72">
        <w:rPr>
          <w:i w:val="0"/>
          <w:noProof/>
          <w:sz w:val="18"/>
        </w:rPr>
        <w:fldChar w:fldCharType="end"/>
      </w:r>
    </w:p>
    <w:p w:rsidR="00D04104" w:rsidRPr="00773D72" w:rsidRDefault="00D0410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73D72">
        <w:rPr>
          <w:noProof/>
        </w:rPr>
        <w:t>Schedule</w:t>
      </w:r>
      <w:r w:rsidR="00773D72" w:rsidRPr="00773D72">
        <w:rPr>
          <w:noProof/>
        </w:rPr>
        <w:t> </w:t>
      </w:r>
      <w:r w:rsidRPr="00773D72">
        <w:rPr>
          <w:noProof/>
        </w:rPr>
        <w:t>2—Annual charges for goods that are not biologics</w:t>
      </w:r>
      <w:r w:rsidRPr="00773D72">
        <w:rPr>
          <w:b w:val="0"/>
          <w:noProof/>
          <w:sz w:val="18"/>
        </w:rPr>
        <w:tab/>
      </w:r>
      <w:r w:rsidRPr="00773D72">
        <w:rPr>
          <w:b w:val="0"/>
          <w:noProof/>
          <w:sz w:val="18"/>
        </w:rPr>
        <w:fldChar w:fldCharType="begin"/>
      </w:r>
      <w:r w:rsidRPr="00773D72">
        <w:rPr>
          <w:b w:val="0"/>
          <w:noProof/>
          <w:sz w:val="18"/>
        </w:rPr>
        <w:instrText xml:space="preserve"> PAGEREF _Toc419799023 \h </w:instrText>
      </w:r>
      <w:r w:rsidRPr="00773D72">
        <w:rPr>
          <w:b w:val="0"/>
          <w:noProof/>
          <w:sz w:val="18"/>
        </w:rPr>
      </w:r>
      <w:r w:rsidRPr="00773D72">
        <w:rPr>
          <w:b w:val="0"/>
          <w:noProof/>
          <w:sz w:val="18"/>
        </w:rPr>
        <w:fldChar w:fldCharType="separate"/>
      </w:r>
      <w:r w:rsidR="008C723A">
        <w:rPr>
          <w:b w:val="0"/>
          <w:noProof/>
          <w:sz w:val="18"/>
        </w:rPr>
        <w:t>3</w:t>
      </w:r>
      <w:r w:rsidRPr="00773D72">
        <w:rPr>
          <w:b w:val="0"/>
          <w:noProof/>
          <w:sz w:val="18"/>
        </w:rPr>
        <w:fldChar w:fldCharType="end"/>
      </w:r>
    </w:p>
    <w:p w:rsidR="00D04104" w:rsidRPr="00773D72" w:rsidRDefault="00D041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73D72">
        <w:rPr>
          <w:noProof/>
        </w:rPr>
        <w:t>Therapeutic Goods (Charges) Regulations</w:t>
      </w:r>
      <w:r w:rsidR="00773D72" w:rsidRPr="00773D72">
        <w:rPr>
          <w:noProof/>
        </w:rPr>
        <w:t> </w:t>
      </w:r>
      <w:r w:rsidRPr="00773D72">
        <w:rPr>
          <w:noProof/>
        </w:rPr>
        <w:t>1990</w:t>
      </w:r>
      <w:r w:rsidRPr="00773D72">
        <w:rPr>
          <w:i w:val="0"/>
          <w:noProof/>
          <w:sz w:val="18"/>
        </w:rPr>
        <w:tab/>
      </w:r>
      <w:r w:rsidRPr="00773D72">
        <w:rPr>
          <w:i w:val="0"/>
          <w:noProof/>
          <w:sz w:val="18"/>
        </w:rPr>
        <w:fldChar w:fldCharType="begin"/>
      </w:r>
      <w:r w:rsidRPr="00773D72">
        <w:rPr>
          <w:i w:val="0"/>
          <w:noProof/>
          <w:sz w:val="18"/>
        </w:rPr>
        <w:instrText xml:space="preserve"> PAGEREF _Toc419799024 \h </w:instrText>
      </w:r>
      <w:r w:rsidRPr="00773D72">
        <w:rPr>
          <w:i w:val="0"/>
          <w:noProof/>
          <w:sz w:val="18"/>
        </w:rPr>
      </w:r>
      <w:r w:rsidRPr="00773D72">
        <w:rPr>
          <w:i w:val="0"/>
          <w:noProof/>
          <w:sz w:val="18"/>
        </w:rPr>
        <w:fldChar w:fldCharType="separate"/>
      </w:r>
      <w:r w:rsidR="008C723A">
        <w:rPr>
          <w:i w:val="0"/>
          <w:noProof/>
          <w:sz w:val="18"/>
        </w:rPr>
        <w:t>3</w:t>
      </w:r>
      <w:r w:rsidRPr="00773D72">
        <w:rPr>
          <w:i w:val="0"/>
          <w:noProof/>
          <w:sz w:val="18"/>
        </w:rPr>
        <w:fldChar w:fldCharType="end"/>
      </w:r>
    </w:p>
    <w:p w:rsidR="00833416" w:rsidRPr="00773D72" w:rsidRDefault="00D04104" w:rsidP="0048364F">
      <w:r w:rsidRPr="00773D72">
        <w:fldChar w:fldCharType="end"/>
      </w:r>
    </w:p>
    <w:p w:rsidR="00722023" w:rsidRPr="00773D72" w:rsidRDefault="00722023" w:rsidP="0048364F">
      <w:pPr>
        <w:sectPr w:rsidR="00722023" w:rsidRPr="00773D72" w:rsidSect="0063065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773D72" w:rsidRDefault="0048364F" w:rsidP="0048364F">
      <w:pPr>
        <w:pStyle w:val="ActHead5"/>
      </w:pPr>
      <w:bookmarkStart w:id="3" w:name="_Toc419799017"/>
      <w:r w:rsidRPr="00773D72">
        <w:rPr>
          <w:rStyle w:val="CharSectno"/>
        </w:rPr>
        <w:lastRenderedPageBreak/>
        <w:t>1</w:t>
      </w:r>
      <w:r w:rsidRPr="00773D72">
        <w:t xml:space="preserve">  </w:t>
      </w:r>
      <w:r w:rsidR="004F676E" w:rsidRPr="00773D72">
        <w:t>Name</w:t>
      </w:r>
      <w:bookmarkEnd w:id="3"/>
    </w:p>
    <w:p w:rsidR="0048364F" w:rsidRPr="00773D72" w:rsidRDefault="0048364F" w:rsidP="0048364F">
      <w:pPr>
        <w:pStyle w:val="subsection"/>
      </w:pPr>
      <w:r w:rsidRPr="00773D72">
        <w:tab/>
      </w:r>
      <w:r w:rsidRPr="00773D72">
        <w:tab/>
        <w:t>Th</w:t>
      </w:r>
      <w:r w:rsidR="00F24C35" w:rsidRPr="00773D72">
        <w:t>is</w:t>
      </w:r>
      <w:r w:rsidRPr="00773D72">
        <w:t xml:space="preserve"> </w:t>
      </w:r>
      <w:r w:rsidR="00F24C35" w:rsidRPr="00773D72">
        <w:t>is</w:t>
      </w:r>
      <w:r w:rsidR="003801D0" w:rsidRPr="00773D72">
        <w:t xml:space="preserve"> the</w:t>
      </w:r>
      <w:r w:rsidRPr="00773D72">
        <w:t xml:space="preserve"> </w:t>
      </w:r>
      <w:bookmarkStart w:id="4" w:name="BKCheck15B_4"/>
      <w:bookmarkEnd w:id="4"/>
      <w:r w:rsidR="00CB0180" w:rsidRPr="00773D72">
        <w:rPr>
          <w:i/>
        </w:rPr>
        <w:fldChar w:fldCharType="begin"/>
      </w:r>
      <w:r w:rsidR="00CB0180" w:rsidRPr="00773D72">
        <w:rPr>
          <w:i/>
        </w:rPr>
        <w:instrText xml:space="preserve"> STYLEREF  ShortT </w:instrText>
      </w:r>
      <w:r w:rsidR="00CB0180" w:rsidRPr="00773D72">
        <w:rPr>
          <w:i/>
        </w:rPr>
        <w:fldChar w:fldCharType="separate"/>
      </w:r>
      <w:r w:rsidR="008C723A">
        <w:rPr>
          <w:i/>
          <w:noProof/>
        </w:rPr>
        <w:t>Therapeutic Goods (Charges) Amendment (2015 Measures No. 1) Regulation 2015</w:t>
      </w:r>
      <w:r w:rsidR="00CB0180" w:rsidRPr="00773D72">
        <w:rPr>
          <w:i/>
        </w:rPr>
        <w:fldChar w:fldCharType="end"/>
      </w:r>
      <w:r w:rsidRPr="00773D72">
        <w:t>.</w:t>
      </w:r>
    </w:p>
    <w:p w:rsidR="0048364F" w:rsidRPr="00773D72" w:rsidRDefault="0048364F" w:rsidP="0048364F">
      <w:pPr>
        <w:pStyle w:val="ActHead5"/>
      </w:pPr>
      <w:bookmarkStart w:id="5" w:name="_Toc419799018"/>
      <w:r w:rsidRPr="00773D72">
        <w:rPr>
          <w:rStyle w:val="CharSectno"/>
        </w:rPr>
        <w:t>2</w:t>
      </w:r>
      <w:r w:rsidRPr="00773D72">
        <w:t xml:space="preserve">  Commencement</w:t>
      </w:r>
      <w:bookmarkEnd w:id="5"/>
    </w:p>
    <w:p w:rsidR="009A2D5A" w:rsidRPr="00773D72" w:rsidRDefault="009A2D5A" w:rsidP="00966C03">
      <w:pPr>
        <w:pStyle w:val="subsection"/>
      </w:pPr>
      <w:bookmarkStart w:id="6" w:name="_GoBack"/>
      <w:r w:rsidRPr="00773D72">
        <w:tab/>
        <w:t>(1)</w:t>
      </w:r>
      <w:r w:rsidRPr="00773D72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6"/>
    </w:p>
    <w:p w:rsidR="009A2D5A" w:rsidRPr="00773D72" w:rsidRDefault="009A2D5A" w:rsidP="00966C0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9A2D5A" w:rsidRPr="00773D72" w:rsidTr="00966C0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A2D5A" w:rsidRPr="00773D72" w:rsidRDefault="009A2D5A" w:rsidP="00966C03">
            <w:pPr>
              <w:pStyle w:val="TableHeading"/>
            </w:pPr>
            <w:r w:rsidRPr="00773D72">
              <w:t>Commencement information</w:t>
            </w:r>
          </w:p>
        </w:tc>
      </w:tr>
      <w:tr w:rsidR="009A2D5A" w:rsidRPr="00773D72" w:rsidTr="00966C03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A2D5A" w:rsidRPr="00773D72" w:rsidRDefault="009A2D5A" w:rsidP="00966C03">
            <w:pPr>
              <w:pStyle w:val="TableHeading"/>
            </w:pPr>
            <w:r w:rsidRPr="00773D72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A2D5A" w:rsidRPr="00773D72" w:rsidRDefault="009A2D5A" w:rsidP="00966C03">
            <w:pPr>
              <w:pStyle w:val="TableHeading"/>
            </w:pPr>
            <w:r w:rsidRPr="00773D72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A2D5A" w:rsidRPr="00773D72" w:rsidRDefault="009A2D5A" w:rsidP="00966C03">
            <w:pPr>
              <w:pStyle w:val="TableHeading"/>
            </w:pPr>
            <w:r w:rsidRPr="00773D72">
              <w:t>Column 3</w:t>
            </w:r>
          </w:p>
        </w:tc>
      </w:tr>
      <w:tr w:rsidR="009A2D5A" w:rsidRPr="00773D72" w:rsidTr="00966C03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A2D5A" w:rsidRPr="00773D72" w:rsidRDefault="009A2D5A" w:rsidP="00966C03">
            <w:pPr>
              <w:pStyle w:val="TableHeading"/>
            </w:pPr>
            <w:r w:rsidRPr="00773D72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A2D5A" w:rsidRPr="00773D72" w:rsidRDefault="009A2D5A" w:rsidP="00966C03">
            <w:pPr>
              <w:pStyle w:val="TableHeading"/>
            </w:pPr>
            <w:r w:rsidRPr="00773D72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A2D5A" w:rsidRPr="00773D72" w:rsidRDefault="009A2D5A" w:rsidP="00966C03">
            <w:pPr>
              <w:pStyle w:val="TableHeading"/>
            </w:pPr>
            <w:r w:rsidRPr="00773D72">
              <w:t>Date/Details</w:t>
            </w:r>
          </w:p>
        </w:tc>
      </w:tr>
      <w:tr w:rsidR="009A2D5A" w:rsidRPr="00773D72" w:rsidTr="00966C03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A2D5A" w:rsidRPr="00773D72" w:rsidRDefault="009A2D5A" w:rsidP="00966C03">
            <w:pPr>
              <w:pStyle w:val="Tabletext"/>
            </w:pPr>
            <w:r w:rsidRPr="00773D72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A2D5A" w:rsidRPr="00773D72" w:rsidRDefault="00DC0838" w:rsidP="00966C03">
            <w:pPr>
              <w:pStyle w:val="Tabletext"/>
            </w:pPr>
            <w:r w:rsidRPr="00773D72">
              <w:t>1</w:t>
            </w:r>
            <w:r w:rsidR="00773D72" w:rsidRPr="00773D72">
              <w:t> </w:t>
            </w:r>
            <w:r w:rsidRPr="00773D72">
              <w:t>July 2015.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A2D5A" w:rsidRPr="00773D72" w:rsidRDefault="00DC0838" w:rsidP="00966C03">
            <w:pPr>
              <w:pStyle w:val="Tabletext"/>
            </w:pPr>
            <w:r w:rsidRPr="00773D72">
              <w:t>1</w:t>
            </w:r>
            <w:r w:rsidR="00773D72" w:rsidRPr="00773D72">
              <w:t> </w:t>
            </w:r>
            <w:r w:rsidRPr="00773D72">
              <w:t>July 2015</w:t>
            </w:r>
          </w:p>
        </w:tc>
      </w:tr>
    </w:tbl>
    <w:p w:rsidR="009A2D5A" w:rsidRPr="00773D72" w:rsidRDefault="009A2D5A" w:rsidP="00966C03">
      <w:pPr>
        <w:pStyle w:val="notetext"/>
      </w:pPr>
      <w:r w:rsidRPr="00773D72">
        <w:rPr>
          <w:snapToGrid w:val="0"/>
          <w:lang w:eastAsia="en-US"/>
        </w:rPr>
        <w:t xml:space="preserve">Note: </w:t>
      </w:r>
      <w:r w:rsidRPr="00773D72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9A2D5A" w:rsidRPr="00773D72" w:rsidRDefault="009A2D5A" w:rsidP="00966C03">
      <w:pPr>
        <w:pStyle w:val="subsection"/>
      </w:pPr>
      <w:r w:rsidRPr="00773D72">
        <w:tab/>
        <w:t>(2)</w:t>
      </w:r>
      <w:r w:rsidRPr="00773D7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773D72" w:rsidRDefault="007769D4" w:rsidP="007769D4">
      <w:pPr>
        <w:pStyle w:val="ActHead5"/>
      </w:pPr>
      <w:bookmarkStart w:id="7" w:name="_Toc419799019"/>
      <w:r w:rsidRPr="00773D72">
        <w:rPr>
          <w:rStyle w:val="CharSectno"/>
        </w:rPr>
        <w:t>3</w:t>
      </w:r>
      <w:r w:rsidRPr="00773D72">
        <w:t xml:space="preserve">  Authority</w:t>
      </w:r>
      <w:bookmarkEnd w:id="7"/>
    </w:p>
    <w:p w:rsidR="007769D4" w:rsidRPr="00773D72" w:rsidRDefault="007769D4" w:rsidP="007769D4">
      <w:pPr>
        <w:pStyle w:val="subsection"/>
      </w:pPr>
      <w:r w:rsidRPr="00773D72">
        <w:tab/>
      </w:r>
      <w:r w:rsidRPr="00773D72">
        <w:tab/>
      </w:r>
      <w:r w:rsidR="00AF0336" w:rsidRPr="00773D72">
        <w:t xml:space="preserve">This </w:t>
      </w:r>
      <w:r w:rsidR="009A2D5A" w:rsidRPr="00773D72">
        <w:t>instrument</w:t>
      </w:r>
      <w:r w:rsidR="00AF0336" w:rsidRPr="00773D72">
        <w:t xml:space="preserve"> is made under the </w:t>
      </w:r>
      <w:r w:rsidR="009A2D5A" w:rsidRPr="00773D72">
        <w:rPr>
          <w:i/>
        </w:rPr>
        <w:t>Therapeutic Goods (Charges) Act 1989</w:t>
      </w:r>
      <w:r w:rsidR="00D83D21" w:rsidRPr="00773D72">
        <w:rPr>
          <w:i/>
        </w:rPr>
        <w:t>.</w:t>
      </w:r>
    </w:p>
    <w:p w:rsidR="00557C7A" w:rsidRPr="00773D72" w:rsidRDefault="007769D4" w:rsidP="00557C7A">
      <w:pPr>
        <w:pStyle w:val="ActHead5"/>
      </w:pPr>
      <w:bookmarkStart w:id="8" w:name="_Toc419799020"/>
      <w:r w:rsidRPr="00773D72">
        <w:rPr>
          <w:rStyle w:val="CharSectno"/>
        </w:rPr>
        <w:t>4</w:t>
      </w:r>
      <w:r w:rsidR="00557C7A" w:rsidRPr="00773D72">
        <w:t xml:space="preserve">  </w:t>
      </w:r>
      <w:r w:rsidR="00B332B8" w:rsidRPr="00773D72">
        <w:t>Schedules</w:t>
      </w:r>
      <w:bookmarkEnd w:id="8"/>
    </w:p>
    <w:p w:rsidR="00557C7A" w:rsidRPr="00773D72" w:rsidRDefault="00557C7A" w:rsidP="00557C7A">
      <w:pPr>
        <w:pStyle w:val="subsection"/>
      </w:pPr>
      <w:r w:rsidRPr="00773D72">
        <w:tab/>
      </w:r>
      <w:r w:rsidRPr="00773D72">
        <w:tab/>
      </w:r>
      <w:r w:rsidR="000F6B02" w:rsidRPr="00773D72">
        <w:t xml:space="preserve">Each instrument that is specified in a Schedule to </w:t>
      </w:r>
      <w:r w:rsidR="009A2D5A" w:rsidRPr="00773D72">
        <w:t>this instrument</w:t>
      </w:r>
      <w:r w:rsidR="000F6B02" w:rsidRPr="00773D72">
        <w:t xml:space="preserve"> is amended or repealed as set out in the applicable items in the Schedule concerned, and any other item in a Schedule to </w:t>
      </w:r>
      <w:r w:rsidR="009A2D5A" w:rsidRPr="00773D72">
        <w:t>this instrument</w:t>
      </w:r>
      <w:r w:rsidR="000F6B02" w:rsidRPr="00773D72">
        <w:t xml:space="preserve"> has effect according to its terms.</w:t>
      </w:r>
    </w:p>
    <w:p w:rsidR="00B813FE" w:rsidRPr="00773D72" w:rsidRDefault="00B813FE" w:rsidP="00843B64">
      <w:pPr>
        <w:pStyle w:val="ActHead6"/>
        <w:pageBreakBefore/>
      </w:pPr>
      <w:bookmarkStart w:id="9" w:name="_Toc419799021"/>
      <w:bookmarkStart w:id="10" w:name="opcAmSched"/>
      <w:r w:rsidRPr="00773D72">
        <w:rPr>
          <w:rStyle w:val="CharAmSchNo"/>
        </w:rPr>
        <w:t>Schedule</w:t>
      </w:r>
      <w:r w:rsidR="00773D72" w:rsidRPr="00773D72">
        <w:rPr>
          <w:rStyle w:val="CharAmSchNo"/>
        </w:rPr>
        <w:t> </w:t>
      </w:r>
      <w:r w:rsidRPr="00773D72">
        <w:rPr>
          <w:rStyle w:val="CharAmSchNo"/>
        </w:rPr>
        <w:t>1</w:t>
      </w:r>
      <w:r w:rsidRPr="00773D72">
        <w:t>—</w:t>
      </w:r>
      <w:r w:rsidRPr="00773D72">
        <w:rPr>
          <w:rStyle w:val="CharAmSchText"/>
        </w:rPr>
        <w:t>Annual charges for 2015</w:t>
      </w:r>
      <w:r w:rsidR="00773D72" w:rsidRPr="00773D72">
        <w:rPr>
          <w:rStyle w:val="CharAmSchText"/>
        </w:rPr>
        <w:noBreakHyphen/>
      </w:r>
      <w:r w:rsidRPr="00773D72">
        <w:rPr>
          <w:rStyle w:val="CharAmSchText"/>
        </w:rPr>
        <w:t>16</w:t>
      </w:r>
      <w:bookmarkEnd w:id="9"/>
    </w:p>
    <w:bookmarkEnd w:id="10"/>
    <w:p w:rsidR="006B7275" w:rsidRPr="00773D72" w:rsidRDefault="006B7275" w:rsidP="006B7275">
      <w:pPr>
        <w:pStyle w:val="Header"/>
      </w:pPr>
      <w:r w:rsidRPr="00773D72">
        <w:rPr>
          <w:rStyle w:val="CharAmPartNo"/>
        </w:rPr>
        <w:t xml:space="preserve"> </w:t>
      </w:r>
      <w:r w:rsidRPr="00773D72">
        <w:rPr>
          <w:rStyle w:val="CharAmPartText"/>
        </w:rPr>
        <w:t xml:space="preserve"> </w:t>
      </w:r>
    </w:p>
    <w:p w:rsidR="006D42EC" w:rsidRPr="00773D72" w:rsidRDefault="006D42EC" w:rsidP="006D42EC">
      <w:pPr>
        <w:pStyle w:val="ActHead9"/>
      </w:pPr>
      <w:bookmarkStart w:id="11" w:name="_Toc419799022"/>
      <w:r w:rsidRPr="00773D72">
        <w:t>Therapeutic Goods (Charges) Regulations</w:t>
      </w:r>
      <w:r w:rsidR="00773D72" w:rsidRPr="00773D72">
        <w:t> </w:t>
      </w:r>
      <w:r w:rsidRPr="00773D72">
        <w:t>1990</w:t>
      </w:r>
      <w:bookmarkEnd w:id="11"/>
    </w:p>
    <w:p w:rsidR="006D42EC" w:rsidRPr="00773D72" w:rsidRDefault="006D42EC" w:rsidP="006D42EC">
      <w:pPr>
        <w:pStyle w:val="ItemHead"/>
      </w:pPr>
      <w:r w:rsidRPr="00773D72">
        <w:t>1  Amendments of listed provisions</w:t>
      </w:r>
    </w:p>
    <w:p w:rsidR="006D42EC" w:rsidRPr="00773D72" w:rsidRDefault="006D42EC" w:rsidP="006D42E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817"/>
        <w:gridCol w:w="1276"/>
        <w:gridCol w:w="1279"/>
      </w:tblGrid>
      <w:tr w:rsidR="006D42EC" w:rsidRPr="00773D72" w:rsidTr="006D42EC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D42EC" w:rsidRPr="00773D72" w:rsidRDefault="006D42EC">
            <w:pPr>
              <w:pStyle w:val="TableHeading"/>
              <w:rPr>
                <w:lang w:eastAsia="en-US"/>
              </w:rPr>
            </w:pPr>
            <w:r w:rsidRPr="00773D72">
              <w:rPr>
                <w:lang w:eastAsia="en-US"/>
              </w:rPr>
              <w:t>Amendments of charges</w:t>
            </w:r>
          </w:p>
        </w:tc>
      </w:tr>
      <w:tr w:rsidR="006D42EC" w:rsidRPr="00773D72" w:rsidTr="006D42EC">
        <w:trPr>
          <w:tblHeader/>
        </w:trPr>
        <w:tc>
          <w:tcPr>
            <w:tcW w:w="71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D42EC" w:rsidRPr="00773D72" w:rsidRDefault="006D42EC">
            <w:pPr>
              <w:pStyle w:val="TableHeading"/>
              <w:rPr>
                <w:lang w:eastAsia="en-US"/>
              </w:rPr>
            </w:pPr>
            <w:r w:rsidRPr="00773D72">
              <w:rPr>
                <w:lang w:eastAsia="en-US"/>
              </w:rPr>
              <w:t>Item</w:t>
            </w:r>
          </w:p>
        </w:tc>
        <w:tc>
          <w:tcPr>
            <w:tcW w:w="381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D42EC" w:rsidRPr="00773D72" w:rsidRDefault="006D42EC">
            <w:pPr>
              <w:pStyle w:val="TableHeading"/>
              <w:rPr>
                <w:lang w:eastAsia="en-US"/>
              </w:rPr>
            </w:pPr>
            <w:r w:rsidRPr="00773D72">
              <w:rPr>
                <w:lang w:eastAsia="en-US"/>
              </w:rPr>
              <w:t>Provision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D42EC" w:rsidRPr="00773D72" w:rsidRDefault="006D42EC">
            <w:pPr>
              <w:pStyle w:val="TableHeading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Omit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D42EC" w:rsidRPr="00773D72" w:rsidRDefault="006D42EC">
            <w:pPr>
              <w:pStyle w:val="TableHeading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Substitute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1</w:t>
            </w:r>
          </w:p>
        </w:tc>
        <w:tc>
          <w:tcPr>
            <w:tcW w:w="38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Subparagraph 3(1)(a)(i)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1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350</w:t>
            </w:r>
          </w:p>
        </w:tc>
        <w:tc>
          <w:tcPr>
            <w:tcW w:w="12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1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380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Subparagraph 3(1)(a)(ii)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2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650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2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705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Subparagraph 3(1)(a)(iii)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1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515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1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545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4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Subparagraph 3(1)(c)(i)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965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985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5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Subparagraph 3(1)(c)(ii)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1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350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1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380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6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Subparagraph 3(1)(c)(iii)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770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785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7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Subparagraph 3(1A)(a)(i)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1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350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1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380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8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Subparagraph 3(1A)(a)(ii)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2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650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2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705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9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Subparagraph 3(1A)(a)(iii)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1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515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1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545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10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Subparagraph 3(1A)(c)(i)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965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985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11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Subparagraph 3(1A)(c)(ii)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1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350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1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380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12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Subparagraph 3(1A)(c)(iii)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770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785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13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Paragraph 3(1AA)(a)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615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630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14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Paragraph 3(1AA)(b)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6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125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6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255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15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Paragraph 3(1B)(b)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615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630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16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Paragraph 3(1B)(c)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940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CE2892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910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17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Paragraph 3(1B)(d)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1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210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CE2892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1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175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18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Paragraphs 3(2)(a) and (b)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11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500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11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700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19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Paragraphs 3(2)(c) to (h)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5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900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6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025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20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Subparagraph 3(2)(j)(i)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148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151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300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21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Subparagraph 3(2)(j)(ii)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7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290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7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445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22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Paragraphs 3(2)(ja) and (k)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6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380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6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515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23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Paragraph 3(2)(l)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12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400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12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700</w:t>
            </w:r>
          </w:p>
        </w:tc>
      </w:tr>
      <w:tr w:rsidR="006D42EC" w:rsidRPr="00773D72" w:rsidTr="006D42EC"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24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rPr>
                <w:lang w:eastAsia="en-US"/>
              </w:rPr>
            </w:pPr>
            <w:r w:rsidRPr="00773D72">
              <w:rPr>
                <w:lang w:eastAsia="en-US"/>
              </w:rPr>
              <w:t>Subregulation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3(3) (note)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90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500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D42EC" w:rsidRPr="00773D72" w:rsidRDefault="006D42EC">
            <w:pPr>
              <w:pStyle w:val="Tabletext"/>
              <w:jc w:val="right"/>
              <w:rPr>
                <w:lang w:eastAsia="en-US"/>
              </w:rPr>
            </w:pPr>
            <w:r w:rsidRPr="00773D72">
              <w:rPr>
                <w:lang w:eastAsia="en-US"/>
              </w:rPr>
              <w:t>92</w:t>
            </w:r>
            <w:r w:rsidR="00773D72" w:rsidRPr="00773D72">
              <w:rPr>
                <w:lang w:eastAsia="en-US"/>
              </w:rPr>
              <w:t> </w:t>
            </w:r>
            <w:r w:rsidRPr="00773D72">
              <w:rPr>
                <w:lang w:eastAsia="en-US"/>
              </w:rPr>
              <w:t>400</w:t>
            </w:r>
          </w:p>
        </w:tc>
      </w:tr>
    </w:tbl>
    <w:p w:rsidR="006D42EC" w:rsidRPr="00773D72" w:rsidRDefault="006D42EC" w:rsidP="006D42EC">
      <w:pPr>
        <w:pStyle w:val="Tabletext"/>
      </w:pPr>
    </w:p>
    <w:p w:rsidR="0048364F" w:rsidRPr="00773D72" w:rsidRDefault="0048364F" w:rsidP="00FF3089">
      <w:pPr>
        <w:pStyle w:val="ActHead6"/>
        <w:pageBreakBefore/>
      </w:pPr>
      <w:bookmarkStart w:id="12" w:name="_Toc419799023"/>
      <w:bookmarkStart w:id="13" w:name="opcCurrentFind"/>
      <w:r w:rsidRPr="00773D72">
        <w:rPr>
          <w:rStyle w:val="CharAmSchNo"/>
        </w:rPr>
        <w:t>Schedule</w:t>
      </w:r>
      <w:r w:rsidR="00773D72" w:rsidRPr="00773D72">
        <w:rPr>
          <w:rStyle w:val="CharAmSchNo"/>
        </w:rPr>
        <w:t> </w:t>
      </w:r>
      <w:r w:rsidR="00B813FE" w:rsidRPr="00773D72">
        <w:rPr>
          <w:rStyle w:val="CharAmSchNo"/>
        </w:rPr>
        <w:t>2</w:t>
      </w:r>
      <w:r w:rsidRPr="00773D72">
        <w:t>—</w:t>
      </w:r>
      <w:r w:rsidR="0001155D" w:rsidRPr="00773D72">
        <w:rPr>
          <w:rStyle w:val="CharAmSchText"/>
        </w:rPr>
        <w:t xml:space="preserve">Annual charges for </w:t>
      </w:r>
      <w:r w:rsidR="00094262" w:rsidRPr="00773D72">
        <w:rPr>
          <w:rStyle w:val="CharAmSchText"/>
        </w:rPr>
        <w:t>goods that are not biologics</w:t>
      </w:r>
      <w:bookmarkEnd w:id="12"/>
    </w:p>
    <w:bookmarkEnd w:id="13"/>
    <w:p w:rsidR="0004044E" w:rsidRPr="00773D72" w:rsidRDefault="0004044E" w:rsidP="0004044E">
      <w:pPr>
        <w:pStyle w:val="Header"/>
      </w:pPr>
      <w:r w:rsidRPr="00773D72">
        <w:rPr>
          <w:rStyle w:val="CharAmPartNo"/>
        </w:rPr>
        <w:t xml:space="preserve"> </w:t>
      </w:r>
      <w:r w:rsidRPr="00773D72">
        <w:rPr>
          <w:rStyle w:val="CharAmPartText"/>
        </w:rPr>
        <w:t xml:space="preserve"> </w:t>
      </w:r>
    </w:p>
    <w:p w:rsidR="006E65B4" w:rsidRPr="00773D72" w:rsidRDefault="006E65B4" w:rsidP="006E65B4">
      <w:pPr>
        <w:pStyle w:val="ActHead9"/>
      </w:pPr>
      <w:bookmarkStart w:id="14" w:name="_Toc419799024"/>
      <w:r w:rsidRPr="00773D72">
        <w:t>Therapeutic Goods (Charges) Regulations</w:t>
      </w:r>
      <w:r w:rsidR="00773D72" w:rsidRPr="00773D72">
        <w:t> </w:t>
      </w:r>
      <w:r w:rsidRPr="00773D72">
        <w:t>1990</w:t>
      </w:r>
      <w:bookmarkEnd w:id="14"/>
    </w:p>
    <w:p w:rsidR="00E62E16" w:rsidRPr="00773D72" w:rsidRDefault="00705580" w:rsidP="00E62E16">
      <w:pPr>
        <w:pStyle w:val="ItemHead"/>
      </w:pPr>
      <w:r w:rsidRPr="00773D72">
        <w:t>1</w:t>
      </w:r>
      <w:r w:rsidR="00E62E16" w:rsidRPr="00773D72">
        <w:t xml:space="preserve">  Paragraph 3(1)(a)</w:t>
      </w:r>
    </w:p>
    <w:p w:rsidR="00E62E16" w:rsidRPr="00773D72" w:rsidRDefault="00E62E16" w:rsidP="00E62E16">
      <w:pPr>
        <w:pStyle w:val="Item"/>
      </w:pPr>
      <w:r w:rsidRPr="00773D72">
        <w:t>Omit “of a kind”.</w:t>
      </w:r>
    </w:p>
    <w:p w:rsidR="00E62E16" w:rsidRPr="00773D72" w:rsidRDefault="00705580" w:rsidP="00E62E16">
      <w:pPr>
        <w:pStyle w:val="ItemHead"/>
      </w:pPr>
      <w:r w:rsidRPr="00773D72">
        <w:t>2</w:t>
      </w:r>
      <w:r w:rsidR="00E62E16" w:rsidRPr="00773D72">
        <w:t xml:space="preserve">  Paragraph 3(1)(a)</w:t>
      </w:r>
    </w:p>
    <w:p w:rsidR="00E62E16" w:rsidRPr="00773D72" w:rsidRDefault="000C7F0B" w:rsidP="00E62E16">
      <w:pPr>
        <w:pStyle w:val="Item"/>
      </w:pPr>
      <w:r w:rsidRPr="00773D72">
        <w:t>Omit</w:t>
      </w:r>
      <w:r w:rsidR="00E62E16" w:rsidRPr="00773D72">
        <w:t xml:space="preserve"> “</w:t>
      </w:r>
      <w:r w:rsidR="0001155D" w:rsidRPr="00773D72">
        <w:t>that is not</w:t>
      </w:r>
      <w:r w:rsidR="00E62E16" w:rsidRPr="00773D72">
        <w:t xml:space="preserve">”, </w:t>
      </w:r>
      <w:r w:rsidRPr="00773D72">
        <w:t xml:space="preserve">substitute </w:t>
      </w:r>
      <w:r w:rsidR="00E62E16" w:rsidRPr="00773D72">
        <w:t>“that are of a kind</w:t>
      </w:r>
      <w:r w:rsidR="0001155D" w:rsidRPr="00773D72">
        <w:t xml:space="preserve"> not</w:t>
      </w:r>
      <w:r w:rsidR="00E62E16" w:rsidRPr="00773D72">
        <w:t>”.</w:t>
      </w:r>
    </w:p>
    <w:p w:rsidR="006D3667" w:rsidRPr="00773D72" w:rsidRDefault="00705580" w:rsidP="006E65B4">
      <w:pPr>
        <w:pStyle w:val="ItemHead"/>
      </w:pPr>
      <w:r w:rsidRPr="00773D72">
        <w:t>3</w:t>
      </w:r>
      <w:r w:rsidR="00BB6E79" w:rsidRPr="00773D72">
        <w:t xml:space="preserve">  </w:t>
      </w:r>
      <w:r w:rsidR="006E65B4" w:rsidRPr="00773D72">
        <w:t>Paragraph 3(1)(b)</w:t>
      </w:r>
    </w:p>
    <w:p w:rsidR="006E65B4" w:rsidRPr="00773D72" w:rsidRDefault="006E65B4" w:rsidP="006E65B4">
      <w:pPr>
        <w:pStyle w:val="Item"/>
      </w:pPr>
      <w:r w:rsidRPr="00773D72">
        <w:t>Repeal the paragraph, substitute:</w:t>
      </w:r>
    </w:p>
    <w:p w:rsidR="006E65B4" w:rsidRPr="00773D72" w:rsidRDefault="006E65B4" w:rsidP="006E65B4">
      <w:pPr>
        <w:pStyle w:val="paragraph"/>
      </w:pPr>
      <w:r w:rsidRPr="00773D72">
        <w:tab/>
        <w:t>(b)</w:t>
      </w:r>
      <w:r w:rsidRPr="00773D72">
        <w:tab/>
        <w:t>for goods:</w:t>
      </w:r>
    </w:p>
    <w:p w:rsidR="006E65B4" w:rsidRPr="00773D72" w:rsidRDefault="006E65B4" w:rsidP="006E65B4">
      <w:pPr>
        <w:pStyle w:val="paragraphsub"/>
      </w:pPr>
      <w:r w:rsidRPr="00773D72">
        <w:tab/>
        <w:t>(i)</w:t>
      </w:r>
      <w:r w:rsidRPr="00773D72">
        <w:tab/>
        <w:t>whose registration is in force at any time during the financial year to which the charge relates; and</w:t>
      </w:r>
    </w:p>
    <w:p w:rsidR="006E65B4" w:rsidRPr="00773D72" w:rsidRDefault="006E65B4" w:rsidP="006E65B4">
      <w:pPr>
        <w:pStyle w:val="paragraphsub"/>
      </w:pPr>
      <w:r w:rsidRPr="00773D72">
        <w:tab/>
        <w:t>(ii)</w:t>
      </w:r>
      <w:r w:rsidRPr="00773D72">
        <w:tab/>
        <w:t>that are</w:t>
      </w:r>
      <w:r w:rsidR="00094262" w:rsidRPr="00773D72">
        <w:t xml:space="preserve"> of a kind </w:t>
      </w:r>
      <w:r w:rsidRPr="00773D72">
        <w:t>mentioned in Part</w:t>
      </w:r>
      <w:r w:rsidR="00773D72" w:rsidRPr="00773D72">
        <w:t> </w:t>
      </w:r>
      <w:r w:rsidRPr="00773D72">
        <w:t>1 of Schedule</w:t>
      </w:r>
      <w:r w:rsidR="00773D72" w:rsidRPr="00773D72">
        <w:t> </w:t>
      </w:r>
      <w:r w:rsidRPr="00773D72">
        <w:t xml:space="preserve">10 to the </w:t>
      </w:r>
      <w:r w:rsidRPr="00773D72">
        <w:rPr>
          <w:i/>
        </w:rPr>
        <w:t>Therapeutic Goods Regulations</w:t>
      </w:r>
      <w:r w:rsidR="00773D72" w:rsidRPr="00773D72">
        <w:rPr>
          <w:i/>
        </w:rPr>
        <w:t> </w:t>
      </w:r>
      <w:r w:rsidRPr="00773D72">
        <w:rPr>
          <w:i/>
        </w:rPr>
        <w:t>1990</w:t>
      </w:r>
      <w:r w:rsidRPr="00773D72">
        <w:t>; and</w:t>
      </w:r>
    </w:p>
    <w:p w:rsidR="006E65B4" w:rsidRPr="00773D72" w:rsidRDefault="006E65B4" w:rsidP="006E65B4">
      <w:pPr>
        <w:pStyle w:val="paragraphsub"/>
      </w:pPr>
      <w:r w:rsidRPr="00773D72">
        <w:tab/>
        <w:t>(iii)</w:t>
      </w:r>
      <w:r w:rsidRPr="00773D72">
        <w:tab/>
        <w:t xml:space="preserve">that are </w:t>
      </w:r>
      <w:r w:rsidR="00094262" w:rsidRPr="00773D72">
        <w:t xml:space="preserve">a </w:t>
      </w:r>
      <w:r w:rsidRPr="00773D72">
        <w:t>biologic;</w:t>
      </w:r>
    </w:p>
    <w:p w:rsidR="006E65B4" w:rsidRPr="00773D72" w:rsidRDefault="006E65B4" w:rsidP="006E65B4">
      <w:pPr>
        <w:pStyle w:val="paragraph"/>
      </w:pPr>
      <w:r w:rsidRPr="00773D72">
        <w:tab/>
      </w:r>
      <w:r w:rsidRPr="00773D72">
        <w:tab/>
        <w:t>$6</w:t>
      </w:r>
      <w:r w:rsidR="00773D72" w:rsidRPr="00773D72">
        <w:t> </w:t>
      </w:r>
      <w:r w:rsidRPr="00773D72">
        <w:t>725; and</w:t>
      </w:r>
    </w:p>
    <w:p w:rsidR="006E65B4" w:rsidRPr="00773D72" w:rsidRDefault="00705580" w:rsidP="006E65B4">
      <w:pPr>
        <w:pStyle w:val="ItemHead"/>
      </w:pPr>
      <w:r w:rsidRPr="00773D72">
        <w:t>4</w:t>
      </w:r>
      <w:r w:rsidR="006E65B4" w:rsidRPr="00773D72">
        <w:t xml:space="preserve">  At the end of subregulation</w:t>
      </w:r>
      <w:r w:rsidR="00773D72" w:rsidRPr="00773D72">
        <w:t> </w:t>
      </w:r>
      <w:r w:rsidR="006E65B4" w:rsidRPr="00773D72">
        <w:t>3(1)</w:t>
      </w:r>
    </w:p>
    <w:p w:rsidR="006E65B4" w:rsidRPr="00773D72" w:rsidRDefault="006E65B4" w:rsidP="006E65B4">
      <w:pPr>
        <w:pStyle w:val="Item"/>
      </w:pPr>
      <w:r w:rsidRPr="00773D72">
        <w:t>Add:</w:t>
      </w:r>
    </w:p>
    <w:p w:rsidR="006E65B4" w:rsidRPr="00773D72" w:rsidRDefault="006E65B4" w:rsidP="006E65B4">
      <w:pPr>
        <w:pStyle w:val="notetext"/>
      </w:pPr>
      <w:r w:rsidRPr="00773D72">
        <w:t>Note:</w:t>
      </w:r>
      <w:r w:rsidRPr="00773D72">
        <w:tab/>
        <w:t xml:space="preserve">For goods </w:t>
      </w:r>
      <w:r w:rsidR="00E2612B" w:rsidRPr="00773D72">
        <w:t xml:space="preserve">of a kind </w:t>
      </w:r>
      <w:r w:rsidRPr="00773D72">
        <w:t>mentioned in Part</w:t>
      </w:r>
      <w:r w:rsidR="00773D72" w:rsidRPr="00773D72">
        <w:t> </w:t>
      </w:r>
      <w:r w:rsidRPr="00773D72">
        <w:t>1 of Schedule</w:t>
      </w:r>
      <w:r w:rsidR="00773D72" w:rsidRPr="00773D72">
        <w:t> </w:t>
      </w:r>
      <w:r w:rsidRPr="00773D72">
        <w:t xml:space="preserve">10 to the </w:t>
      </w:r>
      <w:r w:rsidRPr="00773D72">
        <w:rPr>
          <w:i/>
        </w:rPr>
        <w:t>Therapeutic Goods Regulations</w:t>
      </w:r>
      <w:r w:rsidR="00773D72" w:rsidRPr="00773D72">
        <w:rPr>
          <w:i/>
        </w:rPr>
        <w:t> </w:t>
      </w:r>
      <w:r w:rsidRPr="00773D72">
        <w:rPr>
          <w:i/>
        </w:rPr>
        <w:t>1990</w:t>
      </w:r>
      <w:r w:rsidR="0001155D" w:rsidRPr="00773D72">
        <w:rPr>
          <w:i/>
        </w:rPr>
        <w:t xml:space="preserve"> </w:t>
      </w:r>
      <w:r w:rsidR="0001155D" w:rsidRPr="00773D72">
        <w:t>that are not a biologic</w:t>
      </w:r>
      <w:r w:rsidRPr="00773D72">
        <w:t>, see regulation</w:t>
      </w:r>
      <w:r w:rsidR="00773D72" w:rsidRPr="00773D72">
        <w:t> </w:t>
      </w:r>
      <w:r w:rsidRPr="00773D72">
        <w:t>4.</w:t>
      </w:r>
    </w:p>
    <w:p w:rsidR="00816E1D" w:rsidRPr="00773D72" w:rsidRDefault="00705580" w:rsidP="00816E1D">
      <w:pPr>
        <w:pStyle w:val="ItemHead"/>
      </w:pPr>
      <w:r w:rsidRPr="00773D72">
        <w:t>5</w:t>
      </w:r>
      <w:r w:rsidR="00816E1D" w:rsidRPr="00773D72">
        <w:t xml:space="preserve">  Paragraph 3(1A)(a)</w:t>
      </w:r>
    </w:p>
    <w:p w:rsidR="00816E1D" w:rsidRPr="00773D72" w:rsidRDefault="000C7F0B" w:rsidP="00816E1D">
      <w:pPr>
        <w:pStyle w:val="Item"/>
      </w:pPr>
      <w:r w:rsidRPr="00773D72">
        <w:t>Omit</w:t>
      </w:r>
      <w:r w:rsidR="00816E1D" w:rsidRPr="00773D72">
        <w:t xml:space="preserve"> “</w:t>
      </w:r>
      <w:r w:rsidR="0001155D" w:rsidRPr="00773D72">
        <w:t>that are not</w:t>
      </w:r>
      <w:r w:rsidR="00816E1D" w:rsidRPr="00773D72">
        <w:t xml:space="preserve">”, </w:t>
      </w:r>
      <w:r w:rsidRPr="00773D72">
        <w:t xml:space="preserve">substitute </w:t>
      </w:r>
      <w:r w:rsidR="00816E1D" w:rsidRPr="00773D72">
        <w:t>“that are of a kind</w:t>
      </w:r>
      <w:r w:rsidR="0001155D" w:rsidRPr="00773D72">
        <w:t xml:space="preserve"> not</w:t>
      </w:r>
      <w:r w:rsidR="00816E1D" w:rsidRPr="00773D72">
        <w:t>”.</w:t>
      </w:r>
    </w:p>
    <w:p w:rsidR="006E65B4" w:rsidRPr="00773D72" w:rsidRDefault="00705580" w:rsidP="006E65B4">
      <w:pPr>
        <w:pStyle w:val="ItemHead"/>
      </w:pPr>
      <w:r w:rsidRPr="00773D72">
        <w:t>6</w:t>
      </w:r>
      <w:r w:rsidR="006E65B4" w:rsidRPr="00773D72">
        <w:t xml:space="preserve">  Paragraph 3(1A)(b)</w:t>
      </w:r>
    </w:p>
    <w:p w:rsidR="006E65B4" w:rsidRPr="00773D72" w:rsidRDefault="006E65B4" w:rsidP="006E65B4">
      <w:pPr>
        <w:pStyle w:val="Item"/>
      </w:pPr>
      <w:r w:rsidRPr="00773D72">
        <w:t>Repeal the paragraph, substitute:</w:t>
      </w:r>
    </w:p>
    <w:p w:rsidR="006E65B4" w:rsidRPr="00773D72" w:rsidRDefault="006E65B4" w:rsidP="006E65B4">
      <w:pPr>
        <w:pStyle w:val="paragraph"/>
      </w:pPr>
      <w:r w:rsidRPr="00773D72">
        <w:tab/>
        <w:t>(b)</w:t>
      </w:r>
      <w:r w:rsidRPr="00773D72">
        <w:tab/>
        <w:t xml:space="preserve">for grouped </w:t>
      </w:r>
      <w:r w:rsidR="00934C2E" w:rsidRPr="00773D72">
        <w:t xml:space="preserve">therapeutic </w:t>
      </w:r>
      <w:r w:rsidRPr="00773D72">
        <w:t>goods:</w:t>
      </w:r>
    </w:p>
    <w:p w:rsidR="006E65B4" w:rsidRPr="00773D72" w:rsidRDefault="006E65B4" w:rsidP="006E65B4">
      <w:pPr>
        <w:pStyle w:val="paragraphsub"/>
      </w:pPr>
      <w:r w:rsidRPr="00773D72">
        <w:tab/>
        <w:t>(i)</w:t>
      </w:r>
      <w:r w:rsidRPr="00773D72">
        <w:tab/>
        <w:t>whose registration is in force at any time during the financial year to which the charge relates; and</w:t>
      </w:r>
    </w:p>
    <w:p w:rsidR="006E65B4" w:rsidRPr="00773D72" w:rsidRDefault="006E65B4" w:rsidP="006E65B4">
      <w:pPr>
        <w:pStyle w:val="paragraphsub"/>
      </w:pPr>
      <w:r w:rsidRPr="00773D72">
        <w:tab/>
        <w:t>(ii)</w:t>
      </w:r>
      <w:r w:rsidRPr="00773D72">
        <w:tab/>
        <w:t xml:space="preserve">that are </w:t>
      </w:r>
      <w:r w:rsidR="00816E1D" w:rsidRPr="00773D72">
        <w:t xml:space="preserve">of a kind </w:t>
      </w:r>
      <w:r w:rsidRPr="00773D72">
        <w:t>mentioned in Part</w:t>
      </w:r>
      <w:r w:rsidR="00773D72" w:rsidRPr="00773D72">
        <w:t> </w:t>
      </w:r>
      <w:r w:rsidRPr="00773D72">
        <w:t>1 of Schedule</w:t>
      </w:r>
      <w:r w:rsidR="00773D72" w:rsidRPr="00773D72">
        <w:t> </w:t>
      </w:r>
      <w:r w:rsidRPr="00773D72">
        <w:t xml:space="preserve">10 to the </w:t>
      </w:r>
      <w:r w:rsidRPr="00773D72">
        <w:rPr>
          <w:i/>
        </w:rPr>
        <w:t>Therapeutic Goods Regulations</w:t>
      </w:r>
      <w:r w:rsidR="00773D72" w:rsidRPr="00773D72">
        <w:rPr>
          <w:i/>
        </w:rPr>
        <w:t> </w:t>
      </w:r>
      <w:r w:rsidRPr="00773D72">
        <w:rPr>
          <w:i/>
        </w:rPr>
        <w:t>1990</w:t>
      </w:r>
      <w:r w:rsidRPr="00773D72">
        <w:t>; and</w:t>
      </w:r>
    </w:p>
    <w:p w:rsidR="006E65B4" w:rsidRPr="00773D72" w:rsidRDefault="006E65B4" w:rsidP="006E65B4">
      <w:pPr>
        <w:pStyle w:val="paragraphsub"/>
      </w:pPr>
      <w:r w:rsidRPr="00773D72">
        <w:tab/>
        <w:t>(iii)</w:t>
      </w:r>
      <w:r w:rsidRPr="00773D72">
        <w:tab/>
        <w:t>that are biologic</w:t>
      </w:r>
      <w:r w:rsidR="00E5658C" w:rsidRPr="00773D72">
        <w:t>s</w:t>
      </w:r>
      <w:r w:rsidRPr="00773D72">
        <w:t>;</w:t>
      </w:r>
    </w:p>
    <w:p w:rsidR="006E65B4" w:rsidRPr="00773D72" w:rsidRDefault="006E65B4" w:rsidP="006E65B4">
      <w:pPr>
        <w:pStyle w:val="paragraph"/>
      </w:pPr>
      <w:r w:rsidRPr="00773D72">
        <w:tab/>
      </w:r>
      <w:r w:rsidRPr="00773D72">
        <w:tab/>
        <w:t>$6</w:t>
      </w:r>
      <w:r w:rsidR="00773D72" w:rsidRPr="00773D72">
        <w:t> </w:t>
      </w:r>
      <w:r w:rsidRPr="00773D72">
        <w:t>725; and</w:t>
      </w:r>
    </w:p>
    <w:p w:rsidR="006E65B4" w:rsidRPr="00773D72" w:rsidRDefault="00705580" w:rsidP="006E65B4">
      <w:pPr>
        <w:pStyle w:val="ItemHead"/>
      </w:pPr>
      <w:r w:rsidRPr="00773D72">
        <w:t>7</w:t>
      </w:r>
      <w:r w:rsidR="006E65B4" w:rsidRPr="00773D72">
        <w:t xml:space="preserve">  At the end of subregulation</w:t>
      </w:r>
      <w:r w:rsidR="00773D72" w:rsidRPr="00773D72">
        <w:t> </w:t>
      </w:r>
      <w:r w:rsidR="006E65B4" w:rsidRPr="00773D72">
        <w:t>3(1A)</w:t>
      </w:r>
    </w:p>
    <w:p w:rsidR="006E65B4" w:rsidRPr="00773D72" w:rsidRDefault="006E65B4" w:rsidP="006E65B4">
      <w:pPr>
        <w:pStyle w:val="Item"/>
      </w:pPr>
      <w:r w:rsidRPr="00773D72">
        <w:t>Add:</w:t>
      </w:r>
    </w:p>
    <w:p w:rsidR="006E65B4" w:rsidRPr="00773D72" w:rsidRDefault="006E65B4" w:rsidP="006E65B4">
      <w:pPr>
        <w:pStyle w:val="notetext"/>
      </w:pPr>
      <w:r w:rsidRPr="00773D72">
        <w:t>Note:</w:t>
      </w:r>
      <w:r w:rsidRPr="00773D72">
        <w:tab/>
        <w:t xml:space="preserve">For grouped </w:t>
      </w:r>
      <w:r w:rsidR="00934C2E" w:rsidRPr="00773D72">
        <w:t xml:space="preserve">therapeutic </w:t>
      </w:r>
      <w:r w:rsidRPr="00773D72">
        <w:t xml:space="preserve">goods </w:t>
      </w:r>
      <w:r w:rsidR="00816E1D" w:rsidRPr="00773D72">
        <w:t xml:space="preserve">of a kind </w:t>
      </w:r>
      <w:r w:rsidRPr="00773D72">
        <w:t>mentioned in Part</w:t>
      </w:r>
      <w:r w:rsidR="00773D72" w:rsidRPr="00773D72">
        <w:t> </w:t>
      </w:r>
      <w:r w:rsidRPr="00773D72">
        <w:t>1 of Schedule</w:t>
      </w:r>
      <w:r w:rsidR="00773D72" w:rsidRPr="00773D72">
        <w:t> </w:t>
      </w:r>
      <w:r w:rsidRPr="00773D72">
        <w:t xml:space="preserve">10 to the </w:t>
      </w:r>
      <w:r w:rsidRPr="00773D72">
        <w:rPr>
          <w:i/>
        </w:rPr>
        <w:t>Therapeutic Goods Regulations</w:t>
      </w:r>
      <w:r w:rsidR="00773D72" w:rsidRPr="00773D72">
        <w:rPr>
          <w:i/>
        </w:rPr>
        <w:t> </w:t>
      </w:r>
      <w:r w:rsidRPr="00773D72">
        <w:rPr>
          <w:i/>
        </w:rPr>
        <w:t>1990</w:t>
      </w:r>
      <w:r w:rsidR="004920AA" w:rsidRPr="00773D72">
        <w:rPr>
          <w:i/>
        </w:rPr>
        <w:t xml:space="preserve"> </w:t>
      </w:r>
      <w:r w:rsidR="004920AA" w:rsidRPr="00773D72">
        <w:t>that are not biologics</w:t>
      </w:r>
      <w:r w:rsidRPr="00773D72">
        <w:t>, see regulation</w:t>
      </w:r>
      <w:r w:rsidR="00773D72" w:rsidRPr="00773D72">
        <w:t> </w:t>
      </w:r>
      <w:r w:rsidRPr="00773D72">
        <w:t>4.</w:t>
      </w:r>
    </w:p>
    <w:p w:rsidR="006E65B4" w:rsidRPr="00773D72" w:rsidRDefault="00705580" w:rsidP="006E65B4">
      <w:pPr>
        <w:pStyle w:val="ItemHead"/>
      </w:pPr>
      <w:r w:rsidRPr="00773D72">
        <w:t>8</w:t>
      </w:r>
      <w:r w:rsidR="00B7281F" w:rsidRPr="00773D72">
        <w:t xml:space="preserve">  At the end of the R</w:t>
      </w:r>
      <w:r w:rsidR="006E65B4" w:rsidRPr="00773D72">
        <w:t>egulations</w:t>
      </w:r>
    </w:p>
    <w:p w:rsidR="006E65B4" w:rsidRPr="00773D72" w:rsidRDefault="006E65B4" w:rsidP="006E65B4">
      <w:pPr>
        <w:pStyle w:val="Item"/>
      </w:pPr>
      <w:r w:rsidRPr="00773D72">
        <w:t>Add:</w:t>
      </w:r>
    </w:p>
    <w:p w:rsidR="006E65B4" w:rsidRPr="00773D72" w:rsidRDefault="006E65B4" w:rsidP="006E65B4">
      <w:pPr>
        <w:pStyle w:val="ActHead5"/>
      </w:pPr>
      <w:bookmarkStart w:id="15" w:name="_Toc419799025"/>
      <w:r w:rsidRPr="00773D72">
        <w:rPr>
          <w:rStyle w:val="CharSectno"/>
        </w:rPr>
        <w:t>4</w:t>
      </w:r>
      <w:r w:rsidRPr="00773D72">
        <w:t xml:space="preserve">  </w:t>
      </w:r>
      <w:r w:rsidR="00421BB2" w:rsidRPr="00773D72">
        <w:t>Annual c</w:t>
      </w:r>
      <w:r w:rsidRPr="00773D72">
        <w:t xml:space="preserve">harges for </w:t>
      </w:r>
      <w:r w:rsidR="00B244A8" w:rsidRPr="00773D72">
        <w:t xml:space="preserve">goods </w:t>
      </w:r>
      <w:r w:rsidRPr="00773D72">
        <w:t>that are not biologics</w:t>
      </w:r>
      <w:bookmarkEnd w:id="15"/>
    </w:p>
    <w:p w:rsidR="00391AF7" w:rsidRPr="00773D72" w:rsidRDefault="006E65B4" w:rsidP="006E65B4">
      <w:pPr>
        <w:pStyle w:val="subsection"/>
      </w:pPr>
      <w:r w:rsidRPr="00773D72">
        <w:tab/>
        <w:t>(1)</w:t>
      </w:r>
      <w:r w:rsidRPr="00773D72">
        <w:tab/>
      </w:r>
      <w:r w:rsidR="00E5658C" w:rsidRPr="00773D72">
        <w:t>For the purposes of subsections</w:t>
      </w:r>
      <w:r w:rsidR="00773D72" w:rsidRPr="00773D72">
        <w:t> </w:t>
      </w:r>
      <w:r w:rsidR="00E5658C" w:rsidRPr="00773D72">
        <w:t>4(1) and (1A) of the Act, t</w:t>
      </w:r>
      <w:r w:rsidRPr="00773D72">
        <w:t xml:space="preserve">his </w:t>
      </w:r>
      <w:r w:rsidR="00391AF7" w:rsidRPr="00773D72">
        <w:t xml:space="preserve">regulation sets out the annual charge for </w:t>
      </w:r>
      <w:r w:rsidR="00E5658C" w:rsidRPr="00773D72">
        <w:t xml:space="preserve">the </w:t>
      </w:r>
      <w:r w:rsidR="00391AF7" w:rsidRPr="00773D72">
        <w:t>registration of therapeutic goods if:</w:t>
      </w:r>
    </w:p>
    <w:p w:rsidR="00391AF7" w:rsidRPr="00773D72" w:rsidRDefault="00391AF7" w:rsidP="00391AF7">
      <w:pPr>
        <w:pStyle w:val="paragraph"/>
      </w:pPr>
      <w:r w:rsidRPr="00773D72">
        <w:tab/>
        <w:t>(a)</w:t>
      </w:r>
      <w:r w:rsidRPr="00773D72">
        <w:tab/>
      </w:r>
      <w:r w:rsidR="00B244A8" w:rsidRPr="00773D72">
        <w:t xml:space="preserve">the registration </w:t>
      </w:r>
      <w:r w:rsidR="005C4461" w:rsidRPr="00773D72">
        <w:t xml:space="preserve">of </w:t>
      </w:r>
      <w:r w:rsidRPr="00773D72">
        <w:t xml:space="preserve">the goods </w:t>
      </w:r>
      <w:r w:rsidR="000F171A" w:rsidRPr="00773D72">
        <w:t xml:space="preserve">is </w:t>
      </w:r>
      <w:r w:rsidRPr="00773D72">
        <w:t>in force at any time during the financial year</w:t>
      </w:r>
      <w:r w:rsidR="00ED3231" w:rsidRPr="00773D72">
        <w:t xml:space="preserve"> (the </w:t>
      </w:r>
      <w:r w:rsidR="00ED3231" w:rsidRPr="00773D72">
        <w:rPr>
          <w:b/>
          <w:i/>
        </w:rPr>
        <w:t>charge year</w:t>
      </w:r>
      <w:r w:rsidR="00ED3231" w:rsidRPr="00773D72">
        <w:t>) to which the charge relates</w:t>
      </w:r>
      <w:r w:rsidRPr="00773D72">
        <w:t>; and</w:t>
      </w:r>
    </w:p>
    <w:p w:rsidR="00391AF7" w:rsidRPr="00773D72" w:rsidRDefault="00391AF7" w:rsidP="00391AF7">
      <w:pPr>
        <w:pStyle w:val="paragraph"/>
      </w:pPr>
      <w:r w:rsidRPr="00773D72">
        <w:tab/>
        <w:t>(b)</w:t>
      </w:r>
      <w:r w:rsidRPr="00773D72">
        <w:tab/>
        <w:t xml:space="preserve">the goods are </w:t>
      </w:r>
      <w:r w:rsidR="00B244A8" w:rsidRPr="00773D72">
        <w:t xml:space="preserve">of a kind </w:t>
      </w:r>
      <w:r w:rsidRPr="00773D72">
        <w:t>mentioned in Part</w:t>
      </w:r>
      <w:r w:rsidR="00773D72" w:rsidRPr="00773D72">
        <w:t> </w:t>
      </w:r>
      <w:r w:rsidRPr="00773D72">
        <w:t>1 of Schedule</w:t>
      </w:r>
      <w:r w:rsidR="00773D72" w:rsidRPr="00773D72">
        <w:t> </w:t>
      </w:r>
      <w:r w:rsidRPr="00773D72">
        <w:t xml:space="preserve">10 to the </w:t>
      </w:r>
      <w:r w:rsidRPr="00773D72">
        <w:rPr>
          <w:i/>
        </w:rPr>
        <w:t>Therapeutic Goods Regulations</w:t>
      </w:r>
      <w:r w:rsidR="00773D72" w:rsidRPr="00773D72">
        <w:rPr>
          <w:i/>
        </w:rPr>
        <w:t> </w:t>
      </w:r>
      <w:r w:rsidRPr="00773D72">
        <w:rPr>
          <w:i/>
        </w:rPr>
        <w:t>1990</w:t>
      </w:r>
      <w:r w:rsidRPr="00773D72">
        <w:t>; and</w:t>
      </w:r>
    </w:p>
    <w:p w:rsidR="009B0BB8" w:rsidRPr="00773D72" w:rsidRDefault="00391AF7" w:rsidP="00391AF7">
      <w:pPr>
        <w:pStyle w:val="paragraph"/>
      </w:pPr>
      <w:r w:rsidRPr="00773D72">
        <w:tab/>
        <w:t>(c)</w:t>
      </w:r>
      <w:r w:rsidRPr="00773D72">
        <w:tab/>
      </w:r>
      <w:r w:rsidR="009B0BB8" w:rsidRPr="00773D72">
        <w:t>either:</w:t>
      </w:r>
    </w:p>
    <w:p w:rsidR="00E6663F" w:rsidRPr="00773D72" w:rsidRDefault="00E6663F" w:rsidP="00E6663F">
      <w:pPr>
        <w:pStyle w:val="paragraphsub"/>
      </w:pPr>
      <w:r w:rsidRPr="00773D72">
        <w:tab/>
        <w:t>(i)</w:t>
      </w:r>
      <w:r w:rsidRPr="00773D72">
        <w:tab/>
        <w:t xml:space="preserve">if the goods are not grouped </w:t>
      </w:r>
      <w:r w:rsidR="00934C2E" w:rsidRPr="00773D72">
        <w:t xml:space="preserve">therapeutic </w:t>
      </w:r>
      <w:r w:rsidRPr="00773D72">
        <w:t>goods—the goods are not a biologic; or</w:t>
      </w:r>
    </w:p>
    <w:p w:rsidR="009B0BB8" w:rsidRPr="00773D72" w:rsidRDefault="009B0BB8" w:rsidP="009B0BB8">
      <w:pPr>
        <w:pStyle w:val="paragraphsub"/>
      </w:pPr>
      <w:r w:rsidRPr="00773D72">
        <w:tab/>
        <w:t>(i</w:t>
      </w:r>
      <w:r w:rsidR="00E6663F" w:rsidRPr="00773D72">
        <w:t>i</w:t>
      </w:r>
      <w:r w:rsidRPr="00773D72">
        <w:t>)</w:t>
      </w:r>
      <w:r w:rsidRPr="00773D72">
        <w:tab/>
      </w:r>
      <w:r w:rsidR="007879DD" w:rsidRPr="00773D72">
        <w:t xml:space="preserve">if the goods are </w:t>
      </w:r>
      <w:r w:rsidRPr="00773D72">
        <w:t xml:space="preserve">grouped </w:t>
      </w:r>
      <w:r w:rsidR="00934C2E" w:rsidRPr="00773D72">
        <w:t xml:space="preserve">therapeutic </w:t>
      </w:r>
      <w:r w:rsidRPr="00773D72">
        <w:t>goods—</w:t>
      </w:r>
      <w:r w:rsidR="00391AF7" w:rsidRPr="00773D72">
        <w:t>the goods are not biologic</w:t>
      </w:r>
      <w:r w:rsidRPr="00773D72">
        <w:t>s</w:t>
      </w:r>
      <w:r w:rsidR="00E6663F" w:rsidRPr="00773D72">
        <w:t>.</w:t>
      </w:r>
    </w:p>
    <w:p w:rsidR="00FF39BA" w:rsidRPr="00773D72" w:rsidRDefault="00FF39BA" w:rsidP="00FF39BA">
      <w:pPr>
        <w:pStyle w:val="SubsectionHead"/>
      </w:pPr>
      <w:r w:rsidRPr="00773D72">
        <w:t xml:space="preserve">When the higher </w:t>
      </w:r>
      <w:r w:rsidR="001D6771" w:rsidRPr="00773D72">
        <w:t xml:space="preserve">and lower </w:t>
      </w:r>
      <w:r w:rsidRPr="00773D72">
        <w:t>amount</w:t>
      </w:r>
      <w:r w:rsidR="001D6771" w:rsidRPr="00773D72">
        <w:t>s</w:t>
      </w:r>
      <w:r w:rsidRPr="00773D72">
        <w:t xml:space="preserve"> </w:t>
      </w:r>
      <w:r w:rsidR="001D6771" w:rsidRPr="00773D72">
        <w:t>are</w:t>
      </w:r>
      <w:r w:rsidRPr="00773D72">
        <w:t xml:space="preserve"> payable</w:t>
      </w:r>
    </w:p>
    <w:p w:rsidR="003F1604" w:rsidRPr="00773D72" w:rsidRDefault="00391AF7" w:rsidP="006E65B4">
      <w:pPr>
        <w:pStyle w:val="subsection"/>
      </w:pPr>
      <w:r w:rsidRPr="00773D72">
        <w:tab/>
        <w:t>(2)</w:t>
      </w:r>
      <w:r w:rsidRPr="00773D72">
        <w:tab/>
      </w:r>
      <w:r w:rsidR="008635FB" w:rsidRPr="00773D72">
        <w:t xml:space="preserve">The annual </w:t>
      </w:r>
      <w:r w:rsidR="00373672" w:rsidRPr="00773D72">
        <w:t>charge</w:t>
      </w:r>
      <w:r w:rsidR="008635FB" w:rsidRPr="00773D72">
        <w:t xml:space="preserve"> for the </w:t>
      </w:r>
      <w:r w:rsidR="00421BB2" w:rsidRPr="00773D72">
        <w:t xml:space="preserve">goods for the </w:t>
      </w:r>
      <w:r w:rsidR="00ED3231" w:rsidRPr="00773D72">
        <w:t>charge</w:t>
      </w:r>
      <w:r w:rsidR="003F1604" w:rsidRPr="00773D72">
        <w:t xml:space="preserve"> year is the higher amount if any </w:t>
      </w:r>
      <w:r w:rsidR="001D6771" w:rsidRPr="00773D72">
        <w:t xml:space="preserve">one </w:t>
      </w:r>
      <w:r w:rsidR="00373672" w:rsidRPr="00773D72">
        <w:t xml:space="preserve">or more </w:t>
      </w:r>
      <w:r w:rsidR="003F1604" w:rsidRPr="00773D72">
        <w:t>of subregulations (3) to (</w:t>
      </w:r>
      <w:r w:rsidR="00BE18A5" w:rsidRPr="00773D72">
        <w:t>8</w:t>
      </w:r>
      <w:r w:rsidR="003F1604" w:rsidRPr="00773D72">
        <w:t xml:space="preserve">) </w:t>
      </w:r>
      <w:r w:rsidR="00A25AE2" w:rsidRPr="00773D72">
        <w:t>apply</w:t>
      </w:r>
      <w:r w:rsidR="00422162" w:rsidRPr="00773D72">
        <w:t xml:space="preserve"> to the goods</w:t>
      </w:r>
      <w:r w:rsidR="003F1604" w:rsidRPr="00773D72">
        <w:t>.</w:t>
      </w:r>
      <w:r w:rsidR="001D6771" w:rsidRPr="00773D72">
        <w:t xml:space="preserve"> Otherwise, the </w:t>
      </w:r>
      <w:r w:rsidR="008013AE" w:rsidRPr="00773D72">
        <w:t xml:space="preserve">annual charge is the </w:t>
      </w:r>
      <w:r w:rsidR="001D6771" w:rsidRPr="00773D72">
        <w:t>lower amount.</w:t>
      </w:r>
    </w:p>
    <w:p w:rsidR="00ED3231" w:rsidRPr="00773D72" w:rsidRDefault="00ED3231" w:rsidP="00ED3231">
      <w:pPr>
        <w:pStyle w:val="notetext"/>
      </w:pPr>
      <w:r w:rsidRPr="00773D72">
        <w:t>Note:</w:t>
      </w:r>
      <w:r w:rsidRPr="00773D72">
        <w:tab/>
      </w:r>
      <w:r w:rsidRPr="00773D72">
        <w:rPr>
          <w:b/>
          <w:i/>
        </w:rPr>
        <w:t>Higher amount</w:t>
      </w:r>
      <w:r w:rsidRPr="00773D72">
        <w:t xml:space="preserve"> and </w:t>
      </w:r>
      <w:r w:rsidRPr="00773D72">
        <w:rPr>
          <w:b/>
          <w:i/>
        </w:rPr>
        <w:t>lower amount</w:t>
      </w:r>
      <w:r w:rsidRPr="00773D72">
        <w:t xml:space="preserve"> are defined in sub</w:t>
      </w:r>
      <w:r w:rsidR="00754E48" w:rsidRPr="00773D72">
        <w:t>regulation</w:t>
      </w:r>
      <w:r w:rsidR="00773D72" w:rsidRPr="00773D72">
        <w:t> </w:t>
      </w:r>
      <w:r w:rsidRPr="00773D72">
        <w:t>(</w:t>
      </w:r>
      <w:r w:rsidR="00C16073" w:rsidRPr="00773D72">
        <w:t>9</w:t>
      </w:r>
      <w:r w:rsidRPr="00773D72">
        <w:t>).</w:t>
      </w:r>
    </w:p>
    <w:p w:rsidR="00373672" w:rsidRPr="00773D72" w:rsidRDefault="00373672" w:rsidP="00373672">
      <w:pPr>
        <w:pStyle w:val="SubsectionHead"/>
      </w:pPr>
      <w:r w:rsidRPr="00773D72">
        <w:t>Goods containing certain active ingredients</w:t>
      </w:r>
    </w:p>
    <w:p w:rsidR="00391AF7" w:rsidRPr="00773D72" w:rsidRDefault="003F1604" w:rsidP="00373672">
      <w:pPr>
        <w:pStyle w:val="subsection"/>
      </w:pPr>
      <w:r w:rsidRPr="00773D72">
        <w:tab/>
        <w:t>(3)</w:t>
      </w:r>
      <w:r w:rsidRPr="00773D72">
        <w:tab/>
        <w:t xml:space="preserve">The </w:t>
      </w:r>
      <w:r w:rsidR="00391AF7" w:rsidRPr="00773D72">
        <w:t xml:space="preserve">goods </w:t>
      </w:r>
      <w:r w:rsidR="008635FB" w:rsidRPr="00773D72">
        <w:t>contain any of the following active ingredients:</w:t>
      </w:r>
    </w:p>
    <w:p w:rsidR="003F1604" w:rsidRPr="00773D72" w:rsidRDefault="003F1604" w:rsidP="003F1604">
      <w:pPr>
        <w:pStyle w:val="paragraph"/>
      </w:pPr>
      <w:r w:rsidRPr="00773D72">
        <w:tab/>
        <w:t>(a)</w:t>
      </w:r>
      <w:r w:rsidRPr="00773D72">
        <w:tab/>
        <w:t>thalidomide;</w:t>
      </w:r>
    </w:p>
    <w:p w:rsidR="003F1604" w:rsidRPr="00773D72" w:rsidRDefault="003F1604" w:rsidP="003F1604">
      <w:pPr>
        <w:pStyle w:val="paragraph"/>
      </w:pPr>
      <w:r w:rsidRPr="00773D72">
        <w:tab/>
        <w:t>(b)</w:t>
      </w:r>
      <w:r w:rsidRPr="00773D72">
        <w:tab/>
        <w:t>leflunomide;</w:t>
      </w:r>
    </w:p>
    <w:p w:rsidR="003F1604" w:rsidRPr="00773D72" w:rsidRDefault="003F1604" w:rsidP="003F1604">
      <w:pPr>
        <w:pStyle w:val="paragraph"/>
      </w:pPr>
      <w:r w:rsidRPr="00773D72">
        <w:tab/>
        <w:t>(c)</w:t>
      </w:r>
      <w:r w:rsidRPr="00773D72">
        <w:tab/>
        <w:t>lenalidomide;</w:t>
      </w:r>
    </w:p>
    <w:p w:rsidR="003F1604" w:rsidRPr="00773D72" w:rsidRDefault="003F1604" w:rsidP="003F1604">
      <w:pPr>
        <w:pStyle w:val="paragraph"/>
      </w:pPr>
      <w:r w:rsidRPr="00773D72">
        <w:tab/>
        <w:t>(d)</w:t>
      </w:r>
      <w:r w:rsidRPr="00773D72">
        <w:tab/>
        <w:t>mifepristone;</w:t>
      </w:r>
    </w:p>
    <w:p w:rsidR="003F1604" w:rsidRPr="00773D72" w:rsidRDefault="003F1604" w:rsidP="003F1604">
      <w:pPr>
        <w:pStyle w:val="paragraph"/>
      </w:pPr>
      <w:r w:rsidRPr="00773D72">
        <w:tab/>
        <w:t>(e)</w:t>
      </w:r>
      <w:r w:rsidRPr="00773D72">
        <w:tab/>
        <w:t>clozapine;</w:t>
      </w:r>
    </w:p>
    <w:p w:rsidR="003F1604" w:rsidRPr="00773D72" w:rsidRDefault="003F1604" w:rsidP="003F1604">
      <w:pPr>
        <w:pStyle w:val="paragraph"/>
      </w:pPr>
      <w:r w:rsidRPr="00773D72">
        <w:tab/>
        <w:t>(f)</w:t>
      </w:r>
      <w:r w:rsidRPr="00773D72">
        <w:tab/>
        <w:t>isotretinoin.</w:t>
      </w:r>
    </w:p>
    <w:p w:rsidR="005147AA" w:rsidRPr="00773D72" w:rsidRDefault="005147AA" w:rsidP="005147AA">
      <w:pPr>
        <w:pStyle w:val="SubsectionHead"/>
      </w:pPr>
      <w:r w:rsidRPr="00773D72">
        <w:t>New chemical entities, extension</w:t>
      </w:r>
      <w:r w:rsidR="00702D2B" w:rsidRPr="00773D72">
        <w:t>s</w:t>
      </w:r>
      <w:r w:rsidRPr="00773D72">
        <w:t xml:space="preserve"> of indications and </w:t>
      </w:r>
      <w:r w:rsidR="00702D2B" w:rsidRPr="00773D72">
        <w:t>changes to intended patient groups</w:t>
      </w:r>
    </w:p>
    <w:p w:rsidR="00FF39BA" w:rsidRPr="00773D72" w:rsidRDefault="00FF39BA" w:rsidP="00FF39BA">
      <w:pPr>
        <w:pStyle w:val="subsection"/>
      </w:pPr>
      <w:r w:rsidRPr="00773D72">
        <w:tab/>
        <w:t>(4)</w:t>
      </w:r>
      <w:r w:rsidRPr="00773D72">
        <w:tab/>
        <w:t>The following conditions are met:</w:t>
      </w:r>
    </w:p>
    <w:p w:rsidR="00FF39BA" w:rsidRPr="00773D72" w:rsidRDefault="00FF39BA" w:rsidP="00FF39BA">
      <w:pPr>
        <w:pStyle w:val="paragraph"/>
      </w:pPr>
      <w:r w:rsidRPr="00773D72">
        <w:tab/>
        <w:t>(a)</w:t>
      </w:r>
      <w:r w:rsidRPr="00773D72">
        <w:tab/>
        <w:t xml:space="preserve">the </w:t>
      </w:r>
      <w:r w:rsidR="00FC21DB" w:rsidRPr="00773D72">
        <w:t xml:space="preserve">registration of the </w:t>
      </w:r>
      <w:r w:rsidRPr="00773D72">
        <w:t xml:space="preserve">goods </w:t>
      </w:r>
      <w:r w:rsidR="00FC21DB" w:rsidRPr="00773D72">
        <w:t xml:space="preserve">commenced </w:t>
      </w:r>
      <w:r w:rsidRPr="00773D72">
        <w:t>on or after 1</w:t>
      </w:r>
      <w:r w:rsidR="00773D72" w:rsidRPr="00773D72">
        <w:t> </w:t>
      </w:r>
      <w:r w:rsidRPr="00773D72">
        <w:t>July 2015;</w:t>
      </w:r>
    </w:p>
    <w:p w:rsidR="00FF39BA" w:rsidRPr="00773D72" w:rsidRDefault="00FF39BA" w:rsidP="00FF39BA">
      <w:pPr>
        <w:pStyle w:val="paragraph"/>
      </w:pPr>
      <w:r w:rsidRPr="00773D72">
        <w:tab/>
        <w:t>(b)</w:t>
      </w:r>
      <w:r w:rsidRPr="00773D72">
        <w:tab/>
      </w:r>
      <w:r w:rsidR="00FC24D2" w:rsidRPr="00773D72">
        <w:t xml:space="preserve">the </w:t>
      </w:r>
      <w:r w:rsidR="00422162" w:rsidRPr="00773D72">
        <w:t xml:space="preserve">goods </w:t>
      </w:r>
      <w:r w:rsidR="004A5371" w:rsidRPr="00773D72">
        <w:t>are</w:t>
      </w:r>
      <w:r w:rsidR="00422162" w:rsidRPr="00773D72">
        <w:t xml:space="preserve"> relevant goods</w:t>
      </w:r>
      <w:r w:rsidRPr="00773D72">
        <w:t>;</w:t>
      </w:r>
    </w:p>
    <w:p w:rsidR="009839AB" w:rsidRPr="00773D72" w:rsidRDefault="009839AB" w:rsidP="00FF39BA">
      <w:pPr>
        <w:pStyle w:val="paragraph"/>
      </w:pPr>
      <w:r w:rsidRPr="00773D72">
        <w:tab/>
        <w:t>(c)</w:t>
      </w:r>
      <w:r w:rsidRPr="00773D72">
        <w:tab/>
      </w:r>
      <w:r w:rsidR="00BE18A5" w:rsidRPr="00773D72">
        <w:t xml:space="preserve">for goods whose </w:t>
      </w:r>
      <w:r w:rsidR="00FC21DB" w:rsidRPr="00773D72">
        <w:t xml:space="preserve">registration commenced before </w:t>
      </w:r>
      <w:r w:rsidR="0022555B" w:rsidRPr="00773D72">
        <w:t xml:space="preserve">the </w:t>
      </w:r>
      <w:r w:rsidR="00BE18A5" w:rsidRPr="00773D72">
        <w:t xml:space="preserve">beginning of the </w:t>
      </w:r>
      <w:r w:rsidR="0022555B" w:rsidRPr="00773D72">
        <w:t>charge year</w:t>
      </w:r>
      <w:r w:rsidR="00ED3231" w:rsidRPr="00773D72">
        <w:t>—</w:t>
      </w:r>
      <w:r w:rsidR="00AC606B" w:rsidRPr="00773D72">
        <w:t>at the beginning of the charge year, the goods have been registered for less than 8 years</w:t>
      </w:r>
      <w:r w:rsidRPr="00773D72">
        <w:t>.</w:t>
      </w:r>
    </w:p>
    <w:p w:rsidR="005147AA" w:rsidRPr="00773D72" w:rsidRDefault="005C4461" w:rsidP="005147AA">
      <w:pPr>
        <w:pStyle w:val="SubsectionHead"/>
      </w:pPr>
      <w:r w:rsidRPr="00773D72">
        <w:t>G</w:t>
      </w:r>
      <w:r w:rsidR="000B7C82" w:rsidRPr="00773D72">
        <w:t xml:space="preserve">oods </w:t>
      </w:r>
      <w:r w:rsidR="00795DFC" w:rsidRPr="00773D72">
        <w:t>whose</w:t>
      </w:r>
      <w:r w:rsidR="005147AA" w:rsidRPr="00773D72">
        <w:t xml:space="preserve"> parent goods </w:t>
      </w:r>
      <w:r w:rsidR="00E66B70" w:rsidRPr="00773D72">
        <w:t>have been registered for less than 8 years</w:t>
      </w:r>
    </w:p>
    <w:p w:rsidR="009839AB" w:rsidRPr="00773D72" w:rsidRDefault="009839AB" w:rsidP="009839AB">
      <w:pPr>
        <w:pStyle w:val="subsection"/>
      </w:pPr>
      <w:r w:rsidRPr="00773D72">
        <w:tab/>
        <w:t>(5)</w:t>
      </w:r>
      <w:r w:rsidRPr="00773D72">
        <w:tab/>
        <w:t>The following conditions are met:</w:t>
      </w:r>
    </w:p>
    <w:p w:rsidR="00617953" w:rsidRPr="00773D72" w:rsidRDefault="00617953" w:rsidP="00617953">
      <w:pPr>
        <w:pStyle w:val="paragraph"/>
      </w:pPr>
      <w:r w:rsidRPr="00773D72">
        <w:tab/>
        <w:t>(a)</w:t>
      </w:r>
      <w:r w:rsidRPr="00773D72">
        <w:tab/>
        <w:t>the registration of the goods commenced on or after 1</w:t>
      </w:r>
      <w:r w:rsidR="00773D72" w:rsidRPr="00773D72">
        <w:t> </w:t>
      </w:r>
      <w:r w:rsidRPr="00773D72">
        <w:t>July 2015;</w:t>
      </w:r>
    </w:p>
    <w:p w:rsidR="003A12D2" w:rsidRPr="00773D72" w:rsidRDefault="003A12D2" w:rsidP="003A12D2">
      <w:pPr>
        <w:pStyle w:val="paragraph"/>
      </w:pPr>
      <w:r w:rsidRPr="00773D72">
        <w:tab/>
        <w:t>(b)</w:t>
      </w:r>
      <w:r w:rsidRPr="00773D72">
        <w:tab/>
        <w:t xml:space="preserve">the goods </w:t>
      </w:r>
      <w:r w:rsidR="004A5371" w:rsidRPr="00773D72">
        <w:t>are</w:t>
      </w:r>
      <w:r w:rsidRPr="00773D72">
        <w:t xml:space="preserve"> </w:t>
      </w:r>
      <w:r w:rsidR="002C26AD" w:rsidRPr="00773D72">
        <w:t xml:space="preserve">not </w:t>
      </w:r>
      <w:r w:rsidRPr="00773D72">
        <w:t>relevant goods;</w:t>
      </w:r>
    </w:p>
    <w:p w:rsidR="009839AB" w:rsidRPr="00773D72" w:rsidRDefault="009839AB" w:rsidP="009839AB">
      <w:pPr>
        <w:pStyle w:val="paragraph"/>
      </w:pPr>
      <w:r w:rsidRPr="00773D72">
        <w:tab/>
        <w:t>(c)</w:t>
      </w:r>
      <w:r w:rsidRPr="00773D72">
        <w:tab/>
        <w:t>subregulation</w:t>
      </w:r>
      <w:r w:rsidR="00773D72" w:rsidRPr="00773D72">
        <w:t> </w:t>
      </w:r>
      <w:r w:rsidRPr="00773D72">
        <w:t>(4)</w:t>
      </w:r>
      <w:r w:rsidR="005036BE" w:rsidRPr="00773D72">
        <w:t xml:space="preserve"> </w:t>
      </w:r>
      <w:r w:rsidR="00413967" w:rsidRPr="00773D72">
        <w:t xml:space="preserve">applies </w:t>
      </w:r>
      <w:r w:rsidR="006B3E0C" w:rsidRPr="00773D72">
        <w:t xml:space="preserve">for the charge year to </w:t>
      </w:r>
      <w:r w:rsidR="00413967" w:rsidRPr="00773D72">
        <w:t xml:space="preserve">the parent goods </w:t>
      </w:r>
      <w:r w:rsidR="00167EF1" w:rsidRPr="00773D72">
        <w:t>of th</w:t>
      </w:r>
      <w:r w:rsidR="00CE7955" w:rsidRPr="00773D72">
        <w:t>os</w:t>
      </w:r>
      <w:r w:rsidR="00167EF1" w:rsidRPr="00773D72">
        <w:t>e goods</w:t>
      </w:r>
      <w:r w:rsidRPr="00773D72">
        <w:t>.</w:t>
      </w:r>
    </w:p>
    <w:p w:rsidR="00A40A4E" w:rsidRPr="00773D72" w:rsidRDefault="001F1B55" w:rsidP="00A40A4E">
      <w:pPr>
        <w:pStyle w:val="SubsectionHead"/>
      </w:pPr>
      <w:r w:rsidRPr="00773D72">
        <w:t>Group</w:t>
      </w:r>
      <w:r w:rsidR="005C4461" w:rsidRPr="00773D72">
        <w:t xml:space="preserve">ed </w:t>
      </w:r>
      <w:r w:rsidR="00934C2E" w:rsidRPr="00773D72">
        <w:t xml:space="preserve">therapeutic </w:t>
      </w:r>
      <w:r w:rsidR="004A5371" w:rsidRPr="00773D72">
        <w:t xml:space="preserve">goods </w:t>
      </w:r>
      <w:r w:rsidR="005C4461" w:rsidRPr="00773D72">
        <w:t xml:space="preserve">as a result of </w:t>
      </w:r>
      <w:r w:rsidR="004A5371" w:rsidRPr="00773D72">
        <w:t xml:space="preserve">extension of indications </w:t>
      </w:r>
      <w:r w:rsidR="005C4461" w:rsidRPr="00773D72">
        <w:t xml:space="preserve">or </w:t>
      </w:r>
      <w:r w:rsidR="004A5371" w:rsidRPr="00773D72">
        <w:t>ch</w:t>
      </w:r>
      <w:r w:rsidR="005C4461" w:rsidRPr="00773D72">
        <w:t>anges to intended patient group</w:t>
      </w:r>
    </w:p>
    <w:p w:rsidR="009839AB" w:rsidRPr="00773D72" w:rsidRDefault="001D6771" w:rsidP="009839AB">
      <w:pPr>
        <w:pStyle w:val="subsection"/>
      </w:pPr>
      <w:r w:rsidRPr="00773D72">
        <w:tab/>
        <w:t>(</w:t>
      </w:r>
      <w:r w:rsidR="00A40A4E" w:rsidRPr="00773D72">
        <w:t>6</w:t>
      </w:r>
      <w:r w:rsidRPr="00773D72">
        <w:t>)</w:t>
      </w:r>
      <w:r w:rsidRPr="00773D72">
        <w:tab/>
        <w:t>The following conditions are met:</w:t>
      </w:r>
    </w:p>
    <w:p w:rsidR="00C16073" w:rsidRPr="00773D72" w:rsidRDefault="00617953" w:rsidP="001D6771">
      <w:pPr>
        <w:pStyle w:val="paragraph"/>
      </w:pPr>
      <w:r w:rsidRPr="00773D72">
        <w:tab/>
        <w:t>(a)</w:t>
      </w:r>
      <w:r w:rsidRPr="00773D72">
        <w:tab/>
      </w:r>
      <w:r w:rsidR="00C16073" w:rsidRPr="00773D72">
        <w:t xml:space="preserve">the goods are grouped </w:t>
      </w:r>
      <w:r w:rsidR="00934C2E" w:rsidRPr="00773D72">
        <w:t xml:space="preserve">therapeutic </w:t>
      </w:r>
      <w:r w:rsidR="00C16073" w:rsidRPr="00773D72">
        <w:t>goods;</w:t>
      </w:r>
    </w:p>
    <w:p w:rsidR="00C16073" w:rsidRPr="00773D72" w:rsidRDefault="00C16073" w:rsidP="001D6771">
      <w:pPr>
        <w:pStyle w:val="paragraph"/>
      </w:pPr>
      <w:r w:rsidRPr="00773D72">
        <w:tab/>
        <w:t>(b)</w:t>
      </w:r>
      <w:r w:rsidRPr="00773D72">
        <w:tab/>
        <w:t xml:space="preserve">relevant goods </w:t>
      </w:r>
      <w:r w:rsidR="008C1960" w:rsidRPr="00773D72">
        <w:t xml:space="preserve">that are </w:t>
      </w:r>
      <w:r w:rsidR="00795DFC" w:rsidRPr="00773D72">
        <w:t>included in</w:t>
      </w:r>
      <w:r w:rsidR="008C1960" w:rsidRPr="00773D72">
        <w:t xml:space="preserve"> those grouped goods </w:t>
      </w:r>
      <w:r w:rsidRPr="00773D72">
        <w:t>were grouped on or after 1</w:t>
      </w:r>
      <w:r w:rsidR="00773D72" w:rsidRPr="00773D72">
        <w:t> </w:t>
      </w:r>
      <w:r w:rsidRPr="00773D72">
        <w:t>July 2015</w:t>
      </w:r>
      <w:r w:rsidR="00617953" w:rsidRPr="00773D72">
        <w:t xml:space="preserve"> (</w:t>
      </w:r>
      <w:r w:rsidR="00F90D1E" w:rsidRPr="00773D72">
        <w:t xml:space="preserve">whether or not other goods that are </w:t>
      </w:r>
      <w:r w:rsidR="00795DFC" w:rsidRPr="00773D72">
        <w:t>included</w:t>
      </w:r>
      <w:r w:rsidR="00F90D1E" w:rsidRPr="00773D72">
        <w:t xml:space="preserve"> </w:t>
      </w:r>
      <w:r w:rsidR="00795DFC" w:rsidRPr="00773D72">
        <w:t xml:space="preserve">in </w:t>
      </w:r>
      <w:r w:rsidR="00F90D1E" w:rsidRPr="00773D72">
        <w:t xml:space="preserve">those grouped goods </w:t>
      </w:r>
      <w:r w:rsidR="00617953" w:rsidRPr="00773D72">
        <w:t>were registered before that time)</w:t>
      </w:r>
      <w:r w:rsidRPr="00773D72">
        <w:t>;</w:t>
      </w:r>
    </w:p>
    <w:p w:rsidR="00A25AE2" w:rsidRPr="00773D72" w:rsidRDefault="00A25AE2" w:rsidP="00A25AE2">
      <w:pPr>
        <w:pStyle w:val="paragraph"/>
      </w:pPr>
      <w:r w:rsidRPr="00773D72">
        <w:tab/>
        <w:t>(</w:t>
      </w:r>
      <w:r w:rsidR="00C16073" w:rsidRPr="00773D72">
        <w:t>c</w:t>
      </w:r>
      <w:r w:rsidRPr="00773D72">
        <w:t>)</w:t>
      </w:r>
      <w:r w:rsidRPr="00773D72">
        <w:tab/>
        <w:t xml:space="preserve">the grouping occurred in a </w:t>
      </w:r>
      <w:r w:rsidR="008C1960" w:rsidRPr="00773D72">
        <w:t xml:space="preserve">financial </w:t>
      </w:r>
      <w:r w:rsidRPr="00773D72">
        <w:t>year</w:t>
      </w:r>
      <w:r w:rsidR="0022555B" w:rsidRPr="00773D72">
        <w:t xml:space="preserve"> before the charge year</w:t>
      </w:r>
      <w:r w:rsidRPr="00773D72">
        <w:t>;</w:t>
      </w:r>
    </w:p>
    <w:p w:rsidR="00DC2356" w:rsidRPr="00773D72" w:rsidRDefault="00DC2356" w:rsidP="00DC2356">
      <w:pPr>
        <w:pStyle w:val="paragraph"/>
      </w:pPr>
      <w:r w:rsidRPr="00773D72">
        <w:tab/>
        <w:t>(</w:t>
      </w:r>
      <w:r w:rsidR="00C16073" w:rsidRPr="00773D72">
        <w:t>d</w:t>
      </w:r>
      <w:r w:rsidRPr="00773D72">
        <w:t>)</w:t>
      </w:r>
      <w:r w:rsidRPr="00773D72">
        <w:tab/>
        <w:t xml:space="preserve">the charge year is the year </w:t>
      </w:r>
      <w:r w:rsidR="006B3E0C" w:rsidRPr="00773D72">
        <w:t xml:space="preserve">beginning </w:t>
      </w:r>
      <w:r w:rsidRPr="00773D72">
        <w:t>1</w:t>
      </w:r>
      <w:r w:rsidR="00773D72" w:rsidRPr="00773D72">
        <w:t> </w:t>
      </w:r>
      <w:r w:rsidRPr="00773D72">
        <w:t>July 2016 or a later charge year</w:t>
      </w:r>
      <w:r w:rsidR="0000089E" w:rsidRPr="00773D72">
        <w:t>;</w:t>
      </w:r>
    </w:p>
    <w:p w:rsidR="0000089E" w:rsidRPr="00773D72" w:rsidRDefault="0000089E" w:rsidP="0000089E">
      <w:pPr>
        <w:pStyle w:val="paragraph"/>
      </w:pPr>
      <w:r w:rsidRPr="00773D72">
        <w:tab/>
        <w:t>(</w:t>
      </w:r>
      <w:r w:rsidR="00C16073" w:rsidRPr="00773D72">
        <w:t>e</w:t>
      </w:r>
      <w:r w:rsidRPr="00773D72">
        <w:t>)</w:t>
      </w:r>
      <w:r w:rsidRPr="00773D72">
        <w:tab/>
      </w:r>
      <w:r w:rsidR="00BD42AE" w:rsidRPr="00773D72">
        <w:t xml:space="preserve">at the beginning of the charge year, the </w:t>
      </w:r>
      <w:r w:rsidR="00803E1C" w:rsidRPr="00773D72">
        <w:t xml:space="preserve">relevant </w:t>
      </w:r>
      <w:r w:rsidR="00BD42AE" w:rsidRPr="00773D72">
        <w:t xml:space="preserve">goods have been </w:t>
      </w:r>
      <w:r w:rsidR="00795DFC" w:rsidRPr="00773D72">
        <w:t>included in</w:t>
      </w:r>
      <w:r w:rsidR="00803E1C" w:rsidRPr="00773D72">
        <w:t xml:space="preserve"> the </w:t>
      </w:r>
      <w:r w:rsidR="00BD42AE" w:rsidRPr="00773D72">
        <w:t xml:space="preserve">grouped </w:t>
      </w:r>
      <w:r w:rsidR="00803E1C" w:rsidRPr="00773D72">
        <w:t xml:space="preserve">goods </w:t>
      </w:r>
      <w:r w:rsidR="00BD42AE" w:rsidRPr="00773D72">
        <w:t>for less than 8 years</w:t>
      </w:r>
      <w:r w:rsidRPr="00773D72">
        <w:t>.</w:t>
      </w:r>
    </w:p>
    <w:p w:rsidR="00A40A4E" w:rsidRPr="00773D72" w:rsidRDefault="00A40A4E" w:rsidP="00A40A4E">
      <w:pPr>
        <w:pStyle w:val="SubsectionHead"/>
      </w:pPr>
      <w:r w:rsidRPr="00773D72">
        <w:t>Entries before 1</w:t>
      </w:r>
      <w:r w:rsidR="00773D72" w:rsidRPr="00773D72">
        <w:t> </w:t>
      </w:r>
      <w:r w:rsidRPr="00773D72">
        <w:t>July 2015</w:t>
      </w:r>
      <w:r w:rsidR="00C16073" w:rsidRPr="00773D72">
        <w:t xml:space="preserve">—goods that are not grouped </w:t>
      </w:r>
      <w:r w:rsidR="00934C2E" w:rsidRPr="00773D72">
        <w:t xml:space="preserve">therapeutic </w:t>
      </w:r>
      <w:r w:rsidR="00C16073" w:rsidRPr="00773D72">
        <w:t>goods</w:t>
      </w:r>
    </w:p>
    <w:p w:rsidR="00A40A4E" w:rsidRPr="00773D72" w:rsidRDefault="00A40A4E" w:rsidP="00A40A4E">
      <w:pPr>
        <w:pStyle w:val="subsection"/>
      </w:pPr>
      <w:r w:rsidRPr="00773D72">
        <w:tab/>
        <w:t>(7)</w:t>
      </w:r>
      <w:r w:rsidRPr="00773D72">
        <w:tab/>
        <w:t>The following conditions are met:</w:t>
      </w:r>
    </w:p>
    <w:p w:rsidR="00DB1A4D" w:rsidRPr="00773D72" w:rsidRDefault="00DB1A4D" w:rsidP="00DB1A4D">
      <w:pPr>
        <w:pStyle w:val="paragraph"/>
      </w:pPr>
      <w:r w:rsidRPr="00773D72">
        <w:tab/>
        <w:t>(a)</w:t>
      </w:r>
      <w:r w:rsidRPr="00773D72">
        <w:tab/>
        <w:t xml:space="preserve">the goods </w:t>
      </w:r>
      <w:r w:rsidR="00CE2892" w:rsidRPr="00773D72">
        <w:t>are</w:t>
      </w:r>
      <w:r w:rsidRPr="00773D72">
        <w:t xml:space="preserve"> not grouped therapeutic goods;</w:t>
      </w:r>
    </w:p>
    <w:p w:rsidR="00A40A4E" w:rsidRPr="00773D72" w:rsidRDefault="00A40A4E" w:rsidP="00A40A4E">
      <w:pPr>
        <w:pStyle w:val="paragraph"/>
      </w:pPr>
      <w:r w:rsidRPr="00773D72">
        <w:tab/>
        <w:t>(</w:t>
      </w:r>
      <w:r w:rsidR="00C16073" w:rsidRPr="00773D72">
        <w:t>b</w:t>
      </w:r>
      <w:r w:rsidRPr="00773D72">
        <w:t>)</w:t>
      </w:r>
      <w:r w:rsidRPr="00773D72">
        <w:tab/>
        <w:t xml:space="preserve">the goods </w:t>
      </w:r>
      <w:r w:rsidR="00702D2B" w:rsidRPr="00773D72">
        <w:t xml:space="preserve">(the </w:t>
      </w:r>
      <w:r w:rsidR="00702D2B" w:rsidRPr="00773D72">
        <w:rPr>
          <w:b/>
          <w:i/>
        </w:rPr>
        <w:t>charg</w:t>
      </w:r>
      <w:r w:rsidR="00284EE8" w:rsidRPr="00773D72">
        <w:rPr>
          <w:b/>
          <w:i/>
        </w:rPr>
        <w:t>e</w:t>
      </w:r>
      <w:r w:rsidR="00702D2B" w:rsidRPr="00773D72">
        <w:rPr>
          <w:b/>
          <w:i/>
        </w:rPr>
        <w:t>able goods</w:t>
      </w:r>
      <w:r w:rsidR="00702D2B" w:rsidRPr="00773D72">
        <w:t xml:space="preserve">) </w:t>
      </w:r>
      <w:r w:rsidR="000A2F1C" w:rsidRPr="00773D72">
        <w:t xml:space="preserve">were registered </w:t>
      </w:r>
      <w:r w:rsidRPr="00773D72">
        <w:t>before 1</w:t>
      </w:r>
      <w:r w:rsidR="00773D72" w:rsidRPr="00773D72">
        <w:t> </w:t>
      </w:r>
      <w:r w:rsidRPr="00773D72">
        <w:t>July 2015;</w:t>
      </w:r>
    </w:p>
    <w:p w:rsidR="003578B4" w:rsidRPr="00773D72" w:rsidRDefault="00A40A4E" w:rsidP="00A40A4E">
      <w:pPr>
        <w:pStyle w:val="paragraph"/>
      </w:pPr>
      <w:r w:rsidRPr="00773D72">
        <w:tab/>
        <w:t>(</w:t>
      </w:r>
      <w:r w:rsidR="00C16073" w:rsidRPr="00773D72">
        <w:t>c</w:t>
      </w:r>
      <w:r w:rsidRPr="00773D72">
        <w:t>)</w:t>
      </w:r>
      <w:r w:rsidRPr="00773D72">
        <w:tab/>
      </w:r>
      <w:r w:rsidR="003578B4" w:rsidRPr="00773D72">
        <w:t>immediately before</w:t>
      </w:r>
      <w:r w:rsidRPr="00773D72">
        <w:t xml:space="preserve"> 1</w:t>
      </w:r>
      <w:r w:rsidR="00773D72" w:rsidRPr="00773D72">
        <w:t> </w:t>
      </w:r>
      <w:r w:rsidRPr="00773D72">
        <w:t>July 2015</w:t>
      </w:r>
      <w:r w:rsidR="003578B4" w:rsidRPr="00773D72">
        <w:t>:</w:t>
      </w:r>
    </w:p>
    <w:p w:rsidR="00A40A4E" w:rsidRPr="00773D72" w:rsidRDefault="003578B4" w:rsidP="003578B4">
      <w:pPr>
        <w:pStyle w:val="paragraphsub"/>
      </w:pPr>
      <w:r w:rsidRPr="00773D72">
        <w:tab/>
        <w:t>(i)</w:t>
      </w:r>
      <w:r w:rsidRPr="00773D72">
        <w:tab/>
        <w:t xml:space="preserve">if there is only one </w:t>
      </w:r>
      <w:r w:rsidR="00A40A4E" w:rsidRPr="00773D72">
        <w:t xml:space="preserve">active ingredient contained in the </w:t>
      </w:r>
      <w:r w:rsidR="00702D2B" w:rsidRPr="00773D72">
        <w:t xml:space="preserve">chargeable </w:t>
      </w:r>
      <w:r w:rsidR="00A40A4E" w:rsidRPr="00773D72">
        <w:t>goods</w:t>
      </w:r>
      <w:r w:rsidRPr="00773D72">
        <w:t>—</w:t>
      </w:r>
      <w:r w:rsidR="00C91476" w:rsidRPr="00773D72">
        <w:t xml:space="preserve">any </w:t>
      </w:r>
      <w:r w:rsidR="00E73778" w:rsidRPr="00773D72">
        <w:t xml:space="preserve">other </w:t>
      </w:r>
      <w:r w:rsidRPr="00773D72">
        <w:t xml:space="preserve">goods containing </w:t>
      </w:r>
      <w:r w:rsidR="00A40A4E" w:rsidRPr="00773D72">
        <w:t>that active ingredient</w:t>
      </w:r>
      <w:r w:rsidR="00C91476" w:rsidRPr="00773D72">
        <w:t xml:space="preserve"> (and no other active ingredients) are registered in relation to the person in relation to whom the chargeable goods are registered</w:t>
      </w:r>
      <w:r w:rsidR="00A40A4E" w:rsidRPr="00773D72">
        <w:t>;</w:t>
      </w:r>
      <w:r w:rsidRPr="00773D72">
        <w:t xml:space="preserve"> or</w:t>
      </w:r>
    </w:p>
    <w:p w:rsidR="003578B4" w:rsidRPr="00773D72" w:rsidRDefault="003578B4" w:rsidP="003578B4">
      <w:pPr>
        <w:pStyle w:val="paragraphsub"/>
      </w:pPr>
      <w:r w:rsidRPr="00773D72">
        <w:tab/>
        <w:t>(ii)</w:t>
      </w:r>
      <w:r w:rsidRPr="00773D72">
        <w:tab/>
        <w:t>otherwise—</w:t>
      </w:r>
      <w:r w:rsidR="00C91476" w:rsidRPr="00773D72">
        <w:t xml:space="preserve">any other </w:t>
      </w:r>
      <w:r w:rsidRPr="00773D72">
        <w:t xml:space="preserve">goods </w:t>
      </w:r>
      <w:r w:rsidR="00E85A5C" w:rsidRPr="00773D72">
        <w:t xml:space="preserve">containing </w:t>
      </w:r>
      <w:r w:rsidRPr="00773D72">
        <w:t xml:space="preserve">the same active ingredients in the same </w:t>
      </w:r>
      <w:r w:rsidR="000A2F1C" w:rsidRPr="00773D72">
        <w:t xml:space="preserve">quantitative </w:t>
      </w:r>
      <w:r w:rsidRPr="00773D72">
        <w:t>amounts</w:t>
      </w:r>
      <w:r w:rsidR="00C91476" w:rsidRPr="00773D72">
        <w:t xml:space="preserve"> </w:t>
      </w:r>
      <w:r w:rsidR="00753A61" w:rsidRPr="00773D72">
        <w:t xml:space="preserve">as the </w:t>
      </w:r>
      <w:r w:rsidR="00702D2B" w:rsidRPr="00773D72">
        <w:t xml:space="preserve">chargeable </w:t>
      </w:r>
      <w:r w:rsidR="00753A61" w:rsidRPr="00773D72">
        <w:t>goods</w:t>
      </w:r>
      <w:r w:rsidR="00C91476" w:rsidRPr="00773D72">
        <w:t xml:space="preserve"> (and no other active ingredients) are registered in relation to the person in relation to whom the chargeable goods are registered</w:t>
      </w:r>
      <w:r w:rsidRPr="00773D72">
        <w:t>;</w:t>
      </w:r>
    </w:p>
    <w:p w:rsidR="00E85A5C" w:rsidRPr="00773D72" w:rsidRDefault="00E85A5C" w:rsidP="00E85A5C">
      <w:pPr>
        <w:pStyle w:val="paragraph"/>
      </w:pPr>
      <w:r w:rsidRPr="00773D72">
        <w:tab/>
        <w:t>(</w:t>
      </w:r>
      <w:r w:rsidR="00C16073" w:rsidRPr="00773D72">
        <w:t>d</w:t>
      </w:r>
      <w:r w:rsidRPr="00773D72">
        <w:t>)</w:t>
      </w:r>
      <w:r w:rsidRPr="00773D72">
        <w:tab/>
      </w:r>
      <w:r w:rsidR="00BD42AE" w:rsidRPr="00773D72">
        <w:t>at the beginning of the charge year, the goods have been registered for less than 8 years</w:t>
      </w:r>
      <w:r w:rsidRPr="00773D72">
        <w:t>.</w:t>
      </w:r>
    </w:p>
    <w:p w:rsidR="00C16073" w:rsidRPr="00773D72" w:rsidRDefault="00C16073" w:rsidP="00C16073">
      <w:pPr>
        <w:pStyle w:val="SubsectionHead"/>
      </w:pPr>
      <w:r w:rsidRPr="00773D72">
        <w:t>Entries before 1</w:t>
      </w:r>
      <w:r w:rsidR="00773D72" w:rsidRPr="00773D72">
        <w:t> </w:t>
      </w:r>
      <w:r w:rsidRPr="00773D72">
        <w:t xml:space="preserve">July 2015—goods that are grouped </w:t>
      </w:r>
      <w:r w:rsidR="00934C2E" w:rsidRPr="00773D72">
        <w:t xml:space="preserve">therapeutic </w:t>
      </w:r>
      <w:r w:rsidRPr="00773D72">
        <w:t>goods</w:t>
      </w:r>
    </w:p>
    <w:p w:rsidR="00C16073" w:rsidRPr="00773D72" w:rsidRDefault="00C16073" w:rsidP="00C16073">
      <w:pPr>
        <w:pStyle w:val="subsection"/>
      </w:pPr>
      <w:r w:rsidRPr="00773D72">
        <w:tab/>
        <w:t>(8)</w:t>
      </w:r>
      <w:r w:rsidRPr="00773D72">
        <w:tab/>
        <w:t>The following conditions are met:</w:t>
      </w:r>
    </w:p>
    <w:p w:rsidR="00C16073" w:rsidRPr="00773D72" w:rsidRDefault="00C16073" w:rsidP="00C16073">
      <w:pPr>
        <w:pStyle w:val="paragraph"/>
      </w:pPr>
      <w:r w:rsidRPr="00773D72">
        <w:tab/>
        <w:t>(a)</w:t>
      </w:r>
      <w:r w:rsidRPr="00773D72">
        <w:tab/>
        <w:t xml:space="preserve">the goods </w:t>
      </w:r>
      <w:r w:rsidR="006B3E0C" w:rsidRPr="00773D72">
        <w:t>were</w:t>
      </w:r>
      <w:r w:rsidRPr="00773D72">
        <w:t xml:space="preserve"> grouped </w:t>
      </w:r>
      <w:r w:rsidR="00934C2E" w:rsidRPr="00773D72">
        <w:t xml:space="preserve">therapeutic </w:t>
      </w:r>
      <w:r w:rsidRPr="00773D72">
        <w:t>goods</w:t>
      </w:r>
      <w:r w:rsidR="000717A6" w:rsidRPr="00773D72">
        <w:t xml:space="preserve"> immediately before 1</w:t>
      </w:r>
      <w:r w:rsidR="00773D72" w:rsidRPr="00773D72">
        <w:t> </w:t>
      </w:r>
      <w:r w:rsidR="000717A6" w:rsidRPr="00773D72">
        <w:t>July 2015</w:t>
      </w:r>
      <w:r w:rsidRPr="00773D72">
        <w:t>;</w:t>
      </w:r>
    </w:p>
    <w:p w:rsidR="00C16073" w:rsidRPr="00773D72" w:rsidRDefault="00C16073" w:rsidP="00C16073">
      <w:pPr>
        <w:pStyle w:val="paragraph"/>
      </w:pPr>
      <w:r w:rsidRPr="00773D72">
        <w:tab/>
        <w:t>(</w:t>
      </w:r>
      <w:r w:rsidR="000717A6" w:rsidRPr="00773D72">
        <w:t>b</w:t>
      </w:r>
      <w:r w:rsidRPr="00773D72">
        <w:t>)</w:t>
      </w:r>
      <w:r w:rsidRPr="00773D72">
        <w:tab/>
        <w:t>immediately before 1</w:t>
      </w:r>
      <w:r w:rsidR="00773D72" w:rsidRPr="00773D72">
        <w:t> </w:t>
      </w:r>
      <w:r w:rsidRPr="00773D72">
        <w:t>July 2015:</w:t>
      </w:r>
    </w:p>
    <w:p w:rsidR="0042010F" w:rsidRPr="00773D72" w:rsidRDefault="0042010F" w:rsidP="0042010F">
      <w:pPr>
        <w:pStyle w:val="paragraphsub"/>
      </w:pPr>
      <w:r w:rsidRPr="00773D72">
        <w:tab/>
        <w:t>(i)</w:t>
      </w:r>
      <w:r w:rsidRPr="00773D72">
        <w:tab/>
        <w:t xml:space="preserve">if there is only one active ingredient contained in the </w:t>
      </w:r>
      <w:r w:rsidR="004B0BD1" w:rsidRPr="00773D72">
        <w:t xml:space="preserve">grouped </w:t>
      </w:r>
      <w:r w:rsidRPr="00773D72">
        <w:t xml:space="preserve">goods—any other goods containing that active ingredient (and no other active ingredients) are registered in relation to the same person in relation to whom the </w:t>
      </w:r>
      <w:r w:rsidR="00B70BC4" w:rsidRPr="00773D72">
        <w:t>grouped</w:t>
      </w:r>
      <w:r w:rsidRPr="00773D72">
        <w:t xml:space="preserve"> goods are registered; or</w:t>
      </w:r>
    </w:p>
    <w:p w:rsidR="0042010F" w:rsidRPr="00773D72" w:rsidRDefault="0042010F" w:rsidP="0042010F">
      <w:pPr>
        <w:pStyle w:val="paragraphsub"/>
      </w:pPr>
      <w:r w:rsidRPr="00773D72">
        <w:tab/>
        <w:t>(ii)</w:t>
      </w:r>
      <w:r w:rsidRPr="00773D72">
        <w:tab/>
        <w:t xml:space="preserve">otherwise—any other goods containing the same active ingredients in the same quantitative amounts as the </w:t>
      </w:r>
      <w:r w:rsidR="004B0BD1" w:rsidRPr="00773D72">
        <w:t>grouped</w:t>
      </w:r>
      <w:r w:rsidRPr="00773D72">
        <w:t xml:space="preserve"> goods (and no other active ingredients) are registered in relation to the same person in relation to whom the </w:t>
      </w:r>
      <w:r w:rsidR="00B70BC4" w:rsidRPr="00773D72">
        <w:t>grouped</w:t>
      </w:r>
      <w:r w:rsidRPr="00773D72">
        <w:t xml:space="preserve"> goods are registered;</w:t>
      </w:r>
    </w:p>
    <w:p w:rsidR="00C16073" w:rsidRPr="00773D72" w:rsidRDefault="00C16073" w:rsidP="00C16073">
      <w:pPr>
        <w:pStyle w:val="paragraph"/>
      </w:pPr>
      <w:r w:rsidRPr="00773D72">
        <w:tab/>
        <w:t>(</w:t>
      </w:r>
      <w:r w:rsidR="000717A6" w:rsidRPr="00773D72">
        <w:t>c</w:t>
      </w:r>
      <w:r w:rsidRPr="00773D72">
        <w:t>)</w:t>
      </w:r>
      <w:r w:rsidRPr="00773D72">
        <w:tab/>
      </w:r>
      <w:r w:rsidR="001027AC" w:rsidRPr="00773D72">
        <w:t>at the beginning of the charge year, the first of the goods to be registered have been registered for less than 8 years</w:t>
      </w:r>
      <w:r w:rsidRPr="00773D72">
        <w:t>.</w:t>
      </w:r>
    </w:p>
    <w:p w:rsidR="0087705B" w:rsidRPr="00773D72" w:rsidRDefault="0087705B" w:rsidP="0087705B">
      <w:pPr>
        <w:pStyle w:val="SubsectionHead"/>
      </w:pPr>
      <w:r w:rsidRPr="00773D72">
        <w:t>Definitions</w:t>
      </w:r>
    </w:p>
    <w:p w:rsidR="006E65B4" w:rsidRPr="00773D72" w:rsidRDefault="006E65B4" w:rsidP="006E65B4">
      <w:pPr>
        <w:pStyle w:val="subsection"/>
      </w:pPr>
      <w:r w:rsidRPr="00773D72">
        <w:tab/>
        <w:t>(</w:t>
      </w:r>
      <w:r w:rsidR="00C16073" w:rsidRPr="00773D72">
        <w:t>9</w:t>
      </w:r>
      <w:r w:rsidRPr="00773D72">
        <w:t>)</w:t>
      </w:r>
      <w:r w:rsidRPr="00773D72">
        <w:tab/>
        <w:t>In this regulation:</w:t>
      </w:r>
    </w:p>
    <w:p w:rsidR="00587D60" w:rsidRPr="00773D72" w:rsidRDefault="00587D60" w:rsidP="006E65B4">
      <w:pPr>
        <w:pStyle w:val="Definition"/>
        <w:rPr>
          <w:b/>
          <w:i/>
        </w:rPr>
      </w:pPr>
      <w:r w:rsidRPr="00773D72">
        <w:rPr>
          <w:b/>
          <w:i/>
        </w:rPr>
        <w:t>extension of indications</w:t>
      </w:r>
      <w:r w:rsidRPr="00773D72">
        <w:t xml:space="preserve"> has the same meaning as in item</w:t>
      </w:r>
      <w:r w:rsidR="00773D72" w:rsidRPr="00773D72">
        <w:t> </w:t>
      </w:r>
      <w:r w:rsidRPr="00773D72">
        <w:t>4 of the table in Part</w:t>
      </w:r>
      <w:r w:rsidR="00773D72" w:rsidRPr="00773D72">
        <w:t> </w:t>
      </w:r>
      <w:r w:rsidRPr="00773D72">
        <w:t>2 of Schedule</w:t>
      </w:r>
      <w:r w:rsidR="00773D72" w:rsidRPr="00773D72">
        <w:t> </w:t>
      </w:r>
      <w:r w:rsidRPr="00773D72">
        <w:t xml:space="preserve">9 to the </w:t>
      </w:r>
      <w:r w:rsidRPr="00773D72">
        <w:rPr>
          <w:i/>
        </w:rPr>
        <w:t>Therapeutic Goods Regulations</w:t>
      </w:r>
      <w:r w:rsidR="00773D72" w:rsidRPr="00773D72">
        <w:rPr>
          <w:i/>
        </w:rPr>
        <w:t> </w:t>
      </w:r>
      <w:r w:rsidRPr="00773D72">
        <w:rPr>
          <w:i/>
        </w:rPr>
        <w:t>1990</w:t>
      </w:r>
      <w:r w:rsidRPr="00773D72">
        <w:t>.</w:t>
      </w:r>
    </w:p>
    <w:p w:rsidR="006E65B4" w:rsidRPr="00773D72" w:rsidRDefault="006E65B4" w:rsidP="006E65B4">
      <w:pPr>
        <w:pStyle w:val="Definition"/>
      </w:pPr>
      <w:r w:rsidRPr="00773D72">
        <w:rPr>
          <w:b/>
          <w:i/>
        </w:rPr>
        <w:t>higher amount</w:t>
      </w:r>
      <w:r w:rsidRPr="00773D72">
        <w:t xml:space="preserve"> means </w:t>
      </w:r>
      <w:r w:rsidR="009A69A2" w:rsidRPr="00773D72">
        <w:t>$3</w:t>
      </w:r>
      <w:r w:rsidR="00773D72" w:rsidRPr="00773D72">
        <w:t> </w:t>
      </w:r>
      <w:r w:rsidR="009A69A2" w:rsidRPr="00773D72">
        <w:t>835.</w:t>
      </w:r>
    </w:p>
    <w:p w:rsidR="006E65B4" w:rsidRPr="00773D72" w:rsidRDefault="006E65B4" w:rsidP="006E65B4">
      <w:pPr>
        <w:pStyle w:val="Definition"/>
      </w:pPr>
      <w:r w:rsidRPr="00773D72">
        <w:rPr>
          <w:b/>
          <w:i/>
        </w:rPr>
        <w:t>lower amount</w:t>
      </w:r>
      <w:r w:rsidRPr="00773D72">
        <w:t xml:space="preserve"> means </w:t>
      </w:r>
      <w:r w:rsidR="009A69A2" w:rsidRPr="00773D72">
        <w:t>$3</w:t>
      </w:r>
      <w:r w:rsidR="00773D72" w:rsidRPr="00773D72">
        <w:t> </w:t>
      </w:r>
      <w:r w:rsidR="009A69A2" w:rsidRPr="00773D72">
        <w:t>110</w:t>
      </w:r>
      <w:r w:rsidRPr="00773D72">
        <w:t>.</w:t>
      </w:r>
    </w:p>
    <w:p w:rsidR="00B769F9" w:rsidRPr="00773D72" w:rsidRDefault="00B769F9" w:rsidP="005147AA">
      <w:pPr>
        <w:pStyle w:val="Definition"/>
      </w:pPr>
      <w:r w:rsidRPr="00773D72">
        <w:rPr>
          <w:b/>
          <w:i/>
        </w:rPr>
        <w:t xml:space="preserve">new chemical entity </w:t>
      </w:r>
      <w:r w:rsidRPr="00773D72">
        <w:t xml:space="preserve">has the meaning given by </w:t>
      </w:r>
      <w:r w:rsidR="0093121B" w:rsidRPr="00773D72">
        <w:t>sub</w:t>
      </w:r>
      <w:r w:rsidRPr="00773D72">
        <w:t>clause</w:t>
      </w:r>
      <w:r w:rsidR="00773D72" w:rsidRPr="00773D72">
        <w:t> </w:t>
      </w:r>
      <w:r w:rsidRPr="00773D72">
        <w:t>1</w:t>
      </w:r>
      <w:r w:rsidR="0093121B" w:rsidRPr="00773D72">
        <w:t>(1)</w:t>
      </w:r>
      <w:r w:rsidRPr="00773D72">
        <w:t xml:space="preserve"> of Schedule</w:t>
      </w:r>
      <w:r w:rsidR="00773D72" w:rsidRPr="00773D72">
        <w:t> </w:t>
      </w:r>
      <w:r w:rsidRPr="00773D72">
        <w:t xml:space="preserve">9 to the </w:t>
      </w:r>
      <w:r w:rsidRPr="00773D72">
        <w:rPr>
          <w:i/>
        </w:rPr>
        <w:t>Therapeutic Goods Regulations</w:t>
      </w:r>
      <w:r w:rsidR="00773D72" w:rsidRPr="00773D72">
        <w:rPr>
          <w:i/>
        </w:rPr>
        <w:t> </w:t>
      </w:r>
      <w:r w:rsidRPr="00773D72">
        <w:rPr>
          <w:i/>
        </w:rPr>
        <w:t>1990</w:t>
      </w:r>
      <w:r w:rsidRPr="00773D72">
        <w:t>.</w:t>
      </w:r>
    </w:p>
    <w:p w:rsidR="008C1B01" w:rsidRPr="00773D72" w:rsidRDefault="005147AA" w:rsidP="005147AA">
      <w:pPr>
        <w:pStyle w:val="Definition"/>
      </w:pPr>
      <w:r w:rsidRPr="00773D72">
        <w:rPr>
          <w:b/>
          <w:i/>
        </w:rPr>
        <w:t>parent goods</w:t>
      </w:r>
      <w:r w:rsidR="00BC4C0B" w:rsidRPr="00773D72">
        <w:t xml:space="preserve">: goods (the </w:t>
      </w:r>
      <w:r w:rsidR="00BC4C0B" w:rsidRPr="00773D72">
        <w:rPr>
          <w:b/>
          <w:i/>
        </w:rPr>
        <w:t>initial goods</w:t>
      </w:r>
      <w:r w:rsidR="00BC4C0B" w:rsidRPr="00773D72">
        <w:t xml:space="preserve">) are </w:t>
      </w:r>
      <w:r w:rsidR="00BC4C0B" w:rsidRPr="00773D72">
        <w:rPr>
          <w:b/>
          <w:i/>
        </w:rPr>
        <w:t xml:space="preserve">parent goods </w:t>
      </w:r>
      <w:r w:rsidR="00731C3E" w:rsidRPr="00773D72">
        <w:t xml:space="preserve">of </w:t>
      </w:r>
      <w:r w:rsidRPr="00773D72">
        <w:t>other goods</w:t>
      </w:r>
      <w:r w:rsidR="00BC4C0B" w:rsidRPr="00773D72">
        <w:t xml:space="preserve"> if</w:t>
      </w:r>
      <w:r w:rsidR="008C1B01" w:rsidRPr="00773D72">
        <w:t>:</w:t>
      </w:r>
    </w:p>
    <w:p w:rsidR="00243C6B" w:rsidRPr="00773D72" w:rsidRDefault="00243C6B" w:rsidP="008C1B01">
      <w:pPr>
        <w:pStyle w:val="paragraph"/>
      </w:pPr>
      <w:r w:rsidRPr="00773D72">
        <w:tab/>
        <w:t>(a)</w:t>
      </w:r>
      <w:r w:rsidRPr="00773D72">
        <w:tab/>
        <w:t>the initial goods were registered before the other goods; and</w:t>
      </w:r>
    </w:p>
    <w:p w:rsidR="00243C6B" w:rsidRPr="00773D72" w:rsidRDefault="00243C6B" w:rsidP="008C1B01">
      <w:pPr>
        <w:pStyle w:val="paragraph"/>
      </w:pPr>
      <w:r w:rsidRPr="00773D72">
        <w:tab/>
        <w:t>(b)</w:t>
      </w:r>
      <w:r w:rsidRPr="00773D72">
        <w:tab/>
        <w:t xml:space="preserve">the initial goods </w:t>
      </w:r>
      <w:r w:rsidR="008963AF" w:rsidRPr="00773D72">
        <w:t>are</w:t>
      </w:r>
      <w:r w:rsidRPr="00773D72">
        <w:t xml:space="preserve"> relevant goods; and</w:t>
      </w:r>
    </w:p>
    <w:p w:rsidR="00243C6B" w:rsidRPr="00773D72" w:rsidRDefault="008C1B01" w:rsidP="008C1B01">
      <w:pPr>
        <w:pStyle w:val="paragraph"/>
      </w:pPr>
      <w:r w:rsidRPr="00773D72">
        <w:tab/>
        <w:t>(</w:t>
      </w:r>
      <w:r w:rsidR="00243C6B" w:rsidRPr="00773D72">
        <w:t>c</w:t>
      </w:r>
      <w:r w:rsidRPr="00773D72">
        <w:t>)</w:t>
      </w:r>
      <w:r w:rsidRPr="00773D72">
        <w:tab/>
        <w:t>the initial goods and the other goods have</w:t>
      </w:r>
      <w:r w:rsidR="00243C6B" w:rsidRPr="00773D72">
        <w:t>:</w:t>
      </w:r>
    </w:p>
    <w:p w:rsidR="00243C6B" w:rsidRPr="00773D72" w:rsidRDefault="00243C6B" w:rsidP="00243C6B">
      <w:pPr>
        <w:pStyle w:val="paragraphsub"/>
      </w:pPr>
      <w:r w:rsidRPr="00773D72">
        <w:tab/>
        <w:t>(i)</w:t>
      </w:r>
      <w:r w:rsidRPr="00773D72">
        <w:tab/>
      </w:r>
      <w:r w:rsidR="008C1B01" w:rsidRPr="00773D72">
        <w:t>the same active ingredient</w:t>
      </w:r>
      <w:r w:rsidRPr="00773D72">
        <w:t>; or</w:t>
      </w:r>
    </w:p>
    <w:p w:rsidR="006E65B4" w:rsidRPr="00773D72" w:rsidRDefault="00243C6B" w:rsidP="00243C6B">
      <w:pPr>
        <w:pStyle w:val="paragraphsub"/>
      </w:pPr>
      <w:r w:rsidRPr="00773D72">
        <w:tab/>
        <w:t>(ii)</w:t>
      </w:r>
      <w:r w:rsidRPr="00773D72">
        <w:tab/>
        <w:t>the same active ingredients in the same quantitative amounts</w:t>
      </w:r>
      <w:r w:rsidR="008C1B01" w:rsidRPr="00773D72">
        <w:t>; and</w:t>
      </w:r>
    </w:p>
    <w:p w:rsidR="006B3E0C" w:rsidRPr="00773D72" w:rsidRDefault="008C1B01" w:rsidP="00640CAB">
      <w:pPr>
        <w:pStyle w:val="paragraph"/>
      </w:pPr>
      <w:r w:rsidRPr="00773D72">
        <w:tab/>
        <w:t>(</w:t>
      </w:r>
      <w:r w:rsidR="00243C6B" w:rsidRPr="00773D72">
        <w:t>d</w:t>
      </w:r>
      <w:r w:rsidRPr="00773D72">
        <w:t>)</w:t>
      </w:r>
      <w:r w:rsidRPr="00773D72">
        <w:tab/>
      </w:r>
      <w:r w:rsidR="00731C3E" w:rsidRPr="00773D72">
        <w:t xml:space="preserve">at the time the registration of </w:t>
      </w:r>
      <w:r w:rsidR="00EE1B9B" w:rsidRPr="00773D72">
        <w:t xml:space="preserve">the other goods </w:t>
      </w:r>
      <w:r w:rsidR="00731C3E" w:rsidRPr="00773D72">
        <w:t xml:space="preserve">commenced, the other goods </w:t>
      </w:r>
      <w:r w:rsidR="00EE1B9B" w:rsidRPr="00773D72">
        <w:t>were registered in relation to</w:t>
      </w:r>
      <w:r w:rsidR="006B3E0C" w:rsidRPr="00773D72">
        <w:t>:</w:t>
      </w:r>
    </w:p>
    <w:p w:rsidR="006B3E0C" w:rsidRPr="00773D72" w:rsidRDefault="006B3E0C" w:rsidP="006B3E0C">
      <w:pPr>
        <w:pStyle w:val="paragraphsub"/>
      </w:pPr>
      <w:r w:rsidRPr="00773D72">
        <w:tab/>
        <w:t>(i)</w:t>
      </w:r>
      <w:r w:rsidRPr="00773D72">
        <w:tab/>
      </w:r>
      <w:r w:rsidR="00EE1B9B" w:rsidRPr="00773D72">
        <w:t>the person</w:t>
      </w:r>
      <w:r w:rsidRPr="00773D72">
        <w:t xml:space="preserve"> </w:t>
      </w:r>
      <w:r w:rsidR="00D41CCA" w:rsidRPr="00773D72">
        <w:t>in relation to whom</w:t>
      </w:r>
      <w:r w:rsidR="00EE1B9B" w:rsidRPr="00773D72">
        <w:t xml:space="preserve"> the initial goods</w:t>
      </w:r>
      <w:r w:rsidR="00D41CCA" w:rsidRPr="00773D72">
        <w:t xml:space="preserve"> were registered at that time</w:t>
      </w:r>
      <w:r w:rsidRPr="00773D72">
        <w:t>; or</w:t>
      </w:r>
    </w:p>
    <w:p w:rsidR="00640CAB" w:rsidRPr="00773D72" w:rsidRDefault="006B3E0C" w:rsidP="006B3E0C">
      <w:pPr>
        <w:pStyle w:val="paragraphsub"/>
      </w:pPr>
      <w:r w:rsidRPr="00773D72">
        <w:tab/>
        <w:t>(ii)</w:t>
      </w:r>
      <w:r w:rsidRPr="00773D72">
        <w:tab/>
        <w:t>a person authorised by the person in relation to whom the initial goods were registered at that time.</w:t>
      </w:r>
    </w:p>
    <w:p w:rsidR="003578B4" w:rsidRPr="00773D72" w:rsidRDefault="0091079E" w:rsidP="003578B4">
      <w:pPr>
        <w:pStyle w:val="Definition"/>
      </w:pPr>
      <w:r w:rsidRPr="00773D72">
        <w:rPr>
          <w:b/>
          <w:i/>
        </w:rPr>
        <w:t xml:space="preserve">relevant goods </w:t>
      </w:r>
      <w:r w:rsidR="003578B4" w:rsidRPr="00773D72">
        <w:t>means</w:t>
      </w:r>
      <w:r w:rsidR="000679CC" w:rsidRPr="00773D72">
        <w:t xml:space="preserve"> goods that, </w:t>
      </w:r>
      <w:r w:rsidR="00731C3E" w:rsidRPr="00773D72">
        <w:t xml:space="preserve">at the time </w:t>
      </w:r>
      <w:r w:rsidR="00A61D4E" w:rsidRPr="00773D72">
        <w:t xml:space="preserve">the </w:t>
      </w:r>
      <w:r w:rsidR="00731C3E" w:rsidRPr="00773D72">
        <w:t xml:space="preserve">registration of the </w:t>
      </w:r>
      <w:r w:rsidR="00A61D4E" w:rsidRPr="00773D72">
        <w:t xml:space="preserve">goods </w:t>
      </w:r>
      <w:r w:rsidR="00731C3E" w:rsidRPr="00773D72">
        <w:t>commenced</w:t>
      </w:r>
      <w:r w:rsidR="00643EF7" w:rsidRPr="00773D72">
        <w:t>, were</w:t>
      </w:r>
      <w:r w:rsidR="003578B4" w:rsidRPr="00773D72">
        <w:t>:</w:t>
      </w:r>
    </w:p>
    <w:p w:rsidR="003578B4" w:rsidRPr="00773D72" w:rsidRDefault="003578B4" w:rsidP="003578B4">
      <w:pPr>
        <w:pStyle w:val="paragraph"/>
      </w:pPr>
      <w:r w:rsidRPr="00773D72">
        <w:tab/>
        <w:t>(a)</w:t>
      </w:r>
      <w:r w:rsidRPr="00773D72">
        <w:tab/>
        <w:t>a new chemical entity; or</w:t>
      </w:r>
    </w:p>
    <w:p w:rsidR="00587D60" w:rsidRPr="00773D72" w:rsidRDefault="003578B4" w:rsidP="003578B4">
      <w:pPr>
        <w:pStyle w:val="paragraph"/>
      </w:pPr>
      <w:r w:rsidRPr="00773D72">
        <w:tab/>
        <w:t>(b)</w:t>
      </w:r>
      <w:r w:rsidRPr="00773D72">
        <w:tab/>
      </w:r>
      <w:r w:rsidR="00587D60" w:rsidRPr="00773D72">
        <w:t>separate and distinct from other goods that are registered:</w:t>
      </w:r>
    </w:p>
    <w:p w:rsidR="003578B4" w:rsidRPr="00773D72" w:rsidRDefault="00587D60" w:rsidP="00587D60">
      <w:pPr>
        <w:pStyle w:val="paragraphsub"/>
      </w:pPr>
      <w:r w:rsidRPr="00773D72">
        <w:tab/>
        <w:t>(i)</w:t>
      </w:r>
      <w:r w:rsidRPr="00773D72">
        <w:tab/>
      </w:r>
      <w:r w:rsidR="00640CAB" w:rsidRPr="00773D72">
        <w:t xml:space="preserve">because of </w:t>
      </w:r>
      <w:r w:rsidR="003578B4" w:rsidRPr="00773D72">
        <w:t>an extension of indications</w:t>
      </w:r>
      <w:r w:rsidRPr="00773D72">
        <w:t xml:space="preserve"> (other than an extension of indications referred to in </w:t>
      </w:r>
      <w:r w:rsidR="00773D72" w:rsidRPr="00773D72">
        <w:t>paragraph (</w:t>
      </w:r>
      <w:r w:rsidRPr="00773D72">
        <w:t>bc) of item</w:t>
      </w:r>
      <w:r w:rsidR="00773D72" w:rsidRPr="00773D72">
        <w:t> </w:t>
      </w:r>
      <w:r w:rsidRPr="00773D72">
        <w:t>4 of the table in Part</w:t>
      </w:r>
      <w:r w:rsidR="00773D72" w:rsidRPr="00773D72">
        <w:t> </w:t>
      </w:r>
      <w:r w:rsidRPr="00773D72">
        <w:t>2 of Schedule</w:t>
      </w:r>
      <w:r w:rsidR="00773D72" w:rsidRPr="00773D72">
        <w:t> </w:t>
      </w:r>
      <w:r w:rsidRPr="00773D72">
        <w:t xml:space="preserve">9 to the </w:t>
      </w:r>
      <w:r w:rsidRPr="00773D72">
        <w:rPr>
          <w:i/>
        </w:rPr>
        <w:t>Therapeutic Goods Regulations</w:t>
      </w:r>
      <w:r w:rsidR="00773D72" w:rsidRPr="00773D72">
        <w:rPr>
          <w:i/>
        </w:rPr>
        <w:t> </w:t>
      </w:r>
      <w:r w:rsidRPr="00773D72">
        <w:rPr>
          <w:i/>
        </w:rPr>
        <w:t>1990</w:t>
      </w:r>
      <w:r w:rsidRPr="00773D72">
        <w:t>)</w:t>
      </w:r>
      <w:r w:rsidR="003578B4" w:rsidRPr="00773D72">
        <w:t>; or</w:t>
      </w:r>
    </w:p>
    <w:p w:rsidR="00E73778" w:rsidRPr="00773D72" w:rsidRDefault="003578B4" w:rsidP="00E103B8">
      <w:pPr>
        <w:pStyle w:val="paragraphsub"/>
      </w:pPr>
      <w:r w:rsidRPr="00773D72">
        <w:tab/>
        <w:t>(</w:t>
      </w:r>
      <w:r w:rsidR="00E103B8" w:rsidRPr="00773D72">
        <w:t>ii</w:t>
      </w:r>
      <w:r w:rsidRPr="00773D72">
        <w:t>)</w:t>
      </w:r>
      <w:r w:rsidRPr="00773D72">
        <w:tab/>
      </w:r>
      <w:r w:rsidR="00640CAB" w:rsidRPr="00773D72">
        <w:t xml:space="preserve">because of </w:t>
      </w:r>
      <w:r w:rsidR="00D66AF7" w:rsidRPr="00773D72">
        <w:t xml:space="preserve">a change </w:t>
      </w:r>
      <w:r w:rsidR="00114A81" w:rsidRPr="00773D72">
        <w:t>to</w:t>
      </w:r>
      <w:r w:rsidR="00D66AF7" w:rsidRPr="00773D72">
        <w:t xml:space="preserve"> the intended patient group</w:t>
      </w:r>
      <w:r w:rsidR="0091079E" w:rsidRPr="00773D72">
        <w:t xml:space="preserve"> (within the meaning of </w:t>
      </w:r>
      <w:r w:rsidR="00773D72" w:rsidRPr="00773D72">
        <w:t>paragraph (</w:t>
      </w:r>
      <w:r w:rsidR="00801E4E" w:rsidRPr="00773D72">
        <w:t xml:space="preserve">e) of the definition of </w:t>
      </w:r>
      <w:r w:rsidR="00801E4E" w:rsidRPr="00773D72">
        <w:rPr>
          <w:b/>
          <w:i/>
        </w:rPr>
        <w:t xml:space="preserve">major variation </w:t>
      </w:r>
      <w:r w:rsidR="00801E4E" w:rsidRPr="00773D72">
        <w:t xml:space="preserve">in </w:t>
      </w:r>
      <w:r w:rsidR="0093121B" w:rsidRPr="00773D72">
        <w:t>sub</w:t>
      </w:r>
      <w:r w:rsidR="0091079E" w:rsidRPr="00773D72">
        <w:t>clause</w:t>
      </w:r>
      <w:r w:rsidR="00773D72" w:rsidRPr="00773D72">
        <w:t> </w:t>
      </w:r>
      <w:r w:rsidR="0091079E" w:rsidRPr="00773D72">
        <w:t>1</w:t>
      </w:r>
      <w:r w:rsidR="0093121B" w:rsidRPr="00773D72">
        <w:t>(1)</w:t>
      </w:r>
      <w:r w:rsidR="0091079E" w:rsidRPr="00773D72">
        <w:t xml:space="preserve"> of Schedule</w:t>
      </w:r>
      <w:r w:rsidR="00773D72" w:rsidRPr="00773D72">
        <w:t> </w:t>
      </w:r>
      <w:r w:rsidR="0091079E" w:rsidRPr="00773D72">
        <w:t>9 to those Regulations)</w:t>
      </w:r>
      <w:r w:rsidR="008A78FA" w:rsidRPr="00773D72">
        <w:t>.</w:t>
      </w:r>
    </w:p>
    <w:sectPr w:rsidR="00E73778" w:rsidRPr="00773D72" w:rsidSect="0063065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0DB" w:rsidRDefault="005D40DB" w:rsidP="0048364F">
      <w:pPr>
        <w:spacing w:line="240" w:lineRule="auto"/>
      </w:pPr>
      <w:r>
        <w:separator/>
      </w:r>
    </w:p>
  </w:endnote>
  <w:endnote w:type="continuationSeparator" w:id="0">
    <w:p w:rsidR="005D40DB" w:rsidRDefault="005D40D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AF" w:rsidRPr="00630656" w:rsidRDefault="009B1AAF" w:rsidP="0063065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30656">
      <w:rPr>
        <w:i/>
        <w:sz w:val="18"/>
      </w:rPr>
      <w:t xml:space="preserve"> </w:t>
    </w:r>
    <w:r w:rsidR="00630656" w:rsidRPr="00630656">
      <w:rPr>
        <w:i/>
        <w:sz w:val="18"/>
      </w:rPr>
      <w:t>OPC61077 -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656" w:rsidRDefault="00630656" w:rsidP="00630656">
    <w:pPr>
      <w:pStyle w:val="Footer"/>
    </w:pPr>
    <w:r w:rsidRPr="00630656">
      <w:rPr>
        <w:i/>
        <w:sz w:val="18"/>
      </w:rPr>
      <w:t>OPC61077 -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AF" w:rsidRPr="00630656" w:rsidRDefault="009B1AAF" w:rsidP="009B1AAF">
    <w:pPr>
      <w:pStyle w:val="Footer"/>
      <w:rPr>
        <w:sz w:val="18"/>
      </w:rPr>
    </w:pPr>
  </w:p>
  <w:p w:rsidR="009B1AAF" w:rsidRPr="00630656" w:rsidRDefault="00630656" w:rsidP="00630656">
    <w:pPr>
      <w:pStyle w:val="Footer"/>
      <w:rPr>
        <w:sz w:val="18"/>
      </w:rPr>
    </w:pPr>
    <w:r w:rsidRPr="00630656">
      <w:rPr>
        <w:i/>
        <w:sz w:val="18"/>
      </w:rPr>
      <w:t>OPC61077 -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AF" w:rsidRPr="00630656" w:rsidRDefault="009B1AAF" w:rsidP="009B1AAF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9B1AAF" w:rsidRPr="00630656" w:rsidTr="00C652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9B1AAF" w:rsidRPr="00630656" w:rsidRDefault="009B1AAF" w:rsidP="00C6521C">
          <w:pPr>
            <w:spacing w:line="0" w:lineRule="atLeast"/>
            <w:rPr>
              <w:rFonts w:cs="Times New Roman"/>
              <w:i/>
              <w:sz w:val="18"/>
            </w:rPr>
          </w:pPr>
          <w:r w:rsidRPr="00630656">
            <w:rPr>
              <w:rFonts w:cs="Times New Roman"/>
              <w:i/>
              <w:sz w:val="18"/>
            </w:rPr>
            <w:fldChar w:fldCharType="begin"/>
          </w:r>
          <w:r w:rsidRPr="00630656">
            <w:rPr>
              <w:rFonts w:cs="Times New Roman"/>
              <w:i/>
              <w:sz w:val="18"/>
            </w:rPr>
            <w:instrText xml:space="preserve"> PAGE </w:instrText>
          </w:r>
          <w:r w:rsidRPr="00630656">
            <w:rPr>
              <w:rFonts w:cs="Times New Roman"/>
              <w:i/>
              <w:sz w:val="18"/>
            </w:rPr>
            <w:fldChar w:fldCharType="separate"/>
          </w:r>
          <w:r w:rsidR="000D26B3">
            <w:rPr>
              <w:rFonts w:cs="Times New Roman"/>
              <w:i/>
              <w:noProof/>
              <w:sz w:val="18"/>
            </w:rPr>
            <w:t>iii</w:t>
          </w:r>
          <w:r w:rsidRPr="0063065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9B1AAF" w:rsidRPr="00630656" w:rsidRDefault="009B1AAF" w:rsidP="00C652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30656">
            <w:rPr>
              <w:rFonts w:cs="Times New Roman"/>
              <w:i/>
              <w:sz w:val="18"/>
            </w:rPr>
            <w:fldChar w:fldCharType="begin"/>
          </w:r>
          <w:r w:rsidRPr="00630656">
            <w:rPr>
              <w:rFonts w:cs="Times New Roman"/>
              <w:i/>
              <w:sz w:val="18"/>
            </w:rPr>
            <w:instrText xml:space="preserve"> DOCPROPERTY ShortT </w:instrText>
          </w:r>
          <w:r w:rsidRPr="00630656">
            <w:rPr>
              <w:rFonts w:cs="Times New Roman"/>
              <w:i/>
              <w:sz w:val="18"/>
            </w:rPr>
            <w:fldChar w:fldCharType="separate"/>
          </w:r>
          <w:r w:rsidR="008C723A">
            <w:rPr>
              <w:rFonts w:cs="Times New Roman"/>
              <w:i/>
              <w:sz w:val="18"/>
            </w:rPr>
            <w:t>Therapeutic Goods (Charges) Amendment (2015 Measures No. 1) Regulation 2015</w:t>
          </w:r>
          <w:r w:rsidRPr="0063065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B1AAF" w:rsidRPr="00630656" w:rsidRDefault="009B1AAF" w:rsidP="00C652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30656">
            <w:rPr>
              <w:rFonts w:cs="Times New Roman"/>
              <w:i/>
              <w:sz w:val="18"/>
            </w:rPr>
            <w:fldChar w:fldCharType="begin"/>
          </w:r>
          <w:r w:rsidRPr="00630656">
            <w:rPr>
              <w:rFonts w:cs="Times New Roman"/>
              <w:i/>
              <w:sz w:val="18"/>
            </w:rPr>
            <w:instrText xml:space="preserve"> DOCPROPERTY ActNo </w:instrText>
          </w:r>
          <w:r w:rsidRPr="00630656">
            <w:rPr>
              <w:rFonts w:cs="Times New Roman"/>
              <w:i/>
              <w:sz w:val="18"/>
            </w:rPr>
            <w:fldChar w:fldCharType="separate"/>
          </w:r>
          <w:r w:rsidR="008C723A">
            <w:rPr>
              <w:rFonts w:cs="Times New Roman"/>
              <w:i/>
              <w:sz w:val="18"/>
            </w:rPr>
            <w:t>No. 86, 2015</w:t>
          </w:r>
          <w:r w:rsidRPr="00630656">
            <w:rPr>
              <w:rFonts w:cs="Times New Roman"/>
              <w:i/>
              <w:sz w:val="18"/>
            </w:rPr>
            <w:fldChar w:fldCharType="end"/>
          </w:r>
        </w:p>
      </w:tc>
    </w:tr>
  </w:tbl>
  <w:p w:rsidR="009B1AAF" w:rsidRPr="00630656" w:rsidRDefault="00630656" w:rsidP="00630656">
    <w:pPr>
      <w:rPr>
        <w:rFonts w:cs="Times New Roman"/>
        <w:i/>
        <w:sz w:val="18"/>
      </w:rPr>
    </w:pPr>
    <w:r w:rsidRPr="00630656">
      <w:rPr>
        <w:rFonts w:cs="Times New Roman"/>
        <w:i/>
        <w:sz w:val="18"/>
      </w:rPr>
      <w:t>OPC61077 -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AF" w:rsidRPr="00E33C1C" w:rsidRDefault="009B1AAF" w:rsidP="009B1AA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B1AAF" w:rsidTr="00C652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B1AAF" w:rsidRDefault="009B1AAF" w:rsidP="00C652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C723A">
            <w:rPr>
              <w:i/>
              <w:sz w:val="18"/>
            </w:rPr>
            <w:t>No. 86,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9B1AAF" w:rsidRDefault="009B1AAF" w:rsidP="00C652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723A">
            <w:rPr>
              <w:i/>
              <w:sz w:val="18"/>
            </w:rPr>
            <w:t>Therapeutic Goods (Charges) Amendment (2015 Measures No. 1)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9B1AAF" w:rsidRDefault="009B1AAF" w:rsidP="00C652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448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B1AAF" w:rsidRPr="00ED79B6" w:rsidRDefault="00630656" w:rsidP="00630656">
    <w:pPr>
      <w:rPr>
        <w:i/>
        <w:sz w:val="18"/>
      </w:rPr>
    </w:pPr>
    <w:r w:rsidRPr="00630656">
      <w:rPr>
        <w:rFonts w:cs="Times New Roman"/>
        <w:i/>
        <w:sz w:val="18"/>
      </w:rPr>
      <w:t>OPC61077 -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AF" w:rsidRPr="00630656" w:rsidRDefault="009B1AAF" w:rsidP="009B1AAF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9B1AAF" w:rsidRPr="00630656" w:rsidTr="00C652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9B1AAF" w:rsidRPr="00630656" w:rsidRDefault="009B1AAF" w:rsidP="00C6521C">
          <w:pPr>
            <w:spacing w:line="0" w:lineRule="atLeast"/>
            <w:rPr>
              <w:rFonts w:cs="Times New Roman"/>
              <w:i/>
              <w:sz w:val="18"/>
            </w:rPr>
          </w:pPr>
          <w:r w:rsidRPr="00630656">
            <w:rPr>
              <w:rFonts w:cs="Times New Roman"/>
              <w:i/>
              <w:sz w:val="18"/>
            </w:rPr>
            <w:fldChar w:fldCharType="begin"/>
          </w:r>
          <w:r w:rsidRPr="00630656">
            <w:rPr>
              <w:rFonts w:cs="Times New Roman"/>
              <w:i/>
              <w:sz w:val="18"/>
            </w:rPr>
            <w:instrText xml:space="preserve"> PAGE </w:instrText>
          </w:r>
          <w:r w:rsidRPr="00630656">
            <w:rPr>
              <w:rFonts w:cs="Times New Roman"/>
              <w:i/>
              <w:sz w:val="18"/>
            </w:rPr>
            <w:fldChar w:fldCharType="separate"/>
          </w:r>
          <w:r w:rsidR="007C36AF">
            <w:rPr>
              <w:rFonts w:cs="Times New Roman"/>
              <w:i/>
              <w:noProof/>
              <w:sz w:val="18"/>
            </w:rPr>
            <w:t>6</w:t>
          </w:r>
          <w:r w:rsidRPr="0063065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9B1AAF" w:rsidRPr="00630656" w:rsidRDefault="009B1AAF" w:rsidP="00C652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30656">
            <w:rPr>
              <w:rFonts w:cs="Times New Roman"/>
              <w:i/>
              <w:sz w:val="18"/>
            </w:rPr>
            <w:fldChar w:fldCharType="begin"/>
          </w:r>
          <w:r w:rsidRPr="00630656">
            <w:rPr>
              <w:rFonts w:cs="Times New Roman"/>
              <w:i/>
              <w:sz w:val="18"/>
            </w:rPr>
            <w:instrText xml:space="preserve"> DOCPROPERTY ShortT </w:instrText>
          </w:r>
          <w:r w:rsidRPr="00630656">
            <w:rPr>
              <w:rFonts w:cs="Times New Roman"/>
              <w:i/>
              <w:sz w:val="18"/>
            </w:rPr>
            <w:fldChar w:fldCharType="separate"/>
          </w:r>
          <w:r w:rsidR="008C723A">
            <w:rPr>
              <w:rFonts w:cs="Times New Roman"/>
              <w:i/>
              <w:sz w:val="18"/>
            </w:rPr>
            <w:t>Therapeutic Goods (Charges) Amendment (2015 Measures No. 1) Regulation 2015</w:t>
          </w:r>
          <w:r w:rsidRPr="0063065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B1AAF" w:rsidRPr="00630656" w:rsidRDefault="009B1AAF" w:rsidP="00C652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30656">
            <w:rPr>
              <w:rFonts w:cs="Times New Roman"/>
              <w:i/>
              <w:sz w:val="18"/>
            </w:rPr>
            <w:fldChar w:fldCharType="begin"/>
          </w:r>
          <w:r w:rsidRPr="00630656">
            <w:rPr>
              <w:rFonts w:cs="Times New Roman"/>
              <w:i/>
              <w:sz w:val="18"/>
            </w:rPr>
            <w:instrText xml:space="preserve"> DOCPROPERTY ActNo </w:instrText>
          </w:r>
          <w:r w:rsidRPr="00630656">
            <w:rPr>
              <w:rFonts w:cs="Times New Roman"/>
              <w:i/>
              <w:sz w:val="18"/>
            </w:rPr>
            <w:fldChar w:fldCharType="separate"/>
          </w:r>
          <w:r w:rsidR="008C723A">
            <w:rPr>
              <w:rFonts w:cs="Times New Roman"/>
              <w:i/>
              <w:sz w:val="18"/>
            </w:rPr>
            <w:t>No. 86, 2015</w:t>
          </w:r>
          <w:r w:rsidRPr="00630656">
            <w:rPr>
              <w:rFonts w:cs="Times New Roman"/>
              <w:i/>
              <w:sz w:val="18"/>
            </w:rPr>
            <w:fldChar w:fldCharType="end"/>
          </w:r>
        </w:p>
      </w:tc>
    </w:tr>
  </w:tbl>
  <w:p w:rsidR="009B1AAF" w:rsidRPr="00630656" w:rsidRDefault="00630656" w:rsidP="00630656">
    <w:pPr>
      <w:rPr>
        <w:rFonts w:cs="Times New Roman"/>
        <w:i/>
        <w:sz w:val="18"/>
      </w:rPr>
    </w:pPr>
    <w:r w:rsidRPr="00630656">
      <w:rPr>
        <w:rFonts w:cs="Times New Roman"/>
        <w:i/>
        <w:sz w:val="18"/>
      </w:rPr>
      <w:t>OPC61077 -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AF" w:rsidRPr="00E33C1C" w:rsidRDefault="009B1AAF" w:rsidP="009B1AA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B1AAF" w:rsidTr="00C652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B1AAF" w:rsidRDefault="009B1AAF" w:rsidP="00C652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C723A">
            <w:rPr>
              <w:i/>
              <w:sz w:val="18"/>
            </w:rPr>
            <w:t>No. 86,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9B1AAF" w:rsidRDefault="009B1AAF" w:rsidP="00C652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723A">
            <w:rPr>
              <w:i/>
              <w:sz w:val="18"/>
            </w:rPr>
            <w:t>Therapeutic Goods (Charges) Amendment (2015 Measures No. 1)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9B1AAF" w:rsidRDefault="009B1AAF" w:rsidP="00C652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448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B1AAF" w:rsidRPr="00ED79B6" w:rsidRDefault="00630656" w:rsidP="00630656">
    <w:pPr>
      <w:rPr>
        <w:i/>
        <w:sz w:val="18"/>
      </w:rPr>
    </w:pPr>
    <w:r w:rsidRPr="00630656">
      <w:rPr>
        <w:rFonts w:cs="Times New Roman"/>
        <w:i/>
        <w:sz w:val="18"/>
      </w:rPr>
      <w:t>OPC61077 -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AF" w:rsidRPr="00E33C1C" w:rsidRDefault="009B1AAF" w:rsidP="009B1AA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B1AAF" w:rsidTr="00C652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B1AAF" w:rsidRDefault="009B1AAF" w:rsidP="00C652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C723A">
            <w:rPr>
              <w:i/>
              <w:sz w:val="18"/>
            </w:rPr>
            <w:t>No. 86,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9B1AAF" w:rsidRDefault="009B1AAF" w:rsidP="00C652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723A">
            <w:rPr>
              <w:i/>
              <w:sz w:val="18"/>
            </w:rPr>
            <w:t>Therapeutic Goods (Charges) Amendment (2015 Measures No. 1)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9B1AAF" w:rsidRDefault="009B1AAF" w:rsidP="00C652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26B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B1AAF" w:rsidRPr="00ED79B6" w:rsidRDefault="009B1AAF" w:rsidP="009B1AA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0DB" w:rsidRDefault="005D40DB" w:rsidP="0048364F">
      <w:pPr>
        <w:spacing w:line="240" w:lineRule="auto"/>
      </w:pPr>
      <w:r>
        <w:separator/>
      </w:r>
    </w:p>
  </w:footnote>
  <w:footnote w:type="continuationSeparator" w:id="0">
    <w:p w:rsidR="005D40DB" w:rsidRDefault="005D40D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AF" w:rsidRPr="005F1388" w:rsidRDefault="009B1AAF" w:rsidP="009B1AA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AF" w:rsidRPr="005F1388" w:rsidRDefault="009B1AAF" w:rsidP="009B1AA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AF" w:rsidRPr="005F1388" w:rsidRDefault="009B1AAF" w:rsidP="009B1AA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AF" w:rsidRPr="00ED79B6" w:rsidRDefault="009B1AAF" w:rsidP="009B1AA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AF" w:rsidRPr="00ED79B6" w:rsidRDefault="009B1AAF" w:rsidP="009B1AA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AF" w:rsidRPr="00ED79B6" w:rsidRDefault="009B1AAF" w:rsidP="009B1AA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AF" w:rsidRPr="00A961C4" w:rsidRDefault="009B1AAF" w:rsidP="009B1AA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C36AF">
      <w:rPr>
        <w:b/>
        <w:sz w:val="20"/>
      </w:rPr>
      <w:fldChar w:fldCharType="separate"/>
    </w:r>
    <w:r w:rsidR="007C36AF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C36AF">
      <w:rPr>
        <w:sz w:val="20"/>
      </w:rPr>
      <w:fldChar w:fldCharType="separate"/>
    </w:r>
    <w:r w:rsidR="007C36AF">
      <w:rPr>
        <w:noProof/>
        <w:sz w:val="20"/>
      </w:rPr>
      <w:t>Annual charges for goods that are not biologics</w:t>
    </w:r>
    <w:r>
      <w:rPr>
        <w:sz w:val="20"/>
      </w:rPr>
      <w:fldChar w:fldCharType="end"/>
    </w:r>
  </w:p>
  <w:p w:rsidR="009B1AAF" w:rsidRPr="00A961C4" w:rsidRDefault="009B1AAF" w:rsidP="009B1AA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B1AAF" w:rsidRPr="00A961C4" w:rsidRDefault="009B1AAF" w:rsidP="009B1AAF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AF" w:rsidRPr="00A961C4" w:rsidRDefault="009B1AAF" w:rsidP="009B1AA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9B1AAF" w:rsidRPr="00A961C4" w:rsidRDefault="009B1AAF" w:rsidP="009B1AA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B1AAF" w:rsidRPr="00A961C4" w:rsidRDefault="009B1AAF" w:rsidP="009B1AAF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AF" w:rsidRPr="00A961C4" w:rsidRDefault="009B1AAF" w:rsidP="009B1A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5A"/>
    <w:rsid w:val="0000089E"/>
    <w:rsid w:val="000041C6"/>
    <w:rsid w:val="00005070"/>
    <w:rsid w:val="000063E4"/>
    <w:rsid w:val="00011222"/>
    <w:rsid w:val="000113BC"/>
    <w:rsid w:val="0001155D"/>
    <w:rsid w:val="000136AF"/>
    <w:rsid w:val="00016C03"/>
    <w:rsid w:val="00025060"/>
    <w:rsid w:val="0004044E"/>
    <w:rsid w:val="00056AF8"/>
    <w:rsid w:val="00057219"/>
    <w:rsid w:val="00060902"/>
    <w:rsid w:val="000614BF"/>
    <w:rsid w:val="000679CC"/>
    <w:rsid w:val="000717A6"/>
    <w:rsid w:val="00091E45"/>
    <w:rsid w:val="00094262"/>
    <w:rsid w:val="000A1466"/>
    <w:rsid w:val="000A2F1C"/>
    <w:rsid w:val="000A2F47"/>
    <w:rsid w:val="000B7C82"/>
    <w:rsid w:val="000C4AE3"/>
    <w:rsid w:val="000C4E79"/>
    <w:rsid w:val="000C7F0B"/>
    <w:rsid w:val="000D05EF"/>
    <w:rsid w:val="000D26B3"/>
    <w:rsid w:val="000F171A"/>
    <w:rsid w:val="000F21C1"/>
    <w:rsid w:val="000F6B02"/>
    <w:rsid w:val="000F7427"/>
    <w:rsid w:val="001027AC"/>
    <w:rsid w:val="0010745C"/>
    <w:rsid w:val="00114A81"/>
    <w:rsid w:val="00116975"/>
    <w:rsid w:val="001238E1"/>
    <w:rsid w:val="00126F1A"/>
    <w:rsid w:val="00127A70"/>
    <w:rsid w:val="00136450"/>
    <w:rsid w:val="001435E3"/>
    <w:rsid w:val="00154EAC"/>
    <w:rsid w:val="001643C9"/>
    <w:rsid w:val="00165568"/>
    <w:rsid w:val="00166C2F"/>
    <w:rsid w:val="00167EF1"/>
    <w:rsid w:val="001714B6"/>
    <w:rsid w:val="001716C9"/>
    <w:rsid w:val="00171EAE"/>
    <w:rsid w:val="00174758"/>
    <w:rsid w:val="00191859"/>
    <w:rsid w:val="00193461"/>
    <w:rsid w:val="001939E1"/>
    <w:rsid w:val="00195382"/>
    <w:rsid w:val="001B3097"/>
    <w:rsid w:val="001B534D"/>
    <w:rsid w:val="001B7A5D"/>
    <w:rsid w:val="001C69C4"/>
    <w:rsid w:val="001D4229"/>
    <w:rsid w:val="001D6771"/>
    <w:rsid w:val="001D7F83"/>
    <w:rsid w:val="001E16D0"/>
    <w:rsid w:val="001E3590"/>
    <w:rsid w:val="001E562E"/>
    <w:rsid w:val="001E7407"/>
    <w:rsid w:val="001F0A41"/>
    <w:rsid w:val="001F1B55"/>
    <w:rsid w:val="001F5772"/>
    <w:rsid w:val="001F6392"/>
    <w:rsid w:val="001F6924"/>
    <w:rsid w:val="00201D27"/>
    <w:rsid w:val="00210161"/>
    <w:rsid w:val="00212893"/>
    <w:rsid w:val="00223A71"/>
    <w:rsid w:val="0022555B"/>
    <w:rsid w:val="00231427"/>
    <w:rsid w:val="002405E6"/>
    <w:rsid w:val="00240749"/>
    <w:rsid w:val="00243C6B"/>
    <w:rsid w:val="00265FBC"/>
    <w:rsid w:val="00266D05"/>
    <w:rsid w:val="00270686"/>
    <w:rsid w:val="00273A49"/>
    <w:rsid w:val="00284EE8"/>
    <w:rsid w:val="002932B1"/>
    <w:rsid w:val="00295408"/>
    <w:rsid w:val="00297ECB"/>
    <w:rsid w:val="002A0FFD"/>
    <w:rsid w:val="002B1BB7"/>
    <w:rsid w:val="002B2731"/>
    <w:rsid w:val="002B5B89"/>
    <w:rsid w:val="002B7D96"/>
    <w:rsid w:val="002B7FFD"/>
    <w:rsid w:val="002C26AD"/>
    <w:rsid w:val="002C6D7B"/>
    <w:rsid w:val="002D043A"/>
    <w:rsid w:val="002F2450"/>
    <w:rsid w:val="00304E75"/>
    <w:rsid w:val="0030695D"/>
    <w:rsid w:val="003072FA"/>
    <w:rsid w:val="0031713F"/>
    <w:rsid w:val="003220A2"/>
    <w:rsid w:val="003415D3"/>
    <w:rsid w:val="003464E9"/>
    <w:rsid w:val="00352B0F"/>
    <w:rsid w:val="003539C0"/>
    <w:rsid w:val="003578B4"/>
    <w:rsid w:val="00361BD9"/>
    <w:rsid w:val="00363549"/>
    <w:rsid w:val="00373672"/>
    <w:rsid w:val="003801D0"/>
    <w:rsid w:val="00391AF7"/>
    <w:rsid w:val="0039228E"/>
    <w:rsid w:val="003926B5"/>
    <w:rsid w:val="003A12D2"/>
    <w:rsid w:val="003A4383"/>
    <w:rsid w:val="003B04EC"/>
    <w:rsid w:val="003B3DF0"/>
    <w:rsid w:val="003C5F2B"/>
    <w:rsid w:val="003D0BFE"/>
    <w:rsid w:val="003D56D5"/>
    <w:rsid w:val="003D5700"/>
    <w:rsid w:val="003E5FF5"/>
    <w:rsid w:val="003F0043"/>
    <w:rsid w:val="003F1604"/>
    <w:rsid w:val="003F4CA9"/>
    <w:rsid w:val="003F567B"/>
    <w:rsid w:val="004010E7"/>
    <w:rsid w:val="00401403"/>
    <w:rsid w:val="004116CD"/>
    <w:rsid w:val="004126E4"/>
    <w:rsid w:val="00412B83"/>
    <w:rsid w:val="00413967"/>
    <w:rsid w:val="0042010F"/>
    <w:rsid w:val="004203AA"/>
    <w:rsid w:val="00421BB2"/>
    <w:rsid w:val="00422162"/>
    <w:rsid w:val="00424CA9"/>
    <w:rsid w:val="0042603D"/>
    <w:rsid w:val="00433910"/>
    <w:rsid w:val="0044291A"/>
    <w:rsid w:val="004541B9"/>
    <w:rsid w:val="004565DF"/>
    <w:rsid w:val="00460499"/>
    <w:rsid w:val="00473FB4"/>
    <w:rsid w:val="00480FB9"/>
    <w:rsid w:val="0048364F"/>
    <w:rsid w:val="00486382"/>
    <w:rsid w:val="004920AA"/>
    <w:rsid w:val="00496F97"/>
    <w:rsid w:val="004A1DDA"/>
    <w:rsid w:val="004A2484"/>
    <w:rsid w:val="004A5371"/>
    <w:rsid w:val="004B0BD1"/>
    <w:rsid w:val="004C0255"/>
    <w:rsid w:val="004C5B5A"/>
    <w:rsid w:val="004C6444"/>
    <w:rsid w:val="004C6DE1"/>
    <w:rsid w:val="004E400F"/>
    <w:rsid w:val="004F1FAC"/>
    <w:rsid w:val="004F3A90"/>
    <w:rsid w:val="004F676E"/>
    <w:rsid w:val="004F7F40"/>
    <w:rsid w:val="005036BE"/>
    <w:rsid w:val="00511308"/>
    <w:rsid w:val="005147AA"/>
    <w:rsid w:val="005169E8"/>
    <w:rsid w:val="00516B8D"/>
    <w:rsid w:val="00520A1E"/>
    <w:rsid w:val="00522D80"/>
    <w:rsid w:val="005304F5"/>
    <w:rsid w:val="00536424"/>
    <w:rsid w:val="00537FBC"/>
    <w:rsid w:val="00543469"/>
    <w:rsid w:val="00555DF7"/>
    <w:rsid w:val="00557C7A"/>
    <w:rsid w:val="00584811"/>
    <w:rsid w:val="005851A5"/>
    <w:rsid w:val="0058646E"/>
    <w:rsid w:val="00587D60"/>
    <w:rsid w:val="00591E07"/>
    <w:rsid w:val="00593AA6"/>
    <w:rsid w:val="00594161"/>
    <w:rsid w:val="00594749"/>
    <w:rsid w:val="005B4067"/>
    <w:rsid w:val="005C12DE"/>
    <w:rsid w:val="005C3F41"/>
    <w:rsid w:val="005C4461"/>
    <w:rsid w:val="005D40DB"/>
    <w:rsid w:val="005E552A"/>
    <w:rsid w:val="005F6776"/>
    <w:rsid w:val="005F6C7E"/>
    <w:rsid w:val="00600219"/>
    <w:rsid w:val="00617953"/>
    <w:rsid w:val="006249E6"/>
    <w:rsid w:val="006264F8"/>
    <w:rsid w:val="00630656"/>
    <w:rsid w:val="00630733"/>
    <w:rsid w:val="00640CAB"/>
    <w:rsid w:val="00642AFB"/>
    <w:rsid w:val="00643EF7"/>
    <w:rsid w:val="0064468A"/>
    <w:rsid w:val="006533BB"/>
    <w:rsid w:val="00654CCA"/>
    <w:rsid w:val="00656DE9"/>
    <w:rsid w:val="00663BDD"/>
    <w:rsid w:val="00677CC2"/>
    <w:rsid w:val="00680F17"/>
    <w:rsid w:val="00682D8C"/>
    <w:rsid w:val="00685F42"/>
    <w:rsid w:val="006865C1"/>
    <w:rsid w:val="0069207B"/>
    <w:rsid w:val="006937E2"/>
    <w:rsid w:val="0069392E"/>
    <w:rsid w:val="006976B9"/>
    <w:rsid w:val="006977FB"/>
    <w:rsid w:val="006B262A"/>
    <w:rsid w:val="006B3E0C"/>
    <w:rsid w:val="006B7275"/>
    <w:rsid w:val="006C2C12"/>
    <w:rsid w:val="006C3FFF"/>
    <w:rsid w:val="006C5F79"/>
    <w:rsid w:val="006C7823"/>
    <w:rsid w:val="006C7844"/>
    <w:rsid w:val="006C7F8C"/>
    <w:rsid w:val="006D070D"/>
    <w:rsid w:val="006D3667"/>
    <w:rsid w:val="006D42EC"/>
    <w:rsid w:val="006D4E91"/>
    <w:rsid w:val="006E004B"/>
    <w:rsid w:val="006E0BEE"/>
    <w:rsid w:val="006E65B4"/>
    <w:rsid w:val="006E7147"/>
    <w:rsid w:val="00700B2C"/>
    <w:rsid w:val="00701E6A"/>
    <w:rsid w:val="00702D2B"/>
    <w:rsid w:val="00705580"/>
    <w:rsid w:val="00713084"/>
    <w:rsid w:val="0071356D"/>
    <w:rsid w:val="00714BE4"/>
    <w:rsid w:val="00722023"/>
    <w:rsid w:val="00731C3E"/>
    <w:rsid w:val="00731E00"/>
    <w:rsid w:val="007440B7"/>
    <w:rsid w:val="00751C1D"/>
    <w:rsid w:val="007524E8"/>
    <w:rsid w:val="00753A61"/>
    <w:rsid w:val="00754E48"/>
    <w:rsid w:val="007634AD"/>
    <w:rsid w:val="007715C9"/>
    <w:rsid w:val="00773D72"/>
    <w:rsid w:val="007743B9"/>
    <w:rsid w:val="00774EDD"/>
    <w:rsid w:val="007757EC"/>
    <w:rsid w:val="007769D4"/>
    <w:rsid w:val="00785AFA"/>
    <w:rsid w:val="007879DD"/>
    <w:rsid w:val="007903AC"/>
    <w:rsid w:val="00793A09"/>
    <w:rsid w:val="00795DFC"/>
    <w:rsid w:val="007A4D21"/>
    <w:rsid w:val="007A7F9F"/>
    <w:rsid w:val="007C36AF"/>
    <w:rsid w:val="007E15E5"/>
    <w:rsid w:val="007E4328"/>
    <w:rsid w:val="007E7D4A"/>
    <w:rsid w:val="007F5E28"/>
    <w:rsid w:val="008013AE"/>
    <w:rsid w:val="00801789"/>
    <w:rsid w:val="00801E4E"/>
    <w:rsid w:val="00803E1C"/>
    <w:rsid w:val="00816E1D"/>
    <w:rsid w:val="00826DA5"/>
    <w:rsid w:val="00833416"/>
    <w:rsid w:val="00836DDD"/>
    <w:rsid w:val="00842370"/>
    <w:rsid w:val="00843B64"/>
    <w:rsid w:val="00856A31"/>
    <w:rsid w:val="008635FB"/>
    <w:rsid w:val="00874B69"/>
    <w:rsid w:val="008754D0"/>
    <w:rsid w:val="0087705B"/>
    <w:rsid w:val="00877D48"/>
    <w:rsid w:val="00880795"/>
    <w:rsid w:val="008963AF"/>
    <w:rsid w:val="0089783B"/>
    <w:rsid w:val="008A78FA"/>
    <w:rsid w:val="008C1960"/>
    <w:rsid w:val="008C1B01"/>
    <w:rsid w:val="008C5B64"/>
    <w:rsid w:val="008C723A"/>
    <w:rsid w:val="008D017C"/>
    <w:rsid w:val="008D0EE0"/>
    <w:rsid w:val="008D7016"/>
    <w:rsid w:val="008F07E3"/>
    <w:rsid w:val="008F4F1C"/>
    <w:rsid w:val="00907271"/>
    <w:rsid w:val="0091079E"/>
    <w:rsid w:val="0093121B"/>
    <w:rsid w:val="00932377"/>
    <w:rsid w:val="00932A33"/>
    <w:rsid w:val="00934C2E"/>
    <w:rsid w:val="00936861"/>
    <w:rsid w:val="0094479C"/>
    <w:rsid w:val="009647C9"/>
    <w:rsid w:val="00966C03"/>
    <w:rsid w:val="009771E1"/>
    <w:rsid w:val="009839AB"/>
    <w:rsid w:val="009848EC"/>
    <w:rsid w:val="009A2D5A"/>
    <w:rsid w:val="009A69A2"/>
    <w:rsid w:val="009A7CE4"/>
    <w:rsid w:val="009B0BB8"/>
    <w:rsid w:val="009B1AAF"/>
    <w:rsid w:val="009B3629"/>
    <w:rsid w:val="009C49D8"/>
    <w:rsid w:val="009D0DBC"/>
    <w:rsid w:val="009E1C57"/>
    <w:rsid w:val="009E3601"/>
    <w:rsid w:val="009F727E"/>
    <w:rsid w:val="00A07616"/>
    <w:rsid w:val="00A1027A"/>
    <w:rsid w:val="00A11694"/>
    <w:rsid w:val="00A15AC0"/>
    <w:rsid w:val="00A2057D"/>
    <w:rsid w:val="00A231E2"/>
    <w:rsid w:val="00A2550D"/>
    <w:rsid w:val="00A25AE2"/>
    <w:rsid w:val="00A26DBE"/>
    <w:rsid w:val="00A326A4"/>
    <w:rsid w:val="00A363A3"/>
    <w:rsid w:val="00A40A4E"/>
    <w:rsid w:val="00A4169B"/>
    <w:rsid w:val="00A4361F"/>
    <w:rsid w:val="00A464AC"/>
    <w:rsid w:val="00A5197F"/>
    <w:rsid w:val="00A52CD6"/>
    <w:rsid w:val="00A61D4E"/>
    <w:rsid w:val="00A64912"/>
    <w:rsid w:val="00A6658C"/>
    <w:rsid w:val="00A70A74"/>
    <w:rsid w:val="00A71C4E"/>
    <w:rsid w:val="00A777BC"/>
    <w:rsid w:val="00A87AB9"/>
    <w:rsid w:val="00AA33AC"/>
    <w:rsid w:val="00AB3315"/>
    <w:rsid w:val="00AB7B41"/>
    <w:rsid w:val="00AC06B3"/>
    <w:rsid w:val="00AC606B"/>
    <w:rsid w:val="00AD5641"/>
    <w:rsid w:val="00AD6D7D"/>
    <w:rsid w:val="00AE355E"/>
    <w:rsid w:val="00AE50A2"/>
    <w:rsid w:val="00AF0336"/>
    <w:rsid w:val="00AF6613"/>
    <w:rsid w:val="00B00902"/>
    <w:rsid w:val="00B032D8"/>
    <w:rsid w:val="00B13CFD"/>
    <w:rsid w:val="00B244A8"/>
    <w:rsid w:val="00B250A0"/>
    <w:rsid w:val="00B27ADB"/>
    <w:rsid w:val="00B332B8"/>
    <w:rsid w:val="00B33B3C"/>
    <w:rsid w:val="00B3420B"/>
    <w:rsid w:val="00B44657"/>
    <w:rsid w:val="00B44A12"/>
    <w:rsid w:val="00B56FE8"/>
    <w:rsid w:val="00B61D2C"/>
    <w:rsid w:val="00B63BDE"/>
    <w:rsid w:val="00B70BC4"/>
    <w:rsid w:val="00B7281F"/>
    <w:rsid w:val="00B7669B"/>
    <w:rsid w:val="00B769F9"/>
    <w:rsid w:val="00B813FE"/>
    <w:rsid w:val="00B935B5"/>
    <w:rsid w:val="00BA5026"/>
    <w:rsid w:val="00BB6E79"/>
    <w:rsid w:val="00BC4C0B"/>
    <w:rsid w:val="00BC4F91"/>
    <w:rsid w:val="00BD42AE"/>
    <w:rsid w:val="00BD60E6"/>
    <w:rsid w:val="00BE18A5"/>
    <w:rsid w:val="00BE253A"/>
    <w:rsid w:val="00BE719A"/>
    <w:rsid w:val="00BE720A"/>
    <w:rsid w:val="00BF3AE2"/>
    <w:rsid w:val="00BF4533"/>
    <w:rsid w:val="00C067E5"/>
    <w:rsid w:val="00C15528"/>
    <w:rsid w:val="00C16073"/>
    <w:rsid w:val="00C164CA"/>
    <w:rsid w:val="00C21B63"/>
    <w:rsid w:val="00C275B5"/>
    <w:rsid w:val="00C33957"/>
    <w:rsid w:val="00C42BF8"/>
    <w:rsid w:val="00C44483"/>
    <w:rsid w:val="00C460AE"/>
    <w:rsid w:val="00C50043"/>
    <w:rsid w:val="00C50ECA"/>
    <w:rsid w:val="00C55413"/>
    <w:rsid w:val="00C63713"/>
    <w:rsid w:val="00C741D8"/>
    <w:rsid w:val="00C7573B"/>
    <w:rsid w:val="00C76CF3"/>
    <w:rsid w:val="00C77E30"/>
    <w:rsid w:val="00C814F5"/>
    <w:rsid w:val="00C91476"/>
    <w:rsid w:val="00CA3360"/>
    <w:rsid w:val="00CB0180"/>
    <w:rsid w:val="00CB3470"/>
    <w:rsid w:val="00CB60F3"/>
    <w:rsid w:val="00CC63B1"/>
    <w:rsid w:val="00CD099C"/>
    <w:rsid w:val="00CD34EF"/>
    <w:rsid w:val="00CD606E"/>
    <w:rsid w:val="00CD7ECB"/>
    <w:rsid w:val="00CE2892"/>
    <w:rsid w:val="00CE3830"/>
    <w:rsid w:val="00CE7955"/>
    <w:rsid w:val="00CF0BB2"/>
    <w:rsid w:val="00D0104A"/>
    <w:rsid w:val="00D04104"/>
    <w:rsid w:val="00D13441"/>
    <w:rsid w:val="00D17B17"/>
    <w:rsid w:val="00D243A3"/>
    <w:rsid w:val="00D259F7"/>
    <w:rsid w:val="00D333D9"/>
    <w:rsid w:val="00D33440"/>
    <w:rsid w:val="00D40403"/>
    <w:rsid w:val="00D41CCA"/>
    <w:rsid w:val="00D46D72"/>
    <w:rsid w:val="00D4782A"/>
    <w:rsid w:val="00D52EFE"/>
    <w:rsid w:val="00D63EF6"/>
    <w:rsid w:val="00D66AF7"/>
    <w:rsid w:val="00D70DFB"/>
    <w:rsid w:val="00D766DF"/>
    <w:rsid w:val="00D83D21"/>
    <w:rsid w:val="00D84B58"/>
    <w:rsid w:val="00D90D62"/>
    <w:rsid w:val="00D925D1"/>
    <w:rsid w:val="00DA2409"/>
    <w:rsid w:val="00DB12C3"/>
    <w:rsid w:val="00DB1A4D"/>
    <w:rsid w:val="00DC0838"/>
    <w:rsid w:val="00DC2356"/>
    <w:rsid w:val="00DC341E"/>
    <w:rsid w:val="00DF1F36"/>
    <w:rsid w:val="00DF5F4B"/>
    <w:rsid w:val="00E05704"/>
    <w:rsid w:val="00E05C46"/>
    <w:rsid w:val="00E103B8"/>
    <w:rsid w:val="00E21A43"/>
    <w:rsid w:val="00E2612B"/>
    <w:rsid w:val="00E30206"/>
    <w:rsid w:val="00E3321E"/>
    <w:rsid w:val="00E33C1C"/>
    <w:rsid w:val="00E34E6B"/>
    <w:rsid w:val="00E443FC"/>
    <w:rsid w:val="00E45FE7"/>
    <w:rsid w:val="00E476B8"/>
    <w:rsid w:val="00E54292"/>
    <w:rsid w:val="00E55BCD"/>
    <w:rsid w:val="00E5658C"/>
    <w:rsid w:val="00E62E16"/>
    <w:rsid w:val="00E6663F"/>
    <w:rsid w:val="00E66B70"/>
    <w:rsid w:val="00E73778"/>
    <w:rsid w:val="00E73EC4"/>
    <w:rsid w:val="00E74DC7"/>
    <w:rsid w:val="00E76FAB"/>
    <w:rsid w:val="00E83E2E"/>
    <w:rsid w:val="00E83E68"/>
    <w:rsid w:val="00E84B32"/>
    <w:rsid w:val="00E85A5C"/>
    <w:rsid w:val="00E87699"/>
    <w:rsid w:val="00EA705A"/>
    <w:rsid w:val="00ED3231"/>
    <w:rsid w:val="00ED3A7D"/>
    <w:rsid w:val="00ED770E"/>
    <w:rsid w:val="00EE1B9B"/>
    <w:rsid w:val="00EF2E3A"/>
    <w:rsid w:val="00F047E2"/>
    <w:rsid w:val="00F078DC"/>
    <w:rsid w:val="00F13E86"/>
    <w:rsid w:val="00F21BCB"/>
    <w:rsid w:val="00F24C35"/>
    <w:rsid w:val="00F34B9F"/>
    <w:rsid w:val="00F56759"/>
    <w:rsid w:val="00F57B46"/>
    <w:rsid w:val="00F64A59"/>
    <w:rsid w:val="00F65649"/>
    <w:rsid w:val="00F677A9"/>
    <w:rsid w:val="00F7417D"/>
    <w:rsid w:val="00F84CF5"/>
    <w:rsid w:val="00F90D1E"/>
    <w:rsid w:val="00FA420B"/>
    <w:rsid w:val="00FB03B3"/>
    <w:rsid w:val="00FB192C"/>
    <w:rsid w:val="00FC21DB"/>
    <w:rsid w:val="00FC24D2"/>
    <w:rsid w:val="00FD6ABE"/>
    <w:rsid w:val="00FD7CFE"/>
    <w:rsid w:val="00FE0061"/>
    <w:rsid w:val="00FE55A8"/>
    <w:rsid w:val="00FE68CA"/>
    <w:rsid w:val="00FF3089"/>
    <w:rsid w:val="00FF39BA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3D7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D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D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D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D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D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D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D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D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D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3D72"/>
  </w:style>
  <w:style w:type="paragraph" w:customStyle="1" w:styleId="OPCParaBase">
    <w:name w:val="OPCParaBase"/>
    <w:qFormat/>
    <w:rsid w:val="00773D7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3D7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3D7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3D7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3D7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3D7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73D7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3D7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3D7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3D7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3D7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3D72"/>
  </w:style>
  <w:style w:type="paragraph" w:customStyle="1" w:styleId="Blocks">
    <w:name w:val="Blocks"/>
    <w:aliases w:val="bb"/>
    <w:basedOn w:val="OPCParaBase"/>
    <w:qFormat/>
    <w:rsid w:val="00773D7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3D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3D7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3D72"/>
    <w:rPr>
      <w:i/>
    </w:rPr>
  </w:style>
  <w:style w:type="paragraph" w:customStyle="1" w:styleId="BoxList">
    <w:name w:val="BoxList"/>
    <w:aliases w:val="bl"/>
    <w:basedOn w:val="BoxText"/>
    <w:qFormat/>
    <w:rsid w:val="00773D7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3D7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3D7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3D72"/>
    <w:pPr>
      <w:ind w:left="1985" w:hanging="851"/>
    </w:pPr>
  </w:style>
  <w:style w:type="character" w:customStyle="1" w:styleId="CharAmPartNo">
    <w:name w:val="CharAmPartNo"/>
    <w:basedOn w:val="OPCCharBase"/>
    <w:qFormat/>
    <w:rsid w:val="00773D72"/>
  </w:style>
  <w:style w:type="character" w:customStyle="1" w:styleId="CharAmPartText">
    <w:name w:val="CharAmPartText"/>
    <w:basedOn w:val="OPCCharBase"/>
    <w:qFormat/>
    <w:rsid w:val="00773D72"/>
  </w:style>
  <w:style w:type="character" w:customStyle="1" w:styleId="CharAmSchNo">
    <w:name w:val="CharAmSchNo"/>
    <w:basedOn w:val="OPCCharBase"/>
    <w:qFormat/>
    <w:rsid w:val="00773D72"/>
  </w:style>
  <w:style w:type="character" w:customStyle="1" w:styleId="CharAmSchText">
    <w:name w:val="CharAmSchText"/>
    <w:basedOn w:val="OPCCharBase"/>
    <w:qFormat/>
    <w:rsid w:val="00773D72"/>
  </w:style>
  <w:style w:type="character" w:customStyle="1" w:styleId="CharBoldItalic">
    <w:name w:val="CharBoldItalic"/>
    <w:basedOn w:val="OPCCharBase"/>
    <w:uiPriority w:val="1"/>
    <w:qFormat/>
    <w:rsid w:val="00773D7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3D72"/>
  </w:style>
  <w:style w:type="character" w:customStyle="1" w:styleId="CharChapText">
    <w:name w:val="CharChapText"/>
    <w:basedOn w:val="OPCCharBase"/>
    <w:uiPriority w:val="1"/>
    <w:qFormat/>
    <w:rsid w:val="00773D72"/>
  </w:style>
  <w:style w:type="character" w:customStyle="1" w:styleId="CharDivNo">
    <w:name w:val="CharDivNo"/>
    <w:basedOn w:val="OPCCharBase"/>
    <w:uiPriority w:val="1"/>
    <w:qFormat/>
    <w:rsid w:val="00773D72"/>
  </w:style>
  <w:style w:type="character" w:customStyle="1" w:styleId="CharDivText">
    <w:name w:val="CharDivText"/>
    <w:basedOn w:val="OPCCharBase"/>
    <w:uiPriority w:val="1"/>
    <w:qFormat/>
    <w:rsid w:val="00773D72"/>
  </w:style>
  <w:style w:type="character" w:customStyle="1" w:styleId="CharItalic">
    <w:name w:val="CharItalic"/>
    <w:basedOn w:val="OPCCharBase"/>
    <w:uiPriority w:val="1"/>
    <w:qFormat/>
    <w:rsid w:val="00773D72"/>
    <w:rPr>
      <w:i/>
    </w:rPr>
  </w:style>
  <w:style w:type="character" w:customStyle="1" w:styleId="CharPartNo">
    <w:name w:val="CharPartNo"/>
    <w:basedOn w:val="OPCCharBase"/>
    <w:uiPriority w:val="1"/>
    <w:qFormat/>
    <w:rsid w:val="00773D72"/>
  </w:style>
  <w:style w:type="character" w:customStyle="1" w:styleId="CharPartText">
    <w:name w:val="CharPartText"/>
    <w:basedOn w:val="OPCCharBase"/>
    <w:uiPriority w:val="1"/>
    <w:qFormat/>
    <w:rsid w:val="00773D72"/>
  </w:style>
  <w:style w:type="character" w:customStyle="1" w:styleId="CharSectno">
    <w:name w:val="CharSectno"/>
    <w:basedOn w:val="OPCCharBase"/>
    <w:qFormat/>
    <w:rsid w:val="00773D72"/>
  </w:style>
  <w:style w:type="character" w:customStyle="1" w:styleId="CharSubdNo">
    <w:name w:val="CharSubdNo"/>
    <w:basedOn w:val="OPCCharBase"/>
    <w:uiPriority w:val="1"/>
    <w:qFormat/>
    <w:rsid w:val="00773D72"/>
  </w:style>
  <w:style w:type="character" w:customStyle="1" w:styleId="CharSubdText">
    <w:name w:val="CharSubdText"/>
    <w:basedOn w:val="OPCCharBase"/>
    <w:uiPriority w:val="1"/>
    <w:qFormat/>
    <w:rsid w:val="00773D72"/>
  </w:style>
  <w:style w:type="paragraph" w:customStyle="1" w:styleId="CTA--">
    <w:name w:val="CTA --"/>
    <w:basedOn w:val="OPCParaBase"/>
    <w:next w:val="Normal"/>
    <w:rsid w:val="00773D7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3D7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3D7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3D7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3D7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3D7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3D7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3D7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3D7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3D7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3D7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3D7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3D7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3D7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73D7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3D7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3D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3D7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3D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3D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3D7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3D7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3D7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3D7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3D7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3D7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3D7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3D7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3D7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3D7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3D7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3D7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3D7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3D7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3D7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3D7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3D7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3D7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3D7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3D7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3D7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3D7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3D7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3D7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3D7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3D7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3D7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3D7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3D7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3D7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3D7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3D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3D7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3D7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3D7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73D7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73D7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73D7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73D7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73D7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73D7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73D7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73D7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73D7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73D7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3D7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3D7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3D7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3D7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3D7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3D7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3D7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73D72"/>
    <w:rPr>
      <w:sz w:val="16"/>
    </w:rPr>
  </w:style>
  <w:style w:type="table" w:customStyle="1" w:styleId="CFlag">
    <w:name w:val="CFlag"/>
    <w:basedOn w:val="TableNormal"/>
    <w:uiPriority w:val="99"/>
    <w:rsid w:val="00773D7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D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73D72"/>
    <w:rPr>
      <w:color w:val="0000FF"/>
      <w:u w:val="single"/>
    </w:rPr>
  </w:style>
  <w:style w:type="table" w:styleId="TableGrid">
    <w:name w:val="Table Grid"/>
    <w:basedOn w:val="TableNormal"/>
    <w:uiPriority w:val="59"/>
    <w:rsid w:val="00773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73D7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73D7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73D7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3D7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3D7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3D7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3D7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73D72"/>
  </w:style>
  <w:style w:type="paragraph" w:customStyle="1" w:styleId="CompiledActNo">
    <w:name w:val="CompiledActNo"/>
    <w:basedOn w:val="OPCParaBase"/>
    <w:next w:val="Normal"/>
    <w:rsid w:val="00773D7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73D7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3D7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73D7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73D7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3D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73D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3D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73D7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3D7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3D7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3D7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3D7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3D7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73D7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3D7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73D72"/>
  </w:style>
  <w:style w:type="character" w:customStyle="1" w:styleId="CharSubPartNoCASA">
    <w:name w:val="CharSubPartNo(CASA)"/>
    <w:basedOn w:val="OPCCharBase"/>
    <w:uiPriority w:val="1"/>
    <w:rsid w:val="00773D72"/>
  </w:style>
  <w:style w:type="paragraph" w:customStyle="1" w:styleId="ENoteTTIndentHeadingSub">
    <w:name w:val="ENoteTTIndentHeadingSub"/>
    <w:aliases w:val="enTTHis"/>
    <w:basedOn w:val="OPCParaBase"/>
    <w:rsid w:val="00773D7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3D7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3D7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3D7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73D7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3D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3D72"/>
    <w:rPr>
      <w:sz w:val="22"/>
    </w:rPr>
  </w:style>
  <w:style w:type="paragraph" w:customStyle="1" w:styleId="SOTextNote">
    <w:name w:val="SO TextNote"/>
    <w:aliases w:val="sont"/>
    <w:basedOn w:val="SOText"/>
    <w:qFormat/>
    <w:rsid w:val="00773D7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3D7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3D72"/>
    <w:rPr>
      <w:sz w:val="22"/>
    </w:rPr>
  </w:style>
  <w:style w:type="paragraph" w:customStyle="1" w:styleId="FileName">
    <w:name w:val="FileName"/>
    <w:basedOn w:val="Normal"/>
    <w:rsid w:val="00773D72"/>
  </w:style>
  <w:style w:type="paragraph" w:customStyle="1" w:styleId="TableHeading">
    <w:name w:val="TableHeading"/>
    <w:aliases w:val="th"/>
    <w:basedOn w:val="OPCParaBase"/>
    <w:next w:val="Tabletext"/>
    <w:rsid w:val="00773D7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3D7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3D7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3D7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3D7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3D7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3D7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3D7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3D7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3D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3D7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73D7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A2D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A2D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A2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D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D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D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D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D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D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D5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3D7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D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D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D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D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D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D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D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D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D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3D72"/>
  </w:style>
  <w:style w:type="paragraph" w:customStyle="1" w:styleId="OPCParaBase">
    <w:name w:val="OPCParaBase"/>
    <w:qFormat/>
    <w:rsid w:val="00773D7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3D7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3D7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3D7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3D7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3D7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73D7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3D7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3D7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3D7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3D7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3D72"/>
  </w:style>
  <w:style w:type="paragraph" w:customStyle="1" w:styleId="Blocks">
    <w:name w:val="Blocks"/>
    <w:aliases w:val="bb"/>
    <w:basedOn w:val="OPCParaBase"/>
    <w:qFormat/>
    <w:rsid w:val="00773D7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3D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3D7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3D72"/>
    <w:rPr>
      <w:i/>
    </w:rPr>
  </w:style>
  <w:style w:type="paragraph" w:customStyle="1" w:styleId="BoxList">
    <w:name w:val="BoxList"/>
    <w:aliases w:val="bl"/>
    <w:basedOn w:val="BoxText"/>
    <w:qFormat/>
    <w:rsid w:val="00773D7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3D7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3D7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3D72"/>
    <w:pPr>
      <w:ind w:left="1985" w:hanging="851"/>
    </w:pPr>
  </w:style>
  <w:style w:type="character" w:customStyle="1" w:styleId="CharAmPartNo">
    <w:name w:val="CharAmPartNo"/>
    <w:basedOn w:val="OPCCharBase"/>
    <w:qFormat/>
    <w:rsid w:val="00773D72"/>
  </w:style>
  <w:style w:type="character" w:customStyle="1" w:styleId="CharAmPartText">
    <w:name w:val="CharAmPartText"/>
    <w:basedOn w:val="OPCCharBase"/>
    <w:qFormat/>
    <w:rsid w:val="00773D72"/>
  </w:style>
  <w:style w:type="character" w:customStyle="1" w:styleId="CharAmSchNo">
    <w:name w:val="CharAmSchNo"/>
    <w:basedOn w:val="OPCCharBase"/>
    <w:qFormat/>
    <w:rsid w:val="00773D72"/>
  </w:style>
  <w:style w:type="character" w:customStyle="1" w:styleId="CharAmSchText">
    <w:name w:val="CharAmSchText"/>
    <w:basedOn w:val="OPCCharBase"/>
    <w:qFormat/>
    <w:rsid w:val="00773D72"/>
  </w:style>
  <w:style w:type="character" w:customStyle="1" w:styleId="CharBoldItalic">
    <w:name w:val="CharBoldItalic"/>
    <w:basedOn w:val="OPCCharBase"/>
    <w:uiPriority w:val="1"/>
    <w:qFormat/>
    <w:rsid w:val="00773D7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3D72"/>
  </w:style>
  <w:style w:type="character" w:customStyle="1" w:styleId="CharChapText">
    <w:name w:val="CharChapText"/>
    <w:basedOn w:val="OPCCharBase"/>
    <w:uiPriority w:val="1"/>
    <w:qFormat/>
    <w:rsid w:val="00773D72"/>
  </w:style>
  <w:style w:type="character" w:customStyle="1" w:styleId="CharDivNo">
    <w:name w:val="CharDivNo"/>
    <w:basedOn w:val="OPCCharBase"/>
    <w:uiPriority w:val="1"/>
    <w:qFormat/>
    <w:rsid w:val="00773D72"/>
  </w:style>
  <w:style w:type="character" w:customStyle="1" w:styleId="CharDivText">
    <w:name w:val="CharDivText"/>
    <w:basedOn w:val="OPCCharBase"/>
    <w:uiPriority w:val="1"/>
    <w:qFormat/>
    <w:rsid w:val="00773D72"/>
  </w:style>
  <w:style w:type="character" w:customStyle="1" w:styleId="CharItalic">
    <w:name w:val="CharItalic"/>
    <w:basedOn w:val="OPCCharBase"/>
    <w:uiPriority w:val="1"/>
    <w:qFormat/>
    <w:rsid w:val="00773D72"/>
    <w:rPr>
      <w:i/>
    </w:rPr>
  </w:style>
  <w:style w:type="character" w:customStyle="1" w:styleId="CharPartNo">
    <w:name w:val="CharPartNo"/>
    <w:basedOn w:val="OPCCharBase"/>
    <w:uiPriority w:val="1"/>
    <w:qFormat/>
    <w:rsid w:val="00773D72"/>
  </w:style>
  <w:style w:type="character" w:customStyle="1" w:styleId="CharPartText">
    <w:name w:val="CharPartText"/>
    <w:basedOn w:val="OPCCharBase"/>
    <w:uiPriority w:val="1"/>
    <w:qFormat/>
    <w:rsid w:val="00773D72"/>
  </w:style>
  <w:style w:type="character" w:customStyle="1" w:styleId="CharSectno">
    <w:name w:val="CharSectno"/>
    <w:basedOn w:val="OPCCharBase"/>
    <w:qFormat/>
    <w:rsid w:val="00773D72"/>
  </w:style>
  <w:style w:type="character" w:customStyle="1" w:styleId="CharSubdNo">
    <w:name w:val="CharSubdNo"/>
    <w:basedOn w:val="OPCCharBase"/>
    <w:uiPriority w:val="1"/>
    <w:qFormat/>
    <w:rsid w:val="00773D72"/>
  </w:style>
  <w:style w:type="character" w:customStyle="1" w:styleId="CharSubdText">
    <w:name w:val="CharSubdText"/>
    <w:basedOn w:val="OPCCharBase"/>
    <w:uiPriority w:val="1"/>
    <w:qFormat/>
    <w:rsid w:val="00773D72"/>
  </w:style>
  <w:style w:type="paragraph" w:customStyle="1" w:styleId="CTA--">
    <w:name w:val="CTA --"/>
    <w:basedOn w:val="OPCParaBase"/>
    <w:next w:val="Normal"/>
    <w:rsid w:val="00773D7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3D7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3D7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3D7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3D7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3D7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3D7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3D7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3D7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3D7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3D7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3D7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3D7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3D7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73D7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3D7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3D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3D7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3D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3D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3D7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3D7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3D7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3D7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3D7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3D7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3D7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3D7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3D7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3D7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3D7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3D7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3D7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3D7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3D7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3D7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3D7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3D7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3D7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3D7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3D7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3D7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3D7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3D7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3D7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3D7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3D7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3D7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3D7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3D7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3D7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3D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3D7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3D7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3D7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73D7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73D7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73D7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73D7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73D7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73D7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73D7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73D7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73D7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73D7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3D7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3D7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3D7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3D7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3D7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3D7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3D7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73D72"/>
    <w:rPr>
      <w:sz w:val="16"/>
    </w:rPr>
  </w:style>
  <w:style w:type="table" w:customStyle="1" w:styleId="CFlag">
    <w:name w:val="CFlag"/>
    <w:basedOn w:val="TableNormal"/>
    <w:uiPriority w:val="99"/>
    <w:rsid w:val="00773D7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D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73D72"/>
    <w:rPr>
      <w:color w:val="0000FF"/>
      <w:u w:val="single"/>
    </w:rPr>
  </w:style>
  <w:style w:type="table" w:styleId="TableGrid">
    <w:name w:val="Table Grid"/>
    <w:basedOn w:val="TableNormal"/>
    <w:uiPriority w:val="59"/>
    <w:rsid w:val="00773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73D7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73D7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73D7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3D7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3D7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3D7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3D7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73D72"/>
  </w:style>
  <w:style w:type="paragraph" w:customStyle="1" w:styleId="CompiledActNo">
    <w:name w:val="CompiledActNo"/>
    <w:basedOn w:val="OPCParaBase"/>
    <w:next w:val="Normal"/>
    <w:rsid w:val="00773D7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73D7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3D7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73D7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73D7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3D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73D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3D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73D7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3D7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3D7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3D7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3D7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3D7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73D7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3D7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73D72"/>
  </w:style>
  <w:style w:type="character" w:customStyle="1" w:styleId="CharSubPartNoCASA">
    <w:name w:val="CharSubPartNo(CASA)"/>
    <w:basedOn w:val="OPCCharBase"/>
    <w:uiPriority w:val="1"/>
    <w:rsid w:val="00773D72"/>
  </w:style>
  <w:style w:type="paragraph" w:customStyle="1" w:styleId="ENoteTTIndentHeadingSub">
    <w:name w:val="ENoteTTIndentHeadingSub"/>
    <w:aliases w:val="enTTHis"/>
    <w:basedOn w:val="OPCParaBase"/>
    <w:rsid w:val="00773D7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3D7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3D7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3D7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73D7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3D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3D72"/>
    <w:rPr>
      <w:sz w:val="22"/>
    </w:rPr>
  </w:style>
  <w:style w:type="paragraph" w:customStyle="1" w:styleId="SOTextNote">
    <w:name w:val="SO TextNote"/>
    <w:aliases w:val="sont"/>
    <w:basedOn w:val="SOText"/>
    <w:qFormat/>
    <w:rsid w:val="00773D7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3D7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3D72"/>
    <w:rPr>
      <w:sz w:val="22"/>
    </w:rPr>
  </w:style>
  <w:style w:type="paragraph" w:customStyle="1" w:styleId="FileName">
    <w:name w:val="FileName"/>
    <w:basedOn w:val="Normal"/>
    <w:rsid w:val="00773D72"/>
  </w:style>
  <w:style w:type="paragraph" w:customStyle="1" w:styleId="TableHeading">
    <w:name w:val="TableHeading"/>
    <w:aliases w:val="th"/>
    <w:basedOn w:val="OPCParaBase"/>
    <w:next w:val="Tabletext"/>
    <w:rsid w:val="00773D7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3D7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3D7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3D7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3D7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3D7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3D7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3D7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3D7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3D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3D7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73D7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A2D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A2D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A2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D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D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D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D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D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D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D5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11</Pages>
  <Words>1722</Words>
  <Characters>8454</Characters>
  <Application>Microsoft Office Word</Application>
  <DocSecurity>0</DocSecurity>
  <PresentationFormat/>
  <Lines>343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Therapeutic Goods (Charges) Amendment (2015 Measures No. 1) Regulation 2015</vt:lpstr>
    </vt:vector>
  </TitlesOfParts>
  <Manager/>
  <Company/>
  <LinksUpToDate>false</LinksUpToDate>
  <CharactersWithSpaces>10017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2015-05-18T05:41:00Z</cp:lastPrinted>
  <dcterms:created xsi:type="dcterms:W3CDTF">2015-06-12T04:31:00Z</dcterms:created>
  <dcterms:modified xsi:type="dcterms:W3CDTF">2015-06-12T04:31:00Z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86, 2015</vt:lpwstr>
  </property>
  <property fmtid="{D5CDD505-2E9C-101B-9397-08002B2CF9AE}" pid="3" name="ShortT">
    <vt:lpwstr>Therapeutic Goods (Charges) Amendment (2015 Measures No. 1)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17 June 2015</vt:lpwstr>
  </property>
  <property fmtid="{D5CDD505-2E9C-101B-9397-08002B2CF9AE}" pid="10" name="Authority">
    <vt:lpwstr/>
  </property>
  <property fmtid="{D5CDD505-2E9C-101B-9397-08002B2CF9AE}" pid="11" name="ID">
    <vt:lpwstr>OPC61077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Therapeutic Goods (Charges) Act 1989</vt:lpwstr>
  </property>
  <property fmtid="{D5CDD505-2E9C-101B-9397-08002B2CF9AE}" pid="15" name="NonLegInst">
    <vt:lpwstr>0</vt:lpwstr>
  </property>
  <property fmtid="{D5CDD505-2E9C-101B-9397-08002B2CF9AE}" pid="16" name="DoNotAsk">
    <vt:lpwstr>1</vt:lpwstr>
  </property>
  <property fmtid="{D5CDD505-2E9C-101B-9397-08002B2CF9AE}" pid="17" name="ChangedTitle">
    <vt:lpwstr>Therapeutic Goods (Charges) Amendment (2015 Measures No. 1) Regulation 2015</vt:lpwstr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17 June 2015</vt:lpwstr>
  </property>
</Properties>
</file>