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8B" w:rsidRPr="00BA306B" w:rsidRDefault="002E61D2" w:rsidP="003856A4">
      <w:pPr>
        <w:pStyle w:val="Title"/>
        <w:rPr>
          <w:szCs w:val="24"/>
        </w:rPr>
      </w:pPr>
      <w:r>
        <w:rPr>
          <w:szCs w:val="24"/>
        </w:rPr>
        <w:t>EXPLANATORY STATEMENT</w:t>
      </w:r>
    </w:p>
    <w:p w:rsidR="002E568B" w:rsidRPr="00BA306B" w:rsidRDefault="002E568B" w:rsidP="003856A4">
      <w:pPr>
        <w:rPr>
          <w:b/>
          <w:szCs w:val="24"/>
        </w:rPr>
      </w:pPr>
    </w:p>
    <w:p w:rsidR="002E568B" w:rsidRPr="00916B55" w:rsidRDefault="002E61D2" w:rsidP="002E61D2">
      <w:pPr>
        <w:jc w:val="center"/>
        <w:rPr>
          <w:b/>
          <w:szCs w:val="24"/>
        </w:rPr>
      </w:pPr>
      <w:r w:rsidRPr="00916B55">
        <w:rPr>
          <w:b/>
          <w:szCs w:val="24"/>
        </w:rPr>
        <w:t>Sele</w:t>
      </w:r>
      <w:r w:rsidR="00782B1B">
        <w:rPr>
          <w:b/>
          <w:szCs w:val="24"/>
        </w:rPr>
        <w:t>ct Legislative Instrument No. 86</w:t>
      </w:r>
      <w:bookmarkStart w:id="0" w:name="_GoBack"/>
      <w:bookmarkEnd w:id="0"/>
      <w:r w:rsidRPr="00916B55">
        <w:rPr>
          <w:b/>
          <w:szCs w:val="24"/>
        </w:rPr>
        <w:t>, 2015</w:t>
      </w:r>
    </w:p>
    <w:p w:rsidR="002E568B" w:rsidRPr="00BA306B" w:rsidRDefault="002E568B" w:rsidP="002E61D2">
      <w:pPr>
        <w:jc w:val="center"/>
        <w:rPr>
          <w:b/>
          <w:szCs w:val="24"/>
        </w:rPr>
      </w:pPr>
    </w:p>
    <w:p w:rsidR="002E61D2" w:rsidRDefault="002E61D2" w:rsidP="002E61D2">
      <w:pPr>
        <w:ind w:left="1440"/>
        <w:jc w:val="center"/>
        <w:rPr>
          <w:i/>
          <w:szCs w:val="24"/>
        </w:rPr>
      </w:pPr>
      <w:r>
        <w:rPr>
          <w:i/>
          <w:szCs w:val="24"/>
        </w:rPr>
        <w:t>Therapeutic Goods (Charges) Act 1989</w:t>
      </w:r>
    </w:p>
    <w:p w:rsidR="002E61D2" w:rsidRDefault="002E61D2" w:rsidP="002E61D2">
      <w:pPr>
        <w:ind w:left="1440"/>
        <w:jc w:val="center"/>
        <w:rPr>
          <w:i/>
          <w:szCs w:val="24"/>
        </w:rPr>
      </w:pPr>
    </w:p>
    <w:p w:rsidR="002E568B" w:rsidRPr="00BA306B" w:rsidRDefault="002E568B" w:rsidP="002E61D2">
      <w:pPr>
        <w:ind w:left="1440"/>
        <w:jc w:val="center"/>
        <w:rPr>
          <w:i/>
          <w:szCs w:val="24"/>
        </w:rPr>
      </w:pPr>
      <w:r w:rsidRPr="00BA306B">
        <w:rPr>
          <w:i/>
          <w:szCs w:val="24"/>
        </w:rPr>
        <w:t>Therapeutic Goods (Charges</w:t>
      </w:r>
      <w:r w:rsidR="00802B83">
        <w:rPr>
          <w:i/>
          <w:szCs w:val="24"/>
        </w:rPr>
        <w:t>)</w:t>
      </w:r>
      <w:r w:rsidRPr="00BA306B">
        <w:rPr>
          <w:i/>
          <w:szCs w:val="24"/>
        </w:rPr>
        <w:t xml:space="preserve"> Amendment </w:t>
      </w:r>
      <w:r w:rsidR="00802B83">
        <w:rPr>
          <w:i/>
          <w:szCs w:val="24"/>
        </w:rPr>
        <w:t xml:space="preserve">(2015 Measures No. 1) </w:t>
      </w:r>
      <w:r w:rsidRPr="00BA306B">
        <w:rPr>
          <w:i/>
          <w:szCs w:val="24"/>
        </w:rPr>
        <w:t xml:space="preserve">Regulation </w:t>
      </w:r>
      <w:r>
        <w:rPr>
          <w:i/>
          <w:szCs w:val="24"/>
        </w:rPr>
        <w:t>201</w:t>
      </w:r>
      <w:r w:rsidR="001C5822">
        <w:rPr>
          <w:i/>
          <w:szCs w:val="24"/>
        </w:rPr>
        <w:t>5</w:t>
      </w:r>
    </w:p>
    <w:p w:rsidR="002E568B" w:rsidRPr="00704057" w:rsidRDefault="002E568B" w:rsidP="003856A4">
      <w:pPr>
        <w:rPr>
          <w:szCs w:val="24"/>
          <w:highlight w:val="yellow"/>
        </w:rPr>
      </w:pPr>
    </w:p>
    <w:p w:rsidR="00CD7CD9" w:rsidRPr="003856A4" w:rsidRDefault="00ED3AE4" w:rsidP="00CD7CD9">
      <w:pPr>
        <w:rPr>
          <w:szCs w:val="24"/>
        </w:rPr>
      </w:pPr>
      <w:r>
        <w:rPr>
          <w:szCs w:val="24"/>
        </w:rPr>
        <w:t>T</w:t>
      </w:r>
      <w:r w:rsidR="00CD7CD9" w:rsidRPr="003856A4">
        <w:rPr>
          <w:szCs w:val="24"/>
        </w:rPr>
        <w:t xml:space="preserve">he </w:t>
      </w:r>
      <w:r w:rsidR="00CD7CD9" w:rsidRPr="003856A4">
        <w:rPr>
          <w:i/>
          <w:szCs w:val="24"/>
        </w:rPr>
        <w:t>Therapeutic Goods (Charges) Act 1989</w:t>
      </w:r>
      <w:r w:rsidR="00CD7CD9" w:rsidRPr="003856A4">
        <w:rPr>
          <w:szCs w:val="24"/>
        </w:rPr>
        <w:t xml:space="preserve"> (the </w:t>
      </w:r>
      <w:r w:rsidR="00CD7CD9">
        <w:rPr>
          <w:szCs w:val="24"/>
        </w:rPr>
        <w:t xml:space="preserve">Charges </w:t>
      </w:r>
      <w:r w:rsidR="00CD7CD9" w:rsidRPr="003856A4">
        <w:rPr>
          <w:szCs w:val="24"/>
        </w:rPr>
        <w:t>Act) impos</w:t>
      </w:r>
      <w:r w:rsidR="00CD7CD9">
        <w:rPr>
          <w:szCs w:val="24"/>
        </w:rPr>
        <w:t xml:space="preserve">es </w:t>
      </w:r>
      <w:r w:rsidR="00CD7CD9" w:rsidRPr="003856A4">
        <w:rPr>
          <w:szCs w:val="24"/>
        </w:rPr>
        <w:t>annual charge</w:t>
      </w:r>
      <w:r w:rsidR="00CD7CD9">
        <w:rPr>
          <w:szCs w:val="24"/>
        </w:rPr>
        <w:t>s</w:t>
      </w:r>
      <w:r w:rsidR="00CD7CD9" w:rsidRPr="003856A4">
        <w:rPr>
          <w:szCs w:val="24"/>
        </w:rPr>
        <w:t xml:space="preserve"> on the registration, listing and inclusion of therapeutic goods in the Australian Register of Therapeutic Goods (the Register), and on the licensing of manufacturers of therapeutic goods. The </w:t>
      </w:r>
      <w:r>
        <w:rPr>
          <w:szCs w:val="24"/>
        </w:rPr>
        <w:t>T</w:t>
      </w:r>
      <w:r w:rsidR="00980228">
        <w:rPr>
          <w:szCs w:val="24"/>
        </w:rPr>
        <w:t xml:space="preserve">herapeutic Goods Administration (TGA), which is part of the Department of Health, </w:t>
      </w:r>
      <w:r w:rsidR="00CD7CD9" w:rsidRPr="003856A4">
        <w:rPr>
          <w:szCs w:val="24"/>
        </w:rPr>
        <w:t xml:space="preserve">is responsible for administering the </w:t>
      </w:r>
      <w:r w:rsidR="00CD7CD9">
        <w:rPr>
          <w:szCs w:val="24"/>
        </w:rPr>
        <w:t xml:space="preserve">Charges </w:t>
      </w:r>
      <w:r w:rsidR="00CD7CD9" w:rsidRPr="003856A4">
        <w:rPr>
          <w:szCs w:val="24"/>
        </w:rPr>
        <w:t>Act.</w:t>
      </w:r>
    </w:p>
    <w:p w:rsidR="00CD7CD9" w:rsidRPr="003856A4" w:rsidRDefault="00CD7CD9" w:rsidP="00CD7CD9">
      <w:pPr>
        <w:rPr>
          <w:szCs w:val="24"/>
        </w:rPr>
      </w:pPr>
    </w:p>
    <w:p w:rsidR="00CD7CD9" w:rsidRPr="003856A4" w:rsidRDefault="00CD7CD9" w:rsidP="00CD7CD9">
      <w:pPr>
        <w:rPr>
          <w:szCs w:val="24"/>
        </w:rPr>
      </w:pPr>
      <w:r w:rsidRPr="003856A4">
        <w:rPr>
          <w:szCs w:val="24"/>
        </w:rPr>
        <w:t xml:space="preserve">Section 4 of the </w:t>
      </w:r>
      <w:r>
        <w:rPr>
          <w:szCs w:val="24"/>
        </w:rPr>
        <w:t xml:space="preserve">Charges </w:t>
      </w:r>
      <w:r w:rsidRPr="003856A4">
        <w:rPr>
          <w:szCs w:val="24"/>
        </w:rPr>
        <w:t>Act provides that annual charges of such amounts as are prescribed are payable in respect of therapeutic go</w:t>
      </w:r>
      <w:r w:rsidR="00376B26">
        <w:rPr>
          <w:szCs w:val="24"/>
        </w:rPr>
        <w:t>ods o</w:t>
      </w:r>
      <w:r w:rsidRPr="003856A4">
        <w:rPr>
          <w:szCs w:val="24"/>
        </w:rPr>
        <w:t xml:space="preserve">n the Register, as well as in respect of </w:t>
      </w:r>
      <w:r w:rsidR="00575D61">
        <w:rPr>
          <w:szCs w:val="24"/>
        </w:rPr>
        <w:t xml:space="preserve">manufacturing </w:t>
      </w:r>
      <w:r w:rsidRPr="003856A4">
        <w:rPr>
          <w:szCs w:val="24"/>
        </w:rPr>
        <w:t>licences</w:t>
      </w:r>
      <w:r w:rsidR="009B3848">
        <w:rPr>
          <w:szCs w:val="24"/>
        </w:rPr>
        <w:t>,</w:t>
      </w:r>
      <w:r w:rsidRPr="003856A4">
        <w:rPr>
          <w:szCs w:val="24"/>
        </w:rPr>
        <w:t xml:space="preserve"> that are in force at any</w:t>
      </w:r>
      <w:r w:rsidR="00ED3AE4">
        <w:rPr>
          <w:szCs w:val="24"/>
        </w:rPr>
        <w:t xml:space="preserve"> time within a financial year. In addition, u</w:t>
      </w:r>
      <w:r w:rsidRPr="003856A4">
        <w:rPr>
          <w:szCs w:val="24"/>
        </w:rPr>
        <w:t xml:space="preserve">nder subsection 4(1A) of the </w:t>
      </w:r>
      <w:r>
        <w:rPr>
          <w:szCs w:val="24"/>
        </w:rPr>
        <w:t xml:space="preserve">Charges </w:t>
      </w:r>
      <w:r w:rsidRPr="003856A4">
        <w:rPr>
          <w:szCs w:val="24"/>
        </w:rPr>
        <w:t>Act, where one or more therapeutic goods are “grouped” and each of the “grouped” therapeutic goods is covered by a single regis</w:t>
      </w:r>
      <w:r w:rsidR="00EF6410">
        <w:rPr>
          <w:szCs w:val="24"/>
        </w:rPr>
        <w:t xml:space="preserve">tration number, </w:t>
      </w:r>
      <w:r w:rsidRPr="003856A4">
        <w:rPr>
          <w:szCs w:val="24"/>
        </w:rPr>
        <w:t xml:space="preserve">a single annual charge as </w:t>
      </w:r>
      <w:r w:rsidR="00EF6410">
        <w:rPr>
          <w:szCs w:val="24"/>
        </w:rPr>
        <w:t xml:space="preserve">is </w:t>
      </w:r>
      <w:r w:rsidRPr="003856A4">
        <w:rPr>
          <w:szCs w:val="24"/>
        </w:rPr>
        <w:t>prescribed will apply for maintaining all the registered goods covered under the same group.</w:t>
      </w:r>
    </w:p>
    <w:p w:rsidR="00CD7CD9" w:rsidRPr="003856A4" w:rsidRDefault="00CD7CD9" w:rsidP="00CD7CD9">
      <w:pPr>
        <w:rPr>
          <w:szCs w:val="24"/>
        </w:rPr>
      </w:pPr>
    </w:p>
    <w:p w:rsidR="00CD7CD9" w:rsidRDefault="00CD7CD9" w:rsidP="00575D61">
      <w:pPr>
        <w:rPr>
          <w:szCs w:val="24"/>
        </w:rPr>
      </w:pPr>
      <w:r w:rsidRPr="003856A4">
        <w:rPr>
          <w:szCs w:val="24"/>
        </w:rPr>
        <w:t xml:space="preserve">Subsection 5(1) of the </w:t>
      </w:r>
      <w:r>
        <w:rPr>
          <w:szCs w:val="24"/>
        </w:rPr>
        <w:t xml:space="preserve">Charges </w:t>
      </w:r>
      <w:r w:rsidRPr="003856A4">
        <w:rPr>
          <w:szCs w:val="24"/>
        </w:rPr>
        <w:t xml:space="preserve">Act provides that the Governor-General may make regulations, not inconsistent with the </w:t>
      </w:r>
      <w:r>
        <w:rPr>
          <w:szCs w:val="24"/>
        </w:rPr>
        <w:t xml:space="preserve">Charges </w:t>
      </w:r>
      <w:r w:rsidRPr="003856A4">
        <w:rPr>
          <w:szCs w:val="24"/>
        </w:rPr>
        <w:t xml:space="preserve">Act, prescribing the amounts of charges. </w:t>
      </w:r>
      <w:r w:rsidR="00D2672A">
        <w:rPr>
          <w:szCs w:val="24"/>
        </w:rPr>
        <w:t xml:space="preserve">Under </w:t>
      </w:r>
      <w:r w:rsidR="009B3848">
        <w:rPr>
          <w:szCs w:val="24"/>
        </w:rPr>
        <w:t>s</w:t>
      </w:r>
      <w:r w:rsidRPr="003856A4">
        <w:rPr>
          <w:szCs w:val="24"/>
        </w:rPr>
        <w:t xml:space="preserve">ubsection 5(2) of the </w:t>
      </w:r>
      <w:r>
        <w:rPr>
          <w:szCs w:val="24"/>
        </w:rPr>
        <w:t xml:space="preserve">Charges </w:t>
      </w:r>
      <w:r w:rsidR="00FB7657">
        <w:rPr>
          <w:szCs w:val="24"/>
        </w:rPr>
        <w:t xml:space="preserve">Act, </w:t>
      </w:r>
      <w:r w:rsidRPr="003856A4">
        <w:rPr>
          <w:szCs w:val="24"/>
        </w:rPr>
        <w:t>the Governo</w:t>
      </w:r>
      <w:r w:rsidR="00FB7657">
        <w:rPr>
          <w:szCs w:val="24"/>
        </w:rPr>
        <w:t>r-General may</w:t>
      </w:r>
      <w:r w:rsidRPr="003856A4">
        <w:rPr>
          <w:szCs w:val="24"/>
        </w:rPr>
        <w:t xml:space="preserve"> prescribe different levels of charges for different classes of goods or, in the case of annual licensing charges, for different steps in the manufacture of therapeutic goods.</w:t>
      </w:r>
    </w:p>
    <w:p w:rsidR="00C863BC" w:rsidRDefault="00C863BC" w:rsidP="00575D61">
      <w:pPr>
        <w:rPr>
          <w:szCs w:val="24"/>
        </w:rPr>
      </w:pPr>
    </w:p>
    <w:p w:rsidR="00643564" w:rsidRDefault="004F3B08" w:rsidP="00565A39">
      <w:pPr>
        <w:rPr>
          <w:szCs w:val="24"/>
        </w:rPr>
      </w:pPr>
      <w:r>
        <w:rPr>
          <w:szCs w:val="24"/>
        </w:rPr>
        <w:t xml:space="preserve">The purpose of the </w:t>
      </w:r>
      <w:r w:rsidR="004A2ED7">
        <w:rPr>
          <w:szCs w:val="24"/>
        </w:rPr>
        <w:t>Regulation is to amend the Therapeutic Goods (Charges) Regulations 1990 (the Charges Regulations) to</w:t>
      </w:r>
      <w:r w:rsidR="00643564">
        <w:rPr>
          <w:szCs w:val="24"/>
        </w:rPr>
        <w:t>:</w:t>
      </w:r>
    </w:p>
    <w:p w:rsidR="00643564" w:rsidRDefault="004A2ED7" w:rsidP="00643564">
      <w:pPr>
        <w:pStyle w:val="ListParagraph"/>
        <w:numPr>
          <w:ilvl w:val="0"/>
          <w:numId w:val="4"/>
        </w:numPr>
        <w:ind w:left="567" w:hanging="567"/>
        <w:rPr>
          <w:szCs w:val="24"/>
        </w:rPr>
      </w:pPr>
      <w:r w:rsidRPr="00643564">
        <w:rPr>
          <w:szCs w:val="24"/>
        </w:rPr>
        <w:t>increase most annual charges by 2.12 per cent for the financial year 2015-16</w:t>
      </w:r>
      <w:r w:rsidR="00643564">
        <w:rPr>
          <w:szCs w:val="24"/>
        </w:rPr>
        <w:t>; and</w:t>
      </w:r>
    </w:p>
    <w:p w:rsidR="00565A39" w:rsidRPr="00643564" w:rsidRDefault="00FF1F1D" w:rsidP="00643564">
      <w:pPr>
        <w:pStyle w:val="ListParagraph"/>
        <w:numPr>
          <w:ilvl w:val="0"/>
          <w:numId w:val="4"/>
        </w:numPr>
        <w:ind w:left="567" w:hanging="567"/>
        <w:rPr>
          <w:szCs w:val="24"/>
        </w:rPr>
      </w:pPr>
      <w:r>
        <w:rPr>
          <w:szCs w:val="24"/>
        </w:rPr>
        <w:t xml:space="preserve">provide for </w:t>
      </w:r>
      <w:r w:rsidR="00565A39" w:rsidRPr="00643564">
        <w:rPr>
          <w:szCs w:val="24"/>
        </w:rPr>
        <w:t>different amounts of annual charge</w:t>
      </w:r>
      <w:r w:rsidR="00643564" w:rsidRPr="00643564">
        <w:rPr>
          <w:szCs w:val="24"/>
        </w:rPr>
        <w:t>s</w:t>
      </w:r>
      <w:r w:rsidR="00565A39" w:rsidRPr="00643564">
        <w:rPr>
          <w:szCs w:val="24"/>
        </w:rPr>
        <w:t xml:space="preserve"> for goods of a kind mentioned in Part 1 of Schedule 10 to the Therapeutic Goods Regulations </w:t>
      </w:r>
      <w:r w:rsidR="00CA63E5">
        <w:rPr>
          <w:szCs w:val="24"/>
        </w:rPr>
        <w:t xml:space="preserve">1990 that are not </w:t>
      </w:r>
      <w:r w:rsidR="00643564">
        <w:rPr>
          <w:szCs w:val="24"/>
        </w:rPr>
        <w:t>biologic</w:t>
      </w:r>
      <w:r w:rsidR="00CA63E5">
        <w:rPr>
          <w:szCs w:val="24"/>
        </w:rPr>
        <w:t>s</w:t>
      </w:r>
      <w:r w:rsidR="00643564">
        <w:rPr>
          <w:szCs w:val="24"/>
        </w:rPr>
        <w:t xml:space="preserve"> - t</w:t>
      </w:r>
      <w:r w:rsidR="00565A39" w:rsidRPr="00643564">
        <w:rPr>
          <w:szCs w:val="24"/>
        </w:rPr>
        <w:t xml:space="preserve">hese goods are more often described as </w:t>
      </w:r>
      <w:r w:rsidR="00491B8A">
        <w:rPr>
          <w:szCs w:val="24"/>
        </w:rPr>
        <w:t>“</w:t>
      </w:r>
      <w:r w:rsidR="00565A39" w:rsidRPr="00643564">
        <w:rPr>
          <w:szCs w:val="24"/>
        </w:rPr>
        <w:t>prescription chemical medicines</w:t>
      </w:r>
      <w:r w:rsidR="00491B8A">
        <w:rPr>
          <w:szCs w:val="24"/>
        </w:rPr>
        <w:t>”</w:t>
      </w:r>
      <w:r w:rsidR="00565A39" w:rsidRPr="00643564">
        <w:rPr>
          <w:szCs w:val="24"/>
        </w:rPr>
        <w:t xml:space="preserve">.  </w:t>
      </w:r>
    </w:p>
    <w:p w:rsidR="004A2ED7" w:rsidRDefault="004A2ED7" w:rsidP="00575D61">
      <w:pPr>
        <w:rPr>
          <w:szCs w:val="24"/>
        </w:rPr>
      </w:pPr>
    </w:p>
    <w:p w:rsidR="00061854" w:rsidRDefault="004F3B08" w:rsidP="00D27D4C">
      <w:pPr>
        <w:rPr>
          <w:szCs w:val="24"/>
        </w:rPr>
      </w:pPr>
      <w:r>
        <w:rPr>
          <w:szCs w:val="24"/>
        </w:rPr>
        <w:t xml:space="preserve">The </w:t>
      </w:r>
      <w:r w:rsidR="00061854">
        <w:rPr>
          <w:szCs w:val="24"/>
        </w:rPr>
        <w:t xml:space="preserve">2.12 per cent </w:t>
      </w:r>
      <w:r w:rsidR="00D27D4C">
        <w:rPr>
          <w:szCs w:val="24"/>
        </w:rPr>
        <w:t xml:space="preserve">increase </w:t>
      </w:r>
      <w:r w:rsidR="00BF2BFE">
        <w:rPr>
          <w:szCs w:val="24"/>
        </w:rPr>
        <w:t xml:space="preserve">for 2015-16 </w:t>
      </w:r>
      <w:r>
        <w:rPr>
          <w:szCs w:val="24"/>
        </w:rPr>
        <w:t>applies</w:t>
      </w:r>
      <w:r w:rsidR="00D27D4C">
        <w:rPr>
          <w:szCs w:val="24"/>
        </w:rPr>
        <w:t xml:space="preserve"> to annual charges relating to the registration, listing or inclusion of the</w:t>
      </w:r>
      <w:r w:rsidR="00A81397">
        <w:rPr>
          <w:szCs w:val="24"/>
        </w:rPr>
        <w:t xml:space="preserve">rapeutic goods in the Register - </w:t>
      </w:r>
      <w:r w:rsidR="00D27D4C">
        <w:rPr>
          <w:szCs w:val="24"/>
        </w:rPr>
        <w:t>this encompasses registered goods, listed goods, biologicals and medical devices</w:t>
      </w:r>
      <w:r w:rsidR="00565A39">
        <w:rPr>
          <w:szCs w:val="24"/>
        </w:rPr>
        <w:t>.</w:t>
      </w:r>
    </w:p>
    <w:p w:rsidR="00061854" w:rsidRDefault="00061854" w:rsidP="00D27D4C">
      <w:pPr>
        <w:rPr>
          <w:szCs w:val="24"/>
        </w:rPr>
      </w:pPr>
    </w:p>
    <w:p w:rsidR="00451E1F" w:rsidRPr="00C6778C" w:rsidRDefault="00451E1F" w:rsidP="002E199E">
      <w:pPr>
        <w:rPr>
          <w:szCs w:val="24"/>
        </w:rPr>
      </w:pPr>
      <w:r w:rsidRPr="00C6778C">
        <w:rPr>
          <w:szCs w:val="24"/>
        </w:rPr>
        <w:t>In applying the</w:t>
      </w:r>
      <w:r>
        <w:rPr>
          <w:szCs w:val="24"/>
        </w:rPr>
        <w:t>se</w:t>
      </w:r>
      <w:r w:rsidRPr="00C6778C">
        <w:rPr>
          <w:szCs w:val="24"/>
        </w:rPr>
        <w:t xml:space="preserve"> increases, the </w:t>
      </w:r>
      <w:r>
        <w:rPr>
          <w:szCs w:val="24"/>
        </w:rPr>
        <w:t>following rounding policy has been applied</w:t>
      </w:r>
      <w:r w:rsidRPr="00C6778C">
        <w:rPr>
          <w:szCs w:val="24"/>
        </w:rPr>
        <w:t>:</w:t>
      </w:r>
    </w:p>
    <w:p w:rsidR="00451E1F" w:rsidRDefault="00451E1F" w:rsidP="002E199E">
      <w:pPr>
        <w:pStyle w:val="ListParagraph"/>
        <w:widowControl w:val="0"/>
        <w:numPr>
          <w:ilvl w:val="0"/>
          <w:numId w:val="5"/>
        </w:numPr>
        <w:adjustRightInd w:val="0"/>
        <w:ind w:left="567" w:hanging="567"/>
        <w:contextualSpacing w:val="0"/>
        <w:textAlignment w:val="baseline"/>
      </w:pPr>
      <w:r>
        <w:t>for charge items that are less than $10,000 - to the nearest $5; and</w:t>
      </w:r>
    </w:p>
    <w:p w:rsidR="00451E1F" w:rsidRPr="003F7635" w:rsidRDefault="00451E1F" w:rsidP="00451E1F">
      <w:pPr>
        <w:pStyle w:val="ListParagraph"/>
        <w:widowControl w:val="0"/>
        <w:numPr>
          <w:ilvl w:val="0"/>
          <w:numId w:val="5"/>
        </w:numPr>
        <w:adjustRightInd w:val="0"/>
        <w:ind w:left="567" w:hanging="567"/>
        <w:textAlignment w:val="baseline"/>
      </w:pPr>
      <w:r>
        <w:t xml:space="preserve">for charge items that are greater than or equal to $10,000 - to the nearest $100. </w:t>
      </w:r>
    </w:p>
    <w:p w:rsidR="00451E1F" w:rsidRDefault="00451E1F" w:rsidP="00D27D4C">
      <w:pPr>
        <w:rPr>
          <w:szCs w:val="24"/>
        </w:rPr>
      </w:pPr>
    </w:p>
    <w:p w:rsidR="005D14E1" w:rsidRDefault="00061854" w:rsidP="00D27D4C">
      <w:pPr>
        <w:rPr>
          <w:szCs w:val="24"/>
        </w:rPr>
      </w:pPr>
      <w:r>
        <w:rPr>
          <w:szCs w:val="24"/>
        </w:rPr>
        <w:t>Chemical prescription medicines</w:t>
      </w:r>
      <w:r w:rsidR="00BF2BFE">
        <w:rPr>
          <w:szCs w:val="24"/>
        </w:rPr>
        <w:t xml:space="preserve"> and higher risk </w:t>
      </w:r>
      <w:r w:rsidR="00A81397">
        <w:rPr>
          <w:szCs w:val="24"/>
        </w:rPr>
        <w:t xml:space="preserve">medical </w:t>
      </w:r>
      <w:r w:rsidR="00BF2BFE">
        <w:rPr>
          <w:szCs w:val="24"/>
        </w:rPr>
        <w:t>devices</w:t>
      </w:r>
      <w:r w:rsidR="00A81397">
        <w:rPr>
          <w:szCs w:val="24"/>
        </w:rPr>
        <w:t xml:space="preserve"> (class IIa, I</w:t>
      </w:r>
      <w:r w:rsidR="004F3B08">
        <w:rPr>
          <w:szCs w:val="24"/>
        </w:rPr>
        <w:t>Ib, III and AIMD devices) are</w:t>
      </w:r>
      <w:r>
        <w:rPr>
          <w:szCs w:val="24"/>
        </w:rPr>
        <w:t xml:space="preserve"> subject</w:t>
      </w:r>
      <w:r w:rsidR="00BF2BFE">
        <w:rPr>
          <w:szCs w:val="24"/>
        </w:rPr>
        <w:t xml:space="preserve"> to the 2.12 per cent increase</w:t>
      </w:r>
      <w:r w:rsidR="00F903DD">
        <w:rPr>
          <w:szCs w:val="24"/>
        </w:rPr>
        <w:t>,</w:t>
      </w:r>
      <w:r w:rsidR="00BF2BFE">
        <w:rPr>
          <w:szCs w:val="24"/>
        </w:rPr>
        <w:t xml:space="preserve"> </w:t>
      </w:r>
      <w:r w:rsidR="004F3B08">
        <w:rPr>
          <w:szCs w:val="24"/>
        </w:rPr>
        <w:t>but are also be subject to</w:t>
      </w:r>
      <w:r w:rsidR="005D14E1">
        <w:rPr>
          <w:szCs w:val="24"/>
        </w:rPr>
        <w:t xml:space="preserve"> </w:t>
      </w:r>
      <w:r w:rsidR="00A81397">
        <w:rPr>
          <w:szCs w:val="24"/>
        </w:rPr>
        <w:t xml:space="preserve">reductions in </w:t>
      </w:r>
      <w:r w:rsidR="00F903DD">
        <w:rPr>
          <w:szCs w:val="24"/>
        </w:rPr>
        <w:t xml:space="preserve">their </w:t>
      </w:r>
      <w:r w:rsidR="00A81397">
        <w:rPr>
          <w:szCs w:val="24"/>
        </w:rPr>
        <w:t>annual</w:t>
      </w:r>
      <w:r w:rsidR="00BF2BFE">
        <w:rPr>
          <w:szCs w:val="24"/>
        </w:rPr>
        <w:t xml:space="preserve"> </w:t>
      </w:r>
      <w:r w:rsidR="00F903DD">
        <w:rPr>
          <w:szCs w:val="24"/>
        </w:rPr>
        <w:t xml:space="preserve">charges.  </w:t>
      </w:r>
    </w:p>
    <w:p w:rsidR="005D14E1" w:rsidRDefault="005D14E1" w:rsidP="00D27D4C">
      <w:pPr>
        <w:rPr>
          <w:szCs w:val="24"/>
        </w:rPr>
      </w:pPr>
    </w:p>
    <w:p w:rsidR="007C3174" w:rsidRDefault="007C3174" w:rsidP="00D27D4C">
      <w:pPr>
        <w:rPr>
          <w:szCs w:val="24"/>
        </w:rPr>
      </w:pPr>
      <w:r>
        <w:rPr>
          <w:szCs w:val="24"/>
        </w:rPr>
        <w:t xml:space="preserve">These reductions </w:t>
      </w:r>
      <w:r w:rsidR="005D14E1">
        <w:rPr>
          <w:szCs w:val="24"/>
        </w:rPr>
        <w:t>are intended to</w:t>
      </w:r>
      <w:r>
        <w:rPr>
          <w:szCs w:val="24"/>
        </w:rPr>
        <w:t xml:space="preserve"> complement </w:t>
      </w:r>
      <w:r w:rsidR="00D74719">
        <w:rPr>
          <w:szCs w:val="24"/>
        </w:rPr>
        <w:t xml:space="preserve">recent </w:t>
      </w:r>
      <w:r>
        <w:rPr>
          <w:szCs w:val="24"/>
        </w:rPr>
        <w:t xml:space="preserve">amendments to the Therapeutic Goods Regulations 1990 </w:t>
      </w:r>
      <w:r w:rsidR="005D14E1">
        <w:rPr>
          <w:szCs w:val="24"/>
        </w:rPr>
        <w:t xml:space="preserve">(the TG Regulations) </w:t>
      </w:r>
      <w:r>
        <w:rPr>
          <w:szCs w:val="24"/>
        </w:rPr>
        <w:t xml:space="preserve">that </w:t>
      </w:r>
      <w:r w:rsidR="00D74719">
        <w:rPr>
          <w:szCs w:val="24"/>
        </w:rPr>
        <w:t xml:space="preserve">will, from 1 July 2015, </w:t>
      </w:r>
      <w:r>
        <w:rPr>
          <w:szCs w:val="24"/>
        </w:rPr>
        <w:t xml:space="preserve">replace the current </w:t>
      </w:r>
      <w:r>
        <w:rPr>
          <w:szCs w:val="24"/>
        </w:rPr>
        <w:lastRenderedPageBreak/>
        <w:t>scheme for exemptions from annual charges (</w:t>
      </w:r>
      <w:r w:rsidR="005D14E1">
        <w:rPr>
          <w:szCs w:val="24"/>
        </w:rPr>
        <w:t xml:space="preserve">under </w:t>
      </w:r>
      <w:r>
        <w:rPr>
          <w:szCs w:val="24"/>
        </w:rPr>
        <w:t>whic</w:t>
      </w:r>
      <w:r w:rsidR="005D14E1">
        <w:rPr>
          <w:szCs w:val="24"/>
        </w:rPr>
        <w:t xml:space="preserve">h a </w:t>
      </w:r>
      <w:r>
        <w:rPr>
          <w:szCs w:val="24"/>
        </w:rPr>
        <w:t xml:space="preserve">sponsor’s turnover </w:t>
      </w:r>
      <w:r w:rsidR="00491B8A">
        <w:rPr>
          <w:szCs w:val="24"/>
        </w:rPr>
        <w:t xml:space="preserve">for </w:t>
      </w:r>
      <w:r>
        <w:rPr>
          <w:szCs w:val="24"/>
        </w:rPr>
        <w:t xml:space="preserve">their goods </w:t>
      </w:r>
      <w:r w:rsidR="005D14E1">
        <w:rPr>
          <w:szCs w:val="24"/>
        </w:rPr>
        <w:t>must be</w:t>
      </w:r>
      <w:r>
        <w:rPr>
          <w:szCs w:val="24"/>
        </w:rPr>
        <w:t xml:space="preserve"> </w:t>
      </w:r>
      <w:r w:rsidR="005D14E1">
        <w:rPr>
          <w:szCs w:val="24"/>
        </w:rPr>
        <w:t>no</w:t>
      </w:r>
      <w:r>
        <w:rPr>
          <w:szCs w:val="24"/>
        </w:rPr>
        <w:t xml:space="preserve"> more than 15 times </w:t>
      </w:r>
      <w:r w:rsidR="00D74719">
        <w:rPr>
          <w:szCs w:val="24"/>
        </w:rPr>
        <w:t>the relevant</w:t>
      </w:r>
      <w:r>
        <w:rPr>
          <w:szCs w:val="24"/>
        </w:rPr>
        <w:t xml:space="preserve"> annual charge to qualify for an exemption</w:t>
      </w:r>
      <w:r w:rsidR="00D74719">
        <w:rPr>
          <w:szCs w:val="24"/>
        </w:rPr>
        <w:t>) with revised arrangements based on exemptions a</w:t>
      </w:r>
      <w:r w:rsidR="005D14E1">
        <w:rPr>
          <w:szCs w:val="24"/>
        </w:rPr>
        <w:t>pplying automatically so long as</w:t>
      </w:r>
      <w:r w:rsidR="00D74719">
        <w:rPr>
          <w:szCs w:val="24"/>
        </w:rPr>
        <w:t xml:space="preserve"> </w:t>
      </w:r>
      <w:r w:rsidR="005D14E1">
        <w:rPr>
          <w:szCs w:val="24"/>
        </w:rPr>
        <w:t>the</w:t>
      </w:r>
      <w:r w:rsidR="00D74719">
        <w:rPr>
          <w:szCs w:val="24"/>
        </w:rPr>
        <w:t xml:space="preserve"> sponsor’s turnover </w:t>
      </w:r>
      <w:r w:rsidR="00491B8A">
        <w:rPr>
          <w:szCs w:val="24"/>
        </w:rPr>
        <w:t xml:space="preserve">for the relevant goods </w:t>
      </w:r>
      <w:r w:rsidR="00D74719">
        <w:rPr>
          <w:szCs w:val="24"/>
        </w:rPr>
        <w:t xml:space="preserve">is zero. </w:t>
      </w:r>
    </w:p>
    <w:p w:rsidR="007C3174" w:rsidRDefault="007C3174" w:rsidP="00D27D4C">
      <w:pPr>
        <w:rPr>
          <w:szCs w:val="24"/>
        </w:rPr>
      </w:pPr>
    </w:p>
    <w:p w:rsidR="00565A39" w:rsidRDefault="006C13C1" w:rsidP="00D27D4C">
      <w:pPr>
        <w:rPr>
          <w:szCs w:val="24"/>
        </w:rPr>
      </w:pPr>
      <w:r>
        <w:rPr>
          <w:szCs w:val="24"/>
        </w:rPr>
        <w:t xml:space="preserve">The </w:t>
      </w:r>
      <w:r w:rsidR="00A81397">
        <w:rPr>
          <w:szCs w:val="24"/>
        </w:rPr>
        <w:t>reduced charges</w:t>
      </w:r>
      <w:r>
        <w:rPr>
          <w:szCs w:val="24"/>
        </w:rPr>
        <w:t xml:space="preserve"> for higher risk </w:t>
      </w:r>
      <w:r w:rsidR="00FA422A">
        <w:rPr>
          <w:szCs w:val="24"/>
        </w:rPr>
        <w:t xml:space="preserve">devices </w:t>
      </w:r>
      <w:r w:rsidR="00A81397">
        <w:rPr>
          <w:szCs w:val="24"/>
        </w:rPr>
        <w:t xml:space="preserve">are </w:t>
      </w:r>
      <w:r w:rsidR="00730606">
        <w:rPr>
          <w:szCs w:val="24"/>
        </w:rPr>
        <w:t xml:space="preserve">in Schedule 1 to the </w:t>
      </w:r>
      <w:r w:rsidR="00FA422A">
        <w:rPr>
          <w:szCs w:val="24"/>
        </w:rPr>
        <w:t>Regulation, and</w:t>
      </w:r>
      <w:r w:rsidR="00D74719">
        <w:rPr>
          <w:szCs w:val="24"/>
        </w:rPr>
        <w:t xml:space="preserve"> </w:t>
      </w:r>
      <w:r w:rsidR="00A81397">
        <w:rPr>
          <w:szCs w:val="24"/>
        </w:rPr>
        <w:t xml:space="preserve">the reduced </w:t>
      </w:r>
      <w:r w:rsidR="00FA422A">
        <w:rPr>
          <w:szCs w:val="24"/>
        </w:rPr>
        <w:t xml:space="preserve">charges for prescription chemical medicines </w:t>
      </w:r>
      <w:r w:rsidR="00D74719">
        <w:rPr>
          <w:szCs w:val="24"/>
        </w:rPr>
        <w:t xml:space="preserve">are </w:t>
      </w:r>
      <w:r w:rsidR="00FA422A">
        <w:rPr>
          <w:szCs w:val="24"/>
        </w:rPr>
        <w:t>in Schedule 2.</w:t>
      </w:r>
      <w:r w:rsidR="00061854">
        <w:rPr>
          <w:szCs w:val="24"/>
        </w:rPr>
        <w:t xml:space="preserve"> </w:t>
      </w:r>
      <w:r w:rsidR="00565A39">
        <w:rPr>
          <w:szCs w:val="24"/>
        </w:rPr>
        <w:t xml:space="preserve"> </w:t>
      </w:r>
    </w:p>
    <w:p w:rsidR="00565A39" w:rsidRDefault="00565A39" w:rsidP="00D27D4C">
      <w:pPr>
        <w:rPr>
          <w:szCs w:val="24"/>
        </w:rPr>
      </w:pPr>
    </w:p>
    <w:p w:rsidR="00D74719" w:rsidRDefault="00730606" w:rsidP="00575D61">
      <w:pPr>
        <w:rPr>
          <w:szCs w:val="24"/>
        </w:rPr>
      </w:pPr>
      <w:r>
        <w:rPr>
          <w:szCs w:val="24"/>
        </w:rPr>
        <w:t xml:space="preserve">The </w:t>
      </w:r>
      <w:r w:rsidR="00FA422A">
        <w:rPr>
          <w:szCs w:val="24"/>
        </w:rPr>
        <w:t xml:space="preserve">2.12 per cent increase is based on an assessment of the TGA’s budget outlook for 2015-16, and is a </w:t>
      </w:r>
      <w:r w:rsidR="006E2878">
        <w:rPr>
          <w:szCs w:val="24"/>
        </w:rPr>
        <w:t>smaller</w:t>
      </w:r>
      <w:r w:rsidR="00FA422A">
        <w:rPr>
          <w:szCs w:val="24"/>
        </w:rPr>
        <w:t xml:space="preserve"> increase than would have applied had the </w:t>
      </w:r>
      <w:r w:rsidR="00D74719">
        <w:rPr>
          <w:szCs w:val="24"/>
        </w:rPr>
        <w:t xml:space="preserve">indexation used to calculate adjustments to TGA fees and charges in previous years (based on the Wage Price Index (50 per cent) </w:t>
      </w:r>
      <w:r w:rsidR="00A81397">
        <w:rPr>
          <w:szCs w:val="24"/>
        </w:rPr>
        <w:t xml:space="preserve">and the Consumer Price Index (50 per cent)) </w:t>
      </w:r>
      <w:r w:rsidR="00D74719">
        <w:rPr>
          <w:szCs w:val="24"/>
        </w:rPr>
        <w:t>been applied – this would have delivered a 2.5 per cent increase.</w:t>
      </w:r>
      <w:r w:rsidR="00A81397">
        <w:rPr>
          <w:szCs w:val="24"/>
        </w:rPr>
        <w:t xml:space="preserve">  The 2.12 per cent</w:t>
      </w:r>
      <w:r>
        <w:rPr>
          <w:szCs w:val="24"/>
        </w:rPr>
        <w:t xml:space="preserve"> increase </w:t>
      </w:r>
      <w:r w:rsidR="00D74719">
        <w:rPr>
          <w:szCs w:val="24"/>
        </w:rPr>
        <w:t>ensure</w:t>
      </w:r>
      <w:r>
        <w:rPr>
          <w:szCs w:val="24"/>
        </w:rPr>
        <w:t>s</w:t>
      </w:r>
      <w:r w:rsidR="00D74719">
        <w:rPr>
          <w:szCs w:val="24"/>
        </w:rPr>
        <w:t xml:space="preserve"> the TGA is able to continue to recover its costs of administering the </w:t>
      </w:r>
      <w:r w:rsidR="00D74719" w:rsidRPr="00D74719">
        <w:rPr>
          <w:i/>
          <w:szCs w:val="24"/>
        </w:rPr>
        <w:t>Therapeutic Goods Act 1989</w:t>
      </w:r>
      <w:r w:rsidR="00D74719">
        <w:rPr>
          <w:szCs w:val="24"/>
        </w:rPr>
        <w:t xml:space="preserve"> (the TG Act).</w:t>
      </w:r>
    </w:p>
    <w:p w:rsidR="00980228" w:rsidRDefault="00980228" w:rsidP="00575D61">
      <w:pPr>
        <w:rPr>
          <w:szCs w:val="24"/>
        </w:rPr>
      </w:pPr>
    </w:p>
    <w:p w:rsidR="00E6022A" w:rsidRDefault="00730606" w:rsidP="003856A4">
      <w:pPr>
        <w:rPr>
          <w:szCs w:val="24"/>
        </w:rPr>
      </w:pPr>
      <w:r>
        <w:rPr>
          <w:szCs w:val="24"/>
        </w:rPr>
        <w:t xml:space="preserve">In relation to the </w:t>
      </w:r>
      <w:r w:rsidR="00980228">
        <w:rPr>
          <w:szCs w:val="24"/>
        </w:rPr>
        <w:t xml:space="preserve">amendments in Schedule </w:t>
      </w:r>
      <w:r w:rsidR="00D74719">
        <w:rPr>
          <w:szCs w:val="24"/>
        </w:rPr>
        <w:t>2, p</w:t>
      </w:r>
      <w:r w:rsidR="00713DD8">
        <w:rPr>
          <w:szCs w:val="24"/>
        </w:rPr>
        <w:t xml:space="preserve">rescription chemical medicines must be registered under Part 3-2 of the </w:t>
      </w:r>
      <w:r w:rsidR="00A81397">
        <w:rPr>
          <w:szCs w:val="24"/>
        </w:rPr>
        <w:t>TG Act</w:t>
      </w:r>
      <w:r w:rsidR="00D74719">
        <w:rPr>
          <w:szCs w:val="24"/>
        </w:rPr>
        <w:t xml:space="preserve"> </w:t>
      </w:r>
      <w:r w:rsidR="00A81397">
        <w:rPr>
          <w:szCs w:val="24"/>
        </w:rPr>
        <w:t>to be marketed in Australia. Where such</w:t>
      </w:r>
      <w:r w:rsidR="00E6022A">
        <w:rPr>
          <w:szCs w:val="24"/>
        </w:rPr>
        <w:t xml:space="preserve"> </w:t>
      </w:r>
      <w:r w:rsidR="00FF1F1D">
        <w:rPr>
          <w:szCs w:val="24"/>
        </w:rPr>
        <w:t xml:space="preserve">a </w:t>
      </w:r>
      <w:r w:rsidR="00713DD8">
        <w:rPr>
          <w:szCs w:val="24"/>
        </w:rPr>
        <w:t xml:space="preserve">medicine </w:t>
      </w:r>
      <w:r w:rsidR="00642FD4">
        <w:rPr>
          <w:szCs w:val="24"/>
        </w:rPr>
        <w:t xml:space="preserve">comes within the definition of </w:t>
      </w:r>
      <w:r w:rsidR="00A81397">
        <w:rPr>
          <w:szCs w:val="24"/>
        </w:rPr>
        <w:t xml:space="preserve">a </w:t>
      </w:r>
      <w:r w:rsidR="00642FD4">
        <w:rPr>
          <w:szCs w:val="24"/>
        </w:rPr>
        <w:t>“n</w:t>
      </w:r>
      <w:r w:rsidR="00713DD8">
        <w:rPr>
          <w:szCs w:val="24"/>
        </w:rPr>
        <w:t xml:space="preserve">ew </w:t>
      </w:r>
      <w:r w:rsidR="00642FD4">
        <w:rPr>
          <w:szCs w:val="24"/>
        </w:rPr>
        <w:t>c</w:t>
      </w:r>
      <w:r w:rsidR="00713DD8">
        <w:rPr>
          <w:szCs w:val="24"/>
        </w:rPr>
        <w:t xml:space="preserve">hemical </w:t>
      </w:r>
      <w:r w:rsidR="00642FD4">
        <w:rPr>
          <w:szCs w:val="24"/>
        </w:rPr>
        <w:t>e</w:t>
      </w:r>
      <w:r w:rsidR="00713DD8">
        <w:rPr>
          <w:szCs w:val="24"/>
        </w:rPr>
        <w:t>ntity</w:t>
      </w:r>
      <w:r w:rsidR="00A81397">
        <w:rPr>
          <w:szCs w:val="24"/>
        </w:rPr>
        <w:t>” in Part 1 of Schedule 9 to</w:t>
      </w:r>
      <w:r w:rsidR="00642FD4">
        <w:rPr>
          <w:szCs w:val="24"/>
        </w:rPr>
        <w:t xml:space="preserve"> the </w:t>
      </w:r>
      <w:r w:rsidR="00F903DD">
        <w:rPr>
          <w:szCs w:val="24"/>
        </w:rPr>
        <w:t>TG Regulations</w:t>
      </w:r>
      <w:r w:rsidR="00642FD4">
        <w:rPr>
          <w:szCs w:val="24"/>
        </w:rPr>
        <w:t xml:space="preserve">, </w:t>
      </w:r>
      <w:r w:rsidR="00713DD8">
        <w:rPr>
          <w:szCs w:val="24"/>
        </w:rPr>
        <w:t xml:space="preserve">higher fees are payable </w:t>
      </w:r>
      <w:r w:rsidR="00A81397">
        <w:rPr>
          <w:szCs w:val="24"/>
        </w:rPr>
        <w:t>for</w:t>
      </w:r>
      <w:r w:rsidR="00713DD8">
        <w:rPr>
          <w:szCs w:val="24"/>
        </w:rPr>
        <w:t xml:space="preserve"> the evaluation of an application for its registration.  </w:t>
      </w:r>
      <w:r w:rsidR="00E6022A">
        <w:rPr>
          <w:szCs w:val="24"/>
        </w:rPr>
        <w:t xml:space="preserve">Higher fees are also payable </w:t>
      </w:r>
      <w:r w:rsidR="005D14E1">
        <w:rPr>
          <w:szCs w:val="24"/>
        </w:rPr>
        <w:t>for</w:t>
      </w:r>
      <w:r w:rsidR="00E6022A">
        <w:rPr>
          <w:szCs w:val="24"/>
        </w:rPr>
        <w:t xml:space="preserve"> </w:t>
      </w:r>
      <w:r w:rsidR="00FF1F1D">
        <w:rPr>
          <w:szCs w:val="24"/>
        </w:rPr>
        <w:t xml:space="preserve">the evaluation of </w:t>
      </w:r>
      <w:r w:rsidR="00E6022A">
        <w:rPr>
          <w:szCs w:val="24"/>
        </w:rPr>
        <w:t>application</w:t>
      </w:r>
      <w:r w:rsidR="005D14E1">
        <w:rPr>
          <w:szCs w:val="24"/>
        </w:rPr>
        <w:t xml:space="preserve">s for </w:t>
      </w:r>
      <w:r w:rsidR="00E6022A">
        <w:rPr>
          <w:szCs w:val="24"/>
        </w:rPr>
        <w:t>extension</w:t>
      </w:r>
      <w:r w:rsidR="005D14E1">
        <w:rPr>
          <w:szCs w:val="24"/>
        </w:rPr>
        <w:t>s</w:t>
      </w:r>
      <w:r w:rsidR="00E6022A">
        <w:rPr>
          <w:szCs w:val="24"/>
        </w:rPr>
        <w:t xml:space="preserve"> of indication</w:t>
      </w:r>
      <w:r w:rsidR="005D14E1">
        <w:rPr>
          <w:szCs w:val="24"/>
        </w:rPr>
        <w:t>s</w:t>
      </w:r>
      <w:r w:rsidR="00E6022A">
        <w:rPr>
          <w:szCs w:val="24"/>
        </w:rPr>
        <w:t xml:space="preserve"> and for “major variations”</w:t>
      </w:r>
      <w:r w:rsidR="00642FD4">
        <w:rPr>
          <w:szCs w:val="24"/>
        </w:rPr>
        <w:t xml:space="preserve"> (as de</w:t>
      </w:r>
      <w:r w:rsidR="00A81397">
        <w:rPr>
          <w:szCs w:val="24"/>
        </w:rPr>
        <w:t>fined in Part 1 of Schedule 9 to</w:t>
      </w:r>
      <w:r w:rsidR="00642FD4">
        <w:rPr>
          <w:szCs w:val="24"/>
        </w:rPr>
        <w:t xml:space="preserve"> the TG Regulations)</w:t>
      </w:r>
      <w:r w:rsidR="00E6022A">
        <w:rPr>
          <w:szCs w:val="24"/>
        </w:rPr>
        <w:t xml:space="preserve">.  </w:t>
      </w:r>
    </w:p>
    <w:p w:rsidR="00E6022A" w:rsidRDefault="00E6022A" w:rsidP="003856A4">
      <w:pPr>
        <w:rPr>
          <w:szCs w:val="24"/>
        </w:rPr>
      </w:pPr>
    </w:p>
    <w:p w:rsidR="00376B26" w:rsidRDefault="00491B8A" w:rsidP="003856A4">
      <w:pPr>
        <w:rPr>
          <w:szCs w:val="24"/>
        </w:rPr>
      </w:pPr>
      <w:r>
        <w:rPr>
          <w:szCs w:val="24"/>
        </w:rPr>
        <w:t>Both e</w:t>
      </w:r>
      <w:r w:rsidR="00E6022A">
        <w:rPr>
          <w:szCs w:val="24"/>
        </w:rPr>
        <w:t>xtensions of indication</w:t>
      </w:r>
      <w:r w:rsidR="00BC68D2">
        <w:rPr>
          <w:szCs w:val="24"/>
        </w:rPr>
        <w:t xml:space="preserve">s and major variations in relation to prescription medicines result in the creation of </w:t>
      </w:r>
      <w:r w:rsidR="00E6022A">
        <w:rPr>
          <w:szCs w:val="24"/>
        </w:rPr>
        <w:t xml:space="preserve">separate and distinct goods by reason of subsection 16(1) of the </w:t>
      </w:r>
      <w:r w:rsidR="00BC68D2">
        <w:rPr>
          <w:szCs w:val="24"/>
        </w:rPr>
        <w:t>TG</w:t>
      </w:r>
      <w:r w:rsidR="00E6022A">
        <w:rPr>
          <w:szCs w:val="24"/>
        </w:rPr>
        <w:t xml:space="preserve"> Act.  “Major variations” include a change to the intended patient group for a medicine.  Unless “grouped”, an extension of indication and a change to the intended patie</w:t>
      </w:r>
      <w:r w:rsidR="00730606">
        <w:rPr>
          <w:szCs w:val="24"/>
        </w:rPr>
        <w:t xml:space="preserve">nt group are registered under </w:t>
      </w:r>
      <w:r w:rsidR="005B72FD">
        <w:rPr>
          <w:szCs w:val="24"/>
        </w:rPr>
        <w:t xml:space="preserve">separate </w:t>
      </w:r>
      <w:r w:rsidR="00E6022A">
        <w:rPr>
          <w:szCs w:val="24"/>
        </w:rPr>
        <w:t>registration number</w:t>
      </w:r>
      <w:r w:rsidR="005B72FD">
        <w:rPr>
          <w:szCs w:val="24"/>
        </w:rPr>
        <w:t>s</w:t>
      </w:r>
      <w:r>
        <w:rPr>
          <w:szCs w:val="24"/>
        </w:rPr>
        <w:t xml:space="preserve"> by reason of subsection </w:t>
      </w:r>
      <w:r w:rsidR="007761E4">
        <w:rPr>
          <w:szCs w:val="24"/>
        </w:rPr>
        <w:t>27(2) of the TG Act</w:t>
      </w:r>
      <w:r w:rsidR="00E6022A">
        <w:rPr>
          <w:szCs w:val="24"/>
        </w:rPr>
        <w:t xml:space="preserve">.  </w:t>
      </w:r>
    </w:p>
    <w:p w:rsidR="0042497B" w:rsidRDefault="0042497B" w:rsidP="003856A4">
      <w:pPr>
        <w:rPr>
          <w:szCs w:val="24"/>
        </w:rPr>
      </w:pPr>
    </w:p>
    <w:p w:rsidR="00FF1F1D" w:rsidRDefault="00730606" w:rsidP="00600CB8">
      <w:pPr>
        <w:rPr>
          <w:color w:val="000000"/>
          <w:szCs w:val="24"/>
        </w:rPr>
      </w:pPr>
      <w:bookmarkStart w:id="1" w:name="OLE_LINK1"/>
      <w:r>
        <w:rPr>
          <w:color w:val="000000"/>
          <w:szCs w:val="24"/>
        </w:rPr>
        <w:t xml:space="preserve">Under the </w:t>
      </w:r>
      <w:r w:rsidR="00A81397">
        <w:rPr>
          <w:color w:val="000000"/>
          <w:szCs w:val="24"/>
        </w:rPr>
        <w:t>Regulation, t</w:t>
      </w:r>
      <w:r w:rsidR="00680A6E">
        <w:rPr>
          <w:color w:val="000000"/>
          <w:szCs w:val="24"/>
        </w:rPr>
        <w:t xml:space="preserve">he annual charge </w:t>
      </w:r>
      <w:r w:rsidR="00A81397">
        <w:rPr>
          <w:color w:val="000000"/>
          <w:szCs w:val="24"/>
        </w:rPr>
        <w:t>for</w:t>
      </w:r>
      <w:r w:rsidR="00680A6E">
        <w:rPr>
          <w:color w:val="000000"/>
          <w:szCs w:val="24"/>
        </w:rPr>
        <w:t xml:space="preserve"> </w:t>
      </w:r>
      <w:r w:rsidR="00B56BA6">
        <w:rPr>
          <w:color w:val="000000"/>
          <w:szCs w:val="24"/>
        </w:rPr>
        <w:t xml:space="preserve">prescription chemical medicines that </w:t>
      </w:r>
      <w:r w:rsidR="00642FD4">
        <w:rPr>
          <w:color w:val="000000"/>
          <w:szCs w:val="24"/>
        </w:rPr>
        <w:t>are n</w:t>
      </w:r>
      <w:r w:rsidR="00680A6E">
        <w:rPr>
          <w:color w:val="000000"/>
          <w:szCs w:val="24"/>
        </w:rPr>
        <w:t xml:space="preserve">ew </w:t>
      </w:r>
      <w:r w:rsidR="00642FD4">
        <w:rPr>
          <w:color w:val="000000"/>
          <w:szCs w:val="24"/>
        </w:rPr>
        <w:t>c</w:t>
      </w:r>
      <w:r w:rsidR="00680A6E">
        <w:rPr>
          <w:color w:val="000000"/>
          <w:szCs w:val="24"/>
        </w:rPr>
        <w:t xml:space="preserve">hemical </w:t>
      </w:r>
      <w:r w:rsidR="00642FD4">
        <w:rPr>
          <w:color w:val="000000"/>
          <w:szCs w:val="24"/>
        </w:rPr>
        <w:t>e</w:t>
      </w:r>
      <w:r w:rsidR="00680A6E">
        <w:rPr>
          <w:color w:val="000000"/>
          <w:szCs w:val="24"/>
        </w:rPr>
        <w:t>ntities</w:t>
      </w:r>
      <w:r w:rsidR="005D14E1">
        <w:rPr>
          <w:color w:val="000000"/>
          <w:szCs w:val="24"/>
        </w:rPr>
        <w:t>,</w:t>
      </w:r>
      <w:r w:rsidR="00680A6E">
        <w:rPr>
          <w:color w:val="000000"/>
          <w:szCs w:val="24"/>
        </w:rPr>
        <w:t xml:space="preserve"> </w:t>
      </w:r>
      <w:r w:rsidR="00B56BA6">
        <w:rPr>
          <w:color w:val="000000"/>
          <w:szCs w:val="24"/>
        </w:rPr>
        <w:t xml:space="preserve">or that are </w:t>
      </w:r>
      <w:r w:rsidR="005B72FD">
        <w:rPr>
          <w:color w:val="000000"/>
          <w:szCs w:val="24"/>
        </w:rPr>
        <w:t xml:space="preserve">extensions of </w:t>
      </w:r>
      <w:r w:rsidR="00680A6E">
        <w:rPr>
          <w:color w:val="000000"/>
          <w:szCs w:val="24"/>
        </w:rPr>
        <w:t>indications or involve a change to an intended patient group</w:t>
      </w:r>
      <w:r w:rsidR="00FF1F1D">
        <w:rPr>
          <w:color w:val="000000"/>
          <w:szCs w:val="24"/>
        </w:rPr>
        <w:t xml:space="preserve"> (whether grouped or not)</w:t>
      </w:r>
      <w:r w:rsidR="005D14E1">
        <w:rPr>
          <w:color w:val="000000"/>
          <w:szCs w:val="24"/>
        </w:rPr>
        <w:t>,</w:t>
      </w:r>
      <w:r w:rsidR="00680A6E">
        <w:rPr>
          <w:color w:val="000000"/>
          <w:szCs w:val="24"/>
        </w:rPr>
        <w:t xml:space="preserve"> </w:t>
      </w:r>
      <w:r>
        <w:rPr>
          <w:color w:val="000000"/>
          <w:szCs w:val="24"/>
        </w:rPr>
        <w:t>is</w:t>
      </w:r>
      <w:r w:rsidR="00680A6E">
        <w:rPr>
          <w:color w:val="000000"/>
          <w:szCs w:val="24"/>
        </w:rPr>
        <w:t xml:space="preserve"> </w:t>
      </w:r>
      <w:r w:rsidR="00B56BA6">
        <w:rPr>
          <w:color w:val="000000"/>
          <w:szCs w:val="24"/>
        </w:rPr>
        <w:t xml:space="preserve">a higher amount </w:t>
      </w:r>
      <w:r w:rsidR="00802B83">
        <w:rPr>
          <w:color w:val="000000"/>
          <w:szCs w:val="24"/>
        </w:rPr>
        <w:t xml:space="preserve">until the </w:t>
      </w:r>
      <w:r w:rsidR="00D408E3">
        <w:rPr>
          <w:color w:val="000000"/>
          <w:szCs w:val="24"/>
        </w:rPr>
        <w:t>8</w:t>
      </w:r>
      <w:r w:rsidR="007761E4">
        <w:rPr>
          <w:color w:val="000000"/>
          <w:szCs w:val="24"/>
        </w:rPr>
        <w:t>t</w:t>
      </w:r>
      <w:r w:rsidR="00802B83">
        <w:rPr>
          <w:color w:val="000000"/>
          <w:szCs w:val="24"/>
        </w:rPr>
        <w:t xml:space="preserve">h anniversary of </w:t>
      </w:r>
      <w:r w:rsidR="005B72FD">
        <w:rPr>
          <w:color w:val="000000"/>
          <w:szCs w:val="24"/>
        </w:rPr>
        <w:t xml:space="preserve">the </w:t>
      </w:r>
      <w:r w:rsidR="00802B83">
        <w:rPr>
          <w:color w:val="000000"/>
          <w:szCs w:val="24"/>
        </w:rPr>
        <w:t xml:space="preserve">registration </w:t>
      </w:r>
      <w:r w:rsidR="005B72FD">
        <w:rPr>
          <w:color w:val="000000"/>
          <w:szCs w:val="24"/>
        </w:rPr>
        <w:t xml:space="preserve">of the medicine </w:t>
      </w:r>
      <w:r w:rsidR="00802B83">
        <w:rPr>
          <w:color w:val="000000"/>
          <w:szCs w:val="24"/>
        </w:rPr>
        <w:t xml:space="preserve">has passed.  </w:t>
      </w:r>
      <w:r>
        <w:rPr>
          <w:color w:val="000000"/>
          <w:szCs w:val="24"/>
        </w:rPr>
        <w:t>A lower amount is</w:t>
      </w:r>
      <w:r w:rsidR="00642FD4">
        <w:rPr>
          <w:color w:val="000000"/>
          <w:szCs w:val="24"/>
        </w:rPr>
        <w:t xml:space="preserve"> payable </w:t>
      </w:r>
      <w:r w:rsidR="005B72FD">
        <w:rPr>
          <w:color w:val="000000"/>
          <w:szCs w:val="24"/>
        </w:rPr>
        <w:t>thereafter</w:t>
      </w:r>
      <w:r w:rsidR="00A81397">
        <w:rPr>
          <w:color w:val="000000"/>
          <w:szCs w:val="24"/>
        </w:rPr>
        <w:t>,</w:t>
      </w:r>
      <w:r w:rsidR="005B72FD">
        <w:rPr>
          <w:color w:val="000000"/>
          <w:szCs w:val="24"/>
        </w:rPr>
        <w:t xml:space="preserve"> unless an extension of indication or change in intended patient group is grouped in which case </w:t>
      </w:r>
      <w:r w:rsidR="00642FD4">
        <w:rPr>
          <w:color w:val="000000"/>
          <w:szCs w:val="24"/>
        </w:rPr>
        <w:t xml:space="preserve">the higher amount </w:t>
      </w:r>
      <w:r w:rsidR="00FF1F1D">
        <w:rPr>
          <w:color w:val="000000"/>
          <w:szCs w:val="24"/>
        </w:rPr>
        <w:t xml:space="preserve">would </w:t>
      </w:r>
      <w:r w:rsidR="00642FD4">
        <w:rPr>
          <w:color w:val="000000"/>
          <w:szCs w:val="24"/>
        </w:rPr>
        <w:t xml:space="preserve">again become payable.  </w:t>
      </w:r>
    </w:p>
    <w:p w:rsidR="00FF1F1D" w:rsidRDefault="00FF1F1D" w:rsidP="00600CB8">
      <w:pPr>
        <w:rPr>
          <w:color w:val="000000"/>
          <w:szCs w:val="24"/>
        </w:rPr>
      </w:pPr>
    </w:p>
    <w:p w:rsidR="004D2AEF" w:rsidRDefault="00FF1F1D" w:rsidP="00600CB8">
      <w:pPr>
        <w:rPr>
          <w:color w:val="000000"/>
          <w:szCs w:val="24"/>
        </w:rPr>
      </w:pPr>
      <w:r>
        <w:rPr>
          <w:color w:val="000000"/>
          <w:szCs w:val="24"/>
        </w:rPr>
        <w:t xml:space="preserve">The annual charge for prescription chemical medicines that have the same active ingredients but are separate and distinct from a medicine already on the Register by reason of subsection 16(1) of the TG Act </w:t>
      </w:r>
      <w:r w:rsidR="004D2AEF">
        <w:rPr>
          <w:color w:val="000000"/>
          <w:szCs w:val="24"/>
        </w:rPr>
        <w:t>(</w:t>
      </w:r>
      <w:r>
        <w:rPr>
          <w:color w:val="000000"/>
          <w:szCs w:val="24"/>
        </w:rPr>
        <w:t>but are not extensions of indications or a change to the intended patient group</w:t>
      </w:r>
      <w:r w:rsidR="004D2AEF">
        <w:rPr>
          <w:color w:val="000000"/>
          <w:szCs w:val="24"/>
        </w:rPr>
        <w:t>)</w:t>
      </w:r>
      <w:r>
        <w:rPr>
          <w:color w:val="000000"/>
          <w:szCs w:val="24"/>
        </w:rPr>
        <w:t xml:space="preserve"> </w:t>
      </w:r>
      <w:r w:rsidR="00730606">
        <w:rPr>
          <w:color w:val="000000"/>
          <w:szCs w:val="24"/>
        </w:rPr>
        <w:t>is</w:t>
      </w:r>
      <w:r w:rsidR="004D2AEF">
        <w:rPr>
          <w:color w:val="000000"/>
          <w:szCs w:val="24"/>
        </w:rPr>
        <w:t xml:space="preserve"> determined by reference to:</w:t>
      </w:r>
    </w:p>
    <w:p w:rsidR="004D2AEF" w:rsidRPr="00B12B73" w:rsidRDefault="004D2AEF" w:rsidP="00B12B73">
      <w:pPr>
        <w:pStyle w:val="ListParagraph"/>
        <w:numPr>
          <w:ilvl w:val="0"/>
          <w:numId w:val="11"/>
        </w:numPr>
        <w:rPr>
          <w:color w:val="000000"/>
          <w:szCs w:val="24"/>
        </w:rPr>
      </w:pPr>
      <w:r w:rsidRPr="00B12B73">
        <w:rPr>
          <w:color w:val="000000"/>
          <w:szCs w:val="24"/>
        </w:rPr>
        <w:t xml:space="preserve">the amount of charge payable </w:t>
      </w:r>
      <w:r>
        <w:rPr>
          <w:color w:val="000000"/>
          <w:szCs w:val="24"/>
        </w:rPr>
        <w:t xml:space="preserve">in relation to </w:t>
      </w:r>
      <w:r w:rsidRPr="00B12B73">
        <w:rPr>
          <w:color w:val="000000"/>
          <w:szCs w:val="24"/>
        </w:rPr>
        <w:t xml:space="preserve">the medicine already on the Register; and </w:t>
      </w:r>
    </w:p>
    <w:p w:rsidR="005B72FD" w:rsidRPr="00B12B73" w:rsidRDefault="004D2AEF" w:rsidP="00B12B73">
      <w:pPr>
        <w:pStyle w:val="ListParagraph"/>
        <w:numPr>
          <w:ilvl w:val="0"/>
          <w:numId w:val="11"/>
        </w:numPr>
        <w:rPr>
          <w:color w:val="000000"/>
          <w:szCs w:val="24"/>
        </w:rPr>
      </w:pPr>
      <w:r w:rsidRPr="00B12B73">
        <w:rPr>
          <w:color w:val="000000"/>
          <w:szCs w:val="24"/>
        </w:rPr>
        <w:t xml:space="preserve">whether or not a medicine that is an extension of indication or change to the intended patient group had been grouped with the prescription chemical medicine. </w:t>
      </w:r>
    </w:p>
    <w:p w:rsidR="005B72FD" w:rsidRDefault="005B72FD" w:rsidP="00600CB8">
      <w:pPr>
        <w:rPr>
          <w:color w:val="000000"/>
          <w:szCs w:val="24"/>
        </w:rPr>
      </w:pPr>
    </w:p>
    <w:p w:rsidR="00BC68D2" w:rsidRDefault="00BC68D2" w:rsidP="00BC68D2">
      <w:pPr>
        <w:rPr>
          <w:color w:val="000000"/>
          <w:szCs w:val="24"/>
        </w:rPr>
      </w:pPr>
      <w:r>
        <w:rPr>
          <w:color w:val="000000"/>
          <w:szCs w:val="24"/>
        </w:rPr>
        <w:t>The imposition of dif</w:t>
      </w:r>
      <w:r w:rsidR="004214FB">
        <w:rPr>
          <w:color w:val="000000"/>
          <w:szCs w:val="24"/>
        </w:rPr>
        <w:t>ferent amounts of annual charge</w:t>
      </w:r>
      <w:r>
        <w:rPr>
          <w:color w:val="000000"/>
          <w:szCs w:val="24"/>
        </w:rPr>
        <w:t xml:space="preserve"> on different types of prescription chemical medicines is intended to broadly reflect the commitment of resources by the TGA to </w:t>
      </w:r>
      <w:r w:rsidR="005D14E1">
        <w:rPr>
          <w:color w:val="000000"/>
          <w:szCs w:val="24"/>
        </w:rPr>
        <w:t xml:space="preserve">the </w:t>
      </w:r>
      <w:r>
        <w:rPr>
          <w:color w:val="000000"/>
          <w:szCs w:val="24"/>
        </w:rPr>
        <w:t>post-market monitoring</w:t>
      </w:r>
      <w:r w:rsidR="005D14E1">
        <w:rPr>
          <w:color w:val="000000"/>
          <w:szCs w:val="24"/>
        </w:rPr>
        <w:t xml:space="preserve"> of</w:t>
      </w:r>
      <w:r>
        <w:rPr>
          <w:color w:val="000000"/>
          <w:szCs w:val="24"/>
        </w:rPr>
        <w:t xml:space="preserve"> those types of medicines.  </w:t>
      </w:r>
    </w:p>
    <w:p w:rsidR="00BC68D2" w:rsidRDefault="00BC68D2" w:rsidP="00600CB8">
      <w:pPr>
        <w:rPr>
          <w:color w:val="000000"/>
          <w:szCs w:val="24"/>
        </w:rPr>
      </w:pPr>
    </w:p>
    <w:p w:rsidR="00680A6E" w:rsidRDefault="00802B83" w:rsidP="00600CB8">
      <w:pPr>
        <w:rPr>
          <w:color w:val="000000"/>
          <w:szCs w:val="24"/>
        </w:rPr>
      </w:pPr>
      <w:r>
        <w:rPr>
          <w:color w:val="000000"/>
          <w:szCs w:val="24"/>
        </w:rPr>
        <w:t xml:space="preserve">All </w:t>
      </w:r>
      <w:r w:rsidR="009C3E35">
        <w:rPr>
          <w:color w:val="000000"/>
          <w:szCs w:val="24"/>
        </w:rPr>
        <w:t>prescription</w:t>
      </w:r>
      <w:r w:rsidR="00B56BA6">
        <w:rPr>
          <w:color w:val="000000"/>
          <w:szCs w:val="24"/>
        </w:rPr>
        <w:t xml:space="preserve"> </w:t>
      </w:r>
      <w:r w:rsidR="00051CE8">
        <w:rPr>
          <w:color w:val="000000"/>
          <w:szCs w:val="24"/>
        </w:rPr>
        <w:t xml:space="preserve">chemical </w:t>
      </w:r>
      <w:r>
        <w:rPr>
          <w:color w:val="000000"/>
          <w:szCs w:val="24"/>
        </w:rPr>
        <w:t xml:space="preserve">medicines that contain </w:t>
      </w:r>
      <w:r w:rsidR="00B56BA6">
        <w:rPr>
          <w:color w:val="000000"/>
          <w:szCs w:val="24"/>
        </w:rPr>
        <w:t>specified active ingredients that require partic</w:t>
      </w:r>
      <w:r w:rsidR="0048522A">
        <w:rPr>
          <w:color w:val="000000"/>
          <w:szCs w:val="24"/>
        </w:rPr>
        <w:t xml:space="preserve">ular post-market monitoring </w:t>
      </w:r>
      <w:r w:rsidR="005D14E1">
        <w:rPr>
          <w:color w:val="000000"/>
          <w:szCs w:val="24"/>
        </w:rPr>
        <w:t xml:space="preserve">(e.g. thalidomide) </w:t>
      </w:r>
      <w:r w:rsidR="00411B5D">
        <w:rPr>
          <w:color w:val="000000"/>
          <w:szCs w:val="24"/>
        </w:rPr>
        <w:t>will</w:t>
      </w:r>
      <w:r w:rsidR="00B56BA6">
        <w:rPr>
          <w:color w:val="000000"/>
          <w:szCs w:val="24"/>
        </w:rPr>
        <w:t xml:space="preserve"> be charged a higher amount for so long as the medicine remains on the Register.  </w:t>
      </w:r>
      <w:r w:rsidR="00B50EB2">
        <w:rPr>
          <w:color w:val="000000"/>
          <w:szCs w:val="24"/>
        </w:rPr>
        <w:t>The amount of the annual charge</w:t>
      </w:r>
      <w:r w:rsidR="00BC68D2">
        <w:rPr>
          <w:color w:val="000000"/>
          <w:szCs w:val="24"/>
        </w:rPr>
        <w:t xml:space="preserve"> applicable</w:t>
      </w:r>
      <w:r w:rsidR="00B50EB2">
        <w:rPr>
          <w:color w:val="000000"/>
          <w:szCs w:val="24"/>
        </w:rPr>
        <w:t xml:space="preserve"> </w:t>
      </w:r>
      <w:r w:rsidR="00B50EB2">
        <w:rPr>
          <w:color w:val="000000"/>
          <w:szCs w:val="24"/>
        </w:rPr>
        <w:lastRenderedPageBreak/>
        <w:t>for p</w:t>
      </w:r>
      <w:r w:rsidR="00B56BA6">
        <w:rPr>
          <w:color w:val="000000"/>
          <w:szCs w:val="24"/>
        </w:rPr>
        <w:t>rescription chemical medicines that are registered as generic medicines</w:t>
      </w:r>
      <w:r w:rsidR="0048522A">
        <w:rPr>
          <w:color w:val="000000"/>
          <w:szCs w:val="24"/>
        </w:rPr>
        <w:t>,</w:t>
      </w:r>
      <w:r w:rsidR="00B56BA6">
        <w:rPr>
          <w:color w:val="000000"/>
          <w:szCs w:val="24"/>
        </w:rPr>
        <w:t xml:space="preserve"> </w:t>
      </w:r>
      <w:r w:rsidR="00642FD4">
        <w:rPr>
          <w:color w:val="000000"/>
          <w:szCs w:val="24"/>
        </w:rPr>
        <w:t xml:space="preserve">and </w:t>
      </w:r>
      <w:r w:rsidR="00B50EB2">
        <w:rPr>
          <w:color w:val="000000"/>
          <w:szCs w:val="24"/>
        </w:rPr>
        <w:t xml:space="preserve">on </w:t>
      </w:r>
      <w:r w:rsidR="00642FD4">
        <w:rPr>
          <w:color w:val="000000"/>
          <w:szCs w:val="24"/>
        </w:rPr>
        <w:t>all other chemical prescription medicines</w:t>
      </w:r>
      <w:r w:rsidR="0048522A">
        <w:rPr>
          <w:color w:val="000000"/>
          <w:szCs w:val="24"/>
        </w:rPr>
        <w:t>,</w:t>
      </w:r>
      <w:r w:rsidR="00642FD4">
        <w:rPr>
          <w:color w:val="000000"/>
          <w:szCs w:val="24"/>
        </w:rPr>
        <w:t xml:space="preserve"> </w:t>
      </w:r>
      <w:r w:rsidR="00411B5D">
        <w:rPr>
          <w:color w:val="000000"/>
          <w:szCs w:val="24"/>
        </w:rPr>
        <w:t>will</w:t>
      </w:r>
      <w:r w:rsidR="00B56BA6">
        <w:rPr>
          <w:color w:val="000000"/>
          <w:szCs w:val="24"/>
        </w:rPr>
        <w:t xml:space="preserve"> </w:t>
      </w:r>
      <w:r w:rsidR="00B50EB2">
        <w:rPr>
          <w:color w:val="000000"/>
          <w:szCs w:val="24"/>
        </w:rPr>
        <w:t xml:space="preserve">be the </w:t>
      </w:r>
      <w:r w:rsidR="00B56BA6">
        <w:rPr>
          <w:color w:val="000000"/>
          <w:szCs w:val="24"/>
        </w:rPr>
        <w:t xml:space="preserve">lower amount. </w:t>
      </w:r>
    </w:p>
    <w:p w:rsidR="00B50EB2" w:rsidRDefault="00B50EB2" w:rsidP="00600CB8">
      <w:pPr>
        <w:rPr>
          <w:color w:val="000000"/>
          <w:szCs w:val="24"/>
        </w:rPr>
      </w:pPr>
    </w:p>
    <w:p w:rsidR="00B50EB2" w:rsidRDefault="00B50EB2" w:rsidP="00600CB8">
      <w:pPr>
        <w:rPr>
          <w:color w:val="000000"/>
          <w:szCs w:val="24"/>
        </w:rPr>
      </w:pPr>
      <w:r>
        <w:rPr>
          <w:color w:val="000000"/>
          <w:szCs w:val="24"/>
        </w:rPr>
        <w:t>The higher amount</w:t>
      </w:r>
      <w:r w:rsidR="00061854">
        <w:rPr>
          <w:color w:val="000000"/>
          <w:szCs w:val="24"/>
        </w:rPr>
        <w:t xml:space="preserve"> for </w:t>
      </w:r>
      <w:r w:rsidR="00BC68D2">
        <w:rPr>
          <w:color w:val="000000"/>
          <w:szCs w:val="24"/>
        </w:rPr>
        <w:t xml:space="preserve">the </w:t>
      </w:r>
      <w:r w:rsidR="00411B5D">
        <w:rPr>
          <w:color w:val="000000"/>
          <w:szCs w:val="24"/>
        </w:rPr>
        <w:t>financial year 2015-16 will</w:t>
      </w:r>
      <w:r>
        <w:rPr>
          <w:color w:val="000000"/>
          <w:szCs w:val="24"/>
        </w:rPr>
        <w:t xml:space="preserve"> be the annual charge for prescription chemical medicines for the 2</w:t>
      </w:r>
      <w:r w:rsidR="0048522A">
        <w:rPr>
          <w:color w:val="000000"/>
          <w:szCs w:val="24"/>
        </w:rPr>
        <w:t>014-15 financial year plus 2.12 per cent, minus 5 per cent</w:t>
      </w:r>
      <w:r>
        <w:rPr>
          <w:color w:val="000000"/>
          <w:szCs w:val="24"/>
        </w:rPr>
        <w:t>.  The lower amount</w:t>
      </w:r>
      <w:r w:rsidR="0048522A">
        <w:rPr>
          <w:color w:val="000000"/>
          <w:szCs w:val="24"/>
        </w:rPr>
        <w:t xml:space="preserve"> </w:t>
      </w:r>
      <w:r w:rsidR="00411B5D">
        <w:rPr>
          <w:color w:val="000000"/>
          <w:szCs w:val="24"/>
        </w:rPr>
        <w:t>for financial year 2015-16 will</w:t>
      </w:r>
      <w:r>
        <w:rPr>
          <w:color w:val="000000"/>
          <w:szCs w:val="24"/>
        </w:rPr>
        <w:t xml:space="preserve"> be the annual charge for prescription medicines for the 2</w:t>
      </w:r>
      <w:r w:rsidR="0048522A">
        <w:rPr>
          <w:color w:val="000000"/>
          <w:szCs w:val="24"/>
        </w:rPr>
        <w:t>014-15 financial year plus 2.12 per cent,</w:t>
      </w:r>
      <w:r>
        <w:rPr>
          <w:color w:val="000000"/>
          <w:szCs w:val="24"/>
        </w:rPr>
        <w:t xml:space="preserve"> minus </w:t>
      </w:r>
      <w:r w:rsidR="0048522A">
        <w:rPr>
          <w:color w:val="000000"/>
          <w:szCs w:val="24"/>
        </w:rPr>
        <w:t>23 per cent</w:t>
      </w:r>
      <w:r>
        <w:rPr>
          <w:color w:val="000000"/>
          <w:szCs w:val="24"/>
        </w:rPr>
        <w:t>.</w:t>
      </w:r>
    </w:p>
    <w:p w:rsidR="00B56BA6" w:rsidRDefault="00B56BA6" w:rsidP="00600CB8">
      <w:pPr>
        <w:rPr>
          <w:color w:val="000000"/>
          <w:szCs w:val="24"/>
        </w:rPr>
      </w:pPr>
    </w:p>
    <w:bookmarkEnd w:id="1"/>
    <w:p w:rsidR="002E568B" w:rsidRPr="003856A4" w:rsidRDefault="00B56BA6" w:rsidP="003856A4">
      <w:pPr>
        <w:rPr>
          <w:szCs w:val="24"/>
        </w:rPr>
      </w:pPr>
      <w:r>
        <w:rPr>
          <w:szCs w:val="24"/>
        </w:rPr>
        <w:t>D</w:t>
      </w:r>
      <w:r w:rsidR="00411B5D">
        <w:rPr>
          <w:szCs w:val="24"/>
        </w:rPr>
        <w:t xml:space="preserve">etails of the </w:t>
      </w:r>
      <w:r w:rsidR="0048522A">
        <w:rPr>
          <w:szCs w:val="24"/>
        </w:rPr>
        <w:t>R</w:t>
      </w:r>
      <w:r w:rsidR="002E568B" w:rsidRPr="003856A4">
        <w:rPr>
          <w:szCs w:val="24"/>
        </w:rPr>
        <w:t xml:space="preserve">egulation are set out in the </w:t>
      </w:r>
      <w:r w:rsidR="002E568B" w:rsidRPr="003856A4">
        <w:rPr>
          <w:szCs w:val="24"/>
          <w:u w:val="single"/>
        </w:rPr>
        <w:t>Attachment</w:t>
      </w:r>
      <w:r w:rsidR="002E568B" w:rsidRPr="003856A4">
        <w:rPr>
          <w:szCs w:val="24"/>
        </w:rPr>
        <w:t>.</w:t>
      </w:r>
    </w:p>
    <w:p w:rsidR="002E568B" w:rsidRPr="002747DD" w:rsidRDefault="002E568B" w:rsidP="003856A4">
      <w:pPr>
        <w:rPr>
          <w:szCs w:val="24"/>
        </w:rPr>
      </w:pPr>
    </w:p>
    <w:p w:rsidR="002E568B" w:rsidRPr="003856A4" w:rsidRDefault="00646264" w:rsidP="003856A4">
      <w:pPr>
        <w:rPr>
          <w:szCs w:val="24"/>
        </w:rPr>
      </w:pPr>
      <w:r>
        <w:rPr>
          <w:szCs w:val="24"/>
        </w:rPr>
        <w:t xml:space="preserve">The </w:t>
      </w:r>
      <w:r w:rsidR="00EF1F76">
        <w:rPr>
          <w:szCs w:val="24"/>
        </w:rPr>
        <w:t xml:space="preserve">Charges Act </w:t>
      </w:r>
      <w:r>
        <w:rPr>
          <w:szCs w:val="24"/>
        </w:rPr>
        <w:t xml:space="preserve">does not </w:t>
      </w:r>
      <w:r w:rsidR="00EF1F76">
        <w:rPr>
          <w:szCs w:val="24"/>
        </w:rPr>
        <w:t xml:space="preserve">specify </w:t>
      </w:r>
      <w:r w:rsidR="002E568B" w:rsidRPr="003856A4">
        <w:rPr>
          <w:szCs w:val="24"/>
        </w:rPr>
        <w:t>conditions that would need to be met before the power</w:t>
      </w:r>
      <w:r w:rsidR="00EF1F76">
        <w:rPr>
          <w:szCs w:val="24"/>
        </w:rPr>
        <w:t>s</w:t>
      </w:r>
      <w:r w:rsidR="002E568B" w:rsidRPr="003856A4">
        <w:rPr>
          <w:szCs w:val="24"/>
        </w:rPr>
        <w:t xml:space="preserve"> </w:t>
      </w:r>
      <w:r w:rsidR="00BA167E">
        <w:rPr>
          <w:szCs w:val="24"/>
        </w:rPr>
        <w:t xml:space="preserve">under </w:t>
      </w:r>
      <w:r>
        <w:rPr>
          <w:szCs w:val="24"/>
        </w:rPr>
        <w:t xml:space="preserve">the </w:t>
      </w:r>
      <w:r w:rsidR="00BA167E">
        <w:rPr>
          <w:szCs w:val="24"/>
        </w:rPr>
        <w:t xml:space="preserve">Act </w:t>
      </w:r>
      <w:r w:rsidR="002E568B" w:rsidRPr="003856A4">
        <w:rPr>
          <w:szCs w:val="24"/>
        </w:rPr>
        <w:t xml:space="preserve">to make </w:t>
      </w:r>
      <w:r w:rsidR="00BA167E">
        <w:rPr>
          <w:szCs w:val="24"/>
        </w:rPr>
        <w:t xml:space="preserve">the </w:t>
      </w:r>
      <w:r w:rsidR="0048522A">
        <w:rPr>
          <w:szCs w:val="24"/>
        </w:rPr>
        <w:t>R</w:t>
      </w:r>
      <w:r w:rsidR="002E568B" w:rsidRPr="003856A4">
        <w:rPr>
          <w:szCs w:val="24"/>
        </w:rPr>
        <w:t>egulation may be exercised.</w:t>
      </w:r>
    </w:p>
    <w:p w:rsidR="002E568B" w:rsidRPr="003856A4" w:rsidRDefault="002E568B" w:rsidP="003856A4">
      <w:pPr>
        <w:rPr>
          <w:szCs w:val="24"/>
        </w:rPr>
      </w:pPr>
    </w:p>
    <w:p w:rsidR="002E568B" w:rsidRPr="003856A4" w:rsidRDefault="00411B5D" w:rsidP="003856A4">
      <w:pPr>
        <w:rPr>
          <w:szCs w:val="24"/>
        </w:rPr>
      </w:pPr>
      <w:r>
        <w:rPr>
          <w:szCs w:val="24"/>
        </w:rPr>
        <w:t xml:space="preserve">The </w:t>
      </w:r>
      <w:r w:rsidR="0048522A">
        <w:rPr>
          <w:szCs w:val="24"/>
        </w:rPr>
        <w:t>R</w:t>
      </w:r>
      <w:r w:rsidR="002E568B" w:rsidRPr="003856A4">
        <w:rPr>
          <w:szCs w:val="24"/>
        </w:rPr>
        <w:t xml:space="preserve">egulation would be a legislative instrument for the purposes of the </w:t>
      </w:r>
      <w:r w:rsidR="002E568B" w:rsidRPr="003856A4">
        <w:rPr>
          <w:i/>
          <w:szCs w:val="24"/>
        </w:rPr>
        <w:t>Legislative Instruments Act 2003</w:t>
      </w:r>
      <w:r w:rsidR="002E568B" w:rsidRPr="003856A4">
        <w:rPr>
          <w:szCs w:val="24"/>
        </w:rPr>
        <w:t>.</w:t>
      </w:r>
    </w:p>
    <w:p w:rsidR="002E568B" w:rsidRPr="003856A4" w:rsidRDefault="002E568B" w:rsidP="003856A4">
      <w:pPr>
        <w:rPr>
          <w:szCs w:val="24"/>
        </w:rPr>
      </w:pPr>
    </w:p>
    <w:p w:rsidR="002E568B" w:rsidRPr="003856A4" w:rsidRDefault="00411B5D" w:rsidP="003856A4">
      <w:pPr>
        <w:rPr>
          <w:szCs w:val="24"/>
        </w:rPr>
      </w:pPr>
      <w:r>
        <w:rPr>
          <w:szCs w:val="24"/>
        </w:rPr>
        <w:t xml:space="preserve">The </w:t>
      </w:r>
      <w:r w:rsidR="0048522A">
        <w:rPr>
          <w:szCs w:val="24"/>
        </w:rPr>
        <w:t>R</w:t>
      </w:r>
      <w:r>
        <w:rPr>
          <w:szCs w:val="24"/>
        </w:rPr>
        <w:t xml:space="preserve">egulation </w:t>
      </w:r>
      <w:r w:rsidR="002E568B" w:rsidRPr="003856A4">
        <w:rPr>
          <w:szCs w:val="24"/>
        </w:rPr>
        <w:t>commence</w:t>
      </w:r>
      <w:r>
        <w:rPr>
          <w:szCs w:val="24"/>
        </w:rPr>
        <w:t>s</w:t>
      </w:r>
      <w:r w:rsidR="002E568B" w:rsidRPr="003856A4">
        <w:rPr>
          <w:szCs w:val="24"/>
        </w:rPr>
        <w:t xml:space="preserve"> on 1 July 201</w:t>
      </w:r>
      <w:r w:rsidR="00646264">
        <w:rPr>
          <w:szCs w:val="24"/>
        </w:rPr>
        <w:t>5</w:t>
      </w:r>
      <w:r w:rsidR="002E568B" w:rsidRPr="003856A4">
        <w:rPr>
          <w:szCs w:val="24"/>
        </w:rPr>
        <w:t>.</w:t>
      </w:r>
    </w:p>
    <w:p w:rsidR="002E568B" w:rsidRPr="003856A4" w:rsidRDefault="002E568B" w:rsidP="003856A4">
      <w:pPr>
        <w:rPr>
          <w:szCs w:val="24"/>
        </w:rPr>
      </w:pPr>
    </w:p>
    <w:p w:rsidR="002E568B" w:rsidRPr="00E224B3" w:rsidRDefault="00E224B3" w:rsidP="003856A4">
      <w:pPr>
        <w:rPr>
          <w:b/>
          <w:szCs w:val="24"/>
        </w:rPr>
      </w:pPr>
      <w:r w:rsidRPr="00E224B3">
        <w:rPr>
          <w:b/>
          <w:szCs w:val="24"/>
        </w:rPr>
        <w:t>Consultation</w:t>
      </w:r>
    </w:p>
    <w:p w:rsidR="00E224B3" w:rsidRDefault="00E224B3" w:rsidP="003856A4">
      <w:pPr>
        <w:rPr>
          <w:szCs w:val="24"/>
        </w:rPr>
      </w:pPr>
    </w:p>
    <w:p w:rsidR="00E224B3" w:rsidRPr="00FE4F9C" w:rsidRDefault="00E224B3" w:rsidP="00E224B3">
      <w:pPr>
        <w:tabs>
          <w:tab w:val="num" w:pos="426"/>
        </w:tabs>
        <w:rPr>
          <w:color w:val="008080"/>
          <w:szCs w:val="24"/>
        </w:rPr>
      </w:pPr>
      <w:r w:rsidRPr="00FE4F9C">
        <w:rPr>
          <w:szCs w:val="24"/>
        </w:rPr>
        <w:t xml:space="preserve">The TGA was asked during meetings with peak industry bodies in October and November 2014 to review the levels of annual charges for generic prescription medicines, particularly in light of evidence that such products </w:t>
      </w:r>
      <w:r>
        <w:rPr>
          <w:szCs w:val="24"/>
        </w:rPr>
        <w:t xml:space="preserve">may </w:t>
      </w:r>
      <w:r w:rsidRPr="00FE4F9C">
        <w:rPr>
          <w:szCs w:val="24"/>
        </w:rPr>
        <w:t xml:space="preserve">require less pharmacovigilance compared with innovator medicines that are often newer to the market. </w:t>
      </w:r>
      <w:r w:rsidR="00FF66C6">
        <w:rPr>
          <w:szCs w:val="24"/>
        </w:rPr>
        <w:t xml:space="preserve"> </w:t>
      </w:r>
      <w:r w:rsidRPr="00FE4F9C">
        <w:rPr>
          <w:szCs w:val="24"/>
        </w:rPr>
        <w:t>A proposal for a 2 tiered annual charge, with higher and lower amounts for chemical prescription medicines, was discussed with peak bodies at bilateral meetings in early March 2015, followed by a targeted information session with some sponsors in late March</w:t>
      </w:r>
      <w:r>
        <w:rPr>
          <w:szCs w:val="24"/>
        </w:rPr>
        <w:t xml:space="preserve">. </w:t>
      </w:r>
      <w:r w:rsidR="00FF66C6">
        <w:rPr>
          <w:szCs w:val="24"/>
        </w:rPr>
        <w:t xml:space="preserve"> </w:t>
      </w:r>
      <w:r>
        <w:rPr>
          <w:szCs w:val="24"/>
        </w:rPr>
        <w:t>F</w:t>
      </w:r>
      <w:r w:rsidRPr="00FE4F9C">
        <w:rPr>
          <w:szCs w:val="24"/>
        </w:rPr>
        <w:t xml:space="preserve">urther discussions </w:t>
      </w:r>
      <w:r>
        <w:rPr>
          <w:szCs w:val="24"/>
        </w:rPr>
        <w:t xml:space="preserve">were held </w:t>
      </w:r>
      <w:r w:rsidRPr="00FE4F9C">
        <w:rPr>
          <w:szCs w:val="24"/>
        </w:rPr>
        <w:t>with Medicines Australia and the Generic Medicines Industry Association</w:t>
      </w:r>
      <w:r>
        <w:rPr>
          <w:szCs w:val="24"/>
        </w:rPr>
        <w:t xml:space="preserve"> on the detail of the 2 tier annual charge proposal</w:t>
      </w:r>
      <w:r w:rsidRPr="00FE4F9C">
        <w:rPr>
          <w:szCs w:val="24"/>
        </w:rPr>
        <w:t xml:space="preserve"> in April</w:t>
      </w:r>
      <w:r>
        <w:rPr>
          <w:szCs w:val="24"/>
        </w:rPr>
        <w:t xml:space="preserve"> 2015</w:t>
      </w:r>
      <w:r w:rsidRPr="00FE4F9C">
        <w:rPr>
          <w:szCs w:val="24"/>
        </w:rPr>
        <w:t xml:space="preserve">. Industry is generally </w:t>
      </w:r>
      <w:r>
        <w:rPr>
          <w:szCs w:val="24"/>
        </w:rPr>
        <w:t xml:space="preserve">supportive of the new </w:t>
      </w:r>
      <w:r w:rsidRPr="00FE4F9C">
        <w:rPr>
          <w:szCs w:val="24"/>
        </w:rPr>
        <w:t xml:space="preserve">arrangements. </w:t>
      </w:r>
    </w:p>
    <w:p w:rsidR="00DA77D1" w:rsidRDefault="00DA77D1" w:rsidP="00E224B3">
      <w:pPr>
        <w:rPr>
          <w:szCs w:val="24"/>
        </w:rPr>
      </w:pPr>
    </w:p>
    <w:p w:rsidR="00E224B3" w:rsidRPr="00FE4F9C" w:rsidRDefault="00E224B3" w:rsidP="00E224B3">
      <w:pPr>
        <w:rPr>
          <w:szCs w:val="24"/>
        </w:rPr>
      </w:pPr>
      <w:r w:rsidRPr="00FE4F9C">
        <w:rPr>
          <w:szCs w:val="24"/>
        </w:rPr>
        <w:t xml:space="preserve">Consultation on proposals to increase fees and charges was also undertaken with peak bodies at bilaterals in early March 2015. </w:t>
      </w:r>
      <w:r w:rsidR="00FF66C6">
        <w:rPr>
          <w:szCs w:val="24"/>
        </w:rPr>
        <w:t xml:space="preserve"> </w:t>
      </w:r>
      <w:r w:rsidRPr="00FE4F9C">
        <w:rPr>
          <w:szCs w:val="24"/>
        </w:rPr>
        <w:t xml:space="preserve">Some attendees raised concerns about the TGA’s capacity to absorb cost increases with a lower-than-CPI increase - overall, however, the lower increase was welcomed. </w:t>
      </w:r>
      <w:r w:rsidR="00FF66C6">
        <w:rPr>
          <w:szCs w:val="24"/>
        </w:rPr>
        <w:t xml:space="preserve"> </w:t>
      </w:r>
      <w:r w:rsidRPr="00FE4F9C">
        <w:rPr>
          <w:szCs w:val="24"/>
        </w:rPr>
        <w:t>Following bilaterals, the TGA wrote to industry bodies with the final proposed rate of 2.12 per cent.</w:t>
      </w:r>
    </w:p>
    <w:p w:rsidR="00E224B3" w:rsidRDefault="00E224B3" w:rsidP="003856A4">
      <w:pPr>
        <w:rPr>
          <w:szCs w:val="24"/>
        </w:rPr>
      </w:pPr>
    </w:p>
    <w:p w:rsidR="00E224B3" w:rsidRPr="003856A4" w:rsidRDefault="00E224B3" w:rsidP="003856A4">
      <w:pPr>
        <w:rPr>
          <w:szCs w:val="24"/>
        </w:rPr>
      </w:pPr>
    </w:p>
    <w:p w:rsidR="002E568B" w:rsidRPr="003856A4" w:rsidRDefault="002E568B" w:rsidP="00646264">
      <w:pPr>
        <w:ind w:left="5670" w:hanging="1134"/>
        <w:rPr>
          <w:szCs w:val="24"/>
        </w:rPr>
      </w:pPr>
      <w:r w:rsidRPr="003856A4">
        <w:rPr>
          <w:szCs w:val="24"/>
          <w:u w:val="single"/>
        </w:rPr>
        <w:t>Authority:</w:t>
      </w:r>
      <w:r w:rsidRPr="003856A4">
        <w:rPr>
          <w:szCs w:val="24"/>
        </w:rPr>
        <w:t xml:space="preserve"> </w:t>
      </w:r>
      <w:r w:rsidRPr="003856A4">
        <w:rPr>
          <w:szCs w:val="24"/>
        </w:rPr>
        <w:tab/>
        <w:t xml:space="preserve">Subsection 5(1) of the </w:t>
      </w:r>
    </w:p>
    <w:p w:rsidR="002E568B" w:rsidRPr="00BA167E" w:rsidRDefault="002E568B" w:rsidP="003856A4">
      <w:pPr>
        <w:ind w:left="5670"/>
        <w:rPr>
          <w:szCs w:val="24"/>
        </w:rPr>
      </w:pPr>
      <w:r w:rsidRPr="003856A4">
        <w:rPr>
          <w:i/>
          <w:szCs w:val="24"/>
        </w:rPr>
        <w:t>Therapeutic Goods (Charges) Act 1989</w:t>
      </w:r>
      <w:r w:rsidR="00BA167E">
        <w:rPr>
          <w:szCs w:val="24"/>
        </w:rPr>
        <w:t>.</w:t>
      </w:r>
    </w:p>
    <w:p w:rsidR="002E568B" w:rsidRPr="00AC42A1" w:rsidRDefault="002E568B" w:rsidP="00E93A0F">
      <w:pPr>
        <w:ind w:left="6237" w:firstLine="3"/>
        <w:jc w:val="right"/>
        <w:rPr>
          <w:b/>
          <w:szCs w:val="24"/>
          <w:u w:val="single"/>
        </w:rPr>
      </w:pPr>
      <w:r w:rsidRPr="003856A4">
        <w:rPr>
          <w:color w:val="FF0000"/>
          <w:szCs w:val="24"/>
          <w:u w:val="single"/>
        </w:rPr>
        <w:br w:type="page"/>
      </w:r>
      <w:r w:rsidRPr="00AC42A1">
        <w:rPr>
          <w:b/>
          <w:szCs w:val="24"/>
          <w:u w:val="single"/>
        </w:rPr>
        <w:lastRenderedPageBreak/>
        <w:t>ATTACHMENT</w:t>
      </w:r>
    </w:p>
    <w:p w:rsidR="002E568B" w:rsidRPr="00684780" w:rsidRDefault="002E568B" w:rsidP="003856A4">
      <w:pPr>
        <w:ind w:firstLine="3"/>
        <w:rPr>
          <w:b/>
          <w:szCs w:val="24"/>
        </w:rPr>
      </w:pPr>
    </w:p>
    <w:p w:rsidR="002E568B" w:rsidRPr="00B34411" w:rsidRDefault="004B722E" w:rsidP="003856A4">
      <w:pPr>
        <w:ind w:firstLine="3"/>
        <w:rPr>
          <w:b/>
          <w:caps/>
          <w:szCs w:val="24"/>
          <w:u w:val="single"/>
        </w:rPr>
      </w:pPr>
      <w:r>
        <w:rPr>
          <w:b/>
          <w:szCs w:val="24"/>
          <w:u w:val="single"/>
        </w:rPr>
        <w:t xml:space="preserve">Details of the </w:t>
      </w:r>
      <w:r w:rsidR="002E568B" w:rsidRPr="00B34411">
        <w:rPr>
          <w:b/>
          <w:i/>
          <w:szCs w:val="24"/>
          <w:u w:val="single"/>
        </w:rPr>
        <w:t>Therapeutic Goods (Ch</w:t>
      </w:r>
      <w:r w:rsidR="00BA167E" w:rsidRPr="00B34411">
        <w:rPr>
          <w:b/>
          <w:i/>
          <w:szCs w:val="24"/>
          <w:u w:val="single"/>
        </w:rPr>
        <w:t xml:space="preserve">arges) Amendment </w:t>
      </w:r>
      <w:r w:rsidR="00802B83" w:rsidRPr="00B34411">
        <w:rPr>
          <w:b/>
          <w:i/>
          <w:szCs w:val="24"/>
          <w:u w:val="single"/>
        </w:rPr>
        <w:t xml:space="preserve">(2015 Measures No. 1) </w:t>
      </w:r>
      <w:r w:rsidR="00BA167E" w:rsidRPr="00B34411">
        <w:rPr>
          <w:b/>
          <w:i/>
          <w:szCs w:val="24"/>
          <w:u w:val="single"/>
        </w:rPr>
        <w:t>Regulation 201</w:t>
      </w:r>
      <w:r w:rsidR="00646264" w:rsidRPr="00B34411">
        <w:rPr>
          <w:b/>
          <w:i/>
          <w:szCs w:val="24"/>
          <w:u w:val="single"/>
        </w:rPr>
        <w:t>5</w:t>
      </w:r>
      <w:r w:rsidR="00BA167E" w:rsidRPr="00B34411">
        <w:rPr>
          <w:szCs w:val="24"/>
          <w:u w:val="single"/>
        </w:rPr>
        <w:t xml:space="preserve"> </w:t>
      </w:r>
    </w:p>
    <w:p w:rsidR="002E568B" w:rsidRPr="00684780" w:rsidRDefault="002E568B" w:rsidP="003856A4">
      <w:pPr>
        <w:ind w:firstLine="3"/>
        <w:rPr>
          <w:b/>
          <w:szCs w:val="24"/>
          <w:highlight w:val="yellow"/>
        </w:rPr>
      </w:pPr>
    </w:p>
    <w:p w:rsidR="002E568B" w:rsidRPr="00684780" w:rsidRDefault="002E568B" w:rsidP="003856A4">
      <w:pPr>
        <w:ind w:firstLine="3"/>
        <w:rPr>
          <w:szCs w:val="24"/>
        </w:rPr>
      </w:pPr>
      <w:r>
        <w:rPr>
          <w:szCs w:val="24"/>
          <w:u w:val="single"/>
        </w:rPr>
        <w:t>Sec</w:t>
      </w:r>
      <w:r w:rsidRPr="00684780">
        <w:rPr>
          <w:szCs w:val="24"/>
          <w:u w:val="single"/>
        </w:rPr>
        <w:t xml:space="preserve">tion 1 – Name of </w:t>
      </w:r>
      <w:r w:rsidR="00B34411">
        <w:rPr>
          <w:szCs w:val="24"/>
          <w:u w:val="single"/>
        </w:rPr>
        <w:t>R</w:t>
      </w:r>
      <w:r w:rsidRPr="00684780">
        <w:rPr>
          <w:szCs w:val="24"/>
          <w:u w:val="single"/>
        </w:rPr>
        <w:t>egulation</w:t>
      </w:r>
    </w:p>
    <w:p w:rsidR="002E568B" w:rsidRPr="00684780" w:rsidRDefault="002E568B" w:rsidP="003856A4">
      <w:pPr>
        <w:ind w:firstLine="3"/>
        <w:rPr>
          <w:szCs w:val="24"/>
        </w:rPr>
      </w:pPr>
      <w:r w:rsidRPr="00684780">
        <w:rPr>
          <w:szCs w:val="24"/>
        </w:rPr>
        <w:t xml:space="preserve">This </w:t>
      </w:r>
      <w:r w:rsidR="00BA167E">
        <w:rPr>
          <w:szCs w:val="24"/>
        </w:rPr>
        <w:t>section</w:t>
      </w:r>
      <w:r w:rsidR="004B722E">
        <w:rPr>
          <w:szCs w:val="24"/>
        </w:rPr>
        <w:t xml:space="preserve"> </w:t>
      </w:r>
      <w:r w:rsidR="00B34411">
        <w:rPr>
          <w:szCs w:val="24"/>
        </w:rPr>
        <w:t>provide</w:t>
      </w:r>
      <w:r w:rsidR="004B722E">
        <w:rPr>
          <w:szCs w:val="24"/>
        </w:rPr>
        <w:t>s</w:t>
      </w:r>
      <w:r w:rsidR="00B34411">
        <w:rPr>
          <w:szCs w:val="24"/>
        </w:rPr>
        <w:t xml:space="preserve"> that the title of the</w:t>
      </w:r>
      <w:r w:rsidRPr="00684780">
        <w:rPr>
          <w:szCs w:val="24"/>
        </w:rPr>
        <w:t xml:space="preserve"> </w:t>
      </w:r>
      <w:r w:rsidR="00B34411">
        <w:rPr>
          <w:szCs w:val="24"/>
        </w:rPr>
        <w:t>Regulation is</w:t>
      </w:r>
      <w:r w:rsidRPr="00684780">
        <w:rPr>
          <w:szCs w:val="24"/>
        </w:rPr>
        <w:t xml:space="preserve"> the </w:t>
      </w:r>
      <w:r w:rsidRPr="00684780">
        <w:rPr>
          <w:i/>
          <w:szCs w:val="24"/>
        </w:rPr>
        <w:t>Therapeutic Goods</w:t>
      </w:r>
      <w:r w:rsidR="00B34411">
        <w:rPr>
          <w:i/>
          <w:szCs w:val="24"/>
        </w:rPr>
        <w:t xml:space="preserve"> </w:t>
      </w:r>
      <w:r w:rsidRPr="00684780">
        <w:rPr>
          <w:i/>
          <w:szCs w:val="24"/>
        </w:rPr>
        <w:t xml:space="preserve">(Charges) Amendment </w:t>
      </w:r>
      <w:r w:rsidR="00802B83">
        <w:rPr>
          <w:i/>
          <w:szCs w:val="24"/>
        </w:rPr>
        <w:t xml:space="preserve">(2015 Measures No. 1) </w:t>
      </w:r>
      <w:r w:rsidR="00B34411">
        <w:rPr>
          <w:i/>
          <w:szCs w:val="24"/>
        </w:rPr>
        <w:t>Regulation 2015</w:t>
      </w:r>
      <w:r w:rsidR="00802B83">
        <w:rPr>
          <w:i/>
          <w:szCs w:val="24"/>
        </w:rPr>
        <w:t xml:space="preserve">. </w:t>
      </w:r>
    </w:p>
    <w:p w:rsidR="002E568B" w:rsidRPr="00154185" w:rsidRDefault="002E568B" w:rsidP="003856A4">
      <w:pPr>
        <w:ind w:firstLine="3"/>
        <w:rPr>
          <w:szCs w:val="24"/>
        </w:rPr>
      </w:pPr>
    </w:p>
    <w:p w:rsidR="002E568B" w:rsidRPr="00684780" w:rsidRDefault="002E568B" w:rsidP="003856A4">
      <w:pPr>
        <w:ind w:firstLine="3"/>
        <w:rPr>
          <w:b/>
          <w:szCs w:val="24"/>
        </w:rPr>
      </w:pPr>
      <w:r>
        <w:rPr>
          <w:szCs w:val="24"/>
          <w:u w:val="single"/>
        </w:rPr>
        <w:t>Sec</w:t>
      </w:r>
      <w:r w:rsidRPr="00684780">
        <w:rPr>
          <w:szCs w:val="24"/>
          <w:u w:val="single"/>
        </w:rPr>
        <w:t>tion 2</w:t>
      </w:r>
      <w:r>
        <w:rPr>
          <w:szCs w:val="24"/>
          <w:u w:val="single"/>
        </w:rPr>
        <w:t xml:space="preserve"> – Co</w:t>
      </w:r>
      <w:r w:rsidRPr="00684780">
        <w:rPr>
          <w:szCs w:val="24"/>
          <w:u w:val="single"/>
        </w:rPr>
        <w:t>mmencement</w:t>
      </w:r>
    </w:p>
    <w:p w:rsidR="002E568B" w:rsidRPr="00684780" w:rsidRDefault="002E568B" w:rsidP="003856A4">
      <w:pPr>
        <w:ind w:firstLine="3"/>
        <w:rPr>
          <w:szCs w:val="24"/>
        </w:rPr>
      </w:pPr>
      <w:r w:rsidRPr="00684780">
        <w:rPr>
          <w:szCs w:val="24"/>
        </w:rPr>
        <w:t xml:space="preserve">This </w:t>
      </w:r>
      <w:r>
        <w:rPr>
          <w:szCs w:val="24"/>
        </w:rPr>
        <w:t>sec</w:t>
      </w:r>
      <w:r w:rsidR="004B722E">
        <w:rPr>
          <w:szCs w:val="24"/>
        </w:rPr>
        <w:t xml:space="preserve">tion </w:t>
      </w:r>
      <w:r w:rsidRPr="00684780">
        <w:rPr>
          <w:szCs w:val="24"/>
        </w:rPr>
        <w:t>provide</w:t>
      </w:r>
      <w:r w:rsidR="004B722E">
        <w:rPr>
          <w:szCs w:val="24"/>
        </w:rPr>
        <w:t>s</w:t>
      </w:r>
      <w:r w:rsidRPr="00684780">
        <w:rPr>
          <w:szCs w:val="24"/>
        </w:rPr>
        <w:t xml:space="preserve"> for the </w:t>
      </w:r>
      <w:r w:rsidR="00B34411">
        <w:rPr>
          <w:szCs w:val="24"/>
        </w:rPr>
        <w:t>R</w:t>
      </w:r>
      <w:r w:rsidRPr="00684780">
        <w:rPr>
          <w:szCs w:val="24"/>
        </w:rPr>
        <w:t>egulation to commence on 1 July 201</w:t>
      </w:r>
      <w:r w:rsidR="00646264">
        <w:rPr>
          <w:szCs w:val="24"/>
        </w:rPr>
        <w:t>5</w:t>
      </w:r>
      <w:r w:rsidRPr="00684780">
        <w:rPr>
          <w:szCs w:val="24"/>
        </w:rPr>
        <w:t>.</w:t>
      </w:r>
    </w:p>
    <w:p w:rsidR="002E568B" w:rsidRPr="00154185" w:rsidRDefault="002E568B" w:rsidP="003856A4">
      <w:pPr>
        <w:ind w:firstLine="3"/>
        <w:rPr>
          <w:szCs w:val="24"/>
        </w:rPr>
      </w:pPr>
    </w:p>
    <w:p w:rsidR="00922B98" w:rsidRDefault="002E568B" w:rsidP="003856A4">
      <w:pPr>
        <w:ind w:firstLine="3"/>
        <w:rPr>
          <w:szCs w:val="24"/>
          <w:u w:val="single"/>
        </w:rPr>
      </w:pPr>
      <w:r>
        <w:rPr>
          <w:szCs w:val="24"/>
          <w:u w:val="single"/>
        </w:rPr>
        <w:t>Sec</w:t>
      </w:r>
      <w:r w:rsidRPr="00684780">
        <w:rPr>
          <w:szCs w:val="24"/>
          <w:u w:val="single"/>
        </w:rPr>
        <w:t xml:space="preserve">tion 3 – </w:t>
      </w:r>
      <w:r w:rsidR="00922B98">
        <w:rPr>
          <w:szCs w:val="24"/>
          <w:u w:val="single"/>
        </w:rPr>
        <w:t xml:space="preserve">Authority </w:t>
      </w:r>
    </w:p>
    <w:p w:rsidR="00900C44" w:rsidRPr="00900C44" w:rsidRDefault="00C326E4" w:rsidP="003856A4">
      <w:pPr>
        <w:ind w:firstLine="3"/>
        <w:rPr>
          <w:szCs w:val="24"/>
        </w:rPr>
      </w:pPr>
      <w:r>
        <w:rPr>
          <w:szCs w:val="24"/>
        </w:rPr>
        <w:t xml:space="preserve">This </w:t>
      </w:r>
      <w:r w:rsidR="004B722E">
        <w:rPr>
          <w:szCs w:val="24"/>
        </w:rPr>
        <w:t xml:space="preserve">section </w:t>
      </w:r>
      <w:r w:rsidR="00B34411">
        <w:rPr>
          <w:szCs w:val="24"/>
        </w:rPr>
        <w:t>provide</w:t>
      </w:r>
      <w:r w:rsidR="004B722E">
        <w:rPr>
          <w:szCs w:val="24"/>
        </w:rPr>
        <w:t>s</w:t>
      </w:r>
      <w:r w:rsidR="00B34411">
        <w:rPr>
          <w:szCs w:val="24"/>
        </w:rPr>
        <w:t xml:space="preserve"> that the R</w:t>
      </w:r>
      <w:r>
        <w:rPr>
          <w:szCs w:val="24"/>
        </w:rPr>
        <w:t>egulation is made</w:t>
      </w:r>
      <w:r w:rsidR="00574D01">
        <w:rPr>
          <w:szCs w:val="24"/>
        </w:rPr>
        <w:t xml:space="preserve"> under the </w:t>
      </w:r>
      <w:r w:rsidRPr="00C326E4">
        <w:rPr>
          <w:i/>
          <w:szCs w:val="24"/>
        </w:rPr>
        <w:t>Therapeutic Goods (Charges) Act 1989</w:t>
      </w:r>
      <w:r w:rsidR="00B34411">
        <w:rPr>
          <w:szCs w:val="24"/>
        </w:rPr>
        <w:t xml:space="preserve"> (the Charges Act)</w:t>
      </w:r>
      <w:r>
        <w:rPr>
          <w:szCs w:val="24"/>
        </w:rPr>
        <w:t>.</w:t>
      </w:r>
    </w:p>
    <w:p w:rsidR="00900C44" w:rsidRDefault="00900C44" w:rsidP="003856A4">
      <w:pPr>
        <w:ind w:firstLine="3"/>
        <w:rPr>
          <w:szCs w:val="24"/>
          <w:u w:val="single"/>
        </w:rPr>
      </w:pPr>
    </w:p>
    <w:p w:rsidR="00922B98" w:rsidRDefault="00922B98" w:rsidP="003856A4">
      <w:pPr>
        <w:pStyle w:val="Heading1"/>
        <w:rPr>
          <w:b w:val="0"/>
          <w:szCs w:val="24"/>
          <w:u w:val="single"/>
        </w:rPr>
      </w:pPr>
      <w:r>
        <w:rPr>
          <w:b w:val="0"/>
          <w:szCs w:val="24"/>
          <w:u w:val="single"/>
        </w:rPr>
        <w:t>Section 4 – Schedule</w:t>
      </w:r>
    </w:p>
    <w:p w:rsidR="00941170" w:rsidRDefault="00C326E4" w:rsidP="003856A4">
      <w:pPr>
        <w:pStyle w:val="Heading1"/>
        <w:rPr>
          <w:b w:val="0"/>
          <w:szCs w:val="24"/>
        </w:rPr>
      </w:pPr>
      <w:r>
        <w:rPr>
          <w:b w:val="0"/>
          <w:szCs w:val="24"/>
        </w:rPr>
        <w:t xml:space="preserve">This section </w:t>
      </w:r>
      <w:r w:rsidR="000B380F">
        <w:rPr>
          <w:b w:val="0"/>
          <w:szCs w:val="24"/>
        </w:rPr>
        <w:t>provide</w:t>
      </w:r>
      <w:r w:rsidR="004B722E">
        <w:rPr>
          <w:b w:val="0"/>
          <w:szCs w:val="24"/>
        </w:rPr>
        <w:t>s</w:t>
      </w:r>
      <w:r w:rsidR="000B380F">
        <w:rPr>
          <w:b w:val="0"/>
          <w:szCs w:val="24"/>
        </w:rPr>
        <w:t xml:space="preserve"> that</w:t>
      </w:r>
      <w:r w:rsidR="00D30DEE">
        <w:rPr>
          <w:b w:val="0"/>
          <w:szCs w:val="24"/>
        </w:rPr>
        <w:t xml:space="preserve"> each instrument </w:t>
      </w:r>
      <w:r w:rsidR="00B34411">
        <w:rPr>
          <w:b w:val="0"/>
          <w:szCs w:val="24"/>
        </w:rPr>
        <w:t xml:space="preserve">that is </w:t>
      </w:r>
      <w:r w:rsidR="00D30DEE">
        <w:rPr>
          <w:b w:val="0"/>
          <w:szCs w:val="24"/>
        </w:rPr>
        <w:t xml:space="preserve">specified in </w:t>
      </w:r>
      <w:r w:rsidR="00802B83">
        <w:rPr>
          <w:b w:val="0"/>
          <w:szCs w:val="24"/>
        </w:rPr>
        <w:t xml:space="preserve">a </w:t>
      </w:r>
      <w:r w:rsidR="00B34411">
        <w:rPr>
          <w:b w:val="0"/>
          <w:szCs w:val="24"/>
        </w:rPr>
        <w:t>Schedule to the R</w:t>
      </w:r>
      <w:r w:rsidR="000B380F">
        <w:rPr>
          <w:b w:val="0"/>
          <w:szCs w:val="24"/>
        </w:rPr>
        <w:t xml:space="preserve">egulation is amended </w:t>
      </w:r>
      <w:r w:rsidR="00B34411">
        <w:rPr>
          <w:b w:val="0"/>
          <w:szCs w:val="24"/>
        </w:rPr>
        <w:t>or repealed as set out in the applicable items in the Schedule concerned, and any other item in a Schedule to the Regulation has effect as provided for under that item.</w:t>
      </w:r>
    </w:p>
    <w:p w:rsidR="000B380F" w:rsidRDefault="000B380F" w:rsidP="000B380F"/>
    <w:p w:rsidR="000B380F" w:rsidRPr="00D30DEE" w:rsidRDefault="00D30DEE" w:rsidP="000B380F">
      <w:pPr>
        <w:rPr>
          <w:u w:val="single"/>
        </w:rPr>
      </w:pPr>
      <w:r w:rsidRPr="00D30DEE">
        <w:rPr>
          <w:u w:val="single"/>
        </w:rPr>
        <w:t>Schedule 1 –</w:t>
      </w:r>
      <w:r>
        <w:rPr>
          <w:u w:val="single"/>
        </w:rPr>
        <w:t xml:space="preserve"> </w:t>
      </w:r>
      <w:r w:rsidR="00B34411">
        <w:rPr>
          <w:u w:val="single"/>
        </w:rPr>
        <w:t>Annual charges for 2015-</w:t>
      </w:r>
      <w:r w:rsidR="00802B83">
        <w:rPr>
          <w:u w:val="single"/>
        </w:rPr>
        <w:t>16</w:t>
      </w:r>
    </w:p>
    <w:p w:rsidR="000B380F" w:rsidRDefault="000B380F" w:rsidP="000B380F"/>
    <w:p w:rsidR="0077263E" w:rsidRPr="00084325" w:rsidRDefault="00B34411" w:rsidP="00084325">
      <w:pPr>
        <w:rPr>
          <w:b/>
        </w:rPr>
      </w:pPr>
      <w:r>
        <w:rPr>
          <w:b/>
        </w:rPr>
        <w:t>I</w:t>
      </w:r>
      <w:r w:rsidR="00D30DEE" w:rsidRPr="00084325">
        <w:rPr>
          <w:b/>
        </w:rPr>
        <w:t xml:space="preserve">tem 1 </w:t>
      </w:r>
      <w:r w:rsidR="00BB7B51">
        <w:rPr>
          <w:b/>
        </w:rPr>
        <w:t xml:space="preserve">- </w:t>
      </w:r>
      <w:r w:rsidR="00D30DEE" w:rsidRPr="00084325">
        <w:rPr>
          <w:b/>
        </w:rPr>
        <w:t>Table of amendments to the Therapeutic Goods (Charges) Regulations 1990</w:t>
      </w:r>
    </w:p>
    <w:p w:rsidR="002C1A9B" w:rsidRDefault="00DD5EB3" w:rsidP="00084325">
      <w:r w:rsidRPr="00084325">
        <w:t xml:space="preserve">Item </w:t>
      </w:r>
      <w:r w:rsidR="00FE13A9" w:rsidRPr="00084325">
        <w:t xml:space="preserve">1 </w:t>
      </w:r>
      <w:r w:rsidR="0077263E" w:rsidRPr="00084325">
        <w:t xml:space="preserve">sets out a table of amendments to provisions of the </w:t>
      </w:r>
      <w:r w:rsidR="0077263E" w:rsidRPr="00B34411">
        <w:rPr>
          <w:i/>
        </w:rPr>
        <w:t>Therapeutic Goods (Charges) Regulations 1990</w:t>
      </w:r>
      <w:r w:rsidR="0077263E" w:rsidRPr="00084325">
        <w:t xml:space="preserve"> (the Charges Regulations)</w:t>
      </w:r>
      <w:r w:rsidR="002C1A9B">
        <w:t>.</w:t>
      </w:r>
    </w:p>
    <w:p w:rsidR="00802B83" w:rsidRDefault="00802B83" w:rsidP="00084325"/>
    <w:p w:rsidR="00802B83" w:rsidRDefault="00204B3E" w:rsidP="00084325">
      <w:r>
        <w:t xml:space="preserve">The effect of these amendments - </w:t>
      </w:r>
      <w:r w:rsidR="00B34411">
        <w:t>with the exception of the proposed amendments in items 15 and 16 of the table</w:t>
      </w:r>
      <w:r>
        <w:t xml:space="preserve">, and prescription </w:t>
      </w:r>
      <w:r w:rsidR="00072DA1">
        <w:t xml:space="preserve">chemical </w:t>
      </w:r>
      <w:r>
        <w:t>medicines -</w:t>
      </w:r>
      <w:r w:rsidR="004B722E">
        <w:t xml:space="preserve"> is</w:t>
      </w:r>
      <w:r w:rsidR="00B34411">
        <w:t xml:space="preserve"> to increase all annual charges for therapeutic g</w:t>
      </w:r>
      <w:r>
        <w:t>oods and manufacturing licences</w:t>
      </w:r>
      <w:r w:rsidR="00451E1F">
        <w:t xml:space="preserve"> by 2.12 per cent, subject to the TGA’s rounding policy</w:t>
      </w:r>
      <w:r>
        <w:t>.</w:t>
      </w:r>
    </w:p>
    <w:p w:rsidR="00802B83" w:rsidRDefault="00802B83" w:rsidP="00084325"/>
    <w:p w:rsidR="00C873FA" w:rsidRDefault="004B722E" w:rsidP="006D22C0">
      <w:pPr>
        <w:rPr>
          <w:szCs w:val="24"/>
        </w:rPr>
      </w:pPr>
      <w:r>
        <w:t xml:space="preserve">The </w:t>
      </w:r>
      <w:r w:rsidR="00204B3E">
        <w:t>amen</w:t>
      </w:r>
      <w:r>
        <w:t xml:space="preserve">dments in items 15 and 16 </w:t>
      </w:r>
      <w:r w:rsidR="00204B3E">
        <w:t xml:space="preserve">reduce annual charges for 2015-16 for higher risk medical devices - </w:t>
      </w:r>
      <w:r w:rsidR="00204B3E">
        <w:rPr>
          <w:szCs w:val="24"/>
        </w:rPr>
        <w:t xml:space="preserve">class IIa, IIb, III and AIMD devices – by </w:t>
      </w:r>
      <w:r w:rsidR="006D22C0">
        <w:rPr>
          <w:szCs w:val="24"/>
        </w:rPr>
        <w:t xml:space="preserve">2.88 per cent.  </w:t>
      </w:r>
    </w:p>
    <w:p w:rsidR="00C873FA" w:rsidRDefault="00C873FA" w:rsidP="006D22C0">
      <w:pPr>
        <w:rPr>
          <w:szCs w:val="24"/>
        </w:rPr>
      </w:pPr>
    </w:p>
    <w:p w:rsidR="004545DC" w:rsidRDefault="006D22C0" w:rsidP="006D22C0">
      <w:pPr>
        <w:rPr>
          <w:szCs w:val="24"/>
        </w:rPr>
      </w:pPr>
      <w:r>
        <w:rPr>
          <w:szCs w:val="24"/>
        </w:rPr>
        <w:t xml:space="preserve">This reduction has been calculated on the basis of a reduction of 5 per cent, and the general increase of 2.12 per cent.  </w:t>
      </w:r>
    </w:p>
    <w:p w:rsidR="004545DC" w:rsidRDefault="004545DC" w:rsidP="006D22C0">
      <w:pPr>
        <w:rPr>
          <w:szCs w:val="24"/>
        </w:rPr>
      </w:pPr>
    </w:p>
    <w:p w:rsidR="006D22C0" w:rsidRDefault="004B722E" w:rsidP="006D22C0">
      <w:pPr>
        <w:rPr>
          <w:szCs w:val="24"/>
        </w:rPr>
      </w:pPr>
      <w:r>
        <w:rPr>
          <w:szCs w:val="24"/>
        </w:rPr>
        <w:t xml:space="preserve">The 5 per cent reduction </w:t>
      </w:r>
      <w:r w:rsidR="006D22C0">
        <w:rPr>
          <w:szCs w:val="24"/>
        </w:rPr>
        <w:t>reflect</w:t>
      </w:r>
      <w:r>
        <w:rPr>
          <w:szCs w:val="24"/>
        </w:rPr>
        <w:t>s</w:t>
      </w:r>
      <w:r w:rsidR="006D22C0">
        <w:rPr>
          <w:szCs w:val="24"/>
        </w:rPr>
        <w:t xml:space="preserve"> that </w:t>
      </w:r>
      <w:r w:rsidR="004545DC">
        <w:rPr>
          <w:szCs w:val="24"/>
        </w:rPr>
        <w:t xml:space="preserve">as a result of </w:t>
      </w:r>
      <w:r w:rsidR="006D22C0">
        <w:rPr>
          <w:szCs w:val="24"/>
        </w:rPr>
        <w:t xml:space="preserve">recent changes to the Therapeutic </w:t>
      </w:r>
      <w:r w:rsidR="004E7D96">
        <w:rPr>
          <w:szCs w:val="24"/>
        </w:rPr>
        <w:t xml:space="preserve">Goods Regulations 1990 </w:t>
      </w:r>
      <w:r w:rsidR="0062448D">
        <w:rPr>
          <w:szCs w:val="24"/>
        </w:rPr>
        <w:t xml:space="preserve">(the TG Regulations) </w:t>
      </w:r>
      <w:r w:rsidR="004E7D96">
        <w:rPr>
          <w:szCs w:val="24"/>
        </w:rPr>
        <w:t>to replace t</w:t>
      </w:r>
      <w:r w:rsidR="006D22C0">
        <w:rPr>
          <w:szCs w:val="24"/>
        </w:rPr>
        <w:t xml:space="preserve">he current low </w:t>
      </w:r>
      <w:r w:rsidR="004E7D96">
        <w:rPr>
          <w:szCs w:val="24"/>
        </w:rPr>
        <w:t xml:space="preserve">turnover scheme for annual charge exemptions with revised arrangements based on </w:t>
      </w:r>
      <w:r w:rsidR="006D22C0">
        <w:rPr>
          <w:szCs w:val="24"/>
        </w:rPr>
        <w:t>sponsor</w:t>
      </w:r>
      <w:r w:rsidR="004E7D96">
        <w:rPr>
          <w:szCs w:val="24"/>
        </w:rPr>
        <w:t>s</w:t>
      </w:r>
      <w:r w:rsidR="006D22C0">
        <w:rPr>
          <w:szCs w:val="24"/>
        </w:rPr>
        <w:t xml:space="preserve"> being exempt </w:t>
      </w:r>
      <w:r w:rsidR="007761E4">
        <w:rPr>
          <w:szCs w:val="24"/>
        </w:rPr>
        <w:t xml:space="preserve">for so long as </w:t>
      </w:r>
      <w:r w:rsidR="006D22C0">
        <w:rPr>
          <w:szCs w:val="24"/>
        </w:rPr>
        <w:t xml:space="preserve">the turnover </w:t>
      </w:r>
      <w:r w:rsidR="007761E4">
        <w:rPr>
          <w:szCs w:val="24"/>
        </w:rPr>
        <w:t xml:space="preserve">for the relevant goods </w:t>
      </w:r>
      <w:r w:rsidR="006D22C0">
        <w:rPr>
          <w:szCs w:val="24"/>
        </w:rPr>
        <w:t xml:space="preserve">is zero, sponsors with low, but some, turnover will not qualify for the revised exemption. </w:t>
      </w:r>
    </w:p>
    <w:p w:rsidR="006D22C0" w:rsidRDefault="006D22C0" w:rsidP="00084325"/>
    <w:p w:rsidR="00802B83" w:rsidRDefault="004B722E" w:rsidP="00084325">
      <w:r>
        <w:t xml:space="preserve">The </w:t>
      </w:r>
      <w:r w:rsidR="00072DA1">
        <w:t xml:space="preserve">annual charges for </w:t>
      </w:r>
      <w:r w:rsidR="006D22C0">
        <w:t xml:space="preserve">prescription </w:t>
      </w:r>
      <w:r w:rsidR="00072DA1">
        <w:t xml:space="preserve">chemical </w:t>
      </w:r>
      <w:r w:rsidR="006D22C0">
        <w:t xml:space="preserve">medicines for 2015-16 are </w:t>
      </w:r>
      <w:r w:rsidR="004E7D96">
        <w:t xml:space="preserve">also </w:t>
      </w:r>
      <w:r>
        <w:t xml:space="preserve">reduced, and the </w:t>
      </w:r>
      <w:r w:rsidR="004E7D96">
        <w:t xml:space="preserve">new figures for 2015-16 for these products are </w:t>
      </w:r>
      <w:r w:rsidR="006D22C0">
        <w:t>set out in Schedule 2.</w:t>
      </w:r>
    </w:p>
    <w:p w:rsidR="004E7D96" w:rsidRDefault="004E7D96" w:rsidP="00084325"/>
    <w:p w:rsidR="00381280" w:rsidRDefault="004B722E" w:rsidP="00381280">
      <w:r>
        <w:t xml:space="preserve">Item 24 of the table </w:t>
      </w:r>
      <w:r w:rsidR="00381280">
        <w:t>make</w:t>
      </w:r>
      <w:r>
        <w:t>s</w:t>
      </w:r>
      <w:r w:rsidR="00381280">
        <w:t xml:space="preserve"> an amendment to the note to subregulation 3(3) of the Charges Regulations.</w:t>
      </w:r>
    </w:p>
    <w:p w:rsidR="007761E4" w:rsidRDefault="007761E4" w:rsidP="00381280"/>
    <w:p w:rsidR="00381280" w:rsidRDefault="00381280" w:rsidP="00381280">
      <w:r>
        <w:lastRenderedPageBreak/>
        <w:t xml:space="preserve">This note refers to the fact that under regulation 43AAJ of the TG Regulations, the annual charge for a manufacturing licence under Part 3-3 of the </w:t>
      </w:r>
      <w:r w:rsidRPr="00381280">
        <w:rPr>
          <w:i/>
        </w:rPr>
        <w:t>Therapeutic Goods Act 1989</w:t>
      </w:r>
      <w:r w:rsidRPr="00A251B0">
        <w:t xml:space="preserve"> </w:t>
      </w:r>
      <w:r>
        <w:t xml:space="preserve">(the TG Act) </w:t>
      </w:r>
      <w:r w:rsidRPr="00A251B0">
        <w:t>(</w:t>
      </w:r>
      <w:r w:rsidR="00FD263F">
        <w:t xml:space="preserve">other than a licence to manufacture </w:t>
      </w:r>
      <w:r>
        <w:t xml:space="preserve">human blood and blood components) payable by a person whose wholesale turnover of goods in a financial year is not more than $90 500, is half the amount mentioned in subregulation 3(2) </w:t>
      </w:r>
      <w:r w:rsidR="00FD263F">
        <w:t>of the Charges Regulations</w:t>
      </w:r>
      <w:r>
        <w:t>. Subregulation 3(2) of the Charges Regulations lists annual charges for manufacturing licences.</w:t>
      </w:r>
    </w:p>
    <w:p w:rsidR="00381280" w:rsidRDefault="00381280" w:rsidP="00381280"/>
    <w:p w:rsidR="00381280" w:rsidRDefault="00381280" w:rsidP="00381280">
      <w:r w:rsidRPr="00084325">
        <w:t>Item 2</w:t>
      </w:r>
      <w:r w:rsidR="004B722E">
        <w:t xml:space="preserve">4 of the table </w:t>
      </w:r>
      <w:r>
        <w:t>replace</w:t>
      </w:r>
      <w:r w:rsidR="004B722E">
        <w:t>s</w:t>
      </w:r>
      <w:r>
        <w:t xml:space="preserve"> the current reference in this note to the amount of $90 500 w</w:t>
      </w:r>
      <w:r w:rsidR="004B722E">
        <w:t xml:space="preserve">ith a reference to the </w:t>
      </w:r>
      <w:r>
        <w:t>updated amount of $92 400</w:t>
      </w:r>
      <w:r w:rsidR="00FD263F">
        <w:t>,</w:t>
      </w:r>
      <w:r w:rsidR="004B722E">
        <w:t xml:space="preserve"> for 2015-16.  This </w:t>
      </w:r>
      <w:r>
        <w:t>ensure</w:t>
      </w:r>
      <w:r w:rsidR="004B722E">
        <w:t xml:space="preserve">s consistency with </w:t>
      </w:r>
      <w:r>
        <w:t>changes to the TG Regulations, which include an amendment to regulation 43AAJ of the TG Regulations to increase the wholesale turnover threshold mentioned above, from $90 500 to $92 400.</w:t>
      </w:r>
    </w:p>
    <w:p w:rsidR="00802B83" w:rsidRDefault="00802B83" w:rsidP="00084325"/>
    <w:p w:rsidR="00802B83" w:rsidRPr="00802B83" w:rsidRDefault="00802B83" w:rsidP="00084325">
      <w:pPr>
        <w:rPr>
          <w:u w:val="single"/>
        </w:rPr>
      </w:pPr>
      <w:r w:rsidRPr="00802B83">
        <w:rPr>
          <w:u w:val="single"/>
        </w:rPr>
        <w:t>Schedule 2 – Annual charges for goods that are not biologics</w:t>
      </w:r>
    </w:p>
    <w:p w:rsidR="00802B83" w:rsidRDefault="00802B83" w:rsidP="00084325"/>
    <w:p w:rsidR="00E36BFE" w:rsidRPr="00E36BFE" w:rsidRDefault="003F61B9" w:rsidP="00084325">
      <w:pPr>
        <w:rPr>
          <w:b/>
        </w:rPr>
      </w:pPr>
      <w:r w:rsidRPr="00E36BFE">
        <w:rPr>
          <w:b/>
        </w:rPr>
        <w:t>Item</w:t>
      </w:r>
      <w:r w:rsidR="00E36BFE" w:rsidRPr="00E36BFE">
        <w:rPr>
          <w:b/>
        </w:rPr>
        <w:t>s</w:t>
      </w:r>
      <w:r w:rsidRPr="00E36BFE">
        <w:rPr>
          <w:b/>
        </w:rPr>
        <w:t xml:space="preserve"> 1</w:t>
      </w:r>
      <w:r w:rsidR="00E36BFE" w:rsidRPr="00E36BFE">
        <w:rPr>
          <w:b/>
        </w:rPr>
        <w:t xml:space="preserve"> and 2 – Paragraph 3(1)(a)</w:t>
      </w:r>
      <w:r w:rsidR="00FD263F" w:rsidRPr="00E36BFE">
        <w:rPr>
          <w:b/>
        </w:rPr>
        <w:t xml:space="preserve"> </w:t>
      </w:r>
    </w:p>
    <w:p w:rsidR="00965C19" w:rsidRDefault="00ED10B9" w:rsidP="00084325">
      <w:r>
        <w:t xml:space="preserve">These items </w:t>
      </w:r>
      <w:r w:rsidR="00E36BFE">
        <w:t>make minor, editorial changes to</w:t>
      </w:r>
      <w:r w:rsidR="00096F11">
        <w:t xml:space="preserve"> paragraph</w:t>
      </w:r>
      <w:r w:rsidR="00E36BFE">
        <w:t xml:space="preserve"> 3(1)(a) of the Charges Regulations</w:t>
      </w:r>
      <w:r w:rsidR="00096F11">
        <w:t xml:space="preserve"> for accuracy</w:t>
      </w:r>
      <w:r w:rsidR="007761E4">
        <w:t xml:space="preserve">, </w:t>
      </w:r>
      <w:r w:rsidR="00096F11">
        <w:t xml:space="preserve">and </w:t>
      </w:r>
      <w:r w:rsidR="007761E4">
        <w:t xml:space="preserve">for </w:t>
      </w:r>
      <w:r w:rsidR="00096F11">
        <w:t>consistency</w:t>
      </w:r>
      <w:r>
        <w:t xml:space="preserve"> with the amendments </w:t>
      </w:r>
      <w:r w:rsidR="007761E4">
        <w:t>made by items 3 to 7</w:t>
      </w:r>
      <w:r w:rsidR="00E36BFE">
        <w:t>.</w:t>
      </w:r>
    </w:p>
    <w:p w:rsidR="00965C19" w:rsidRDefault="00965C19" w:rsidP="00084325"/>
    <w:p w:rsidR="00965C19" w:rsidRPr="00E36BFE" w:rsidRDefault="00E36BFE" w:rsidP="00084325">
      <w:pPr>
        <w:rPr>
          <w:b/>
        </w:rPr>
      </w:pPr>
      <w:r w:rsidRPr="00E36BFE">
        <w:rPr>
          <w:b/>
        </w:rPr>
        <w:t xml:space="preserve">Item 3 </w:t>
      </w:r>
      <w:r w:rsidR="007761E4">
        <w:rPr>
          <w:b/>
        </w:rPr>
        <w:t xml:space="preserve">- </w:t>
      </w:r>
      <w:r w:rsidRPr="00E36BFE">
        <w:rPr>
          <w:b/>
        </w:rPr>
        <w:t>Paragraph 3(1)(b)</w:t>
      </w:r>
    </w:p>
    <w:p w:rsidR="00965C19" w:rsidRDefault="00096F11" w:rsidP="00084325">
      <w:r>
        <w:t xml:space="preserve">Paragraph 3(1)(b) of the Charges Regulations currently specifies the annual charge payable for </w:t>
      </w:r>
      <w:r w:rsidR="00CA1B88">
        <w:t xml:space="preserve">the registration of </w:t>
      </w:r>
      <w:r>
        <w:t>prescription medicines that are biologics</w:t>
      </w:r>
      <w:r w:rsidR="007761E4">
        <w:t xml:space="preserve"> (</w:t>
      </w:r>
      <w:r w:rsidR="00027757">
        <w:t xml:space="preserve">most often described as </w:t>
      </w:r>
      <w:r w:rsidR="007761E4">
        <w:t>prescription biological medicines)</w:t>
      </w:r>
      <w:r w:rsidR="00EB45AA">
        <w:t>,</w:t>
      </w:r>
      <w:r>
        <w:t xml:space="preserve"> and </w:t>
      </w:r>
      <w:r w:rsidR="00EB45AA">
        <w:t xml:space="preserve">for </w:t>
      </w:r>
      <w:r>
        <w:t>prescription medicines that a</w:t>
      </w:r>
      <w:r w:rsidR="00072DA1">
        <w:t xml:space="preserve">re not biologics (i.e. </w:t>
      </w:r>
      <w:r w:rsidR="00027757">
        <w:t xml:space="preserve">most often, and hereinafter, described as </w:t>
      </w:r>
      <w:r>
        <w:t xml:space="preserve">prescription </w:t>
      </w:r>
      <w:r w:rsidR="00072DA1">
        <w:t xml:space="preserve">chemical </w:t>
      </w:r>
      <w:r>
        <w:t>medicines).</w:t>
      </w:r>
    </w:p>
    <w:p w:rsidR="00096F11" w:rsidRDefault="00096F11" w:rsidP="00084325"/>
    <w:p w:rsidR="00096F11" w:rsidRDefault="00ED10B9" w:rsidP="00084325">
      <w:r>
        <w:t xml:space="preserve">As item 8 </w:t>
      </w:r>
      <w:r w:rsidR="00096F11">
        <w:t>introduce</w:t>
      </w:r>
      <w:r>
        <w:t>s</w:t>
      </w:r>
      <w:r w:rsidR="00096F11">
        <w:t xml:space="preserve"> a new regulation 4 to th</w:t>
      </w:r>
      <w:r>
        <w:t>e Charges Regulations that identifies</w:t>
      </w:r>
      <w:r w:rsidR="00096F11">
        <w:t xml:space="preserve"> the annual charges payable for </w:t>
      </w:r>
      <w:r w:rsidR="00CA1B88">
        <w:t xml:space="preserve">the registration of </w:t>
      </w:r>
      <w:r w:rsidR="00027757">
        <w:t>goods that are prescription chemical medicines</w:t>
      </w:r>
      <w:r w:rsidR="00096F11">
        <w:t xml:space="preserve">, item 3 </w:t>
      </w:r>
      <w:r w:rsidR="009067A7">
        <w:t>introduce</w:t>
      </w:r>
      <w:r>
        <w:t>s</w:t>
      </w:r>
      <w:r w:rsidR="009067A7">
        <w:t xml:space="preserve"> a new paragraph 3(1)(b) to</w:t>
      </w:r>
      <w:r>
        <w:t xml:space="preserve"> the Charges Regulations that just specifies</w:t>
      </w:r>
      <w:r w:rsidR="009067A7">
        <w:t xml:space="preserve"> the annual charge payable from 1 July 2015 for prescription medicines that are biologics.</w:t>
      </w:r>
    </w:p>
    <w:p w:rsidR="009067A7" w:rsidRDefault="009067A7" w:rsidP="00084325"/>
    <w:p w:rsidR="009067A7" w:rsidRDefault="009067A7" w:rsidP="00084325">
      <w:r>
        <w:t>The amount</w:t>
      </w:r>
      <w:r w:rsidR="00ED10B9">
        <w:t xml:space="preserve"> specified in this regard </w:t>
      </w:r>
      <w:r>
        <w:t>reflect</w:t>
      </w:r>
      <w:r w:rsidR="00ED10B9">
        <w:t>s</w:t>
      </w:r>
      <w:r w:rsidR="00904515">
        <w:t xml:space="preserve"> the </w:t>
      </w:r>
      <w:r>
        <w:t>2.12 per cent increase to TGA fees and charges for 2015-16.</w:t>
      </w:r>
    </w:p>
    <w:p w:rsidR="009067A7" w:rsidRDefault="009067A7" w:rsidP="00084325"/>
    <w:p w:rsidR="009067A7" w:rsidRPr="009067A7" w:rsidRDefault="009067A7" w:rsidP="00084325">
      <w:pPr>
        <w:rPr>
          <w:b/>
        </w:rPr>
      </w:pPr>
      <w:r w:rsidRPr="009067A7">
        <w:rPr>
          <w:b/>
        </w:rPr>
        <w:t>Item 4 – At the end of subregulation 3(1)</w:t>
      </w:r>
    </w:p>
    <w:p w:rsidR="00DD0F6E" w:rsidRDefault="00904515" w:rsidP="00084325">
      <w:r>
        <w:t xml:space="preserve">This item </w:t>
      </w:r>
      <w:r w:rsidR="003662B3">
        <w:t>make</w:t>
      </w:r>
      <w:r>
        <w:t>s</w:t>
      </w:r>
      <w:r w:rsidR="003662B3">
        <w:t xml:space="preserve"> a minor amendment to </w:t>
      </w:r>
      <w:r w:rsidR="00DA2792">
        <w:t xml:space="preserve">add </w:t>
      </w:r>
      <w:r w:rsidR="009067A7">
        <w:t xml:space="preserve">a note at the end of subregulation 3(1) of the Charges Regulations to </w:t>
      </w:r>
      <w:r w:rsidR="00DD0F6E">
        <w:t>indicate</w:t>
      </w:r>
      <w:r w:rsidR="009067A7">
        <w:t xml:space="preserve"> that annual charges for </w:t>
      </w:r>
      <w:r w:rsidR="00072DA1">
        <w:t xml:space="preserve">prescription </w:t>
      </w:r>
      <w:r w:rsidR="009067A7">
        <w:t xml:space="preserve">chemical </w:t>
      </w:r>
      <w:r w:rsidR="00DD0F6E">
        <w:t>medicines are</w:t>
      </w:r>
      <w:r w:rsidR="009067A7">
        <w:t xml:space="preserve"> in new regulation 4.</w:t>
      </w:r>
    </w:p>
    <w:p w:rsidR="00DD0F6E" w:rsidRDefault="00DD0F6E" w:rsidP="00084325"/>
    <w:p w:rsidR="00965C19" w:rsidRPr="00DD0F6E" w:rsidRDefault="00DD0F6E" w:rsidP="00084325">
      <w:pPr>
        <w:rPr>
          <w:b/>
        </w:rPr>
      </w:pPr>
      <w:r w:rsidRPr="00DD0F6E">
        <w:rPr>
          <w:b/>
        </w:rPr>
        <w:t>Item 5 – Paragraph 3(1A)(a)</w:t>
      </w:r>
      <w:r w:rsidR="009067A7" w:rsidRPr="00DD0F6E">
        <w:rPr>
          <w:b/>
        </w:rPr>
        <w:t xml:space="preserve"> </w:t>
      </w:r>
    </w:p>
    <w:p w:rsidR="00DD0F6E" w:rsidRDefault="00904515" w:rsidP="00DD0F6E">
      <w:r>
        <w:t xml:space="preserve">This item </w:t>
      </w:r>
      <w:r w:rsidR="00DD0F6E">
        <w:t>make</w:t>
      </w:r>
      <w:r>
        <w:t>s</w:t>
      </w:r>
      <w:r w:rsidR="00DD0F6E">
        <w:t xml:space="preserve"> a minor, editorial change to paragraph 3(1A)(a) of the Charges Regulations for accuracy</w:t>
      </w:r>
      <w:r w:rsidR="00027757">
        <w:t>,</w:t>
      </w:r>
      <w:r w:rsidR="00DD0F6E">
        <w:t xml:space="preserve"> and consistency</w:t>
      </w:r>
      <w:r>
        <w:t xml:space="preserve"> with the amendments </w:t>
      </w:r>
      <w:r w:rsidR="00027757">
        <w:t>made by items 3, 4, 6 and 7</w:t>
      </w:r>
      <w:r w:rsidR="00DD0F6E">
        <w:t>.</w:t>
      </w:r>
    </w:p>
    <w:p w:rsidR="00965C19" w:rsidRDefault="00965C19" w:rsidP="00084325"/>
    <w:p w:rsidR="0041758D" w:rsidRDefault="00DD0F6E" w:rsidP="00E2429C">
      <w:pPr>
        <w:keepNext/>
        <w:rPr>
          <w:b/>
        </w:rPr>
      </w:pPr>
      <w:r w:rsidRPr="00DD0F6E">
        <w:rPr>
          <w:b/>
        </w:rPr>
        <w:t>Item 6 – Paragraph 3(1A)(b)</w:t>
      </w:r>
    </w:p>
    <w:p w:rsidR="00194102" w:rsidRDefault="00194102" w:rsidP="00194102">
      <w:r>
        <w:t xml:space="preserve">Paragraph 3(1A)(b) of the Charges Regulations currently specifies the annual charge payable for </w:t>
      </w:r>
      <w:r w:rsidR="00CA1B88">
        <w:t xml:space="preserve">the registration of </w:t>
      </w:r>
      <w:r w:rsidR="006D2BD7">
        <w:t xml:space="preserve">grouped </w:t>
      </w:r>
      <w:r>
        <w:t xml:space="preserve">prescription medicines that are biologics, and for </w:t>
      </w:r>
      <w:r w:rsidR="006D2BD7">
        <w:t xml:space="preserve">grouped </w:t>
      </w:r>
      <w:r>
        <w:t xml:space="preserve">prescription </w:t>
      </w:r>
      <w:r w:rsidR="00072DA1">
        <w:t xml:space="preserve">chemical </w:t>
      </w:r>
      <w:r>
        <w:t>medicines.</w:t>
      </w:r>
    </w:p>
    <w:p w:rsidR="00194102" w:rsidRDefault="00194102" w:rsidP="00194102"/>
    <w:p w:rsidR="00194102" w:rsidRDefault="00904515" w:rsidP="00194102">
      <w:r>
        <w:t xml:space="preserve">As item 8 </w:t>
      </w:r>
      <w:r w:rsidR="00194102">
        <w:t>introduce</w:t>
      </w:r>
      <w:r>
        <w:t>s</w:t>
      </w:r>
      <w:r w:rsidR="00194102">
        <w:t xml:space="preserve"> a new regulation 4 to the</w:t>
      </w:r>
      <w:r>
        <w:t xml:space="preserve"> Charges Regulations that identifies</w:t>
      </w:r>
      <w:r w:rsidR="00194102">
        <w:t xml:space="preserve"> the annual charges payable for </w:t>
      </w:r>
      <w:r w:rsidR="00CA1B88">
        <w:t xml:space="preserve">the registration </w:t>
      </w:r>
      <w:r w:rsidR="00DA2792">
        <w:t xml:space="preserve">of </w:t>
      </w:r>
      <w:r w:rsidR="006D2BD7">
        <w:t xml:space="preserve">grouped </w:t>
      </w:r>
      <w:r w:rsidR="00194102">
        <w:t>pres</w:t>
      </w:r>
      <w:r w:rsidR="006D2BD7">
        <w:t xml:space="preserve">cription </w:t>
      </w:r>
      <w:r w:rsidR="00072DA1">
        <w:t xml:space="preserve">chemical </w:t>
      </w:r>
      <w:r w:rsidR="006D2BD7">
        <w:t>medicines, item 6</w:t>
      </w:r>
      <w:r>
        <w:t xml:space="preserve"> </w:t>
      </w:r>
      <w:r w:rsidR="00194102">
        <w:lastRenderedPageBreak/>
        <w:t>introduce</w:t>
      </w:r>
      <w:r>
        <w:t>s</w:t>
      </w:r>
      <w:r w:rsidR="00194102">
        <w:t xml:space="preserve"> a new paragraph 3(1)(b) to the Charges Regulation</w:t>
      </w:r>
      <w:r>
        <w:t>s that just specifies</w:t>
      </w:r>
      <w:r w:rsidR="00194102">
        <w:t xml:space="preserve"> the annual charge payable from 1 July 2015 for </w:t>
      </w:r>
      <w:r w:rsidR="006D2BD7">
        <w:t xml:space="preserve">grouped </w:t>
      </w:r>
      <w:r w:rsidR="00194102">
        <w:t>prescription medicines that are biologics.</w:t>
      </w:r>
    </w:p>
    <w:p w:rsidR="00194102" w:rsidRDefault="00194102" w:rsidP="00194102"/>
    <w:p w:rsidR="00194102" w:rsidRDefault="00194102" w:rsidP="00194102">
      <w:r>
        <w:t>The amount</w:t>
      </w:r>
      <w:r w:rsidR="00904515">
        <w:t xml:space="preserve"> specified in this regard </w:t>
      </w:r>
      <w:r>
        <w:t>reflect</w:t>
      </w:r>
      <w:r w:rsidR="00904515">
        <w:t xml:space="preserve">s the </w:t>
      </w:r>
      <w:r>
        <w:t>2.12 per cent increase to TGA fees and charges for 2015-16.</w:t>
      </w:r>
    </w:p>
    <w:p w:rsidR="00965C19" w:rsidRDefault="00965C19" w:rsidP="00084325"/>
    <w:p w:rsidR="00965C19" w:rsidRPr="00F650A3" w:rsidRDefault="00F650A3" w:rsidP="00084325">
      <w:pPr>
        <w:rPr>
          <w:b/>
        </w:rPr>
      </w:pPr>
      <w:r w:rsidRPr="00F650A3">
        <w:rPr>
          <w:b/>
        </w:rPr>
        <w:t>Item 7 – At the end of subregulation 3(1A)</w:t>
      </w:r>
    </w:p>
    <w:p w:rsidR="00F650A3" w:rsidRDefault="00904515" w:rsidP="00F650A3">
      <w:r>
        <w:t xml:space="preserve">This item </w:t>
      </w:r>
      <w:r w:rsidR="003662B3">
        <w:t>make</w:t>
      </w:r>
      <w:r>
        <w:t>s</w:t>
      </w:r>
      <w:r w:rsidR="003662B3">
        <w:t xml:space="preserve"> a minor amendment to </w:t>
      </w:r>
      <w:r w:rsidR="00DA2792">
        <w:t xml:space="preserve">add </w:t>
      </w:r>
      <w:r w:rsidR="00F650A3">
        <w:t xml:space="preserve">a note at the end of subregulation 3(1A) of the Charges Regulations to indicate that annual charges </w:t>
      </w:r>
      <w:r w:rsidR="00DA2792">
        <w:t xml:space="preserve">payable for the registration of </w:t>
      </w:r>
      <w:r w:rsidR="00F650A3">
        <w:t xml:space="preserve">grouped prescription </w:t>
      </w:r>
      <w:r w:rsidR="00072DA1">
        <w:t xml:space="preserve">chemical </w:t>
      </w:r>
      <w:r w:rsidR="00F650A3">
        <w:t>medicines are in new regulation 4.</w:t>
      </w:r>
    </w:p>
    <w:p w:rsidR="00965C19" w:rsidRDefault="00965C19" w:rsidP="00084325"/>
    <w:p w:rsidR="00F650A3" w:rsidRPr="003662B3" w:rsidRDefault="00F650A3" w:rsidP="00084325">
      <w:pPr>
        <w:rPr>
          <w:b/>
        </w:rPr>
      </w:pPr>
      <w:r w:rsidRPr="003662B3">
        <w:rPr>
          <w:b/>
        </w:rPr>
        <w:t xml:space="preserve">Item 8 – At </w:t>
      </w:r>
      <w:r w:rsidR="003662B3" w:rsidRPr="003662B3">
        <w:rPr>
          <w:b/>
        </w:rPr>
        <w:t>the end of the Regulations</w:t>
      </w:r>
    </w:p>
    <w:p w:rsidR="003662B3" w:rsidRDefault="00904515" w:rsidP="00084325">
      <w:r>
        <w:t xml:space="preserve">This item </w:t>
      </w:r>
      <w:r w:rsidR="003662B3">
        <w:t>introduce</w:t>
      </w:r>
      <w:r>
        <w:t>s</w:t>
      </w:r>
      <w:r w:rsidR="003662B3">
        <w:t xml:space="preserve"> a new regulation 4 to the</w:t>
      </w:r>
      <w:r>
        <w:t xml:space="preserve"> Charges Regulations that </w:t>
      </w:r>
      <w:r w:rsidR="00CA1B88">
        <w:t>set</w:t>
      </w:r>
      <w:r>
        <w:t>s</w:t>
      </w:r>
      <w:r w:rsidR="00CA1B88">
        <w:t xml:space="preserve"> out</w:t>
      </w:r>
      <w:r w:rsidR="003662B3">
        <w:t xml:space="preserve"> the annual charge payable for </w:t>
      </w:r>
      <w:r w:rsidR="00CA1B88">
        <w:t xml:space="preserve">the registration of </w:t>
      </w:r>
      <w:r w:rsidR="003662B3">
        <w:t xml:space="preserve">prescription </w:t>
      </w:r>
      <w:r w:rsidR="00072DA1">
        <w:t xml:space="preserve">chemical </w:t>
      </w:r>
      <w:r w:rsidR="003662B3">
        <w:t>medicines</w:t>
      </w:r>
      <w:r w:rsidR="00260FD5">
        <w:t xml:space="preserve">, and grouped prescription </w:t>
      </w:r>
      <w:r w:rsidR="00072DA1">
        <w:t xml:space="preserve">chemical </w:t>
      </w:r>
      <w:r w:rsidR="00260FD5">
        <w:t>medicines,</w:t>
      </w:r>
      <w:r w:rsidR="003662B3">
        <w:t xml:space="preserve"> </w:t>
      </w:r>
      <w:r w:rsidR="00CA1B88">
        <w:t xml:space="preserve">if the registration is in force at any time during </w:t>
      </w:r>
      <w:r w:rsidR="008134B6">
        <w:t>the financial year to which the charge relates (the charge year)</w:t>
      </w:r>
      <w:r>
        <w:t xml:space="preserve"> (</w:t>
      </w:r>
      <w:r w:rsidR="00F920FB">
        <w:t>subregulation 4(1) refers)</w:t>
      </w:r>
      <w:r w:rsidR="008134B6">
        <w:t>.</w:t>
      </w:r>
    </w:p>
    <w:p w:rsidR="003662B3" w:rsidRDefault="003662B3" w:rsidP="00084325"/>
    <w:p w:rsidR="00F920FB" w:rsidRPr="00F920FB" w:rsidRDefault="00F920FB" w:rsidP="00084325">
      <w:pPr>
        <w:rPr>
          <w:b/>
        </w:rPr>
      </w:pPr>
      <w:r w:rsidRPr="00F920FB">
        <w:rPr>
          <w:b/>
        </w:rPr>
        <w:t>Higher amo</w:t>
      </w:r>
      <w:r w:rsidR="0091435C">
        <w:rPr>
          <w:b/>
        </w:rPr>
        <w:t xml:space="preserve">unt and lower amount – </w:t>
      </w:r>
      <w:r w:rsidRPr="00F920FB">
        <w:rPr>
          <w:b/>
        </w:rPr>
        <w:t>subregulation 4(2)</w:t>
      </w:r>
    </w:p>
    <w:p w:rsidR="00515857" w:rsidRPr="00515857" w:rsidRDefault="00904515" w:rsidP="00084325">
      <w:r>
        <w:t xml:space="preserve">Under </w:t>
      </w:r>
      <w:r w:rsidR="00260FD5">
        <w:t>new subregulations 4(2)</w:t>
      </w:r>
      <w:r w:rsidR="00127D76">
        <w:t xml:space="preserve">, the </w:t>
      </w:r>
      <w:r>
        <w:t>higher amount will</w:t>
      </w:r>
      <w:r w:rsidR="00127D76">
        <w:t xml:space="preserve"> be payable </w:t>
      </w:r>
      <w:r w:rsidR="00B82E41">
        <w:t xml:space="preserve">for </w:t>
      </w:r>
      <w:r w:rsidR="00EB2323">
        <w:t xml:space="preserve">the registration of prescription chemical </w:t>
      </w:r>
      <w:r w:rsidR="00EB2323" w:rsidRPr="00515857">
        <w:t>medicines</w:t>
      </w:r>
      <w:r w:rsidR="00127D76" w:rsidRPr="00515857">
        <w:t xml:space="preserve"> if any of the circ</w:t>
      </w:r>
      <w:r>
        <w:t xml:space="preserve">umstances described in </w:t>
      </w:r>
      <w:r w:rsidR="00127D76" w:rsidRPr="00515857">
        <w:t>new subregulations 4(3) - (8) apply</w:t>
      </w:r>
      <w:r w:rsidR="00DA2792" w:rsidRPr="00515857">
        <w:t xml:space="preserve">.  </w:t>
      </w:r>
    </w:p>
    <w:p w:rsidR="00515857" w:rsidRDefault="00515857" w:rsidP="00084325"/>
    <w:p w:rsidR="00127D76" w:rsidRDefault="00DA2792" w:rsidP="00084325">
      <w:r>
        <w:t>If none of those subregulations apply in relation to the registration of prescription chemical medicines</w:t>
      </w:r>
      <w:r w:rsidR="004B1A78">
        <w:t>,</w:t>
      </w:r>
      <w:r>
        <w:t xml:space="preserve"> </w:t>
      </w:r>
      <w:r w:rsidR="004B1A78">
        <w:t xml:space="preserve">or any prescription chemical medicines that are grouped, </w:t>
      </w:r>
      <w:r>
        <w:t xml:space="preserve">in a particular financial year, </w:t>
      </w:r>
      <w:r w:rsidR="00904515">
        <w:t>the lower amount will</w:t>
      </w:r>
      <w:r w:rsidR="00127D76">
        <w:t xml:space="preserve"> </w:t>
      </w:r>
      <w:r>
        <w:t>be payable for that year</w:t>
      </w:r>
      <w:r w:rsidR="00127D76">
        <w:t>.</w:t>
      </w:r>
    </w:p>
    <w:p w:rsidR="00127D76" w:rsidRDefault="00127D76" w:rsidP="00084325"/>
    <w:p w:rsidR="00BA6970" w:rsidRDefault="00BA6970" w:rsidP="00BA6970">
      <w:pPr>
        <w:rPr>
          <w:color w:val="000000"/>
          <w:szCs w:val="24"/>
        </w:rPr>
      </w:pPr>
      <w:r>
        <w:rPr>
          <w:color w:val="000000"/>
          <w:szCs w:val="24"/>
        </w:rPr>
        <w:t xml:space="preserve">The imposition of the two different levels of annual charge broadly reflects the need for the TG to commit resources to the post-market monitoring of these types of medicines.  </w:t>
      </w:r>
    </w:p>
    <w:p w:rsidR="00BA6970" w:rsidRDefault="00BA6970" w:rsidP="00084325"/>
    <w:p w:rsidR="00956B5A" w:rsidRDefault="00127D76" w:rsidP="00084325">
      <w:r>
        <w:t>The circumstances</w:t>
      </w:r>
      <w:r w:rsidR="00F93BB8">
        <w:t xml:space="preserve"> </w:t>
      </w:r>
      <w:r w:rsidR="00904515">
        <w:t>in which the higher amount will</w:t>
      </w:r>
      <w:r>
        <w:t xml:space="preserve"> apply f</w:t>
      </w:r>
      <w:r w:rsidR="00072DA1">
        <w:t>or the registration of a</w:t>
      </w:r>
      <w:r>
        <w:t xml:space="preserve"> prescription </w:t>
      </w:r>
      <w:r w:rsidR="00072DA1">
        <w:t xml:space="preserve">chemical </w:t>
      </w:r>
      <w:r>
        <w:t xml:space="preserve">medicine </w:t>
      </w:r>
      <w:r w:rsidR="00A34D1C">
        <w:t xml:space="preserve">for a charge year </w:t>
      </w:r>
      <w:r w:rsidR="00956B5A">
        <w:t>are outlined below.</w:t>
      </w:r>
    </w:p>
    <w:p w:rsidR="00965C19" w:rsidRDefault="00EB2323" w:rsidP="00084325">
      <w:r>
        <w:t xml:space="preserve"> </w:t>
      </w:r>
    </w:p>
    <w:p w:rsidR="00956B5A" w:rsidRPr="00956B5A" w:rsidRDefault="00956B5A" w:rsidP="00956B5A">
      <w:pPr>
        <w:rPr>
          <w:b/>
        </w:rPr>
      </w:pPr>
      <w:r w:rsidRPr="00956B5A">
        <w:rPr>
          <w:b/>
        </w:rPr>
        <w:t xml:space="preserve">Medicines containing specified </w:t>
      </w:r>
      <w:r w:rsidR="00BC499A">
        <w:rPr>
          <w:b/>
        </w:rPr>
        <w:t>active ingredients</w:t>
      </w:r>
      <w:r w:rsidR="0091435C">
        <w:rPr>
          <w:b/>
        </w:rPr>
        <w:t xml:space="preserve"> – </w:t>
      </w:r>
      <w:r w:rsidRPr="00956B5A">
        <w:rPr>
          <w:b/>
        </w:rPr>
        <w:t>subregulation 4(3)</w:t>
      </w:r>
    </w:p>
    <w:p w:rsidR="00DB4931" w:rsidRDefault="00A34D1C" w:rsidP="00956B5A">
      <w:r>
        <w:t xml:space="preserve">This subregulation </w:t>
      </w:r>
      <w:r w:rsidR="00655A97">
        <w:t xml:space="preserve">covers </w:t>
      </w:r>
      <w:r w:rsidR="00072DA1">
        <w:t xml:space="preserve">prescription chemical </w:t>
      </w:r>
      <w:r w:rsidR="003936E1">
        <w:t>m</w:t>
      </w:r>
      <w:r w:rsidR="005A0AF9">
        <w:t>edicines</w:t>
      </w:r>
      <w:r w:rsidR="00CA7D07">
        <w:t xml:space="preserve"> </w:t>
      </w:r>
      <w:r w:rsidR="00956B5A">
        <w:t xml:space="preserve">that </w:t>
      </w:r>
      <w:r w:rsidR="00CA7D07">
        <w:t>contain any of s</w:t>
      </w:r>
      <w:r w:rsidR="00904515">
        <w:t>ix specified active ingredients</w:t>
      </w:r>
      <w:r w:rsidR="00CA7D07">
        <w:t xml:space="preserve"> - thalidomide, leflunomide, lenalidomide, </w:t>
      </w:r>
      <w:r w:rsidR="00F93BB8">
        <w:t>mifepristone, clozapine or isotretinoin</w:t>
      </w:r>
      <w:r w:rsidR="003936E1">
        <w:t xml:space="preserve">.  Such medicines </w:t>
      </w:r>
      <w:r w:rsidR="00904515">
        <w:t>will</w:t>
      </w:r>
      <w:r w:rsidR="00956B5A">
        <w:t xml:space="preserve"> attract the higher amount </w:t>
      </w:r>
      <w:r>
        <w:t xml:space="preserve">for each charge year </w:t>
      </w:r>
      <w:r w:rsidR="00956B5A">
        <w:t>while entered in the Register, irrespective of the number of</w:t>
      </w:r>
      <w:r w:rsidR="003936E1">
        <w:t xml:space="preserve"> years they have been entered, because </w:t>
      </w:r>
      <w:r w:rsidR="00AA4029">
        <w:t xml:space="preserve">of the serious nature of the adverse events that may be associated with the use of </w:t>
      </w:r>
      <w:r w:rsidR="003936E1">
        <w:t>the</w:t>
      </w:r>
      <w:r w:rsidR="00AA4029">
        <w:t>se</w:t>
      </w:r>
      <w:r w:rsidR="00DB4931">
        <w:t xml:space="preserve"> </w:t>
      </w:r>
      <w:r w:rsidR="00F93BB8">
        <w:t>i</w:t>
      </w:r>
      <w:r w:rsidR="00BA6970">
        <w:t>ngredients</w:t>
      </w:r>
      <w:r w:rsidR="00AA4029">
        <w:t>.  Ongoing high level monitoring and intervention is required to ensure that these risks are reduced for use</w:t>
      </w:r>
      <w:r w:rsidR="00963BE5">
        <w:t>rs of such medicines.</w:t>
      </w:r>
    </w:p>
    <w:p w:rsidR="00956B5A" w:rsidRDefault="00956B5A" w:rsidP="00956B5A"/>
    <w:p w:rsidR="0041758D" w:rsidRDefault="00956B5A" w:rsidP="00E2429C">
      <w:pPr>
        <w:keepNext/>
        <w:rPr>
          <w:b/>
        </w:rPr>
      </w:pPr>
      <w:r w:rsidRPr="00956B5A">
        <w:rPr>
          <w:b/>
        </w:rPr>
        <w:t xml:space="preserve">New chemical entities, extensions of indications </w:t>
      </w:r>
      <w:r w:rsidR="00DE1949">
        <w:rPr>
          <w:b/>
        </w:rPr>
        <w:t xml:space="preserve">and </w:t>
      </w:r>
      <w:r w:rsidRPr="00956B5A">
        <w:rPr>
          <w:b/>
        </w:rPr>
        <w:t xml:space="preserve">new </w:t>
      </w:r>
      <w:r w:rsidR="00DE1949">
        <w:rPr>
          <w:b/>
        </w:rPr>
        <w:t xml:space="preserve">intended </w:t>
      </w:r>
      <w:r w:rsidR="0091435C">
        <w:rPr>
          <w:b/>
        </w:rPr>
        <w:t xml:space="preserve">patient groups – </w:t>
      </w:r>
      <w:r w:rsidRPr="00956B5A">
        <w:rPr>
          <w:b/>
        </w:rPr>
        <w:t>subregulation 4(4)</w:t>
      </w:r>
    </w:p>
    <w:p w:rsidR="0088720A" w:rsidRDefault="00DE1949" w:rsidP="00956B5A">
      <w:r>
        <w:t>This subregulation</w:t>
      </w:r>
      <w:r w:rsidR="00655A97">
        <w:t xml:space="preserve"> covers </w:t>
      </w:r>
      <w:r w:rsidR="00072DA1">
        <w:t xml:space="preserve">prescription chemical </w:t>
      </w:r>
      <w:r w:rsidR="003936E1">
        <w:t>m</w:t>
      </w:r>
      <w:r w:rsidR="005A0AF9">
        <w:t xml:space="preserve">edicines </w:t>
      </w:r>
      <w:r w:rsidR="00117C9D">
        <w:t>registered on or after 1 July 2015</w:t>
      </w:r>
      <w:r w:rsidR="00956B5A">
        <w:t xml:space="preserve">, </w:t>
      </w:r>
      <w:r w:rsidR="00314ED3">
        <w:t xml:space="preserve">that </w:t>
      </w:r>
      <w:r w:rsidR="00956B5A">
        <w:t xml:space="preserve">have been registered for less than 8 years as at </w:t>
      </w:r>
      <w:r w:rsidR="00A34D1C">
        <w:t xml:space="preserve">1 July in </w:t>
      </w:r>
      <w:r w:rsidR="00956B5A">
        <w:t>the charge year</w:t>
      </w:r>
      <w:r w:rsidR="00117C9D">
        <w:t xml:space="preserve"> and </w:t>
      </w:r>
      <w:r w:rsidR="003936E1">
        <w:t xml:space="preserve">that </w:t>
      </w:r>
      <w:r w:rsidR="00117C9D">
        <w:t>either</w:t>
      </w:r>
      <w:r w:rsidR="0088720A">
        <w:t>:</w:t>
      </w:r>
    </w:p>
    <w:p w:rsidR="003936E1" w:rsidRDefault="00314ED3" w:rsidP="0088720A">
      <w:pPr>
        <w:pStyle w:val="ListParagraph"/>
        <w:numPr>
          <w:ilvl w:val="0"/>
          <w:numId w:val="9"/>
        </w:numPr>
        <w:ind w:left="567" w:hanging="567"/>
      </w:pPr>
      <w:r>
        <w:t xml:space="preserve">are </w:t>
      </w:r>
      <w:r w:rsidR="00117C9D">
        <w:t xml:space="preserve">new chemical entities (as defined in Part 1 of Schedule 9 to the TG Regulations – </w:t>
      </w:r>
      <w:r w:rsidR="00C168DB">
        <w:t xml:space="preserve">relevantly, </w:t>
      </w:r>
      <w:r w:rsidR="00117C9D">
        <w:t>this term covers</w:t>
      </w:r>
      <w:r w:rsidR="00C168DB">
        <w:t xml:space="preserve"> for example</w:t>
      </w:r>
      <w:r w:rsidR="00117C9D">
        <w:t xml:space="preserve"> new chemical or radiopharmaceutical substances not previously included in a medicine in the Register, and isomers, derivatives or salts of </w:t>
      </w:r>
      <w:r w:rsidR="00C168DB">
        <w:t xml:space="preserve">an already-known </w:t>
      </w:r>
      <w:r w:rsidR="00117C9D">
        <w:t>chemical or radiopharmaceutical</w:t>
      </w:r>
      <w:r w:rsidR="00C168DB">
        <w:t xml:space="preserve"> substance)</w:t>
      </w:r>
      <w:r w:rsidR="003936E1">
        <w:t>;</w:t>
      </w:r>
      <w:r w:rsidR="00C168DB">
        <w:t xml:space="preserve"> or</w:t>
      </w:r>
      <w:r w:rsidR="00956B5A">
        <w:t xml:space="preserve"> </w:t>
      </w:r>
    </w:p>
    <w:p w:rsidR="00956B5A" w:rsidRDefault="00314ED3" w:rsidP="0088720A">
      <w:pPr>
        <w:pStyle w:val="ListParagraph"/>
        <w:numPr>
          <w:ilvl w:val="0"/>
          <w:numId w:val="9"/>
        </w:numPr>
        <w:ind w:left="567" w:hanging="567"/>
      </w:pPr>
      <w:r>
        <w:lastRenderedPageBreak/>
        <w:t xml:space="preserve">are </w:t>
      </w:r>
      <w:r w:rsidR="00C168DB">
        <w:t xml:space="preserve">separate and distinct from another registered medicine because of an extension of an indication </w:t>
      </w:r>
      <w:r w:rsidR="008531F9">
        <w:t xml:space="preserve">(other than an extension of an indication to which regulation 16G of the TG Regulations applies) </w:t>
      </w:r>
      <w:r w:rsidR="00C168DB">
        <w:t>or a change to the intended patient group</w:t>
      </w:r>
      <w:r w:rsidR="00956B5A">
        <w:t xml:space="preserve"> (</w:t>
      </w:r>
      <w:r w:rsidR="004B1A78">
        <w:t>within the meaning of paragraph (e) of the definition of ‘major variation’ in subclause 1(1) of Schedule 9 of the TG Regulations)</w:t>
      </w:r>
      <w:r w:rsidR="003936E1">
        <w:t>.</w:t>
      </w:r>
    </w:p>
    <w:p w:rsidR="003936E1" w:rsidRDefault="003936E1" w:rsidP="00956B5A"/>
    <w:p w:rsidR="00314ED3" w:rsidRDefault="00314ED3" w:rsidP="00956B5A">
      <w:r>
        <w:t xml:space="preserve">Collectively, medicines in either </w:t>
      </w:r>
      <w:r w:rsidR="00904515">
        <w:t>of the above categories are</w:t>
      </w:r>
      <w:r>
        <w:t xml:space="preserve"> defined as ‘relevant </w:t>
      </w:r>
      <w:r w:rsidR="00072DA1">
        <w:t>goods</w:t>
      </w:r>
      <w:r>
        <w:t>’ in proposed subregulation 4(9)).</w:t>
      </w:r>
    </w:p>
    <w:p w:rsidR="00314ED3" w:rsidRDefault="00314ED3" w:rsidP="00956B5A"/>
    <w:p w:rsidR="009B70C0" w:rsidRDefault="009B70C0" w:rsidP="00956B5A">
      <w:r>
        <w:t>The post-market monitoring required in relation to ensuring the safety of prescription chemical medicines in these categories is more intensive than would be required for medicines that have been in the market for longer, due to the limited use of medicines in these categories in relevant populations.</w:t>
      </w:r>
    </w:p>
    <w:p w:rsidR="0062448D" w:rsidRDefault="0062448D" w:rsidP="00956B5A"/>
    <w:p w:rsidR="003936E1" w:rsidRDefault="004B1A78" w:rsidP="00956B5A">
      <w:r>
        <w:t xml:space="preserve">If </w:t>
      </w:r>
      <w:r w:rsidR="00314ED3">
        <w:t xml:space="preserve">such </w:t>
      </w:r>
      <w:r w:rsidR="00A34D1C">
        <w:t xml:space="preserve">medicines </w:t>
      </w:r>
      <w:r w:rsidR="00314ED3">
        <w:t xml:space="preserve">have passed the </w:t>
      </w:r>
      <w:r w:rsidR="00D408E3">
        <w:t>8</w:t>
      </w:r>
      <w:r w:rsidR="00A34D1C">
        <w:t>t</w:t>
      </w:r>
      <w:r w:rsidR="00314ED3">
        <w:t>h anniversary of their registration</w:t>
      </w:r>
      <w:r w:rsidR="00A34D1C">
        <w:t xml:space="preserve"> as at 1 July in the charge year</w:t>
      </w:r>
      <w:r w:rsidR="00904515">
        <w:t xml:space="preserve">, </w:t>
      </w:r>
      <w:r w:rsidR="00314ED3">
        <w:t xml:space="preserve">they would no longer </w:t>
      </w:r>
      <w:r w:rsidR="00CE0BB9">
        <w:t xml:space="preserve">come within </w:t>
      </w:r>
      <w:r w:rsidR="00BC499A">
        <w:t>subregulation 4(4)</w:t>
      </w:r>
      <w:r w:rsidR="00A34D1C">
        <w:t xml:space="preserve">.  Provided </w:t>
      </w:r>
      <w:r w:rsidR="00BC499A">
        <w:t xml:space="preserve">they </w:t>
      </w:r>
      <w:r w:rsidR="00A34D1C">
        <w:t xml:space="preserve">were </w:t>
      </w:r>
      <w:r w:rsidR="00BC499A">
        <w:t xml:space="preserve">not, at that point, </w:t>
      </w:r>
      <w:r w:rsidR="00A34D1C">
        <w:t>covered by any of the circumstances described in subregulations (5) to (8),</w:t>
      </w:r>
      <w:r w:rsidR="00BC499A">
        <w:t xml:space="preserve"> </w:t>
      </w:r>
      <w:r w:rsidR="00A34D1C">
        <w:t xml:space="preserve">they </w:t>
      </w:r>
      <w:r w:rsidR="00BC499A">
        <w:t xml:space="preserve">would then move to the lower amount of annual charge. </w:t>
      </w:r>
    </w:p>
    <w:p w:rsidR="003936E1" w:rsidRDefault="003936E1" w:rsidP="00956B5A"/>
    <w:p w:rsidR="003936E1" w:rsidRPr="00BC499A" w:rsidRDefault="00BC499A" w:rsidP="00956B5A">
      <w:pPr>
        <w:rPr>
          <w:b/>
        </w:rPr>
      </w:pPr>
      <w:r w:rsidRPr="00BC499A">
        <w:rPr>
          <w:b/>
        </w:rPr>
        <w:t xml:space="preserve">Medicines whose </w:t>
      </w:r>
      <w:r w:rsidR="00A34D1C">
        <w:rPr>
          <w:b/>
        </w:rPr>
        <w:t>‘</w:t>
      </w:r>
      <w:r w:rsidRPr="00BC499A">
        <w:rPr>
          <w:b/>
        </w:rPr>
        <w:t>parent</w:t>
      </w:r>
      <w:r>
        <w:rPr>
          <w:b/>
        </w:rPr>
        <w:t xml:space="preserve"> good</w:t>
      </w:r>
      <w:r w:rsidRPr="00BC499A">
        <w:rPr>
          <w:b/>
        </w:rPr>
        <w:t>s</w:t>
      </w:r>
      <w:r w:rsidR="00A34D1C">
        <w:rPr>
          <w:b/>
        </w:rPr>
        <w:t>’</w:t>
      </w:r>
      <w:r w:rsidRPr="00BC499A">
        <w:rPr>
          <w:b/>
        </w:rPr>
        <w:t xml:space="preserve"> have been registered for less than 8 years</w:t>
      </w:r>
      <w:r w:rsidR="0091435C">
        <w:rPr>
          <w:b/>
        </w:rPr>
        <w:t xml:space="preserve"> –</w:t>
      </w:r>
      <w:r w:rsidR="004F11D2">
        <w:rPr>
          <w:b/>
        </w:rPr>
        <w:t xml:space="preserve"> subregulation 4(5)</w:t>
      </w:r>
    </w:p>
    <w:p w:rsidR="00314ED3" w:rsidRDefault="00A34D1C" w:rsidP="00956B5A">
      <w:r>
        <w:t xml:space="preserve">This subregulation </w:t>
      </w:r>
      <w:r w:rsidR="00655A97">
        <w:t xml:space="preserve">covers </w:t>
      </w:r>
      <w:r w:rsidR="00072DA1">
        <w:t>prescription chemical medicines registered on or after 1 July 2015 that are not relevant goods (as described above</w:t>
      </w:r>
      <w:r w:rsidR="0001421B">
        <w:t>)</w:t>
      </w:r>
      <w:r w:rsidR="00A8610F">
        <w:t xml:space="preserve"> and whose </w:t>
      </w:r>
      <w:r>
        <w:t>‘</w:t>
      </w:r>
      <w:r w:rsidR="00A8610F">
        <w:t>parent goods</w:t>
      </w:r>
      <w:r>
        <w:t>’</w:t>
      </w:r>
      <w:r w:rsidR="00A8610F">
        <w:t xml:space="preserve"> have been registered for less than </w:t>
      </w:r>
      <w:r w:rsidR="00D408E3">
        <w:t>8</w:t>
      </w:r>
      <w:r w:rsidR="00A8610F">
        <w:t xml:space="preserve"> years</w:t>
      </w:r>
      <w:r>
        <w:t xml:space="preserve"> as at 1 July in the charge year</w:t>
      </w:r>
      <w:r w:rsidR="00A8610F">
        <w:t>.</w:t>
      </w:r>
    </w:p>
    <w:p w:rsidR="00A8610F" w:rsidRDefault="00A8610F" w:rsidP="00956B5A"/>
    <w:p w:rsidR="00153A0A" w:rsidRDefault="00DC7474" w:rsidP="00956B5A">
      <w:r>
        <w:t xml:space="preserve">Under subregulation 4(9) a prescription chemical medicine will be </w:t>
      </w:r>
      <w:r w:rsidR="00A8610F">
        <w:t>‘</w:t>
      </w:r>
      <w:r>
        <w:t>p</w:t>
      </w:r>
      <w:r w:rsidR="00A8610F">
        <w:t>arent goods’</w:t>
      </w:r>
      <w:r w:rsidR="0031303D">
        <w:t xml:space="preserve">, in relation to </w:t>
      </w:r>
      <w:r w:rsidR="004B1A78">
        <w:t>an</w:t>
      </w:r>
      <w:r w:rsidR="0031303D">
        <w:t>other medicine</w:t>
      </w:r>
      <w:r>
        <w:t xml:space="preserve"> if</w:t>
      </w:r>
      <w:r w:rsidR="00153A0A">
        <w:t>:</w:t>
      </w:r>
    </w:p>
    <w:p w:rsidR="00153A0A" w:rsidRDefault="00DC7474" w:rsidP="004F11D2">
      <w:pPr>
        <w:pStyle w:val="ListParagraph"/>
        <w:numPr>
          <w:ilvl w:val="0"/>
          <w:numId w:val="10"/>
        </w:numPr>
        <w:ind w:left="567" w:hanging="567"/>
      </w:pPr>
      <w:r>
        <w:t xml:space="preserve">the prescription chemical medicine is </w:t>
      </w:r>
      <w:r w:rsidR="00153A0A">
        <w:t>relevant goods (as described above); and</w:t>
      </w:r>
    </w:p>
    <w:p w:rsidR="00A8610F" w:rsidRDefault="00DC7474" w:rsidP="004F11D2">
      <w:pPr>
        <w:pStyle w:val="ListParagraph"/>
        <w:numPr>
          <w:ilvl w:val="0"/>
          <w:numId w:val="10"/>
        </w:numPr>
        <w:ind w:left="567" w:hanging="567"/>
      </w:pPr>
      <w:r>
        <w:t xml:space="preserve">is </w:t>
      </w:r>
      <w:r w:rsidR="00A8610F">
        <w:t>registered bef</w:t>
      </w:r>
      <w:r w:rsidR="00153A0A">
        <w:t xml:space="preserve">ore </w:t>
      </w:r>
      <w:r>
        <w:t xml:space="preserve">the </w:t>
      </w:r>
      <w:r w:rsidR="00153A0A">
        <w:t>other medicine; and</w:t>
      </w:r>
    </w:p>
    <w:p w:rsidR="00153A0A" w:rsidRDefault="00DC7474" w:rsidP="004F11D2">
      <w:pPr>
        <w:pStyle w:val="ListParagraph"/>
        <w:numPr>
          <w:ilvl w:val="0"/>
          <w:numId w:val="10"/>
        </w:numPr>
        <w:ind w:left="567" w:hanging="567"/>
      </w:pPr>
      <w:r>
        <w:t xml:space="preserve">has </w:t>
      </w:r>
      <w:r w:rsidR="00153A0A">
        <w:t xml:space="preserve">the same active ingredient (or, in the case of multiple active ingredients, the same active ingredients in the same quantities) as </w:t>
      </w:r>
      <w:r w:rsidR="0031303D">
        <w:t xml:space="preserve">the </w:t>
      </w:r>
      <w:r w:rsidR="00153A0A">
        <w:t>other medicine; and</w:t>
      </w:r>
    </w:p>
    <w:p w:rsidR="00153A0A" w:rsidRDefault="00153A0A" w:rsidP="004F11D2">
      <w:pPr>
        <w:pStyle w:val="ListParagraph"/>
        <w:numPr>
          <w:ilvl w:val="0"/>
          <w:numId w:val="10"/>
        </w:numPr>
        <w:ind w:left="567" w:hanging="567"/>
      </w:pPr>
      <w:r>
        <w:t>at the time the registration</w:t>
      </w:r>
      <w:r w:rsidR="004F11D2">
        <w:t xml:space="preserve"> of </w:t>
      </w:r>
      <w:r w:rsidR="0031303D">
        <w:t xml:space="preserve">the </w:t>
      </w:r>
      <w:r w:rsidR="004F11D2">
        <w:t>other medicine</w:t>
      </w:r>
      <w:r w:rsidR="00DC7474">
        <w:t xml:space="preserve"> commenced</w:t>
      </w:r>
      <w:r w:rsidR="004F11D2">
        <w:t xml:space="preserve">, </w:t>
      </w:r>
      <w:r w:rsidR="004B1A78">
        <w:t xml:space="preserve">the other medicine is </w:t>
      </w:r>
      <w:r w:rsidR="004F11D2">
        <w:t>registered to the same sponsor</w:t>
      </w:r>
      <w:r w:rsidR="00DC7474">
        <w:t xml:space="preserve"> as the prescription chemical medicine</w:t>
      </w:r>
      <w:r w:rsidR="004F11D2">
        <w:t xml:space="preserve"> or </w:t>
      </w:r>
      <w:r w:rsidR="00DC7474">
        <w:t xml:space="preserve">a </w:t>
      </w:r>
      <w:r w:rsidR="00655A97">
        <w:t xml:space="preserve">person </w:t>
      </w:r>
      <w:r w:rsidR="004F11D2">
        <w:t>authorised by that sponsor.</w:t>
      </w:r>
    </w:p>
    <w:p w:rsidR="00314ED3" w:rsidRDefault="00314ED3" w:rsidP="00956B5A"/>
    <w:p w:rsidR="00E82F11" w:rsidRDefault="00E82F11" w:rsidP="00956B5A">
      <w:r>
        <w:t>This subregulation covers registered chemical prescription medicines that are separate and distinct goods from other registered chemical prescription medicines by reason of subsection 16(1) of the TG Act</w:t>
      </w:r>
      <w:r w:rsidR="00DC7474">
        <w:t xml:space="preserve"> provided they are not </w:t>
      </w:r>
      <w:r w:rsidR="00E2429C">
        <w:t>relevant</w:t>
      </w:r>
      <w:r w:rsidR="00DC7474">
        <w:t xml:space="preserve"> goods</w:t>
      </w:r>
      <w:r>
        <w:t xml:space="preserve">.  </w:t>
      </w:r>
    </w:p>
    <w:p w:rsidR="00E82F11" w:rsidRDefault="00E82F11" w:rsidP="00956B5A"/>
    <w:p w:rsidR="00D408E3" w:rsidRDefault="00E82F11" w:rsidP="00956B5A">
      <w:r>
        <w:t xml:space="preserve">Thus </w:t>
      </w:r>
      <w:r w:rsidR="004F11D2">
        <w:t>medicines covered by pr</w:t>
      </w:r>
      <w:r w:rsidR="00397FFD">
        <w:t xml:space="preserve">oposed subregulation 4(5) </w:t>
      </w:r>
      <w:r w:rsidR="00655A97">
        <w:t>include</w:t>
      </w:r>
      <w:r w:rsidR="00397FFD">
        <w:t>s</w:t>
      </w:r>
      <w:r w:rsidR="00655A97">
        <w:t xml:space="preserve"> </w:t>
      </w:r>
      <w:r w:rsidR="004F11D2">
        <w:t xml:space="preserve">those that are </w:t>
      </w:r>
      <w:r w:rsidR="00655A97">
        <w:t>‘</w:t>
      </w:r>
      <w:r w:rsidR="008842F1">
        <w:t>clones</w:t>
      </w:r>
      <w:r w:rsidR="00655A97">
        <w:t>’</w:t>
      </w:r>
      <w:r w:rsidR="008842F1">
        <w:t xml:space="preserve"> </w:t>
      </w:r>
      <w:r w:rsidR="00DC7474">
        <w:t xml:space="preserve">(i.e. a different name) </w:t>
      </w:r>
      <w:r w:rsidR="008842F1">
        <w:t xml:space="preserve">of a parent </w:t>
      </w:r>
      <w:r w:rsidR="00655A97">
        <w:t xml:space="preserve">medicine </w:t>
      </w:r>
      <w:r>
        <w:t>(</w:t>
      </w:r>
      <w:r w:rsidR="00DC7474">
        <w:t xml:space="preserve">i.e. </w:t>
      </w:r>
      <w:r w:rsidR="004F11D2">
        <w:t xml:space="preserve">that is either a new chemical entity, new extension of indication or a new </w:t>
      </w:r>
      <w:r w:rsidR="00DC7474">
        <w:t xml:space="preserve">intended </w:t>
      </w:r>
      <w:r w:rsidR="004F11D2">
        <w:t>patient group</w:t>
      </w:r>
      <w:r w:rsidR="00DC7474">
        <w:t>)</w:t>
      </w:r>
      <w:r w:rsidR="004F11D2">
        <w:t xml:space="preserve"> that ha</w:t>
      </w:r>
      <w:r w:rsidR="0062448D">
        <w:t>ve</w:t>
      </w:r>
      <w:r w:rsidR="004F11D2">
        <w:t xml:space="preserve"> been </w:t>
      </w:r>
      <w:r w:rsidR="00C81E54">
        <w:t xml:space="preserve">registered for less than </w:t>
      </w:r>
      <w:r w:rsidR="00D408E3">
        <w:t>8</w:t>
      </w:r>
      <w:r w:rsidR="00C81E54">
        <w:t xml:space="preserve"> years</w:t>
      </w:r>
      <w:r w:rsidR="00397FFD">
        <w:t xml:space="preserve">.  Subregulation 4(5) </w:t>
      </w:r>
      <w:r w:rsidR="0062448D">
        <w:t>also cover</w:t>
      </w:r>
      <w:r w:rsidR="00397FFD">
        <w:t>s</w:t>
      </w:r>
      <w:r w:rsidR="0062448D">
        <w:t xml:space="preserve"> </w:t>
      </w:r>
      <w:r>
        <w:t>new dosage forms or different strengths of such a parent medicine</w:t>
      </w:r>
      <w:r w:rsidR="00C81E54">
        <w:t xml:space="preserve">. </w:t>
      </w:r>
    </w:p>
    <w:p w:rsidR="00D408E3" w:rsidRDefault="00D408E3" w:rsidP="00956B5A"/>
    <w:p w:rsidR="00961C3E" w:rsidRDefault="00961C3E" w:rsidP="00956B5A">
      <w:r>
        <w:t xml:space="preserve">As such, the same post-market considerations applying to the parent product </w:t>
      </w:r>
      <w:r w:rsidR="00DC7474">
        <w:t xml:space="preserve">for the first 8 year period of the parent’s registration </w:t>
      </w:r>
      <w:r w:rsidR="00397FFD">
        <w:t>equally applies</w:t>
      </w:r>
      <w:r>
        <w:t xml:space="preserve"> to these </w:t>
      </w:r>
      <w:r w:rsidR="00E82F11">
        <w:t xml:space="preserve">new </w:t>
      </w:r>
      <w:r>
        <w:t>products.</w:t>
      </w:r>
      <w:r w:rsidR="00DC7474">
        <w:t xml:space="preserve">  Thus, under this subregulation, if the ‘clone’ of the parent medicine was registered 4 years after the registration of the parent medicine, then the annual ch</w:t>
      </w:r>
      <w:r w:rsidR="00397FFD">
        <w:t>arge payable for the clone will</w:t>
      </w:r>
      <w:r w:rsidR="00DC7474">
        <w:t xml:space="preserve"> be the </w:t>
      </w:r>
      <w:r w:rsidR="00DC7474">
        <w:lastRenderedPageBreak/>
        <w:t>higher amount only for so long as the annual charge for the parent was the higher amount</w:t>
      </w:r>
      <w:r w:rsidR="0062448D">
        <w:t xml:space="preserve"> (subject to the application of other subregulations such as 4(6))</w:t>
      </w:r>
      <w:r w:rsidR="00DC7474">
        <w:t>.</w:t>
      </w:r>
    </w:p>
    <w:p w:rsidR="00F920FB" w:rsidRDefault="00F920FB" w:rsidP="00084325">
      <w:pPr>
        <w:rPr>
          <w:b/>
        </w:rPr>
      </w:pPr>
    </w:p>
    <w:p w:rsidR="00965C19" w:rsidRDefault="00D408E3" w:rsidP="00084325">
      <w:pPr>
        <w:rPr>
          <w:b/>
        </w:rPr>
      </w:pPr>
      <w:r w:rsidRPr="00D408E3">
        <w:rPr>
          <w:b/>
        </w:rPr>
        <w:t>Grouped medicines as a result of extensions of indications or changes to in</w:t>
      </w:r>
      <w:r w:rsidR="0091435C">
        <w:rPr>
          <w:b/>
        </w:rPr>
        <w:t xml:space="preserve">tended patient group – </w:t>
      </w:r>
      <w:r w:rsidRPr="00D408E3">
        <w:rPr>
          <w:b/>
        </w:rPr>
        <w:t>subregulation 4(6)</w:t>
      </w:r>
    </w:p>
    <w:p w:rsidR="00B4622C" w:rsidRDefault="00A96C1C" w:rsidP="00F42A9C">
      <w:pPr>
        <w:rPr>
          <w:szCs w:val="24"/>
        </w:rPr>
      </w:pPr>
      <w:r>
        <w:rPr>
          <w:szCs w:val="24"/>
        </w:rPr>
        <w:t xml:space="preserve">This subregulation covers </w:t>
      </w:r>
      <w:r w:rsidR="00D408E3">
        <w:rPr>
          <w:szCs w:val="24"/>
        </w:rPr>
        <w:t xml:space="preserve">prescription chemical medicines </w:t>
      </w:r>
      <w:r w:rsidR="00B4622C">
        <w:rPr>
          <w:szCs w:val="24"/>
        </w:rPr>
        <w:t xml:space="preserve">that </w:t>
      </w:r>
      <w:r>
        <w:rPr>
          <w:szCs w:val="24"/>
        </w:rPr>
        <w:t xml:space="preserve">as at 1 July in the charge year </w:t>
      </w:r>
      <w:r w:rsidR="00B4622C">
        <w:rPr>
          <w:szCs w:val="24"/>
        </w:rPr>
        <w:t xml:space="preserve">are </w:t>
      </w:r>
      <w:r>
        <w:rPr>
          <w:szCs w:val="24"/>
        </w:rPr>
        <w:t xml:space="preserve">grouped (i.e. there is more than one </w:t>
      </w:r>
      <w:r w:rsidR="00034254">
        <w:rPr>
          <w:szCs w:val="24"/>
        </w:rPr>
        <w:t xml:space="preserve">prescription chemical </w:t>
      </w:r>
      <w:r>
        <w:rPr>
          <w:szCs w:val="24"/>
        </w:rPr>
        <w:t xml:space="preserve">medicine that has the same registration number by reason of subsection 27(2) of the TG Act) in certain circumstances.   These circumstances are that </w:t>
      </w:r>
      <w:r w:rsidR="00034254">
        <w:rPr>
          <w:szCs w:val="24"/>
        </w:rPr>
        <w:t xml:space="preserve">one or more of the grouped prescription chemical medicines are </w:t>
      </w:r>
      <w:r w:rsidR="00B4622C">
        <w:rPr>
          <w:szCs w:val="24"/>
        </w:rPr>
        <w:t>relevant goods (as described above)</w:t>
      </w:r>
      <w:r>
        <w:rPr>
          <w:szCs w:val="24"/>
        </w:rPr>
        <w:t xml:space="preserve"> </w:t>
      </w:r>
      <w:r w:rsidR="00034254">
        <w:rPr>
          <w:szCs w:val="24"/>
        </w:rPr>
        <w:t xml:space="preserve">and were grouped </w:t>
      </w:r>
      <w:r w:rsidR="009F26C4">
        <w:rPr>
          <w:szCs w:val="24"/>
        </w:rPr>
        <w:t xml:space="preserve">on or after 1 July 2015 and that </w:t>
      </w:r>
      <w:r w:rsidR="00034254">
        <w:rPr>
          <w:szCs w:val="24"/>
        </w:rPr>
        <w:t xml:space="preserve">as at 1 July in the charge year, </w:t>
      </w:r>
      <w:r w:rsidR="004E0A87">
        <w:rPr>
          <w:szCs w:val="24"/>
        </w:rPr>
        <w:t xml:space="preserve">it has been less than 8 years since </w:t>
      </w:r>
      <w:r w:rsidR="00034254">
        <w:rPr>
          <w:szCs w:val="24"/>
        </w:rPr>
        <w:t xml:space="preserve">each of those relevant goods was </w:t>
      </w:r>
      <w:r w:rsidR="004E0A87">
        <w:rPr>
          <w:szCs w:val="24"/>
        </w:rPr>
        <w:t>registered</w:t>
      </w:r>
      <w:r w:rsidR="009F26C4">
        <w:rPr>
          <w:szCs w:val="24"/>
        </w:rPr>
        <w:t>.</w:t>
      </w:r>
    </w:p>
    <w:p w:rsidR="00B4622C" w:rsidRDefault="00B4622C" w:rsidP="00F42A9C">
      <w:pPr>
        <w:rPr>
          <w:szCs w:val="24"/>
        </w:rPr>
      </w:pPr>
    </w:p>
    <w:p w:rsidR="00D408E3" w:rsidRDefault="004E0A87" w:rsidP="004E0A87">
      <w:pPr>
        <w:rPr>
          <w:szCs w:val="24"/>
        </w:rPr>
      </w:pPr>
      <w:r>
        <w:rPr>
          <w:szCs w:val="24"/>
        </w:rPr>
        <w:t>Because the grouping of the relevant goods must have occurred on or after 1 July 2015</w:t>
      </w:r>
      <w:r w:rsidR="00DC7474">
        <w:rPr>
          <w:szCs w:val="24"/>
        </w:rPr>
        <w:t xml:space="preserve"> and the grouping must have occurred before 1 July in the charge year</w:t>
      </w:r>
      <w:r>
        <w:rPr>
          <w:szCs w:val="24"/>
        </w:rPr>
        <w:t xml:space="preserve">, this </w:t>
      </w:r>
      <w:r w:rsidR="00034254">
        <w:rPr>
          <w:szCs w:val="24"/>
        </w:rPr>
        <w:t xml:space="preserve">subregulation only applies if the </w:t>
      </w:r>
      <w:r w:rsidR="0016321A">
        <w:rPr>
          <w:szCs w:val="24"/>
        </w:rPr>
        <w:t>charge year is 2016-17 or later.</w:t>
      </w:r>
      <w:r w:rsidR="00A96C1C">
        <w:rPr>
          <w:szCs w:val="24"/>
        </w:rPr>
        <w:t xml:space="preserve">  </w:t>
      </w:r>
    </w:p>
    <w:p w:rsidR="008842F1" w:rsidRDefault="008842F1" w:rsidP="00F42A9C">
      <w:pPr>
        <w:rPr>
          <w:szCs w:val="24"/>
        </w:rPr>
      </w:pPr>
    </w:p>
    <w:p w:rsidR="00D408E3" w:rsidRPr="008842F1" w:rsidRDefault="008842F1" w:rsidP="00F42A9C">
      <w:pPr>
        <w:rPr>
          <w:b/>
          <w:szCs w:val="24"/>
        </w:rPr>
      </w:pPr>
      <w:r w:rsidRPr="008842F1">
        <w:rPr>
          <w:b/>
          <w:szCs w:val="24"/>
        </w:rPr>
        <w:t>Entries before 1 July 2015 – goods that are not grouped therapeutic goods</w:t>
      </w:r>
      <w:r w:rsidR="0091435C">
        <w:rPr>
          <w:b/>
          <w:szCs w:val="24"/>
        </w:rPr>
        <w:t xml:space="preserve"> –</w:t>
      </w:r>
      <w:r w:rsidR="00434D72">
        <w:rPr>
          <w:b/>
          <w:szCs w:val="24"/>
        </w:rPr>
        <w:t xml:space="preserve"> subregulation 4(7)</w:t>
      </w:r>
    </w:p>
    <w:p w:rsidR="00434D72" w:rsidRDefault="004E0A87" w:rsidP="00F42A9C">
      <w:pPr>
        <w:rPr>
          <w:szCs w:val="24"/>
        </w:rPr>
      </w:pPr>
      <w:r>
        <w:rPr>
          <w:szCs w:val="24"/>
        </w:rPr>
        <w:t xml:space="preserve">This subregulation is a transitional provision in that </w:t>
      </w:r>
      <w:r w:rsidR="00397FFD">
        <w:rPr>
          <w:szCs w:val="24"/>
        </w:rPr>
        <w:t xml:space="preserve">it </w:t>
      </w:r>
      <w:r>
        <w:rPr>
          <w:szCs w:val="24"/>
        </w:rPr>
        <w:t xml:space="preserve">applies to chemical prescription medicines that were registered </w:t>
      </w:r>
      <w:r w:rsidR="000D046B">
        <w:rPr>
          <w:szCs w:val="24"/>
        </w:rPr>
        <w:t xml:space="preserve">as at </w:t>
      </w:r>
      <w:r>
        <w:rPr>
          <w:szCs w:val="24"/>
        </w:rPr>
        <w:t xml:space="preserve">1 July 2015.  This subregulation covers </w:t>
      </w:r>
      <w:r w:rsidR="00434D72">
        <w:rPr>
          <w:szCs w:val="24"/>
        </w:rPr>
        <w:t xml:space="preserve">prescription chemical medicines that are not grouped and, as at </w:t>
      </w:r>
      <w:r>
        <w:rPr>
          <w:szCs w:val="24"/>
        </w:rPr>
        <w:t xml:space="preserve">1 July of </w:t>
      </w:r>
      <w:r w:rsidR="00434D72">
        <w:rPr>
          <w:szCs w:val="24"/>
        </w:rPr>
        <w:t>the charge year, have been registered for less than 8 years.</w:t>
      </w:r>
    </w:p>
    <w:p w:rsidR="00434D72" w:rsidRDefault="00434D72" w:rsidP="00F42A9C">
      <w:pPr>
        <w:rPr>
          <w:szCs w:val="24"/>
        </w:rPr>
      </w:pPr>
    </w:p>
    <w:p w:rsidR="004C03A4" w:rsidRDefault="0091435C" w:rsidP="00F42A9C">
      <w:pPr>
        <w:rPr>
          <w:szCs w:val="24"/>
        </w:rPr>
      </w:pPr>
      <w:r>
        <w:rPr>
          <w:szCs w:val="24"/>
        </w:rPr>
        <w:t xml:space="preserve">For medicines to come within </w:t>
      </w:r>
      <w:r w:rsidR="004C03A4">
        <w:rPr>
          <w:szCs w:val="24"/>
        </w:rPr>
        <w:t>subregulation 4(7), the sponsor of the medicine must also</w:t>
      </w:r>
      <w:r w:rsidR="008B1642">
        <w:rPr>
          <w:szCs w:val="24"/>
        </w:rPr>
        <w:t xml:space="preserve"> (immediately before 1 July 2015)</w:t>
      </w:r>
      <w:r w:rsidR="004C03A4">
        <w:rPr>
          <w:szCs w:val="24"/>
        </w:rPr>
        <w:t xml:space="preserve"> be the only person in relation to whom any goods with the same active ingredient or</w:t>
      </w:r>
      <w:r w:rsidR="004E0A87">
        <w:rPr>
          <w:szCs w:val="24"/>
        </w:rPr>
        <w:t xml:space="preserve">, </w:t>
      </w:r>
      <w:r w:rsidR="004C03A4">
        <w:rPr>
          <w:szCs w:val="24"/>
        </w:rPr>
        <w:t xml:space="preserve">in the case of a </w:t>
      </w:r>
      <w:r w:rsidR="004E0A87">
        <w:rPr>
          <w:szCs w:val="24"/>
        </w:rPr>
        <w:t xml:space="preserve">chemical prescription </w:t>
      </w:r>
      <w:r w:rsidR="004C03A4">
        <w:rPr>
          <w:szCs w:val="24"/>
        </w:rPr>
        <w:t>medicine with multiple active ingredients</w:t>
      </w:r>
      <w:r w:rsidR="004E0A87">
        <w:rPr>
          <w:szCs w:val="24"/>
        </w:rPr>
        <w:t xml:space="preserve">, </w:t>
      </w:r>
      <w:r w:rsidR="004C03A4">
        <w:rPr>
          <w:szCs w:val="24"/>
        </w:rPr>
        <w:t>any goods with the same active ingredients in the same quantitative amounts</w:t>
      </w:r>
      <w:r w:rsidR="000D046B">
        <w:rPr>
          <w:szCs w:val="24"/>
        </w:rPr>
        <w:t>,</w:t>
      </w:r>
      <w:r w:rsidR="004C03A4">
        <w:rPr>
          <w:szCs w:val="24"/>
        </w:rPr>
        <w:t xml:space="preserve"> are registered.</w:t>
      </w:r>
    </w:p>
    <w:p w:rsidR="00D408E3" w:rsidRDefault="00D408E3" w:rsidP="00F42A9C">
      <w:pPr>
        <w:rPr>
          <w:szCs w:val="24"/>
        </w:rPr>
      </w:pPr>
    </w:p>
    <w:p w:rsidR="004C03A4" w:rsidRDefault="000D046B" w:rsidP="00F42A9C">
      <w:pPr>
        <w:rPr>
          <w:szCs w:val="24"/>
        </w:rPr>
      </w:pPr>
      <w:r>
        <w:rPr>
          <w:szCs w:val="24"/>
        </w:rPr>
        <w:t xml:space="preserve">These </w:t>
      </w:r>
      <w:r w:rsidR="008B1642">
        <w:rPr>
          <w:szCs w:val="24"/>
        </w:rPr>
        <w:t xml:space="preserve">are prescription chemical medicines already registered at the commencement of this Regulation, </w:t>
      </w:r>
      <w:r>
        <w:rPr>
          <w:szCs w:val="24"/>
        </w:rPr>
        <w:t xml:space="preserve">in relation to which there are </w:t>
      </w:r>
      <w:r w:rsidR="008B1642">
        <w:rPr>
          <w:szCs w:val="24"/>
        </w:rPr>
        <w:t>no similar goods registered to any other sponsor</w:t>
      </w:r>
      <w:r>
        <w:rPr>
          <w:szCs w:val="24"/>
        </w:rPr>
        <w:t xml:space="preserve"> at that time, and that have been registered for less than 8 years at the start of the charge year</w:t>
      </w:r>
      <w:r w:rsidR="008B1642">
        <w:rPr>
          <w:szCs w:val="24"/>
        </w:rPr>
        <w:t xml:space="preserve">. </w:t>
      </w:r>
      <w:r>
        <w:rPr>
          <w:szCs w:val="24"/>
        </w:rPr>
        <w:t xml:space="preserve"> </w:t>
      </w:r>
    </w:p>
    <w:p w:rsidR="00D408E3" w:rsidRDefault="00D408E3" w:rsidP="00F42A9C">
      <w:pPr>
        <w:rPr>
          <w:szCs w:val="24"/>
        </w:rPr>
      </w:pPr>
    </w:p>
    <w:p w:rsidR="008B1642" w:rsidRPr="008B1642" w:rsidRDefault="008B1642" w:rsidP="00F42A9C">
      <w:pPr>
        <w:rPr>
          <w:b/>
          <w:szCs w:val="24"/>
        </w:rPr>
      </w:pPr>
      <w:r w:rsidRPr="008B1642">
        <w:rPr>
          <w:b/>
          <w:szCs w:val="24"/>
        </w:rPr>
        <w:t>Entries before 1 July 2015 – goods that are grou</w:t>
      </w:r>
      <w:r w:rsidR="0091435C">
        <w:rPr>
          <w:b/>
          <w:szCs w:val="24"/>
        </w:rPr>
        <w:t xml:space="preserve">ped therapeutic goods – </w:t>
      </w:r>
      <w:r w:rsidRPr="008B1642">
        <w:rPr>
          <w:b/>
          <w:szCs w:val="24"/>
        </w:rPr>
        <w:t>subregulation 4(8)</w:t>
      </w:r>
    </w:p>
    <w:p w:rsidR="008B1642" w:rsidRDefault="000D046B" w:rsidP="008B1642">
      <w:pPr>
        <w:rPr>
          <w:szCs w:val="24"/>
        </w:rPr>
      </w:pPr>
      <w:r>
        <w:rPr>
          <w:szCs w:val="24"/>
        </w:rPr>
        <w:t xml:space="preserve">This is a transitional provision that applies to </w:t>
      </w:r>
      <w:r w:rsidR="008B1642">
        <w:rPr>
          <w:szCs w:val="24"/>
        </w:rPr>
        <w:t>prescription chemical medicines that</w:t>
      </w:r>
      <w:r>
        <w:rPr>
          <w:szCs w:val="24"/>
        </w:rPr>
        <w:t xml:space="preserve"> </w:t>
      </w:r>
      <w:r w:rsidR="008B1642">
        <w:rPr>
          <w:szCs w:val="24"/>
        </w:rPr>
        <w:t xml:space="preserve">were registered and grouped </w:t>
      </w:r>
      <w:r>
        <w:rPr>
          <w:szCs w:val="24"/>
        </w:rPr>
        <w:t xml:space="preserve">as at </w:t>
      </w:r>
      <w:r w:rsidR="008B1642">
        <w:rPr>
          <w:szCs w:val="24"/>
        </w:rPr>
        <w:t>1 July 2015</w:t>
      </w:r>
      <w:r>
        <w:rPr>
          <w:szCs w:val="24"/>
        </w:rPr>
        <w:t>.  This subregulation covers prescription chemical medicines that are grouped</w:t>
      </w:r>
      <w:r w:rsidR="008B1642">
        <w:rPr>
          <w:szCs w:val="24"/>
        </w:rPr>
        <w:t xml:space="preserve"> and that, </w:t>
      </w:r>
      <w:r>
        <w:rPr>
          <w:szCs w:val="24"/>
        </w:rPr>
        <w:t>as at 1 July in the charge year</w:t>
      </w:r>
      <w:r w:rsidR="008B1642">
        <w:rPr>
          <w:szCs w:val="24"/>
        </w:rPr>
        <w:t xml:space="preserve">, </w:t>
      </w:r>
      <w:r w:rsidR="005309EA">
        <w:rPr>
          <w:szCs w:val="24"/>
        </w:rPr>
        <w:t xml:space="preserve">the first of the prescription chemical medicines to be grouped has </w:t>
      </w:r>
      <w:r w:rsidR="008B1642">
        <w:rPr>
          <w:szCs w:val="24"/>
        </w:rPr>
        <w:t>been registered for less than 8 years.</w:t>
      </w:r>
    </w:p>
    <w:p w:rsidR="00D408E3" w:rsidRDefault="00D408E3" w:rsidP="00F42A9C">
      <w:pPr>
        <w:rPr>
          <w:szCs w:val="24"/>
        </w:rPr>
      </w:pPr>
    </w:p>
    <w:p w:rsidR="008B1642" w:rsidRDefault="008B1642" w:rsidP="008B1642">
      <w:pPr>
        <w:rPr>
          <w:szCs w:val="24"/>
        </w:rPr>
      </w:pPr>
      <w:r>
        <w:rPr>
          <w:szCs w:val="24"/>
        </w:rPr>
        <w:t>For medicines to com</w:t>
      </w:r>
      <w:r w:rsidR="009A2515">
        <w:rPr>
          <w:szCs w:val="24"/>
        </w:rPr>
        <w:t xml:space="preserve">e within </w:t>
      </w:r>
      <w:r>
        <w:rPr>
          <w:szCs w:val="24"/>
        </w:rPr>
        <w:t xml:space="preserve">subregulation 4(8), the sponsor of the medicine must also (immediately before 1 July 2015) be the only person in relation to whom any goods with the same active ingredient </w:t>
      </w:r>
      <w:r w:rsidR="00F920FB">
        <w:rPr>
          <w:szCs w:val="24"/>
        </w:rPr>
        <w:t xml:space="preserve">as the grouped goods </w:t>
      </w:r>
      <w:r>
        <w:rPr>
          <w:szCs w:val="24"/>
        </w:rPr>
        <w:t>or</w:t>
      </w:r>
      <w:r w:rsidR="005309EA">
        <w:rPr>
          <w:szCs w:val="24"/>
        </w:rPr>
        <w:t>,</w:t>
      </w:r>
      <w:r>
        <w:rPr>
          <w:szCs w:val="24"/>
        </w:rPr>
        <w:t xml:space="preserve"> in the case of </w:t>
      </w:r>
      <w:r w:rsidR="00F920FB">
        <w:rPr>
          <w:szCs w:val="24"/>
        </w:rPr>
        <w:t xml:space="preserve">a </w:t>
      </w:r>
      <w:r>
        <w:rPr>
          <w:szCs w:val="24"/>
        </w:rPr>
        <w:t>medicine with multiple active ingredients</w:t>
      </w:r>
      <w:r w:rsidR="005309EA">
        <w:rPr>
          <w:szCs w:val="24"/>
        </w:rPr>
        <w:t xml:space="preserve">, </w:t>
      </w:r>
      <w:r>
        <w:rPr>
          <w:szCs w:val="24"/>
        </w:rPr>
        <w:t xml:space="preserve">any goods with the same active ingredients in the same quantitative amounts </w:t>
      </w:r>
      <w:r w:rsidR="00F920FB">
        <w:rPr>
          <w:szCs w:val="24"/>
        </w:rPr>
        <w:t>as the grouped goods</w:t>
      </w:r>
      <w:r w:rsidR="005309EA">
        <w:rPr>
          <w:szCs w:val="24"/>
        </w:rPr>
        <w:t>,</w:t>
      </w:r>
      <w:r w:rsidR="00F920FB">
        <w:rPr>
          <w:szCs w:val="24"/>
        </w:rPr>
        <w:t xml:space="preserve"> </w:t>
      </w:r>
      <w:r>
        <w:rPr>
          <w:szCs w:val="24"/>
        </w:rPr>
        <w:t>are registered.</w:t>
      </w:r>
    </w:p>
    <w:p w:rsidR="008B1642" w:rsidRDefault="008B1642" w:rsidP="00F42A9C">
      <w:pPr>
        <w:rPr>
          <w:szCs w:val="24"/>
        </w:rPr>
      </w:pPr>
    </w:p>
    <w:p w:rsidR="00F920FB" w:rsidRDefault="005309EA" w:rsidP="00F920FB">
      <w:pPr>
        <w:rPr>
          <w:szCs w:val="24"/>
        </w:rPr>
      </w:pPr>
      <w:r>
        <w:rPr>
          <w:szCs w:val="24"/>
        </w:rPr>
        <w:t xml:space="preserve">These are </w:t>
      </w:r>
      <w:r w:rsidR="00F920FB">
        <w:rPr>
          <w:szCs w:val="24"/>
        </w:rPr>
        <w:t xml:space="preserve">prescription chemical medicines that are already registered – and grouped </w:t>
      </w:r>
      <w:r>
        <w:rPr>
          <w:szCs w:val="24"/>
        </w:rPr>
        <w:t>–</w:t>
      </w:r>
      <w:r w:rsidR="00F920FB">
        <w:rPr>
          <w:szCs w:val="24"/>
        </w:rPr>
        <w:t xml:space="preserve"> at the commencement of this Regulation, </w:t>
      </w:r>
      <w:r>
        <w:rPr>
          <w:szCs w:val="24"/>
        </w:rPr>
        <w:t xml:space="preserve">in relation to which there are no similar goods registered </w:t>
      </w:r>
      <w:r>
        <w:rPr>
          <w:szCs w:val="24"/>
        </w:rPr>
        <w:lastRenderedPageBreak/>
        <w:t xml:space="preserve">to any other sponsor at that time, and where the first registered prescription chemical medicines has been registered for </w:t>
      </w:r>
      <w:r w:rsidR="00F920FB">
        <w:rPr>
          <w:szCs w:val="24"/>
        </w:rPr>
        <w:t xml:space="preserve">less than 8 years </w:t>
      </w:r>
      <w:r>
        <w:rPr>
          <w:szCs w:val="24"/>
        </w:rPr>
        <w:t>at the start of the charge year</w:t>
      </w:r>
      <w:r w:rsidR="00F920FB">
        <w:rPr>
          <w:szCs w:val="24"/>
        </w:rPr>
        <w:t xml:space="preserve">. </w:t>
      </w:r>
    </w:p>
    <w:p w:rsidR="00D408E3" w:rsidRDefault="00D408E3" w:rsidP="00F42A9C">
      <w:pPr>
        <w:rPr>
          <w:szCs w:val="24"/>
        </w:rPr>
      </w:pPr>
    </w:p>
    <w:p w:rsidR="00D408E3" w:rsidRPr="00F920FB" w:rsidRDefault="009A2515" w:rsidP="00F42A9C">
      <w:pPr>
        <w:rPr>
          <w:b/>
          <w:szCs w:val="24"/>
        </w:rPr>
      </w:pPr>
      <w:r>
        <w:rPr>
          <w:b/>
          <w:szCs w:val="24"/>
        </w:rPr>
        <w:t xml:space="preserve">Definitions – </w:t>
      </w:r>
      <w:r w:rsidR="00F920FB" w:rsidRPr="00F920FB">
        <w:rPr>
          <w:b/>
          <w:szCs w:val="24"/>
        </w:rPr>
        <w:t>subregulation 4(9)</w:t>
      </w:r>
    </w:p>
    <w:p w:rsidR="00D408E3" w:rsidRDefault="009A2515" w:rsidP="00F42A9C">
      <w:pPr>
        <w:rPr>
          <w:szCs w:val="24"/>
        </w:rPr>
      </w:pPr>
      <w:r>
        <w:rPr>
          <w:szCs w:val="24"/>
        </w:rPr>
        <w:t>S</w:t>
      </w:r>
      <w:r w:rsidR="00F920FB">
        <w:rPr>
          <w:szCs w:val="24"/>
        </w:rPr>
        <w:t>ubregulation 4(9</w:t>
      </w:r>
      <w:r>
        <w:rPr>
          <w:szCs w:val="24"/>
        </w:rPr>
        <w:t xml:space="preserve">) </w:t>
      </w:r>
      <w:r w:rsidR="00F920FB">
        <w:rPr>
          <w:szCs w:val="24"/>
        </w:rPr>
        <w:t>define</w:t>
      </w:r>
      <w:r>
        <w:rPr>
          <w:szCs w:val="24"/>
        </w:rPr>
        <w:t>s</w:t>
      </w:r>
      <w:r w:rsidR="00F920FB">
        <w:rPr>
          <w:szCs w:val="24"/>
        </w:rPr>
        <w:t xml:space="preserve"> a number of key terms for the purposes of these amendments.</w:t>
      </w:r>
    </w:p>
    <w:p w:rsidR="00D408E3" w:rsidRDefault="00D408E3" w:rsidP="00F42A9C">
      <w:pPr>
        <w:rPr>
          <w:szCs w:val="24"/>
        </w:rPr>
      </w:pPr>
    </w:p>
    <w:p w:rsidR="00F920FB" w:rsidRDefault="00F920FB" w:rsidP="00F920FB">
      <w:r>
        <w:t>These include defining the higher amount of annual charge payable for chemical prescription medicines under the proposed amendments - $3,835 for 2015-16, and the corresponding lower amount - $3, 110 for 2015-16.</w:t>
      </w:r>
    </w:p>
    <w:p w:rsidR="00F920FB" w:rsidRDefault="00F920FB" w:rsidP="00F920FB"/>
    <w:p w:rsidR="00F920FB" w:rsidRDefault="00F920FB" w:rsidP="00F920FB">
      <w:r>
        <w:rPr>
          <w:color w:val="000000"/>
          <w:szCs w:val="24"/>
        </w:rPr>
        <w:t>The</w:t>
      </w:r>
      <w:r w:rsidR="005C3A1D">
        <w:rPr>
          <w:color w:val="000000"/>
          <w:szCs w:val="24"/>
        </w:rPr>
        <w:t>ses</w:t>
      </w:r>
      <w:r>
        <w:rPr>
          <w:color w:val="000000"/>
          <w:szCs w:val="24"/>
        </w:rPr>
        <w:t xml:space="preserve"> amount </w:t>
      </w:r>
      <w:r>
        <w:t>represent the current annual charge for prescription chemical medicines for 2014-15, with the following changes:</w:t>
      </w:r>
    </w:p>
    <w:p w:rsidR="00F920FB" w:rsidRDefault="00F920FB" w:rsidP="00F920FB">
      <w:pPr>
        <w:pStyle w:val="ListParagraph"/>
        <w:numPr>
          <w:ilvl w:val="0"/>
          <w:numId w:val="6"/>
        </w:numPr>
        <w:ind w:left="567" w:hanging="567"/>
      </w:pPr>
      <w:r>
        <w:t>for the higher amount – minus 5 per cent;</w:t>
      </w:r>
    </w:p>
    <w:p w:rsidR="00F920FB" w:rsidRDefault="00F920FB" w:rsidP="00F920FB">
      <w:pPr>
        <w:pStyle w:val="ListParagraph"/>
        <w:numPr>
          <w:ilvl w:val="0"/>
          <w:numId w:val="6"/>
        </w:numPr>
        <w:ind w:left="567" w:hanging="567"/>
      </w:pPr>
      <w:r>
        <w:t>for the lower amount – minus 23 per cent; and</w:t>
      </w:r>
    </w:p>
    <w:p w:rsidR="00F920FB" w:rsidRDefault="00F920FB" w:rsidP="00F920FB">
      <w:pPr>
        <w:pStyle w:val="ListParagraph"/>
        <w:numPr>
          <w:ilvl w:val="0"/>
          <w:numId w:val="6"/>
        </w:numPr>
        <w:ind w:left="567" w:hanging="567"/>
      </w:pPr>
      <w:r>
        <w:t xml:space="preserve">in both cases, plus 2.12 per cent. </w:t>
      </w:r>
    </w:p>
    <w:p w:rsidR="005309EA" w:rsidRDefault="005309EA" w:rsidP="00F42A9C">
      <w:pPr>
        <w:rPr>
          <w:szCs w:val="24"/>
        </w:rPr>
      </w:pPr>
    </w:p>
    <w:p w:rsidR="00293696" w:rsidRDefault="009A2515" w:rsidP="00F42A9C">
      <w:pPr>
        <w:rPr>
          <w:szCs w:val="24"/>
        </w:rPr>
      </w:pPr>
      <w:r>
        <w:rPr>
          <w:szCs w:val="24"/>
        </w:rPr>
        <w:t xml:space="preserve">Subregulation 4(9) </w:t>
      </w:r>
      <w:r w:rsidR="005C3A1D">
        <w:rPr>
          <w:szCs w:val="24"/>
        </w:rPr>
        <w:t>also define</w:t>
      </w:r>
      <w:r>
        <w:rPr>
          <w:szCs w:val="24"/>
        </w:rPr>
        <w:t>s</w:t>
      </w:r>
      <w:r w:rsidR="005C3A1D">
        <w:rPr>
          <w:szCs w:val="24"/>
        </w:rPr>
        <w:t xml:space="preserve"> parent goods, and relevant goods, in the manner outlined above.</w:t>
      </w:r>
    </w:p>
    <w:p w:rsidR="00293696" w:rsidRDefault="00293696">
      <w:pPr>
        <w:rPr>
          <w:szCs w:val="24"/>
        </w:rPr>
      </w:pPr>
      <w:r>
        <w:rPr>
          <w:szCs w:val="24"/>
        </w:rPr>
        <w:br w:type="page"/>
      </w:r>
    </w:p>
    <w:p w:rsidR="00293696" w:rsidRPr="00DE3CA4" w:rsidRDefault="00293696" w:rsidP="00293696">
      <w:pPr>
        <w:spacing w:before="240" w:after="120"/>
        <w:ind w:right="-45"/>
        <w:jc w:val="center"/>
        <w:rPr>
          <w:b/>
          <w:sz w:val="28"/>
          <w:szCs w:val="28"/>
        </w:rPr>
      </w:pPr>
      <w:r w:rsidRPr="00DE3CA4">
        <w:rPr>
          <w:b/>
          <w:sz w:val="28"/>
          <w:szCs w:val="28"/>
        </w:rPr>
        <w:lastRenderedPageBreak/>
        <w:t>Statement of Compatibility with Human Rights</w:t>
      </w:r>
    </w:p>
    <w:p w:rsidR="00293696" w:rsidRPr="00DE3CA4" w:rsidRDefault="00293696" w:rsidP="00293696">
      <w:pPr>
        <w:ind w:right="-45"/>
        <w:jc w:val="center"/>
        <w:rPr>
          <w:szCs w:val="24"/>
        </w:rPr>
      </w:pPr>
      <w:r w:rsidRPr="00DE3CA4">
        <w:rPr>
          <w:i/>
          <w:szCs w:val="24"/>
        </w:rPr>
        <w:t>Prepared in accordance with Part 3 of the Human Rights (Parliamentary Scrutiny) Act 2011</w:t>
      </w:r>
    </w:p>
    <w:p w:rsidR="00293696" w:rsidRPr="00DE3CA4" w:rsidRDefault="00293696" w:rsidP="00293696">
      <w:pPr>
        <w:ind w:right="-45"/>
        <w:jc w:val="center"/>
        <w:rPr>
          <w:szCs w:val="24"/>
        </w:rPr>
      </w:pPr>
    </w:p>
    <w:p w:rsidR="00293696" w:rsidRPr="00DE3CA4" w:rsidRDefault="00293696" w:rsidP="00293696">
      <w:pPr>
        <w:ind w:right="-45"/>
        <w:jc w:val="center"/>
        <w:rPr>
          <w:b/>
          <w:i/>
          <w:szCs w:val="24"/>
        </w:rPr>
      </w:pPr>
      <w:r>
        <w:rPr>
          <w:b/>
          <w:i/>
          <w:szCs w:val="24"/>
        </w:rPr>
        <w:t xml:space="preserve">Therapeutic Goods (Charges) </w:t>
      </w:r>
      <w:r w:rsidRPr="00DE3CA4">
        <w:rPr>
          <w:b/>
          <w:i/>
          <w:szCs w:val="24"/>
        </w:rPr>
        <w:t>Ame</w:t>
      </w:r>
      <w:r>
        <w:rPr>
          <w:b/>
          <w:i/>
          <w:szCs w:val="24"/>
        </w:rPr>
        <w:t>ndment (2015 Measures No.1)</w:t>
      </w:r>
      <w:r w:rsidRPr="00DE3CA4">
        <w:rPr>
          <w:b/>
          <w:i/>
          <w:szCs w:val="24"/>
        </w:rPr>
        <w:t>) Regulation 2015</w:t>
      </w:r>
    </w:p>
    <w:p w:rsidR="00293696" w:rsidRPr="00DE3CA4" w:rsidRDefault="00293696" w:rsidP="00293696">
      <w:pPr>
        <w:ind w:right="-45"/>
        <w:rPr>
          <w:szCs w:val="24"/>
        </w:rPr>
      </w:pPr>
    </w:p>
    <w:p w:rsidR="00293696" w:rsidRPr="00DE3CA4" w:rsidRDefault="00293696" w:rsidP="00293696">
      <w:pPr>
        <w:ind w:right="-45"/>
        <w:rPr>
          <w:szCs w:val="24"/>
        </w:rPr>
      </w:pPr>
      <w:r w:rsidRPr="00DE3CA4">
        <w:rPr>
          <w:szCs w:val="24"/>
        </w:rPr>
        <w:t xml:space="preserve">This legislative instrument is compatible with the human rights and freedoms recognised or declared in the international instruments listed in section 3 of the </w:t>
      </w:r>
      <w:r w:rsidRPr="00DE3CA4">
        <w:rPr>
          <w:i/>
          <w:szCs w:val="24"/>
        </w:rPr>
        <w:t>Human Rights (Parliamentary Scrutiny) Act 2011</w:t>
      </w:r>
      <w:r w:rsidRPr="00DE3CA4">
        <w:rPr>
          <w:szCs w:val="24"/>
        </w:rPr>
        <w:t>.</w:t>
      </w:r>
    </w:p>
    <w:p w:rsidR="00293696" w:rsidRPr="00DE3CA4" w:rsidRDefault="00293696" w:rsidP="00293696">
      <w:pPr>
        <w:ind w:right="-45"/>
        <w:rPr>
          <w:szCs w:val="24"/>
        </w:rPr>
      </w:pPr>
    </w:p>
    <w:p w:rsidR="00293696" w:rsidRPr="00DE3CA4" w:rsidRDefault="00293696" w:rsidP="00293696">
      <w:pPr>
        <w:spacing w:after="80"/>
        <w:ind w:right="-45"/>
        <w:jc w:val="both"/>
        <w:rPr>
          <w:b/>
          <w:szCs w:val="24"/>
        </w:rPr>
      </w:pPr>
      <w:r w:rsidRPr="00DE3CA4">
        <w:rPr>
          <w:b/>
          <w:szCs w:val="24"/>
        </w:rPr>
        <w:t>Overview of the Legislative Instrument</w:t>
      </w:r>
    </w:p>
    <w:p w:rsidR="00293696" w:rsidRPr="0051460F" w:rsidRDefault="00293696" w:rsidP="00293696">
      <w:pPr>
        <w:spacing w:after="120"/>
        <w:ind w:right="-45"/>
        <w:rPr>
          <w:szCs w:val="24"/>
        </w:rPr>
      </w:pPr>
      <w:r w:rsidRPr="00DE3CA4">
        <w:rPr>
          <w:szCs w:val="24"/>
        </w:rPr>
        <w:t xml:space="preserve">The </w:t>
      </w:r>
      <w:r w:rsidRPr="00DE3CA4">
        <w:rPr>
          <w:i/>
          <w:szCs w:val="24"/>
        </w:rPr>
        <w:t>Ther</w:t>
      </w:r>
      <w:r>
        <w:rPr>
          <w:i/>
          <w:szCs w:val="24"/>
        </w:rPr>
        <w:t>apeutic Goods (Charges)</w:t>
      </w:r>
      <w:r w:rsidRPr="00DE3CA4">
        <w:rPr>
          <w:i/>
          <w:szCs w:val="24"/>
        </w:rPr>
        <w:t xml:space="preserve"> Ame</w:t>
      </w:r>
      <w:r>
        <w:rPr>
          <w:i/>
          <w:szCs w:val="24"/>
        </w:rPr>
        <w:t>ndment (2015 Measures No.1</w:t>
      </w:r>
      <w:r w:rsidRPr="00DE3CA4">
        <w:rPr>
          <w:i/>
          <w:szCs w:val="24"/>
        </w:rPr>
        <w:t xml:space="preserve">) Regulation 2015 </w:t>
      </w:r>
      <w:r w:rsidRPr="00DE3CA4">
        <w:rPr>
          <w:szCs w:val="24"/>
        </w:rPr>
        <w:t>(the Amendment Regulat</w:t>
      </w:r>
      <w:r>
        <w:rPr>
          <w:szCs w:val="24"/>
        </w:rPr>
        <w:t>ion) is made under subsection 5</w:t>
      </w:r>
      <w:r w:rsidRPr="00DE3CA4">
        <w:rPr>
          <w:szCs w:val="24"/>
        </w:rPr>
        <w:t xml:space="preserve">(1) of the </w:t>
      </w:r>
      <w:r w:rsidRPr="00DE3CA4">
        <w:rPr>
          <w:i/>
          <w:szCs w:val="24"/>
        </w:rPr>
        <w:t xml:space="preserve">Therapeutic Goods </w:t>
      </w:r>
      <w:r>
        <w:rPr>
          <w:i/>
          <w:szCs w:val="24"/>
        </w:rPr>
        <w:t xml:space="preserve">(Charges) </w:t>
      </w:r>
      <w:r w:rsidRPr="00DE3CA4">
        <w:rPr>
          <w:i/>
          <w:szCs w:val="24"/>
        </w:rPr>
        <w:t>Act 1989</w:t>
      </w:r>
      <w:r w:rsidRPr="00DE3CA4">
        <w:rPr>
          <w:szCs w:val="24"/>
        </w:rPr>
        <w:t xml:space="preserve"> (the </w:t>
      </w:r>
      <w:r>
        <w:rPr>
          <w:szCs w:val="24"/>
        </w:rPr>
        <w:t xml:space="preserve">Charges </w:t>
      </w:r>
      <w:r w:rsidRPr="00DE3CA4">
        <w:rPr>
          <w:szCs w:val="24"/>
        </w:rPr>
        <w:t xml:space="preserve">Act). </w:t>
      </w:r>
    </w:p>
    <w:p w:rsidR="00293696" w:rsidRDefault="00293696" w:rsidP="00293696">
      <w:pPr>
        <w:spacing w:after="120"/>
        <w:ind w:right="-45"/>
        <w:rPr>
          <w:szCs w:val="24"/>
        </w:rPr>
      </w:pPr>
      <w:r>
        <w:rPr>
          <w:szCs w:val="24"/>
        </w:rPr>
        <w:t xml:space="preserve">The Amendment Regulation amends the Therapeutic Goods (Charges) Regulations 1990 to provide for different (lower) amounts of annual charges for prescription chemical medicines from 1 July 2015, to reduce charges for medical devices that are Class IIa or above and to increase charges for all therapeutic goods, and manufacturing licences, by 2.12 per cent for 2015-16.    </w:t>
      </w:r>
    </w:p>
    <w:p w:rsidR="00293696" w:rsidRDefault="00293696" w:rsidP="00293696">
      <w:pPr>
        <w:spacing w:after="120"/>
        <w:ind w:right="-45"/>
        <w:rPr>
          <w:szCs w:val="24"/>
        </w:rPr>
      </w:pPr>
      <w:r>
        <w:rPr>
          <w:szCs w:val="24"/>
        </w:rPr>
        <w:t>The Amendment Regulation introduces two different annual charge amounts for prescription chemical medicines.  Prescription chemical medicines that are new chemical entities, or that result from an extension of indications or a change to an intended patient group, would pay a higher amount until the 8</w:t>
      </w:r>
      <w:r w:rsidRPr="0058605D">
        <w:rPr>
          <w:szCs w:val="24"/>
          <w:vertAlign w:val="superscript"/>
        </w:rPr>
        <w:t>th</w:t>
      </w:r>
      <w:r>
        <w:rPr>
          <w:szCs w:val="24"/>
        </w:rPr>
        <w:t xml:space="preserve"> anniversary of their entry in the Register. After that time, provided no further indications or patient groups are added, they would pay a lower amount. If such medicines contain any of six specified active ingredients that require particular post-market monitoring (e.g. thalidomide), they would pay the higher amount for so long as they remain in the Register. With some exceptions, all other prescription chemical medicines, such as generics, would pay the lower amount. The imposition of the different amounts principally reflects the commitment of resources by the TGA to the post-market monitoring of these medicines. </w:t>
      </w:r>
    </w:p>
    <w:p w:rsidR="00293696" w:rsidRPr="00DE3CA4" w:rsidRDefault="00293696" w:rsidP="00293696">
      <w:pPr>
        <w:spacing w:after="120"/>
        <w:ind w:right="-45"/>
        <w:rPr>
          <w:szCs w:val="24"/>
        </w:rPr>
      </w:pPr>
      <w:r>
        <w:rPr>
          <w:szCs w:val="24"/>
        </w:rPr>
        <w:t>By reducing charges for such medicines and for higher risk medical devices, the Amendment Regulation is intended to provide an offset for the introduction of new arrangements under which sponsors are exempt from paying annual charges for so long as the turnover of their goods remains at zero. The overall 2.12 per cent increase for all annual charges (including such medicines and devices) principally reflects the TGA’s budget outlook for 2015-16.</w:t>
      </w:r>
    </w:p>
    <w:p w:rsidR="00293696" w:rsidRPr="00DE3CA4" w:rsidRDefault="00293696" w:rsidP="00293696">
      <w:pPr>
        <w:spacing w:before="120" w:after="80"/>
        <w:ind w:right="-45"/>
        <w:rPr>
          <w:b/>
          <w:szCs w:val="24"/>
        </w:rPr>
      </w:pPr>
      <w:r w:rsidRPr="00DE3CA4">
        <w:rPr>
          <w:b/>
          <w:szCs w:val="24"/>
        </w:rPr>
        <w:t>Human rights implications</w:t>
      </w:r>
    </w:p>
    <w:p w:rsidR="00293696" w:rsidRPr="00DE3CA4" w:rsidRDefault="00293696" w:rsidP="00293696">
      <w:pPr>
        <w:ind w:right="-45"/>
        <w:rPr>
          <w:szCs w:val="24"/>
        </w:rPr>
      </w:pPr>
      <w:r w:rsidRPr="00DE3CA4">
        <w:rPr>
          <w:szCs w:val="24"/>
        </w:rPr>
        <w:t>As the Amendment Regulation does not introduce any changes to the Principal Regulations other than to implement the changes mentioned above, it does not engage any of the applicable rights or freedoms.</w:t>
      </w:r>
    </w:p>
    <w:p w:rsidR="00293696" w:rsidRPr="00DE3CA4" w:rsidRDefault="00293696" w:rsidP="00293696">
      <w:pPr>
        <w:spacing w:before="120" w:after="80"/>
        <w:ind w:right="-45"/>
        <w:rPr>
          <w:b/>
          <w:szCs w:val="24"/>
        </w:rPr>
      </w:pPr>
      <w:r w:rsidRPr="00DE3CA4">
        <w:rPr>
          <w:b/>
          <w:szCs w:val="24"/>
        </w:rPr>
        <w:t>Conclusion</w:t>
      </w:r>
    </w:p>
    <w:p w:rsidR="00293696" w:rsidRDefault="00293696" w:rsidP="00293696">
      <w:pPr>
        <w:spacing w:after="120"/>
        <w:ind w:right="-45"/>
        <w:rPr>
          <w:szCs w:val="24"/>
        </w:rPr>
      </w:pPr>
      <w:r w:rsidRPr="00DE3CA4">
        <w:rPr>
          <w:szCs w:val="24"/>
        </w:rPr>
        <w:t>This legislative instrument is compatible with human rights as it does not raise any human rights issues.</w:t>
      </w:r>
    </w:p>
    <w:p w:rsidR="00293696" w:rsidRDefault="00293696" w:rsidP="00293696">
      <w:pPr>
        <w:spacing w:after="120"/>
        <w:ind w:right="-45"/>
        <w:rPr>
          <w:szCs w:val="24"/>
        </w:rPr>
      </w:pPr>
    </w:p>
    <w:p w:rsidR="00293696" w:rsidRPr="00DE3CA4" w:rsidRDefault="00293696" w:rsidP="00293696">
      <w:pPr>
        <w:spacing w:after="120"/>
        <w:ind w:right="-45"/>
        <w:rPr>
          <w:szCs w:val="24"/>
        </w:rPr>
      </w:pPr>
    </w:p>
    <w:p w:rsidR="00293696" w:rsidRPr="00D22988" w:rsidRDefault="00293696" w:rsidP="00293696">
      <w:pPr>
        <w:spacing w:before="120" w:after="120"/>
        <w:ind w:right="-46"/>
        <w:jc w:val="center"/>
      </w:pPr>
      <w:r w:rsidRPr="00DE3CA4">
        <w:rPr>
          <w:b/>
          <w:szCs w:val="24"/>
        </w:rPr>
        <w:t>Fiona Nash, Assistant Minister for Health</w:t>
      </w:r>
    </w:p>
    <w:p w:rsidR="00D408E3" w:rsidRDefault="00D408E3" w:rsidP="00F42A9C">
      <w:pPr>
        <w:rPr>
          <w:szCs w:val="24"/>
        </w:rPr>
      </w:pPr>
    </w:p>
    <w:sectPr w:rsidR="00D408E3" w:rsidSect="004906E3">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CE" w:rsidRDefault="00F209CE" w:rsidP="00A2299B">
      <w:r>
        <w:separator/>
      </w:r>
    </w:p>
  </w:endnote>
  <w:endnote w:type="continuationSeparator" w:id="0">
    <w:p w:rsidR="00F209CE" w:rsidRDefault="00F209CE"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CE" w:rsidRDefault="00F209CE" w:rsidP="00A2299B">
      <w:r>
        <w:separator/>
      </w:r>
    </w:p>
  </w:footnote>
  <w:footnote w:type="continuationSeparator" w:id="0">
    <w:p w:rsidR="00F209CE" w:rsidRDefault="00F209CE" w:rsidP="00A22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1C" w:rsidRDefault="006740D4">
    <w:pPr>
      <w:pStyle w:val="Header"/>
      <w:jc w:val="center"/>
    </w:pPr>
    <w:r>
      <w:fldChar w:fldCharType="begin"/>
    </w:r>
    <w:r w:rsidR="00A96C1C">
      <w:instrText xml:space="preserve"> PAGE   \* MERGEFORMAT </w:instrText>
    </w:r>
    <w:r>
      <w:fldChar w:fldCharType="separate"/>
    </w:r>
    <w:r w:rsidR="00782B1B">
      <w:rPr>
        <w:noProof/>
      </w:rPr>
      <w:t>10</w:t>
    </w:r>
    <w:r>
      <w:rPr>
        <w:noProof/>
      </w:rPr>
      <w:fldChar w:fldCharType="end"/>
    </w:r>
  </w:p>
  <w:p w:rsidR="00A96C1C" w:rsidRDefault="00A96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47989"/>
    <w:multiLevelType w:val="hybridMultilevel"/>
    <w:tmpl w:val="7EB8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6B4530"/>
    <w:multiLevelType w:val="hybridMultilevel"/>
    <w:tmpl w:val="AD2A9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1B2C08"/>
    <w:multiLevelType w:val="hybridMultilevel"/>
    <w:tmpl w:val="F97827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85E1D24"/>
    <w:multiLevelType w:val="multilevel"/>
    <w:tmpl w:val="42D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B3B8E"/>
    <w:multiLevelType w:val="hybridMultilevel"/>
    <w:tmpl w:val="CB76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06C0C6E"/>
    <w:multiLevelType w:val="hybridMultilevel"/>
    <w:tmpl w:val="35B83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6280D4A"/>
    <w:multiLevelType w:val="hybridMultilevel"/>
    <w:tmpl w:val="E16A1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AB7677F"/>
    <w:multiLevelType w:val="hybridMultilevel"/>
    <w:tmpl w:val="672A228E"/>
    <w:lvl w:ilvl="0" w:tplc="2C80B504">
      <w:start w:val="1"/>
      <w:numFmt w:val="lowerLetter"/>
      <w:lvlText w:val="(%1)"/>
      <w:lvlJc w:val="left"/>
      <w:pPr>
        <w:ind w:left="765" w:hanging="360"/>
      </w:pPr>
      <w:rPr>
        <w:rFonts w:ascii="Times New Roman" w:eastAsia="Times New Roman" w:hAnsi="Times New Roman"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9">
    <w:nsid w:val="70734AF8"/>
    <w:multiLevelType w:val="hybridMultilevel"/>
    <w:tmpl w:val="BA08687C"/>
    <w:lvl w:ilvl="0" w:tplc="0C090001">
      <w:start w:val="1"/>
      <w:numFmt w:val="bullet"/>
      <w:lvlText w:val=""/>
      <w:lvlJc w:val="left"/>
      <w:pPr>
        <w:ind w:left="765" w:hanging="360"/>
      </w:pPr>
      <w:rPr>
        <w:rFonts w:ascii="Symbol" w:hAnsi="Symbol" w:hint="default"/>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10">
    <w:nsid w:val="712C6ED5"/>
    <w:multiLevelType w:val="hybridMultilevel"/>
    <w:tmpl w:val="6994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6"/>
  </w:num>
  <w:num w:numId="5">
    <w:abstractNumId w:val="9"/>
  </w:num>
  <w:num w:numId="6">
    <w:abstractNumId w:val="0"/>
  </w:num>
  <w:num w:numId="7">
    <w:abstractNumId w:val="1"/>
  </w:num>
  <w:num w:numId="8">
    <w:abstractNumId w:val="2"/>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A4"/>
    <w:rsid w:val="00001091"/>
    <w:rsid w:val="00006EED"/>
    <w:rsid w:val="0001421B"/>
    <w:rsid w:val="00016AB0"/>
    <w:rsid w:val="00027757"/>
    <w:rsid w:val="00030D81"/>
    <w:rsid w:val="00034254"/>
    <w:rsid w:val="00035E27"/>
    <w:rsid w:val="0004282E"/>
    <w:rsid w:val="00051CE8"/>
    <w:rsid w:val="00061854"/>
    <w:rsid w:val="00072DA1"/>
    <w:rsid w:val="000734F6"/>
    <w:rsid w:val="0007636B"/>
    <w:rsid w:val="00084325"/>
    <w:rsid w:val="0008436F"/>
    <w:rsid w:val="00095AC7"/>
    <w:rsid w:val="00096F11"/>
    <w:rsid w:val="000B1535"/>
    <w:rsid w:val="000B380F"/>
    <w:rsid w:val="000B3C18"/>
    <w:rsid w:val="000B5C93"/>
    <w:rsid w:val="000C6B8D"/>
    <w:rsid w:val="000D046B"/>
    <w:rsid w:val="000D5BFD"/>
    <w:rsid w:val="000E4581"/>
    <w:rsid w:val="001163EC"/>
    <w:rsid w:val="00117C9D"/>
    <w:rsid w:val="0012141E"/>
    <w:rsid w:val="00127D76"/>
    <w:rsid w:val="00153A0A"/>
    <w:rsid w:val="00154185"/>
    <w:rsid w:val="00156491"/>
    <w:rsid w:val="0016321A"/>
    <w:rsid w:val="00163597"/>
    <w:rsid w:val="001766E6"/>
    <w:rsid w:val="00184D0B"/>
    <w:rsid w:val="00194102"/>
    <w:rsid w:val="00196CD4"/>
    <w:rsid w:val="00197CC0"/>
    <w:rsid w:val="001B38E8"/>
    <w:rsid w:val="001C5822"/>
    <w:rsid w:val="001D2E82"/>
    <w:rsid w:val="001E5D95"/>
    <w:rsid w:val="00202085"/>
    <w:rsid w:val="00204B3E"/>
    <w:rsid w:val="00221737"/>
    <w:rsid w:val="00227FD8"/>
    <w:rsid w:val="00235126"/>
    <w:rsid w:val="00241672"/>
    <w:rsid w:val="0024495C"/>
    <w:rsid w:val="00247FA8"/>
    <w:rsid w:val="00260FD5"/>
    <w:rsid w:val="00270C51"/>
    <w:rsid w:val="002747DD"/>
    <w:rsid w:val="00283A2F"/>
    <w:rsid w:val="00293696"/>
    <w:rsid w:val="00295A1D"/>
    <w:rsid w:val="002A0D6C"/>
    <w:rsid w:val="002A351A"/>
    <w:rsid w:val="002C1A9B"/>
    <w:rsid w:val="002C4298"/>
    <w:rsid w:val="002C5C61"/>
    <w:rsid w:val="002D5938"/>
    <w:rsid w:val="002E0B8C"/>
    <w:rsid w:val="002E199E"/>
    <w:rsid w:val="002E568B"/>
    <w:rsid w:val="002E61D2"/>
    <w:rsid w:val="002F2512"/>
    <w:rsid w:val="002F3E9E"/>
    <w:rsid w:val="002F413F"/>
    <w:rsid w:val="0031303D"/>
    <w:rsid w:val="00314ED3"/>
    <w:rsid w:val="0032168C"/>
    <w:rsid w:val="00322D3A"/>
    <w:rsid w:val="00323171"/>
    <w:rsid w:val="003261E6"/>
    <w:rsid w:val="0033580D"/>
    <w:rsid w:val="00337CDA"/>
    <w:rsid w:val="003411ED"/>
    <w:rsid w:val="003662B3"/>
    <w:rsid w:val="00376B26"/>
    <w:rsid w:val="00380326"/>
    <w:rsid w:val="00381280"/>
    <w:rsid w:val="003856A4"/>
    <w:rsid w:val="0039169F"/>
    <w:rsid w:val="00392C09"/>
    <w:rsid w:val="003936E1"/>
    <w:rsid w:val="00397FFD"/>
    <w:rsid w:val="003A26DD"/>
    <w:rsid w:val="003A4BB8"/>
    <w:rsid w:val="003A5C6B"/>
    <w:rsid w:val="003D3F2F"/>
    <w:rsid w:val="003E33C4"/>
    <w:rsid w:val="003F61B9"/>
    <w:rsid w:val="003F7635"/>
    <w:rsid w:val="00411B5D"/>
    <w:rsid w:val="0041758D"/>
    <w:rsid w:val="004214FB"/>
    <w:rsid w:val="0042269B"/>
    <w:rsid w:val="0042497B"/>
    <w:rsid w:val="00434D72"/>
    <w:rsid w:val="0044252B"/>
    <w:rsid w:val="00451E1F"/>
    <w:rsid w:val="004545DC"/>
    <w:rsid w:val="00462276"/>
    <w:rsid w:val="00470A7B"/>
    <w:rsid w:val="004728EB"/>
    <w:rsid w:val="0048522A"/>
    <w:rsid w:val="004906E3"/>
    <w:rsid w:val="00491B8A"/>
    <w:rsid w:val="004947F7"/>
    <w:rsid w:val="004A2ED7"/>
    <w:rsid w:val="004B1A78"/>
    <w:rsid w:val="004B722E"/>
    <w:rsid w:val="004C03A4"/>
    <w:rsid w:val="004D2AEF"/>
    <w:rsid w:val="004E0A87"/>
    <w:rsid w:val="004E2513"/>
    <w:rsid w:val="004E7D96"/>
    <w:rsid w:val="004F11D2"/>
    <w:rsid w:val="004F3B08"/>
    <w:rsid w:val="004F7A6C"/>
    <w:rsid w:val="00500F1D"/>
    <w:rsid w:val="00506C06"/>
    <w:rsid w:val="00507967"/>
    <w:rsid w:val="00515857"/>
    <w:rsid w:val="00517846"/>
    <w:rsid w:val="005309EA"/>
    <w:rsid w:val="005329D6"/>
    <w:rsid w:val="00542F8E"/>
    <w:rsid w:val="00565A39"/>
    <w:rsid w:val="00574D01"/>
    <w:rsid w:val="00575D61"/>
    <w:rsid w:val="005A0AF9"/>
    <w:rsid w:val="005A4FA2"/>
    <w:rsid w:val="005B72FD"/>
    <w:rsid w:val="005C1FA3"/>
    <w:rsid w:val="005C3A1D"/>
    <w:rsid w:val="005D14E1"/>
    <w:rsid w:val="005F305B"/>
    <w:rsid w:val="005F3B1E"/>
    <w:rsid w:val="00600CB8"/>
    <w:rsid w:val="00623AC5"/>
    <w:rsid w:val="00623B27"/>
    <w:rsid w:val="0062448D"/>
    <w:rsid w:val="00624716"/>
    <w:rsid w:val="006311D3"/>
    <w:rsid w:val="00634DF1"/>
    <w:rsid w:val="00641252"/>
    <w:rsid w:val="00642FD4"/>
    <w:rsid w:val="00643564"/>
    <w:rsid w:val="00645B7F"/>
    <w:rsid w:val="00646264"/>
    <w:rsid w:val="00655A97"/>
    <w:rsid w:val="00664FF5"/>
    <w:rsid w:val="006668C3"/>
    <w:rsid w:val="00671C55"/>
    <w:rsid w:val="0067242A"/>
    <w:rsid w:val="006740D4"/>
    <w:rsid w:val="00675505"/>
    <w:rsid w:val="00680A6E"/>
    <w:rsid w:val="00682316"/>
    <w:rsid w:val="00684780"/>
    <w:rsid w:val="00686072"/>
    <w:rsid w:val="006A397D"/>
    <w:rsid w:val="006A57AE"/>
    <w:rsid w:val="006A7534"/>
    <w:rsid w:val="006B07BF"/>
    <w:rsid w:val="006C13C1"/>
    <w:rsid w:val="006D22C0"/>
    <w:rsid w:val="006D2BD7"/>
    <w:rsid w:val="006D75A9"/>
    <w:rsid w:val="006E0AA8"/>
    <w:rsid w:val="006E2878"/>
    <w:rsid w:val="006E4C3D"/>
    <w:rsid w:val="006F575B"/>
    <w:rsid w:val="00704057"/>
    <w:rsid w:val="00713DD8"/>
    <w:rsid w:val="007140A6"/>
    <w:rsid w:val="007146E9"/>
    <w:rsid w:val="0072242C"/>
    <w:rsid w:val="00730606"/>
    <w:rsid w:val="00730734"/>
    <w:rsid w:val="00733108"/>
    <w:rsid w:val="00737DF8"/>
    <w:rsid w:val="00743A70"/>
    <w:rsid w:val="00747579"/>
    <w:rsid w:val="00763436"/>
    <w:rsid w:val="0077263E"/>
    <w:rsid w:val="007761E4"/>
    <w:rsid w:val="00782B1B"/>
    <w:rsid w:val="007837EB"/>
    <w:rsid w:val="007940A5"/>
    <w:rsid w:val="00795062"/>
    <w:rsid w:val="00796DB0"/>
    <w:rsid w:val="007A2D51"/>
    <w:rsid w:val="007A7623"/>
    <w:rsid w:val="007B086B"/>
    <w:rsid w:val="007B6541"/>
    <w:rsid w:val="007B6FE8"/>
    <w:rsid w:val="007C08F3"/>
    <w:rsid w:val="007C0E54"/>
    <w:rsid w:val="007C210C"/>
    <w:rsid w:val="007C3174"/>
    <w:rsid w:val="007F420E"/>
    <w:rsid w:val="007F51A0"/>
    <w:rsid w:val="00800C44"/>
    <w:rsid w:val="00802B83"/>
    <w:rsid w:val="00810717"/>
    <w:rsid w:val="008134B6"/>
    <w:rsid w:val="00820651"/>
    <w:rsid w:val="00831EF9"/>
    <w:rsid w:val="0084641C"/>
    <w:rsid w:val="00850F73"/>
    <w:rsid w:val="00852AF3"/>
    <w:rsid w:val="008531F9"/>
    <w:rsid w:val="008842F1"/>
    <w:rsid w:val="0088720A"/>
    <w:rsid w:val="0089192E"/>
    <w:rsid w:val="008A0AD6"/>
    <w:rsid w:val="008A0FDA"/>
    <w:rsid w:val="008A4B48"/>
    <w:rsid w:val="008B1642"/>
    <w:rsid w:val="008C7363"/>
    <w:rsid w:val="008D2BE1"/>
    <w:rsid w:val="008E30B6"/>
    <w:rsid w:val="008E7167"/>
    <w:rsid w:val="00900C44"/>
    <w:rsid w:val="00901A68"/>
    <w:rsid w:val="00904515"/>
    <w:rsid w:val="0090593D"/>
    <w:rsid w:val="009067A7"/>
    <w:rsid w:val="0091435C"/>
    <w:rsid w:val="009161C8"/>
    <w:rsid w:val="00916B55"/>
    <w:rsid w:val="00920D23"/>
    <w:rsid w:val="00922B98"/>
    <w:rsid w:val="00924968"/>
    <w:rsid w:val="0093638A"/>
    <w:rsid w:val="00941170"/>
    <w:rsid w:val="00945A69"/>
    <w:rsid w:val="00951650"/>
    <w:rsid w:val="00955B3E"/>
    <w:rsid w:val="00956B5A"/>
    <w:rsid w:val="00961C3E"/>
    <w:rsid w:val="00961F07"/>
    <w:rsid w:val="00963BE5"/>
    <w:rsid w:val="00965C19"/>
    <w:rsid w:val="00980228"/>
    <w:rsid w:val="00996541"/>
    <w:rsid w:val="009A2515"/>
    <w:rsid w:val="009B3848"/>
    <w:rsid w:val="009B70C0"/>
    <w:rsid w:val="009C010D"/>
    <w:rsid w:val="009C3E35"/>
    <w:rsid w:val="009F0F57"/>
    <w:rsid w:val="009F26C4"/>
    <w:rsid w:val="00A148E9"/>
    <w:rsid w:val="00A2096C"/>
    <w:rsid w:val="00A2299B"/>
    <w:rsid w:val="00A22CDC"/>
    <w:rsid w:val="00A251B0"/>
    <w:rsid w:val="00A34D1C"/>
    <w:rsid w:val="00A354CA"/>
    <w:rsid w:val="00A7143D"/>
    <w:rsid w:val="00A75822"/>
    <w:rsid w:val="00A81397"/>
    <w:rsid w:val="00A85600"/>
    <w:rsid w:val="00A8610F"/>
    <w:rsid w:val="00A8653F"/>
    <w:rsid w:val="00A91AE5"/>
    <w:rsid w:val="00A93C4E"/>
    <w:rsid w:val="00A96C1C"/>
    <w:rsid w:val="00AA3401"/>
    <w:rsid w:val="00AA4029"/>
    <w:rsid w:val="00AB56AD"/>
    <w:rsid w:val="00AC11C8"/>
    <w:rsid w:val="00AC42A1"/>
    <w:rsid w:val="00AD14E2"/>
    <w:rsid w:val="00AD390C"/>
    <w:rsid w:val="00AD4F3B"/>
    <w:rsid w:val="00AD7222"/>
    <w:rsid w:val="00AE5795"/>
    <w:rsid w:val="00AF14FF"/>
    <w:rsid w:val="00B0417C"/>
    <w:rsid w:val="00B12B73"/>
    <w:rsid w:val="00B13045"/>
    <w:rsid w:val="00B13E8E"/>
    <w:rsid w:val="00B15BAC"/>
    <w:rsid w:val="00B163A7"/>
    <w:rsid w:val="00B25BA1"/>
    <w:rsid w:val="00B34411"/>
    <w:rsid w:val="00B42634"/>
    <w:rsid w:val="00B43D28"/>
    <w:rsid w:val="00B446E4"/>
    <w:rsid w:val="00B4622C"/>
    <w:rsid w:val="00B46646"/>
    <w:rsid w:val="00B50B81"/>
    <w:rsid w:val="00B50EB2"/>
    <w:rsid w:val="00B56BA6"/>
    <w:rsid w:val="00B70663"/>
    <w:rsid w:val="00B77AB9"/>
    <w:rsid w:val="00B82E41"/>
    <w:rsid w:val="00B93A28"/>
    <w:rsid w:val="00BA08DD"/>
    <w:rsid w:val="00BA167E"/>
    <w:rsid w:val="00BA306B"/>
    <w:rsid w:val="00BA6970"/>
    <w:rsid w:val="00BB7B51"/>
    <w:rsid w:val="00BC3C90"/>
    <w:rsid w:val="00BC499A"/>
    <w:rsid w:val="00BC68D2"/>
    <w:rsid w:val="00BE4ABA"/>
    <w:rsid w:val="00BF2BFE"/>
    <w:rsid w:val="00BF41B6"/>
    <w:rsid w:val="00BF6DCC"/>
    <w:rsid w:val="00C001FC"/>
    <w:rsid w:val="00C168DB"/>
    <w:rsid w:val="00C20D4C"/>
    <w:rsid w:val="00C3139C"/>
    <w:rsid w:val="00C326E4"/>
    <w:rsid w:val="00C44B5B"/>
    <w:rsid w:val="00C47D97"/>
    <w:rsid w:val="00C513B4"/>
    <w:rsid w:val="00C57FA9"/>
    <w:rsid w:val="00C61C10"/>
    <w:rsid w:val="00C67319"/>
    <w:rsid w:val="00C6778C"/>
    <w:rsid w:val="00C73432"/>
    <w:rsid w:val="00C75178"/>
    <w:rsid w:val="00C81E54"/>
    <w:rsid w:val="00C82782"/>
    <w:rsid w:val="00C83867"/>
    <w:rsid w:val="00C863BC"/>
    <w:rsid w:val="00C873FA"/>
    <w:rsid w:val="00C90901"/>
    <w:rsid w:val="00C93586"/>
    <w:rsid w:val="00C96E92"/>
    <w:rsid w:val="00C97781"/>
    <w:rsid w:val="00CA1B88"/>
    <w:rsid w:val="00CA2337"/>
    <w:rsid w:val="00CA63E5"/>
    <w:rsid w:val="00CA7D07"/>
    <w:rsid w:val="00CD6FDC"/>
    <w:rsid w:val="00CD7CD9"/>
    <w:rsid w:val="00CE0BB9"/>
    <w:rsid w:val="00CF71DD"/>
    <w:rsid w:val="00D15347"/>
    <w:rsid w:val="00D17848"/>
    <w:rsid w:val="00D2672A"/>
    <w:rsid w:val="00D27D4C"/>
    <w:rsid w:val="00D30DEE"/>
    <w:rsid w:val="00D32EA9"/>
    <w:rsid w:val="00D36BB2"/>
    <w:rsid w:val="00D4024D"/>
    <w:rsid w:val="00D408E3"/>
    <w:rsid w:val="00D443FC"/>
    <w:rsid w:val="00D4730B"/>
    <w:rsid w:val="00D6356B"/>
    <w:rsid w:val="00D66A30"/>
    <w:rsid w:val="00D74719"/>
    <w:rsid w:val="00D84927"/>
    <w:rsid w:val="00D86EC1"/>
    <w:rsid w:val="00D9238E"/>
    <w:rsid w:val="00DA2792"/>
    <w:rsid w:val="00DA77D1"/>
    <w:rsid w:val="00DA7E05"/>
    <w:rsid w:val="00DB4931"/>
    <w:rsid w:val="00DB6F99"/>
    <w:rsid w:val="00DC53E7"/>
    <w:rsid w:val="00DC7474"/>
    <w:rsid w:val="00DD0F6E"/>
    <w:rsid w:val="00DD5EB3"/>
    <w:rsid w:val="00DE1949"/>
    <w:rsid w:val="00DE2D23"/>
    <w:rsid w:val="00E224B3"/>
    <w:rsid w:val="00E2429C"/>
    <w:rsid w:val="00E2509F"/>
    <w:rsid w:val="00E27663"/>
    <w:rsid w:val="00E35A94"/>
    <w:rsid w:val="00E36BFE"/>
    <w:rsid w:val="00E3700D"/>
    <w:rsid w:val="00E409DC"/>
    <w:rsid w:val="00E415A9"/>
    <w:rsid w:val="00E41F02"/>
    <w:rsid w:val="00E6022A"/>
    <w:rsid w:val="00E60488"/>
    <w:rsid w:val="00E6405D"/>
    <w:rsid w:val="00E82F11"/>
    <w:rsid w:val="00E85D3B"/>
    <w:rsid w:val="00E90EC6"/>
    <w:rsid w:val="00E93A0F"/>
    <w:rsid w:val="00EB2323"/>
    <w:rsid w:val="00EB25DE"/>
    <w:rsid w:val="00EB441B"/>
    <w:rsid w:val="00EB45AA"/>
    <w:rsid w:val="00EB66C8"/>
    <w:rsid w:val="00EB6F85"/>
    <w:rsid w:val="00EC0460"/>
    <w:rsid w:val="00EC5E3C"/>
    <w:rsid w:val="00EC6980"/>
    <w:rsid w:val="00ED10B9"/>
    <w:rsid w:val="00ED19AA"/>
    <w:rsid w:val="00ED3AE4"/>
    <w:rsid w:val="00EF1F76"/>
    <w:rsid w:val="00EF6410"/>
    <w:rsid w:val="00F02405"/>
    <w:rsid w:val="00F209CE"/>
    <w:rsid w:val="00F235B3"/>
    <w:rsid w:val="00F25B4C"/>
    <w:rsid w:val="00F35DC6"/>
    <w:rsid w:val="00F42A9C"/>
    <w:rsid w:val="00F52483"/>
    <w:rsid w:val="00F52CBD"/>
    <w:rsid w:val="00F53C1D"/>
    <w:rsid w:val="00F57A4A"/>
    <w:rsid w:val="00F61134"/>
    <w:rsid w:val="00F61524"/>
    <w:rsid w:val="00F650A3"/>
    <w:rsid w:val="00F66E67"/>
    <w:rsid w:val="00F903DD"/>
    <w:rsid w:val="00F920FB"/>
    <w:rsid w:val="00F93BB8"/>
    <w:rsid w:val="00FA422A"/>
    <w:rsid w:val="00FA6381"/>
    <w:rsid w:val="00FA7030"/>
    <w:rsid w:val="00FB1315"/>
    <w:rsid w:val="00FB7657"/>
    <w:rsid w:val="00FD263F"/>
    <w:rsid w:val="00FD466C"/>
    <w:rsid w:val="00FD7B79"/>
    <w:rsid w:val="00FE13A9"/>
    <w:rsid w:val="00FF1F1D"/>
    <w:rsid w:val="00FF6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NormalWeb">
    <w:name w:val="Normal (Web)"/>
    <w:basedOn w:val="Normal"/>
    <w:uiPriority w:val="99"/>
    <w:semiHidden/>
    <w:unhideWhenUsed/>
    <w:rsid w:val="0042497B"/>
    <w:pPr>
      <w:spacing w:before="240" w:after="240"/>
    </w:pPr>
    <w:rPr>
      <w:szCs w:val="24"/>
    </w:rPr>
  </w:style>
  <w:style w:type="character" w:styleId="FollowedHyperlink">
    <w:name w:val="FollowedHyperlink"/>
    <w:basedOn w:val="DefaultParagraphFont"/>
    <w:uiPriority w:val="99"/>
    <w:semiHidden/>
    <w:unhideWhenUsed/>
    <w:rsid w:val="00680A6E"/>
    <w:rPr>
      <w:color w:val="800080" w:themeColor="followedHyperlink"/>
      <w:u w:val="single"/>
    </w:rPr>
  </w:style>
  <w:style w:type="paragraph" w:customStyle="1" w:styleId="paragraph">
    <w:name w:val="paragraph"/>
    <w:aliases w:val="a"/>
    <w:basedOn w:val="Normal"/>
    <w:rsid w:val="00B56BA6"/>
    <w:pPr>
      <w:tabs>
        <w:tab w:val="right" w:pos="1531"/>
      </w:tabs>
      <w:spacing w:before="40"/>
      <w:ind w:left="1644" w:hanging="1644"/>
    </w:pPr>
    <w:rPr>
      <w:sz w:val="22"/>
    </w:rPr>
  </w:style>
  <w:style w:type="paragraph" w:styleId="Revision">
    <w:name w:val="Revision"/>
    <w:hidden/>
    <w:uiPriority w:val="99"/>
    <w:semiHidden/>
    <w:rsid w:val="00DA2792"/>
    <w:rPr>
      <w:rFonts w:ascii="Times New Roman" w:eastAsia="Times New Roman" w:hAnsi="Times New Roman"/>
      <w:sz w:val="24"/>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NormalWeb">
    <w:name w:val="Normal (Web)"/>
    <w:basedOn w:val="Normal"/>
    <w:uiPriority w:val="99"/>
    <w:semiHidden/>
    <w:unhideWhenUsed/>
    <w:rsid w:val="0042497B"/>
    <w:pPr>
      <w:spacing w:before="240" w:after="240"/>
    </w:pPr>
    <w:rPr>
      <w:szCs w:val="24"/>
    </w:rPr>
  </w:style>
  <w:style w:type="character" w:styleId="FollowedHyperlink">
    <w:name w:val="FollowedHyperlink"/>
    <w:basedOn w:val="DefaultParagraphFont"/>
    <w:uiPriority w:val="99"/>
    <w:semiHidden/>
    <w:unhideWhenUsed/>
    <w:rsid w:val="00680A6E"/>
    <w:rPr>
      <w:color w:val="800080" w:themeColor="followedHyperlink"/>
      <w:u w:val="single"/>
    </w:rPr>
  </w:style>
  <w:style w:type="paragraph" w:customStyle="1" w:styleId="paragraph">
    <w:name w:val="paragraph"/>
    <w:aliases w:val="a"/>
    <w:basedOn w:val="Normal"/>
    <w:rsid w:val="00B56BA6"/>
    <w:pPr>
      <w:tabs>
        <w:tab w:val="right" w:pos="1531"/>
      </w:tabs>
      <w:spacing w:before="40"/>
      <w:ind w:left="1644" w:hanging="1644"/>
    </w:pPr>
    <w:rPr>
      <w:sz w:val="22"/>
    </w:rPr>
  </w:style>
  <w:style w:type="paragraph" w:styleId="Revision">
    <w:name w:val="Revision"/>
    <w:hidden/>
    <w:uiPriority w:val="99"/>
    <w:semiHidden/>
    <w:rsid w:val="00DA2792"/>
    <w:rPr>
      <w:rFonts w:ascii="Times New Roman" w:eastAsia="Times New Roman" w:hAnsi="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06639">
      <w:bodyDiv w:val="1"/>
      <w:marLeft w:val="0"/>
      <w:marRight w:val="0"/>
      <w:marTop w:val="0"/>
      <w:marBottom w:val="0"/>
      <w:divBdr>
        <w:top w:val="none" w:sz="0" w:space="0" w:color="auto"/>
        <w:left w:val="none" w:sz="0" w:space="0" w:color="auto"/>
        <w:bottom w:val="none" w:sz="0" w:space="0" w:color="auto"/>
        <w:right w:val="none" w:sz="0" w:space="0" w:color="auto"/>
      </w:divBdr>
      <w:divsChild>
        <w:div w:id="1949923287">
          <w:marLeft w:val="0"/>
          <w:marRight w:val="0"/>
          <w:marTop w:val="0"/>
          <w:marBottom w:val="0"/>
          <w:divBdr>
            <w:top w:val="none" w:sz="0" w:space="0" w:color="auto"/>
            <w:left w:val="none" w:sz="0" w:space="0" w:color="auto"/>
            <w:bottom w:val="none" w:sz="0" w:space="0" w:color="auto"/>
            <w:right w:val="none" w:sz="0" w:space="0" w:color="auto"/>
          </w:divBdr>
          <w:divsChild>
            <w:div w:id="1443301570">
              <w:marLeft w:val="0"/>
              <w:marRight w:val="0"/>
              <w:marTop w:val="0"/>
              <w:marBottom w:val="0"/>
              <w:divBdr>
                <w:top w:val="none" w:sz="0" w:space="0" w:color="auto"/>
                <w:left w:val="none" w:sz="0" w:space="0" w:color="auto"/>
                <w:bottom w:val="none" w:sz="0" w:space="0" w:color="auto"/>
                <w:right w:val="none" w:sz="0" w:space="0" w:color="auto"/>
              </w:divBdr>
              <w:divsChild>
                <w:div w:id="1302491883">
                  <w:marLeft w:val="0"/>
                  <w:marRight w:val="0"/>
                  <w:marTop w:val="0"/>
                  <w:marBottom w:val="0"/>
                  <w:divBdr>
                    <w:top w:val="none" w:sz="0" w:space="0" w:color="auto"/>
                    <w:left w:val="none" w:sz="0" w:space="0" w:color="auto"/>
                    <w:bottom w:val="none" w:sz="0" w:space="0" w:color="auto"/>
                    <w:right w:val="none" w:sz="0" w:space="0" w:color="auto"/>
                  </w:divBdr>
                  <w:divsChild>
                    <w:div w:id="1155217137">
                      <w:marLeft w:val="0"/>
                      <w:marRight w:val="0"/>
                      <w:marTop w:val="0"/>
                      <w:marBottom w:val="0"/>
                      <w:divBdr>
                        <w:top w:val="none" w:sz="0" w:space="0" w:color="auto"/>
                        <w:left w:val="none" w:sz="0" w:space="0" w:color="auto"/>
                        <w:bottom w:val="none" w:sz="0" w:space="0" w:color="auto"/>
                        <w:right w:val="none" w:sz="0" w:space="0" w:color="auto"/>
                      </w:divBdr>
                      <w:divsChild>
                        <w:div w:id="1782534792">
                          <w:marLeft w:val="0"/>
                          <w:marRight w:val="0"/>
                          <w:marTop w:val="0"/>
                          <w:marBottom w:val="0"/>
                          <w:divBdr>
                            <w:top w:val="none" w:sz="0" w:space="0" w:color="auto"/>
                            <w:left w:val="none" w:sz="0" w:space="0" w:color="auto"/>
                            <w:bottom w:val="none" w:sz="0" w:space="0" w:color="auto"/>
                            <w:right w:val="none" w:sz="0" w:space="0" w:color="auto"/>
                          </w:divBdr>
                          <w:divsChild>
                            <w:div w:id="750271041">
                              <w:marLeft w:val="0"/>
                              <w:marRight w:val="0"/>
                              <w:marTop w:val="0"/>
                              <w:marBottom w:val="0"/>
                              <w:divBdr>
                                <w:top w:val="none" w:sz="0" w:space="0" w:color="auto"/>
                                <w:left w:val="none" w:sz="0" w:space="0" w:color="auto"/>
                                <w:bottom w:val="none" w:sz="0" w:space="0" w:color="auto"/>
                                <w:right w:val="none" w:sz="0" w:space="0" w:color="auto"/>
                              </w:divBdr>
                              <w:divsChild>
                                <w:div w:id="102117454">
                                  <w:marLeft w:val="0"/>
                                  <w:marRight w:val="0"/>
                                  <w:marTop w:val="0"/>
                                  <w:marBottom w:val="0"/>
                                  <w:divBdr>
                                    <w:top w:val="none" w:sz="0" w:space="0" w:color="auto"/>
                                    <w:left w:val="none" w:sz="0" w:space="0" w:color="auto"/>
                                    <w:bottom w:val="none" w:sz="0" w:space="0" w:color="auto"/>
                                    <w:right w:val="none" w:sz="0" w:space="0" w:color="auto"/>
                                  </w:divBdr>
                                  <w:divsChild>
                                    <w:div w:id="1880121087">
                                      <w:marLeft w:val="0"/>
                                      <w:marRight w:val="0"/>
                                      <w:marTop w:val="0"/>
                                      <w:marBottom w:val="0"/>
                                      <w:divBdr>
                                        <w:top w:val="none" w:sz="0" w:space="0" w:color="auto"/>
                                        <w:left w:val="none" w:sz="0" w:space="0" w:color="auto"/>
                                        <w:bottom w:val="none" w:sz="0" w:space="0" w:color="auto"/>
                                        <w:right w:val="none" w:sz="0" w:space="0" w:color="auto"/>
                                      </w:divBdr>
                                      <w:divsChild>
                                        <w:div w:id="11506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2981-DF79-4A4E-AA12-B4B1D595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4292</Words>
  <Characters>22536</Characters>
  <Application>Microsoft Office Word</Application>
  <DocSecurity>0</DocSecurity>
  <Lines>2048</Lines>
  <Paragraphs>1166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TGA</Company>
  <LinksUpToDate>false</LinksUpToDate>
  <CharactersWithSpaces>25662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banchj</dc:creator>
  <cp:lastModifiedBy>Gibson, Vikki</cp:lastModifiedBy>
  <cp:revision>3</cp:revision>
  <cp:lastPrinted>2015-05-18T00:11:00Z</cp:lastPrinted>
  <dcterms:created xsi:type="dcterms:W3CDTF">2015-06-15T03:35:00Z</dcterms:created>
  <dcterms:modified xsi:type="dcterms:W3CDTF">2015-06-15T03:35:00Z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