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9BF02" w14:textId="77777777" w:rsidR="00F109D4" w:rsidRDefault="00F109D4" w:rsidP="00A12209">
      <w:pPr>
        <w:pStyle w:val="Heading1"/>
      </w:pPr>
      <w:r w:rsidRPr="00503E44">
        <w:t>EXPLANATORY STATEMENT</w:t>
      </w:r>
    </w:p>
    <w:p w14:paraId="20C17EA1" w14:textId="146F88D4" w:rsidR="00437290" w:rsidRPr="00437290" w:rsidRDefault="00437290" w:rsidP="00437290">
      <w:pPr>
        <w:jc w:val="center"/>
        <w:rPr>
          <w:b/>
          <w:sz w:val="28"/>
          <w:szCs w:val="28"/>
          <w:u w:val="single"/>
        </w:rPr>
      </w:pPr>
      <w:r w:rsidRPr="00437290">
        <w:rPr>
          <w:b/>
          <w:sz w:val="28"/>
          <w:szCs w:val="28"/>
          <w:u w:val="single"/>
        </w:rPr>
        <w:t>SELECT LEGISLATIVE INSTRUMENT</w:t>
      </w:r>
      <w:r w:rsidR="00B00F99">
        <w:rPr>
          <w:b/>
          <w:sz w:val="28"/>
          <w:szCs w:val="28"/>
          <w:u w:val="single"/>
        </w:rPr>
        <w:t xml:space="preserve"> NO. 78, 2015</w:t>
      </w:r>
    </w:p>
    <w:p w14:paraId="3A23A43B" w14:textId="62A86DD5" w:rsidR="00437290" w:rsidRDefault="00437290" w:rsidP="00437290">
      <w:pPr>
        <w:jc w:val="center"/>
        <w:rPr>
          <w:b/>
          <w:sz w:val="28"/>
          <w:szCs w:val="28"/>
          <w:u w:val="single"/>
        </w:rPr>
      </w:pPr>
      <w:r w:rsidRPr="00437290">
        <w:rPr>
          <w:b/>
          <w:sz w:val="28"/>
          <w:szCs w:val="28"/>
          <w:u w:val="single"/>
        </w:rPr>
        <w:t xml:space="preserve">Issued by authority of the </w:t>
      </w:r>
      <w:r w:rsidR="009E044E">
        <w:rPr>
          <w:b/>
          <w:sz w:val="28"/>
          <w:szCs w:val="28"/>
          <w:u w:val="single"/>
        </w:rPr>
        <w:t xml:space="preserve">Assistant </w:t>
      </w:r>
      <w:r w:rsidRPr="00437290">
        <w:rPr>
          <w:b/>
          <w:sz w:val="28"/>
          <w:szCs w:val="28"/>
          <w:u w:val="single"/>
        </w:rPr>
        <w:t>Treasurer</w:t>
      </w:r>
    </w:p>
    <w:p w14:paraId="4B519706" w14:textId="0393E888" w:rsidR="005D5AC7" w:rsidRDefault="005D5AC7" w:rsidP="005D5AC7">
      <w:pPr>
        <w:jc w:val="center"/>
        <w:rPr>
          <w:i/>
          <w:szCs w:val="24"/>
        </w:rPr>
      </w:pPr>
      <w:r w:rsidRPr="005D5AC7">
        <w:rPr>
          <w:i/>
          <w:szCs w:val="24"/>
        </w:rPr>
        <w:t>Income Tax Assessment Act 1936</w:t>
      </w:r>
    </w:p>
    <w:p w14:paraId="66FFEF80" w14:textId="1FBB6DB7" w:rsidR="005D5AC7" w:rsidRPr="005D5AC7" w:rsidRDefault="00C5288D" w:rsidP="005D5AC7">
      <w:pPr>
        <w:jc w:val="center"/>
        <w:rPr>
          <w:b/>
          <w:i/>
          <w:sz w:val="28"/>
          <w:szCs w:val="28"/>
          <w:u w:val="single"/>
        </w:rPr>
      </w:pPr>
      <w:r w:rsidRPr="00C5288D">
        <w:rPr>
          <w:i/>
          <w:szCs w:val="24"/>
        </w:rPr>
        <w:t xml:space="preserve">Income Tax Amendment (Defence Force </w:t>
      </w:r>
      <w:r w:rsidR="00D431DE">
        <w:rPr>
          <w:i/>
          <w:szCs w:val="24"/>
        </w:rPr>
        <w:t>I</w:t>
      </w:r>
      <w:r w:rsidRPr="00C5288D">
        <w:rPr>
          <w:i/>
          <w:szCs w:val="24"/>
        </w:rPr>
        <w:t xml:space="preserve">ncome </w:t>
      </w:r>
      <w:r w:rsidR="00D431DE">
        <w:rPr>
          <w:i/>
          <w:szCs w:val="24"/>
        </w:rPr>
        <w:t>T</w:t>
      </w:r>
      <w:r w:rsidRPr="00C5288D">
        <w:rPr>
          <w:i/>
          <w:szCs w:val="24"/>
        </w:rPr>
        <w:t xml:space="preserve">ax </w:t>
      </w:r>
      <w:r w:rsidR="00D431DE">
        <w:rPr>
          <w:i/>
          <w:szCs w:val="24"/>
        </w:rPr>
        <w:t>E</w:t>
      </w:r>
      <w:r w:rsidRPr="00C5288D">
        <w:rPr>
          <w:i/>
          <w:szCs w:val="24"/>
        </w:rPr>
        <w:t>xemptions) Regulation 2015</w:t>
      </w:r>
    </w:p>
    <w:p w14:paraId="02E2753A" w14:textId="1BC3744B" w:rsidR="004B4C20" w:rsidRDefault="004B4C20" w:rsidP="004B4C20">
      <w:pPr>
        <w:tabs>
          <w:tab w:val="left" w:pos="1701"/>
          <w:tab w:val="right" w:pos="9072"/>
        </w:tabs>
        <w:ind w:right="91"/>
      </w:pPr>
      <w:r w:rsidRPr="004B4C20">
        <w:t xml:space="preserve">Section 266 of the </w:t>
      </w:r>
      <w:r w:rsidRPr="004B4C20">
        <w:rPr>
          <w:i/>
        </w:rPr>
        <w:t xml:space="preserve">Income Tax Assessment Act 1936 </w:t>
      </w:r>
      <w:r w:rsidRPr="004B4C20">
        <w:t>(Act)</w:t>
      </w:r>
      <w:r w:rsidRPr="004B4C20">
        <w:rPr>
          <w:i/>
        </w:rPr>
        <w:t xml:space="preserve"> </w:t>
      </w:r>
      <w:r w:rsidRPr="004B4C20">
        <w:t>provides that the Governor-General may make regulations prescribing matters required or permitted by the Act to be prescribed, or necessary or convenient to be prescribed for carrying out or giving effect to the Act.</w:t>
      </w:r>
    </w:p>
    <w:p w14:paraId="174079CF" w14:textId="749BCE2D" w:rsidR="002D1E16" w:rsidRPr="002D1E16" w:rsidRDefault="002D1E16" w:rsidP="002D1E16">
      <w:pPr>
        <w:tabs>
          <w:tab w:val="left" w:pos="1701"/>
          <w:tab w:val="right" w:pos="9072"/>
        </w:tabs>
        <w:ind w:right="91"/>
      </w:pPr>
      <w:r w:rsidRPr="002D1E16">
        <w:t>The purpose of the</w:t>
      </w:r>
      <w:r w:rsidRPr="002D1E16">
        <w:rPr>
          <w:i/>
        </w:rPr>
        <w:t xml:space="preserve"> Income Tax Amendment (Defence Force </w:t>
      </w:r>
      <w:r w:rsidR="00D431DE">
        <w:rPr>
          <w:i/>
        </w:rPr>
        <w:t>I</w:t>
      </w:r>
      <w:r w:rsidRPr="002D1E16">
        <w:rPr>
          <w:i/>
        </w:rPr>
        <w:t xml:space="preserve">ncome </w:t>
      </w:r>
      <w:r w:rsidR="00D431DE">
        <w:rPr>
          <w:i/>
        </w:rPr>
        <w:t>T</w:t>
      </w:r>
      <w:r w:rsidRPr="002D1E16">
        <w:rPr>
          <w:i/>
        </w:rPr>
        <w:t xml:space="preserve">ax </w:t>
      </w:r>
      <w:r w:rsidR="00D431DE">
        <w:rPr>
          <w:i/>
        </w:rPr>
        <w:t>E</w:t>
      </w:r>
      <w:r w:rsidRPr="002D1E16">
        <w:rPr>
          <w:i/>
        </w:rPr>
        <w:t>xemptions) Regulation 2015</w:t>
      </w:r>
      <w:r w:rsidRPr="002D1E16">
        <w:t xml:space="preserve"> (Regulation) is to exempt from income tax the remuneration of Australian Defence Force (</w:t>
      </w:r>
      <w:proofErr w:type="spellStart"/>
      <w:r w:rsidRPr="002D1E16">
        <w:t>ADF</w:t>
      </w:r>
      <w:proofErr w:type="spellEnd"/>
      <w:r w:rsidRPr="002D1E16">
        <w:t xml:space="preserve">) personnel engaged in service </w:t>
      </w:r>
      <w:r w:rsidR="00910604">
        <w:t>o</w:t>
      </w:r>
      <w:r w:rsidRPr="002D1E16">
        <w:t xml:space="preserve">n Operations ACCORDION, AUGURY, HIGHROAD, MANITOU, OKRA and PALATE II. </w:t>
      </w:r>
    </w:p>
    <w:p w14:paraId="1D406A00" w14:textId="48C1AF0D" w:rsidR="002D1E16" w:rsidRPr="002D1E16" w:rsidRDefault="002D1E16" w:rsidP="002D1E16">
      <w:pPr>
        <w:tabs>
          <w:tab w:val="left" w:pos="1701"/>
          <w:tab w:val="right" w:pos="9072"/>
        </w:tabs>
        <w:ind w:right="91"/>
      </w:pPr>
      <w:r w:rsidRPr="002D1E16">
        <w:t xml:space="preserve">Subsection </w:t>
      </w:r>
      <w:proofErr w:type="spellStart"/>
      <w:r w:rsidRPr="002D1E16">
        <w:t>23AD</w:t>
      </w:r>
      <w:proofErr w:type="spellEnd"/>
      <w:r w:rsidRPr="002D1E16">
        <w:t xml:space="preserve">(1) of the Act provides that the pay and allowances of </w:t>
      </w:r>
      <w:proofErr w:type="spellStart"/>
      <w:r w:rsidRPr="002D1E16">
        <w:t>ADF</w:t>
      </w:r>
      <w:proofErr w:type="spellEnd"/>
      <w:r w:rsidRPr="002D1E16">
        <w:t xml:space="preserve"> personnel are exempt from income tax if: </w:t>
      </w:r>
    </w:p>
    <w:p w14:paraId="4B2F3C38" w14:textId="77777777" w:rsidR="002D1E16" w:rsidRPr="002D1E16" w:rsidRDefault="002D1E16" w:rsidP="002D1E16">
      <w:pPr>
        <w:pStyle w:val="Bullet"/>
      </w:pPr>
      <w:r w:rsidRPr="002D1E16">
        <w:t>the individual is on ‘eligible duty’ (but not as, or under, an attaché at an embassy or legation); and</w:t>
      </w:r>
    </w:p>
    <w:p w14:paraId="4527D5D3" w14:textId="40EF84FA" w:rsidR="002D1E16" w:rsidRPr="002D1E16" w:rsidRDefault="002D1E16" w:rsidP="002D1E16">
      <w:pPr>
        <w:pStyle w:val="Bullet"/>
        <w:tabs>
          <w:tab w:val="left" w:pos="1701"/>
          <w:tab w:val="right" w:pos="9072"/>
        </w:tabs>
        <w:ind w:right="91"/>
      </w:pPr>
      <w:r w:rsidRPr="002D1E16">
        <w:t xml:space="preserve">the Chief of the </w:t>
      </w:r>
      <w:proofErr w:type="spellStart"/>
      <w:r w:rsidRPr="002D1E16">
        <w:t>ADF</w:t>
      </w:r>
      <w:proofErr w:type="spellEnd"/>
      <w:r w:rsidRPr="002D1E16">
        <w:t xml:space="preserve"> has issued certificate to the effect the person is on eligible duty. </w:t>
      </w:r>
    </w:p>
    <w:p w14:paraId="3131A462" w14:textId="7197AEB3" w:rsidR="002D1E16" w:rsidRPr="002D1E16" w:rsidRDefault="002D1E16" w:rsidP="002D1E16">
      <w:pPr>
        <w:tabs>
          <w:tab w:val="left" w:pos="1701"/>
          <w:tab w:val="right" w:pos="9072"/>
        </w:tabs>
        <w:ind w:right="91"/>
      </w:pPr>
      <w:r w:rsidRPr="002D1E16">
        <w:t xml:space="preserve">Subsection </w:t>
      </w:r>
      <w:proofErr w:type="spellStart"/>
      <w:r w:rsidRPr="002D1E16">
        <w:t>23AD</w:t>
      </w:r>
      <w:proofErr w:type="spellEnd"/>
      <w:r w:rsidRPr="002D1E16">
        <w:t>(2) of the Act also provides that the regulations may prescribe duty with a specified organisation in a specified area outside Australia and after a specified day</w:t>
      </w:r>
      <w:r w:rsidR="00910604">
        <w:t>,</w:t>
      </w:r>
      <w:r w:rsidRPr="002D1E16">
        <w:t xml:space="preserve"> to be eligible duty. Subparagraph </w:t>
      </w:r>
      <w:proofErr w:type="spellStart"/>
      <w:r w:rsidRPr="002D1E16">
        <w:t>23AD</w:t>
      </w:r>
      <w:proofErr w:type="spellEnd"/>
      <w:r w:rsidRPr="002D1E16">
        <w:t xml:space="preserve">(3)(b)(iii) of the Act provides that the regulations may prescribe that the certificate issued by the Chief of the </w:t>
      </w:r>
      <w:proofErr w:type="spellStart"/>
      <w:r w:rsidRPr="002D1E16">
        <w:t>ADF</w:t>
      </w:r>
      <w:proofErr w:type="spellEnd"/>
      <w:r w:rsidRPr="002D1E16">
        <w:t xml:space="preserve"> continues in force until the earlier of the person’s departure from the specified area, its revocation, or such time prescribed by the regulations. </w:t>
      </w:r>
    </w:p>
    <w:p w14:paraId="27DC3F44" w14:textId="228EDF0D" w:rsidR="002D1E16" w:rsidRPr="002D1E16" w:rsidRDefault="002D1E16" w:rsidP="002D1E16">
      <w:pPr>
        <w:tabs>
          <w:tab w:val="left" w:pos="1701"/>
          <w:tab w:val="right" w:pos="9072"/>
        </w:tabs>
        <w:ind w:right="91"/>
      </w:pPr>
      <w:r w:rsidRPr="002D1E16">
        <w:t xml:space="preserve">Regulation </w:t>
      </w:r>
      <w:proofErr w:type="spellStart"/>
      <w:r w:rsidRPr="002D1E16">
        <w:t>7A</w:t>
      </w:r>
      <w:proofErr w:type="spellEnd"/>
      <w:r w:rsidRPr="002D1E16">
        <w:t xml:space="preserve"> of the </w:t>
      </w:r>
      <w:r w:rsidRPr="002D1E16">
        <w:rPr>
          <w:i/>
        </w:rPr>
        <w:t xml:space="preserve">Income Tax Regulations 1936 </w:t>
      </w:r>
      <w:r w:rsidRPr="002D1E16">
        <w:t xml:space="preserve">(Principal Regulations) prescribes certain duty as eligible duty. </w:t>
      </w:r>
    </w:p>
    <w:p w14:paraId="425362DD" w14:textId="0656F2A9" w:rsidR="002D1E16" w:rsidRPr="002D1E16" w:rsidRDefault="002D1E16" w:rsidP="002D1E16">
      <w:pPr>
        <w:tabs>
          <w:tab w:val="left" w:pos="1701"/>
          <w:tab w:val="right" w:pos="9072"/>
        </w:tabs>
        <w:ind w:right="91"/>
      </w:pPr>
      <w:r w:rsidRPr="002D1E16">
        <w:t>Schedule 1 to the Regulation amend</w:t>
      </w:r>
      <w:r>
        <w:t>s</w:t>
      </w:r>
      <w:r w:rsidRPr="002D1E16">
        <w:t xml:space="preserve"> regulation </w:t>
      </w:r>
      <w:proofErr w:type="spellStart"/>
      <w:r w:rsidRPr="002D1E16">
        <w:t>7A</w:t>
      </w:r>
      <w:proofErr w:type="spellEnd"/>
      <w:r w:rsidRPr="002D1E16">
        <w:t xml:space="preserve"> of the Principal Regulations to update for new or continuing operations, and speci</w:t>
      </w:r>
      <w:r>
        <w:t>fies</w:t>
      </w:r>
      <w:r w:rsidRPr="002D1E16">
        <w:t xml:space="preserve"> the relevant operations as eligible duty for the purposes of section </w:t>
      </w:r>
      <w:proofErr w:type="spellStart"/>
      <w:r w:rsidRPr="002D1E16">
        <w:t>23AD</w:t>
      </w:r>
      <w:proofErr w:type="spellEnd"/>
      <w:r w:rsidRPr="002D1E16">
        <w:t xml:space="preserve"> of the Act. The </w:t>
      </w:r>
      <w:r w:rsidR="00566047">
        <w:t>Regulation</w:t>
      </w:r>
      <w:r w:rsidRPr="002D1E16">
        <w:t xml:space="preserve"> also improve</w:t>
      </w:r>
      <w:r w:rsidR="00566047">
        <w:t>s</w:t>
      </w:r>
      <w:r w:rsidRPr="002D1E16">
        <w:t xml:space="preserve"> readability by redrafting regulation </w:t>
      </w:r>
      <w:proofErr w:type="spellStart"/>
      <w:r w:rsidRPr="002D1E16">
        <w:t>7A</w:t>
      </w:r>
      <w:proofErr w:type="spellEnd"/>
      <w:r w:rsidRPr="002D1E16">
        <w:t xml:space="preserve"> as a table. </w:t>
      </w:r>
    </w:p>
    <w:p w14:paraId="14048431" w14:textId="177657FF" w:rsidR="002D1E16" w:rsidRPr="002D1E16" w:rsidRDefault="002D1E16" w:rsidP="002D1E16">
      <w:pPr>
        <w:tabs>
          <w:tab w:val="left" w:pos="1701"/>
          <w:tab w:val="right" w:pos="9072"/>
        </w:tabs>
        <w:ind w:right="91"/>
      </w:pPr>
      <w:r w:rsidRPr="002D1E16">
        <w:t xml:space="preserve">Details of the Regulation are set out in the </w:t>
      </w:r>
      <w:r w:rsidRPr="002D1E16">
        <w:rPr>
          <w:u w:val="single"/>
        </w:rPr>
        <w:t>Attachment</w:t>
      </w:r>
      <w:r w:rsidRPr="002D1E16">
        <w:t xml:space="preserve">. </w:t>
      </w:r>
    </w:p>
    <w:p w14:paraId="0FA6D34F" w14:textId="411E36A9" w:rsidR="004B4C20" w:rsidRDefault="002D1E16" w:rsidP="004C3F1D">
      <w:pPr>
        <w:rPr>
          <w:b/>
        </w:rPr>
      </w:pPr>
      <w:r w:rsidRPr="002D1E16">
        <w:rPr>
          <w:b/>
        </w:rPr>
        <w:t>Compliance cost impacts</w:t>
      </w:r>
    </w:p>
    <w:p w14:paraId="214076E7" w14:textId="68AD72FA" w:rsidR="002D1E16" w:rsidRPr="002D1E16" w:rsidRDefault="00910604" w:rsidP="004C3F1D">
      <w:r>
        <w:t>The amendments</w:t>
      </w:r>
      <w:r w:rsidR="002D1E16" w:rsidRPr="002D1E16">
        <w:t xml:space="preserve"> made by </w:t>
      </w:r>
      <w:r w:rsidR="00785734" w:rsidRPr="002D1E16">
        <w:t>th</w:t>
      </w:r>
      <w:r w:rsidR="00785734">
        <w:t>e</w:t>
      </w:r>
      <w:r w:rsidR="00785734" w:rsidRPr="002D1E16">
        <w:t xml:space="preserve"> </w:t>
      </w:r>
      <w:r w:rsidR="002D1E16" w:rsidRPr="002D1E16">
        <w:t xml:space="preserve">Regulation are minor and machinery in nature and have </w:t>
      </w:r>
      <w:r w:rsidR="002B264A">
        <w:t xml:space="preserve">a </w:t>
      </w:r>
      <w:r w:rsidR="002D1E16" w:rsidRPr="002D1E16">
        <w:t xml:space="preserve">negligible compliance cost impact. </w:t>
      </w:r>
    </w:p>
    <w:p w14:paraId="7F7E9A05" w14:textId="4B457F94" w:rsidR="004B4C20" w:rsidRPr="004B4C20" w:rsidRDefault="004B4C20" w:rsidP="004C3F1D">
      <w:pPr>
        <w:rPr>
          <w:b/>
        </w:rPr>
      </w:pPr>
      <w:r w:rsidRPr="004B4C20">
        <w:rPr>
          <w:b/>
        </w:rPr>
        <w:t>Consultation</w:t>
      </w:r>
    </w:p>
    <w:p w14:paraId="12F4348B" w14:textId="686641DA" w:rsidR="00BE484D" w:rsidRDefault="004C3F1D" w:rsidP="004C3F1D">
      <w:r>
        <w:t>Consultation was undertaken with the Department of Defence on the amendments. No public consultation was undertaken as they are minor and technical in nature.</w:t>
      </w:r>
    </w:p>
    <w:p w14:paraId="57FE0F47" w14:textId="0E5194D2" w:rsidR="002D1E16" w:rsidRPr="002D1E16" w:rsidRDefault="002D1E16" w:rsidP="004C3990">
      <w:pPr>
        <w:keepNext/>
        <w:keepLines/>
        <w:rPr>
          <w:b/>
        </w:rPr>
      </w:pPr>
      <w:r w:rsidRPr="002D1E16">
        <w:rPr>
          <w:b/>
        </w:rPr>
        <w:lastRenderedPageBreak/>
        <w:t>Conditions and commencement</w:t>
      </w:r>
    </w:p>
    <w:p w14:paraId="1A89913B" w14:textId="04558531" w:rsidR="002D1E16" w:rsidRPr="002D1E16" w:rsidRDefault="002D1E16">
      <w:pPr>
        <w:keepNext/>
        <w:keepLines/>
        <w:spacing w:before="0" w:after="0"/>
      </w:pPr>
      <w:r w:rsidRPr="002D1E16">
        <w:t>The Act specifies no conditions that need to be met before the power to make the Regulation may be exercised.</w:t>
      </w:r>
    </w:p>
    <w:p w14:paraId="2A95342A" w14:textId="77777777" w:rsidR="002D1E16" w:rsidRPr="002D1E16" w:rsidRDefault="002D1E16" w:rsidP="002D1E16">
      <w:pPr>
        <w:spacing w:before="0" w:after="0"/>
      </w:pPr>
    </w:p>
    <w:p w14:paraId="38FEFDC9" w14:textId="0A7E7FD4" w:rsidR="002D1E16" w:rsidRPr="002D1E16" w:rsidRDefault="002D1E16" w:rsidP="002D1E16">
      <w:pPr>
        <w:spacing w:before="0" w:after="0"/>
      </w:pPr>
      <w:r>
        <w:t>The</w:t>
      </w:r>
      <w:r w:rsidRPr="002D1E16">
        <w:t xml:space="preserve"> Regulation </w:t>
      </w:r>
      <w:r w:rsidR="00910604">
        <w:t>is</w:t>
      </w:r>
      <w:r w:rsidRPr="002D1E16">
        <w:t xml:space="preserve"> a legislative instrument for the purposes of the </w:t>
      </w:r>
      <w:r w:rsidRPr="002D1E16">
        <w:rPr>
          <w:i/>
        </w:rPr>
        <w:t>Legislative Instruments Act 2003</w:t>
      </w:r>
      <w:r w:rsidRPr="002D1E16">
        <w:t xml:space="preserve">. </w:t>
      </w:r>
    </w:p>
    <w:p w14:paraId="295AC949" w14:textId="77777777" w:rsidR="002D1E16" w:rsidRPr="002D1E16" w:rsidRDefault="002D1E16" w:rsidP="002D1E16">
      <w:pPr>
        <w:spacing w:before="0" w:after="0"/>
      </w:pPr>
    </w:p>
    <w:p w14:paraId="1AE8B104" w14:textId="1A9061F3" w:rsidR="002D1E16" w:rsidRPr="002D1E16" w:rsidRDefault="002D1E16" w:rsidP="002D1E16">
      <w:pPr>
        <w:spacing w:before="0" w:after="0"/>
      </w:pPr>
      <w:r>
        <w:t>The</w:t>
      </w:r>
      <w:r w:rsidRPr="002D1E16">
        <w:t xml:space="preserve"> Regulation commence</w:t>
      </w:r>
      <w:r w:rsidR="00910604">
        <w:t>s</w:t>
      </w:r>
      <w:r w:rsidRPr="002D1E16">
        <w:t xml:space="preserve"> on the day after </w:t>
      </w:r>
      <w:r w:rsidR="002B264A">
        <w:t xml:space="preserve">it is </w:t>
      </w:r>
      <w:r w:rsidRPr="002D1E16">
        <w:t>regist</w:t>
      </w:r>
      <w:r w:rsidR="002B264A">
        <w:t>e</w:t>
      </w:r>
      <w:r w:rsidRPr="002D1E16">
        <w:t>r</w:t>
      </w:r>
      <w:r w:rsidR="002B264A">
        <w:t>ed</w:t>
      </w:r>
      <w:r w:rsidRPr="002D1E16">
        <w:t xml:space="preserve">. </w:t>
      </w:r>
    </w:p>
    <w:p w14:paraId="6BDBA278" w14:textId="77777777" w:rsidR="002D1E16" w:rsidRPr="002D1E16" w:rsidRDefault="002D1E16" w:rsidP="002D1E16">
      <w:pPr>
        <w:spacing w:before="0" w:after="0"/>
      </w:pPr>
    </w:p>
    <w:p w14:paraId="676152D4" w14:textId="40E85AFC" w:rsidR="00774D3B" w:rsidRDefault="00D51E3F">
      <w:pPr>
        <w:spacing w:before="0" w:after="0"/>
      </w:pPr>
      <w:r>
        <w:br w:type="page"/>
      </w:r>
    </w:p>
    <w:p w14:paraId="762D14B9" w14:textId="77777777" w:rsidR="00774D3B" w:rsidRPr="00A75620" w:rsidRDefault="00774D3B" w:rsidP="00774D3B">
      <w:pPr>
        <w:spacing w:before="0" w:after="0"/>
        <w:jc w:val="right"/>
        <w:rPr>
          <w:b/>
          <w:u w:val="single"/>
        </w:rPr>
      </w:pPr>
      <w:r w:rsidRPr="00A75620">
        <w:rPr>
          <w:b/>
          <w:u w:val="single"/>
        </w:rPr>
        <w:lastRenderedPageBreak/>
        <w:t>ATTACHMENT</w:t>
      </w:r>
    </w:p>
    <w:p w14:paraId="7E087F09" w14:textId="77777777" w:rsidR="00774D3B" w:rsidRDefault="00774D3B" w:rsidP="00774D3B">
      <w:pPr>
        <w:spacing w:before="0" w:after="0"/>
        <w:rPr>
          <w:b/>
        </w:rPr>
      </w:pPr>
    </w:p>
    <w:p w14:paraId="03D53B69" w14:textId="3693E3D2" w:rsidR="003931D5" w:rsidRPr="00133574" w:rsidRDefault="003931D5" w:rsidP="00774D3B">
      <w:pPr>
        <w:spacing w:before="0" w:after="0"/>
        <w:rPr>
          <w:b/>
          <w:i/>
          <w:u w:val="single"/>
        </w:rPr>
      </w:pPr>
      <w:r w:rsidRPr="00133574">
        <w:rPr>
          <w:b/>
          <w:u w:val="single"/>
        </w:rPr>
        <w:t xml:space="preserve">Details of the </w:t>
      </w:r>
      <w:r w:rsidRPr="00133574">
        <w:rPr>
          <w:b/>
          <w:i/>
          <w:u w:val="single"/>
        </w:rPr>
        <w:t xml:space="preserve">Income Tax Amendment (Defence Force </w:t>
      </w:r>
      <w:r w:rsidR="00D431DE">
        <w:rPr>
          <w:b/>
          <w:i/>
          <w:u w:val="single"/>
        </w:rPr>
        <w:t>I</w:t>
      </w:r>
      <w:r w:rsidRPr="00133574">
        <w:rPr>
          <w:b/>
          <w:i/>
          <w:u w:val="single"/>
        </w:rPr>
        <w:t xml:space="preserve">ncome </w:t>
      </w:r>
      <w:r w:rsidR="00D431DE">
        <w:rPr>
          <w:b/>
          <w:i/>
          <w:u w:val="single"/>
        </w:rPr>
        <w:t>T</w:t>
      </w:r>
      <w:r w:rsidRPr="00133574">
        <w:rPr>
          <w:b/>
          <w:i/>
          <w:u w:val="single"/>
        </w:rPr>
        <w:t xml:space="preserve">ax </w:t>
      </w:r>
      <w:r w:rsidR="00D431DE">
        <w:rPr>
          <w:b/>
          <w:i/>
          <w:u w:val="single"/>
        </w:rPr>
        <w:t>E</w:t>
      </w:r>
      <w:r w:rsidRPr="00133574">
        <w:rPr>
          <w:b/>
          <w:i/>
          <w:u w:val="single"/>
        </w:rPr>
        <w:t>xemptions) Regulation 2015</w:t>
      </w:r>
    </w:p>
    <w:p w14:paraId="0302473D" w14:textId="77777777" w:rsidR="003931D5" w:rsidRPr="003931D5" w:rsidRDefault="003931D5" w:rsidP="003931D5">
      <w:pPr>
        <w:spacing w:before="0" w:after="0"/>
        <w:rPr>
          <w:b/>
          <w:szCs w:val="24"/>
          <w:u w:val="single"/>
        </w:rPr>
      </w:pPr>
    </w:p>
    <w:p w14:paraId="0973B30D" w14:textId="77777777" w:rsidR="003931D5" w:rsidRPr="003931D5" w:rsidRDefault="003931D5" w:rsidP="003931D5">
      <w:pPr>
        <w:autoSpaceDE w:val="0"/>
        <w:autoSpaceDN w:val="0"/>
        <w:adjustRightInd w:val="0"/>
        <w:spacing w:before="0" w:after="0"/>
        <w:rPr>
          <w:b/>
          <w:bCs/>
          <w:szCs w:val="24"/>
        </w:rPr>
      </w:pPr>
      <w:r w:rsidRPr="003931D5">
        <w:rPr>
          <w:b/>
          <w:bCs/>
          <w:szCs w:val="24"/>
        </w:rPr>
        <w:t>Section 1 — Name of Regulation</w:t>
      </w:r>
    </w:p>
    <w:p w14:paraId="36A89C91" w14:textId="77777777" w:rsidR="003931D5" w:rsidRPr="003931D5" w:rsidRDefault="003931D5" w:rsidP="003931D5">
      <w:pPr>
        <w:autoSpaceDE w:val="0"/>
        <w:autoSpaceDN w:val="0"/>
        <w:adjustRightInd w:val="0"/>
        <w:spacing w:before="0" w:after="0"/>
        <w:rPr>
          <w:szCs w:val="24"/>
        </w:rPr>
      </w:pPr>
    </w:p>
    <w:p w14:paraId="7D8B42E6" w14:textId="65BB406B" w:rsidR="003931D5" w:rsidRPr="003931D5" w:rsidRDefault="003931D5" w:rsidP="003931D5">
      <w:pPr>
        <w:autoSpaceDE w:val="0"/>
        <w:autoSpaceDN w:val="0"/>
        <w:adjustRightInd w:val="0"/>
        <w:spacing w:before="0" w:after="0"/>
        <w:rPr>
          <w:i/>
          <w:iCs/>
          <w:szCs w:val="24"/>
        </w:rPr>
      </w:pPr>
      <w:r w:rsidRPr="003931D5">
        <w:rPr>
          <w:szCs w:val="24"/>
        </w:rPr>
        <w:t>This section provide</w:t>
      </w:r>
      <w:r>
        <w:rPr>
          <w:szCs w:val="24"/>
        </w:rPr>
        <w:t>s</w:t>
      </w:r>
      <w:r w:rsidRPr="003931D5">
        <w:rPr>
          <w:szCs w:val="24"/>
        </w:rPr>
        <w:t xml:space="preserve"> that the title of the Regulation is the</w:t>
      </w:r>
      <w:r w:rsidRPr="003931D5">
        <w:t xml:space="preserve"> </w:t>
      </w:r>
      <w:r w:rsidRPr="003931D5">
        <w:rPr>
          <w:i/>
        </w:rPr>
        <w:t xml:space="preserve">Income </w:t>
      </w:r>
      <w:r w:rsidRPr="003931D5">
        <w:rPr>
          <w:i/>
          <w:szCs w:val="24"/>
        </w:rPr>
        <w:t xml:space="preserve">Tax Amendment (Defence Force </w:t>
      </w:r>
      <w:r w:rsidR="00D431DE">
        <w:rPr>
          <w:i/>
          <w:szCs w:val="24"/>
        </w:rPr>
        <w:t>I</w:t>
      </w:r>
      <w:r w:rsidRPr="003931D5">
        <w:rPr>
          <w:i/>
          <w:szCs w:val="24"/>
        </w:rPr>
        <w:t xml:space="preserve">ncome </w:t>
      </w:r>
      <w:r w:rsidR="00D431DE">
        <w:rPr>
          <w:i/>
          <w:szCs w:val="24"/>
        </w:rPr>
        <w:t>T</w:t>
      </w:r>
      <w:r w:rsidRPr="003931D5">
        <w:rPr>
          <w:i/>
          <w:szCs w:val="24"/>
        </w:rPr>
        <w:t xml:space="preserve">ax </w:t>
      </w:r>
      <w:r w:rsidR="00D431DE">
        <w:rPr>
          <w:i/>
          <w:szCs w:val="24"/>
        </w:rPr>
        <w:t>E</w:t>
      </w:r>
      <w:r w:rsidRPr="003931D5">
        <w:rPr>
          <w:i/>
          <w:szCs w:val="24"/>
        </w:rPr>
        <w:t>xemptions) Regulation 2015</w:t>
      </w:r>
      <w:r w:rsidRPr="003931D5">
        <w:rPr>
          <w:szCs w:val="24"/>
        </w:rPr>
        <w:t xml:space="preserve"> (Regulation).</w:t>
      </w:r>
    </w:p>
    <w:p w14:paraId="62927979" w14:textId="77777777" w:rsidR="003931D5" w:rsidRPr="003931D5" w:rsidRDefault="003931D5" w:rsidP="003931D5">
      <w:pPr>
        <w:autoSpaceDE w:val="0"/>
        <w:autoSpaceDN w:val="0"/>
        <w:adjustRightInd w:val="0"/>
        <w:spacing w:before="0" w:after="0"/>
        <w:rPr>
          <w:rFonts w:ascii="Times New Roman,Bold" w:hAnsi="Times New Roman,Bold" w:cs="Times New Roman,Bold"/>
          <w:b/>
          <w:bCs/>
          <w:szCs w:val="24"/>
        </w:rPr>
      </w:pPr>
    </w:p>
    <w:p w14:paraId="284B03D4" w14:textId="77777777" w:rsidR="003931D5" w:rsidRPr="003931D5" w:rsidRDefault="003931D5" w:rsidP="003931D5">
      <w:pPr>
        <w:autoSpaceDE w:val="0"/>
        <w:autoSpaceDN w:val="0"/>
        <w:adjustRightInd w:val="0"/>
        <w:spacing w:before="0" w:after="0"/>
        <w:rPr>
          <w:b/>
          <w:bCs/>
          <w:szCs w:val="24"/>
        </w:rPr>
      </w:pPr>
      <w:r w:rsidRPr="003931D5">
        <w:rPr>
          <w:b/>
          <w:bCs/>
          <w:szCs w:val="24"/>
        </w:rPr>
        <w:t>Section 2 — Commencement</w:t>
      </w:r>
    </w:p>
    <w:p w14:paraId="60DEB2EE" w14:textId="77777777" w:rsidR="003931D5" w:rsidRPr="003931D5" w:rsidRDefault="003931D5" w:rsidP="003931D5">
      <w:pPr>
        <w:autoSpaceDE w:val="0"/>
        <w:autoSpaceDN w:val="0"/>
        <w:adjustRightInd w:val="0"/>
        <w:spacing w:before="0" w:after="0"/>
        <w:rPr>
          <w:szCs w:val="24"/>
        </w:rPr>
      </w:pPr>
    </w:p>
    <w:p w14:paraId="5A834946" w14:textId="27572066" w:rsidR="003931D5" w:rsidRPr="003931D5" w:rsidRDefault="003931D5" w:rsidP="003931D5">
      <w:pPr>
        <w:autoSpaceDE w:val="0"/>
        <w:autoSpaceDN w:val="0"/>
        <w:adjustRightInd w:val="0"/>
        <w:spacing w:before="0" w:after="0"/>
        <w:rPr>
          <w:szCs w:val="24"/>
        </w:rPr>
      </w:pPr>
      <w:r w:rsidRPr="003931D5">
        <w:rPr>
          <w:szCs w:val="24"/>
        </w:rPr>
        <w:t>This section provide</w:t>
      </w:r>
      <w:r>
        <w:rPr>
          <w:szCs w:val="24"/>
        </w:rPr>
        <w:t>s</w:t>
      </w:r>
      <w:r w:rsidRPr="003931D5">
        <w:rPr>
          <w:szCs w:val="24"/>
        </w:rPr>
        <w:t xml:space="preserve"> that the Regulation commences on the day after it is registered.</w:t>
      </w:r>
    </w:p>
    <w:p w14:paraId="799EE316" w14:textId="77777777" w:rsidR="003931D5" w:rsidRPr="003931D5" w:rsidRDefault="003931D5" w:rsidP="003931D5">
      <w:pPr>
        <w:autoSpaceDE w:val="0"/>
        <w:autoSpaceDN w:val="0"/>
        <w:adjustRightInd w:val="0"/>
        <w:spacing w:before="0" w:after="0"/>
        <w:rPr>
          <w:rFonts w:ascii="Times New Roman,Bold" w:hAnsi="Times New Roman,Bold" w:cs="Times New Roman,Bold"/>
          <w:b/>
          <w:bCs/>
          <w:szCs w:val="24"/>
        </w:rPr>
      </w:pPr>
    </w:p>
    <w:p w14:paraId="5F7AA8F8" w14:textId="77777777" w:rsidR="003931D5" w:rsidRPr="003931D5" w:rsidRDefault="003931D5" w:rsidP="003931D5">
      <w:pPr>
        <w:autoSpaceDE w:val="0"/>
        <w:autoSpaceDN w:val="0"/>
        <w:adjustRightInd w:val="0"/>
        <w:spacing w:before="0" w:after="0"/>
        <w:rPr>
          <w:b/>
          <w:bCs/>
          <w:szCs w:val="24"/>
        </w:rPr>
      </w:pPr>
      <w:r w:rsidRPr="003931D5">
        <w:rPr>
          <w:b/>
          <w:bCs/>
          <w:szCs w:val="24"/>
        </w:rPr>
        <w:t>Section 3 — Authority</w:t>
      </w:r>
    </w:p>
    <w:p w14:paraId="7FB1142C" w14:textId="77777777" w:rsidR="003931D5" w:rsidRPr="003931D5" w:rsidRDefault="003931D5" w:rsidP="003931D5">
      <w:pPr>
        <w:autoSpaceDE w:val="0"/>
        <w:autoSpaceDN w:val="0"/>
        <w:adjustRightInd w:val="0"/>
        <w:spacing w:before="0" w:after="0"/>
        <w:rPr>
          <w:szCs w:val="24"/>
        </w:rPr>
      </w:pPr>
    </w:p>
    <w:p w14:paraId="475FD345" w14:textId="678B4111" w:rsidR="003931D5" w:rsidRPr="003931D5" w:rsidRDefault="003931D5" w:rsidP="003931D5">
      <w:pPr>
        <w:autoSpaceDE w:val="0"/>
        <w:autoSpaceDN w:val="0"/>
        <w:adjustRightInd w:val="0"/>
        <w:spacing w:before="0" w:after="0"/>
        <w:rPr>
          <w:i/>
          <w:iCs/>
          <w:szCs w:val="24"/>
        </w:rPr>
      </w:pPr>
      <w:r w:rsidRPr="003931D5">
        <w:rPr>
          <w:szCs w:val="24"/>
        </w:rPr>
        <w:t>This section provide</w:t>
      </w:r>
      <w:r>
        <w:rPr>
          <w:szCs w:val="24"/>
        </w:rPr>
        <w:t>s</w:t>
      </w:r>
      <w:r w:rsidRPr="003931D5">
        <w:rPr>
          <w:szCs w:val="24"/>
        </w:rPr>
        <w:t xml:space="preserve"> that the Regulation </w:t>
      </w:r>
      <w:r w:rsidR="002B264A">
        <w:rPr>
          <w:szCs w:val="24"/>
        </w:rPr>
        <w:t>is</w:t>
      </w:r>
      <w:r w:rsidRPr="003931D5">
        <w:rPr>
          <w:szCs w:val="24"/>
        </w:rPr>
        <w:t xml:space="preserve"> made under the </w:t>
      </w:r>
      <w:r w:rsidRPr="003931D5">
        <w:rPr>
          <w:i/>
          <w:iCs/>
          <w:szCs w:val="24"/>
        </w:rPr>
        <w:t>Income Tax Assessment Act 1936</w:t>
      </w:r>
      <w:r w:rsidRPr="003931D5">
        <w:rPr>
          <w:iCs/>
          <w:szCs w:val="24"/>
        </w:rPr>
        <w:t xml:space="preserve"> (Act)</w:t>
      </w:r>
      <w:r w:rsidRPr="003931D5">
        <w:rPr>
          <w:szCs w:val="24"/>
        </w:rPr>
        <w:t>.</w:t>
      </w:r>
    </w:p>
    <w:p w14:paraId="4238DE80" w14:textId="77777777" w:rsidR="003931D5" w:rsidRPr="003931D5" w:rsidRDefault="003931D5" w:rsidP="003931D5">
      <w:pPr>
        <w:autoSpaceDE w:val="0"/>
        <w:autoSpaceDN w:val="0"/>
        <w:adjustRightInd w:val="0"/>
        <w:spacing w:before="0" w:after="0"/>
        <w:rPr>
          <w:rFonts w:ascii="Times New Roman,Bold" w:hAnsi="Times New Roman,Bold" w:cs="Times New Roman,Bold"/>
          <w:b/>
          <w:bCs/>
          <w:szCs w:val="24"/>
        </w:rPr>
      </w:pPr>
    </w:p>
    <w:p w14:paraId="1ABCA593" w14:textId="77777777" w:rsidR="003931D5" w:rsidRPr="003931D5" w:rsidRDefault="003931D5" w:rsidP="003931D5">
      <w:pPr>
        <w:autoSpaceDE w:val="0"/>
        <w:autoSpaceDN w:val="0"/>
        <w:adjustRightInd w:val="0"/>
        <w:spacing w:before="0" w:after="0"/>
        <w:rPr>
          <w:b/>
          <w:bCs/>
          <w:szCs w:val="24"/>
        </w:rPr>
      </w:pPr>
      <w:r w:rsidRPr="003931D5">
        <w:rPr>
          <w:b/>
          <w:bCs/>
          <w:szCs w:val="24"/>
        </w:rPr>
        <w:t>Section 4 — Schedule(s)</w:t>
      </w:r>
    </w:p>
    <w:p w14:paraId="5228C068" w14:textId="77777777" w:rsidR="003931D5" w:rsidRPr="003931D5" w:rsidRDefault="003931D5" w:rsidP="003931D5">
      <w:pPr>
        <w:autoSpaceDE w:val="0"/>
        <w:autoSpaceDN w:val="0"/>
        <w:adjustRightInd w:val="0"/>
        <w:spacing w:before="0" w:after="0"/>
        <w:rPr>
          <w:szCs w:val="24"/>
        </w:rPr>
      </w:pPr>
    </w:p>
    <w:p w14:paraId="006A44FB" w14:textId="21EF0775" w:rsidR="003931D5" w:rsidRPr="003931D5" w:rsidRDefault="003931D5" w:rsidP="003931D5">
      <w:pPr>
        <w:autoSpaceDE w:val="0"/>
        <w:autoSpaceDN w:val="0"/>
        <w:adjustRightInd w:val="0"/>
        <w:spacing w:before="0" w:after="0"/>
        <w:rPr>
          <w:szCs w:val="24"/>
        </w:rPr>
      </w:pPr>
      <w:r w:rsidRPr="003931D5">
        <w:rPr>
          <w:szCs w:val="24"/>
        </w:rPr>
        <w:t>This section provide</w:t>
      </w:r>
      <w:r>
        <w:rPr>
          <w:szCs w:val="24"/>
        </w:rPr>
        <w:t>s</w:t>
      </w:r>
      <w:r w:rsidRPr="003931D5">
        <w:rPr>
          <w:szCs w:val="24"/>
        </w:rPr>
        <w:t xml:space="preserve"> that each instrument that is specified in the Schedule to th</w:t>
      </w:r>
      <w:r>
        <w:rPr>
          <w:szCs w:val="24"/>
        </w:rPr>
        <w:t>e</w:t>
      </w:r>
      <w:r w:rsidRPr="003931D5">
        <w:rPr>
          <w:szCs w:val="24"/>
        </w:rPr>
        <w:t xml:space="preserve"> Regulation is amended or repealed as set out in the applicable items in the Schedule.</w:t>
      </w:r>
    </w:p>
    <w:p w14:paraId="07E4F394" w14:textId="77777777" w:rsidR="003931D5" w:rsidRPr="003931D5" w:rsidRDefault="003931D5" w:rsidP="003931D5">
      <w:pPr>
        <w:autoSpaceDE w:val="0"/>
        <w:autoSpaceDN w:val="0"/>
        <w:adjustRightInd w:val="0"/>
        <w:spacing w:before="0" w:after="0"/>
        <w:rPr>
          <w:szCs w:val="24"/>
        </w:rPr>
      </w:pPr>
    </w:p>
    <w:p w14:paraId="7561368D" w14:textId="77777777" w:rsidR="003931D5" w:rsidRPr="003931D5" w:rsidRDefault="003931D5" w:rsidP="003931D5">
      <w:pPr>
        <w:autoSpaceDE w:val="0"/>
        <w:autoSpaceDN w:val="0"/>
        <w:adjustRightInd w:val="0"/>
        <w:spacing w:before="0" w:after="0"/>
        <w:rPr>
          <w:b/>
          <w:szCs w:val="24"/>
        </w:rPr>
      </w:pPr>
      <w:r w:rsidRPr="003931D5">
        <w:rPr>
          <w:b/>
          <w:szCs w:val="24"/>
        </w:rPr>
        <w:t xml:space="preserve">Schedule 1 — Amendments </w:t>
      </w:r>
    </w:p>
    <w:p w14:paraId="2D76B6FF" w14:textId="77777777" w:rsidR="003931D5" w:rsidRPr="003931D5" w:rsidRDefault="003931D5" w:rsidP="003931D5">
      <w:pPr>
        <w:autoSpaceDE w:val="0"/>
        <w:autoSpaceDN w:val="0"/>
        <w:adjustRightInd w:val="0"/>
        <w:spacing w:before="0" w:after="0"/>
        <w:rPr>
          <w:b/>
          <w:szCs w:val="24"/>
        </w:rPr>
      </w:pPr>
    </w:p>
    <w:p w14:paraId="3E5728C8" w14:textId="77777777" w:rsidR="003931D5" w:rsidRPr="003931D5" w:rsidRDefault="003931D5" w:rsidP="003931D5">
      <w:pPr>
        <w:autoSpaceDE w:val="0"/>
        <w:autoSpaceDN w:val="0"/>
        <w:adjustRightInd w:val="0"/>
        <w:spacing w:before="0" w:after="0"/>
        <w:rPr>
          <w:b/>
          <w:szCs w:val="24"/>
        </w:rPr>
      </w:pPr>
      <w:r w:rsidRPr="003931D5">
        <w:rPr>
          <w:b/>
          <w:szCs w:val="24"/>
        </w:rPr>
        <w:t>Item 1</w:t>
      </w:r>
    </w:p>
    <w:p w14:paraId="30C459D2" w14:textId="77777777" w:rsidR="003931D5" w:rsidRPr="003931D5" w:rsidRDefault="003931D5" w:rsidP="003931D5">
      <w:pPr>
        <w:autoSpaceDE w:val="0"/>
        <w:autoSpaceDN w:val="0"/>
        <w:adjustRightInd w:val="0"/>
        <w:spacing w:before="0" w:after="0"/>
        <w:rPr>
          <w:szCs w:val="24"/>
        </w:rPr>
      </w:pPr>
    </w:p>
    <w:p w14:paraId="77B6ACF8" w14:textId="583A9C65" w:rsidR="003931D5" w:rsidRPr="003931D5" w:rsidRDefault="003931D5" w:rsidP="003931D5">
      <w:pPr>
        <w:autoSpaceDE w:val="0"/>
        <w:autoSpaceDN w:val="0"/>
        <w:adjustRightInd w:val="0"/>
        <w:spacing w:before="0" w:after="0"/>
        <w:rPr>
          <w:szCs w:val="24"/>
        </w:rPr>
      </w:pPr>
      <w:r w:rsidRPr="003931D5">
        <w:rPr>
          <w:szCs w:val="24"/>
        </w:rPr>
        <w:t>Item 1 in Schedule 1 repeal</w:t>
      </w:r>
      <w:r>
        <w:rPr>
          <w:szCs w:val="24"/>
        </w:rPr>
        <w:t>s</w:t>
      </w:r>
      <w:r w:rsidRPr="003931D5">
        <w:rPr>
          <w:szCs w:val="24"/>
        </w:rPr>
        <w:t xml:space="preserve"> regulation </w:t>
      </w:r>
      <w:proofErr w:type="spellStart"/>
      <w:r w:rsidRPr="003931D5">
        <w:rPr>
          <w:szCs w:val="24"/>
        </w:rPr>
        <w:t>7A</w:t>
      </w:r>
      <w:proofErr w:type="spellEnd"/>
      <w:r w:rsidRPr="003931D5">
        <w:rPr>
          <w:szCs w:val="24"/>
        </w:rPr>
        <w:t xml:space="preserve"> of the </w:t>
      </w:r>
      <w:r w:rsidRPr="003931D5">
        <w:rPr>
          <w:i/>
          <w:szCs w:val="24"/>
        </w:rPr>
        <w:t>Income Tax Regulations 1936</w:t>
      </w:r>
      <w:r w:rsidRPr="003931D5">
        <w:rPr>
          <w:szCs w:val="24"/>
        </w:rPr>
        <w:t xml:space="preserve"> (Principal Regulations) and replace</w:t>
      </w:r>
      <w:r w:rsidR="001B47A2">
        <w:rPr>
          <w:szCs w:val="24"/>
        </w:rPr>
        <w:t>s</w:t>
      </w:r>
      <w:r w:rsidRPr="003931D5">
        <w:rPr>
          <w:szCs w:val="24"/>
        </w:rPr>
        <w:t xml:space="preserve"> regulation </w:t>
      </w:r>
      <w:proofErr w:type="spellStart"/>
      <w:r w:rsidRPr="003931D5">
        <w:rPr>
          <w:szCs w:val="24"/>
        </w:rPr>
        <w:t>7A</w:t>
      </w:r>
      <w:proofErr w:type="spellEnd"/>
      <w:r w:rsidRPr="003931D5">
        <w:rPr>
          <w:szCs w:val="24"/>
        </w:rPr>
        <w:t xml:space="preserve"> as a table for ease of navigation. </w:t>
      </w:r>
    </w:p>
    <w:p w14:paraId="3616A493" w14:textId="77777777" w:rsidR="003931D5" w:rsidRPr="003931D5" w:rsidRDefault="003931D5" w:rsidP="003931D5">
      <w:pPr>
        <w:autoSpaceDE w:val="0"/>
        <w:autoSpaceDN w:val="0"/>
        <w:adjustRightInd w:val="0"/>
        <w:spacing w:before="0" w:after="0"/>
        <w:rPr>
          <w:szCs w:val="24"/>
        </w:rPr>
      </w:pPr>
    </w:p>
    <w:p w14:paraId="1DB46642" w14:textId="0404D84D" w:rsidR="003931D5" w:rsidRPr="003931D5" w:rsidRDefault="001B47A2" w:rsidP="003931D5">
      <w:pPr>
        <w:autoSpaceDE w:val="0"/>
        <w:autoSpaceDN w:val="0"/>
        <w:adjustRightInd w:val="0"/>
        <w:spacing w:before="0" w:after="0"/>
        <w:rPr>
          <w:szCs w:val="24"/>
        </w:rPr>
      </w:pPr>
      <w:r>
        <w:rPr>
          <w:szCs w:val="24"/>
        </w:rPr>
        <w:t>The table</w:t>
      </w:r>
      <w:r w:rsidR="003931D5" w:rsidRPr="003931D5">
        <w:rPr>
          <w:szCs w:val="24"/>
        </w:rPr>
        <w:t xml:space="preserve"> provide</w:t>
      </w:r>
      <w:r>
        <w:rPr>
          <w:szCs w:val="24"/>
        </w:rPr>
        <w:t>s</w:t>
      </w:r>
      <w:r w:rsidR="003931D5" w:rsidRPr="003931D5">
        <w:rPr>
          <w:szCs w:val="24"/>
        </w:rPr>
        <w:t xml:space="preserve"> that for subsection </w:t>
      </w:r>
      <w:proofErr w:type="spellStart"/>
      <w:r w:rsidR="003931D5" w:rsidRPr="003931D5">
        <w:rPr>
          <w:szCs w:val="24"/>
        </w:rPr>
        <w:t>23AD</w:t>
      </w:r>
      <w:proofErr w:type="spellEnd"/>
      <w:r w:rsidR="003931D5" w:rsidRPr="003931D5">
        <w:rPr>
          <w:szCs w:val="24"/>
        </w:rPr>
        <w:t xml:space="preserve">(2) and subparagraph </w:t>
      </w:r>
      <w:proofErr w:type="spellStart"/>
      <w:r w:rsidR="003931D5" w:rsidRPr="003931D5">
        <w:rPr>
          <w:szCs w:val="24"/>
        </w:rPr>
        <w:t>23AD</w:t>
      </w:r>
      <w:proofErr w:type="spellEnd"/>
      <w:r w:rsidR="003931D5" w:rsidRPr="003931D5">
        <w:rPr>
          <w:szCs w:val="24"/>
        </w:rPr>
        <w:t xml:space="preserve">(3)(b)(iii) of the Act, duty with an organisation specified in an item of the table is eligible duty if: </w:t>
      </w:r>
    </w:p>
    <w:p w14:paraId="2CC3B710" w14:textId="77777777" w:rsidR="003931D5" w:rsidRPr="003931D5" w:rsidRDefault="003931D5" w:rsidP="001B5E47">
      <w:pPr>
        <w:pStyle w:val="Bullet"/>
        <w:rPr>
          <w:b/>
        </w:rPr>
      </w:pPr>
      <w:r w:rsidRPr="003931D5">
        <w:t xml:space="preserve">the duty is in an area specified in the item; and </w:t>
      </w:r>
    </w:p>
    <w:p w14:paraId="6B52A66B" w14:textId="77777777" w:rsidR="003931D5" w:rsidRPr="003931D5" w:rsidRDefault="003931D5" w:rsidP="001B5E47">
      <w:pPr>
        <w:pStyle w:val="Bullet"/>
        <w:rPr>
          <w:b/>
          <w:szCs w:val="24"/>
        </w:rPr>
      </w:pPr>
      <w:r w:rsidRPr="003931D5">
        <w:t>the duty occurs after a specified day and before a specified day (if any).</w:t>
      </w:r>
    </w:p>
    <w:p w14:paraId="5CC74D42" w14:textId="77777777" w:rsidR="003931D5" w:rsidRPr="003931D5" w:rsidRDefault="003931D5" w:rsidP="003931D5">
      <w:pPr>
        <w:autoSpaceDE w:val="0"/>
        <w:autoSpaceDN w:val="0"/>
        <w:adjustRightInd w:val="0"/>
        <w:spacing w:before="0" w:after="0"/>
        <w:rPr>
          <w:szCs w:val="24"/>
        </w:rPr>
      </w:pPr>
    </w:p>
    <w:p w14:paraId="64EBB684" w14:textId="5C1CF332" w:rsidR="003931D5" w:rsidRPr="003931D5" w:rsidRDefault="003931D5" w:rsidP="003931D5">
      <w:pPr>
        <w:autoSpaceDE w:val="0"/>
        <w:autoSpaceDN w:val="0"/>
        <w:adjustRightInd w:val="0"/>
        <w:spacing w:before="0" w:after="0"/>
        <w:rPr>
          <w:szCs w:val="24"/>
        </w:rPr>
      </w:pPr>
      <w:r w:rsidRPr="003931D5">
        <w:rPr>
          <w:szCs w:val="24"/>
        </w:rPr>
        <w:t xml:space="preserve">The operations that </w:t>
      </w:r>
      <w:r w:rsidR="001B47A2">
        <w:rPr>
          <w:szCs w:val="24"/>
        </w:rPr>
        <w:t xml:space="preserve">are </w:t>
      </w:r>
      <w:r w:rsidRPr="003931D5">
        <w:rPr>
          <w:szCs w:val="24"/>
        </w:rPr>
        <w:t xml:space="preserve">declared as eligible duty in regulation </w:t>
      </w:r>
      <w:proofErr w:type="spellStart"/>
      <w:r w:rsidRPr="003931D5">
        <w:rPr>
          <w:szCs w:val="24"/>
        </w:rPr>
        <w:t>7A</w:t>
      </w:r>
      <w:proofErr w:type="spellEnd"/>
      <w:r w:rsidRPr="003931D5">
        <w:rPr>
          <w:szCs w:val="24"/>
        </w:rPr>
        <w:t xml:space="preserve"> are as follows:</w:t>
      </w:r>
    </w:p>
    <w:p w14:paraId="41C5C21D" w14:textId="77777777" w:rsidR="003931D5" w:rsidRPr="003931D5" w:rsidRDefault="003931D5" w:rsidP="003931D5">
      <w:pPr>
        <w:spacing w:before="0" w:after="0"/>
        <w:rPr>
          <w:szCs w:val="24"/>
        </w:rPr>
      </w:pPr>
      <w:r w:rsidRPr="003931D5">
        <w:rPr>
          <w:szCs w:val="24"/>
        </w:rPr>
        <w:br w:type="page"/>
      </w:r>
    </w:p>
    <w:tbl>
      <w:tblPr>
        <w:tblStyle w:val="TableGrid"/>
        <w:tblW w:w="0" w:type="auto"/>
        <w:tblLook w:val="04A0" w:firstRow="1" w:lastRow="0" w:firstColumn="1" w:lastColumn="0" w:noHBand="0" w:noVBand="1"/>
      </w:tblPr>
      <w:tblGrid>
        <w:gridCol w:w="696"/>
        <w:gridCol w:w="1680"/>
        <w:gridCol w:w="2737"/>
        <w:gridCol w:w="1705"/>
        <w:gridCol w:w="1704"/>
      </w:tblGrid>
      <w:tr w:rsidR="003931D5" w:rsidRPr="003931D5" w14:paraId="13F1F7DC" w14:textId="77777777" w:rsidTr="00AC6F3F">
        <w:trPr>
          <w:cantSplit/>
          <w:tblHeader/>
        </w:trPr>
        <w:tc>
          <w:tcPr>
            <w:tcW w:w="696" w:type="dxa"/>
            <w:shd w:val="pct10" w:color="auto" w:fill="auto"/>
          </w:tcPr>
          <w:p w14:paraId="5AB4BC68" w14:textId="77777777" w:rsidR="003931D5" w:rsidRPr="003931D5" w:rsidRDefault="003931D5" w:rsidP="003931D5">
            <w:pPr>
              <w:autoSpaceDE w:val="0"/>
              <w:autoSpaceDN w:val="0"/>
              <w:adjustRightInd w:val="0"/>
              <w:spacing w:before="0" w:after="0"/>
              <w:rPr>
                <w:b/>
                <w:szCs w:val="24"/>
              </w:rPr>
            </w:pPr>
            <w:r w:rsidRPr="003931D5">
              <w:rPr>
                <w:b/>
                <w:szCs w:val="24"/>
              </w:rPr>
              <w:lastRenderedPageBreak/>
              <w:t>Item</w:t>
            </w:r>
          </w:p>
        </w:tc>
        <w:tc>
          <w:tcPr>
            <w:tcW w:w="1680" w:type="dxa"/>
            <w:shd w:val="pct10" w:color="auto" w:fill="auto"/>
          </w:tcPr>
          <w:p w14:paraId="62ACD4DF" w14:textId="77777777" w:rsidR="003931D5" w:rsidRPr="003931D5" w:rsidRDefault="003931D5" w:rsidP="003931D5">
            <w:pPr>
              <w:autoSpaceDE w:val="0"/>
              <w:autoSpaceDN w:val="0"/>
              <w:adjustRightInd w:val="0"/>
              <w:spacing w:before="0" w:after="0"/>
              <w:rPr>
                <w:b/>
                <w:szCs w:val="24"/>
              </w:rPr>
            </w:pPr>
            <w:r w:rsidRPr="003931D5">
              <w:rPr>
                <w:b/>
                <w:szCs w:val="24"/>
              </w:rPr>
              <w:t>Organisation and operation</w:t>
            </w:r>
          </w:p>
        </w:tc>
        <w:tc>
          <w:tcPr>
            <w:tcW w:w="2740" w:type="dxa"/>
            <w:shd w:val="pct10" w:color="auto" w:fill="auto"/>
          </w:tcPr>
          <w:p w14:paraId="1B6F48DA" w14:textId="77777777" w:rsidR="003931D5" w:rsidRPr="003931D5" w:rsidRDefault="003931D5" w:rsidP="003931D5">
            <w:pPr>
              <w:autoSpaceDE w:val="0"/>
              <w:autoSpaceDN w:val="0"/>
              <w:adjustRightInd w:val="0"/>
              <w:spacing w:before="0" w:after="0"/>
              <w:rPr>
                <w:b/>
                <w:szCs w:val="24"/>
              </w:rPr>
            </w:pPr>
            <w:r w:rsidRPr="003931D5">
              <w:rPr>
                <w:b/>
                <w:szCs w:val="24"/>
              </w:rPr>
              <w:t>Area</w:t>
            </w:r>
          </w:p>
        </w:tc>
        <w:tc>
          <w:tcPr>
            <w:tcW w:w="1706" w:type="dxa"/>
            <w:shd w:val="pct10" w:color="auto" w:fill="auto"/>
          </w:tcPr>
          <w:p w14:paraId="174AA4DF" w14:textId="77777777" w:rsidR="003931D5" w:rsidRPr="003931D5" w:rsidRDefault="003931D5" w:rsidP="003931D5">
            <w:pPr>
              <w:autoSpaceDE w:val="0"/>
              <w:autoSpaceDN w:val="0"/>
              <w:adjustRightInd w:val="0"/>
              <w:spacing w:before="0" w:after="0"/>
              <w:rPr>
                <w:b/>
                <w:szCs w:val="24"/>
              </w:rPr>
            </w:pPr>
            <w:r w:rsidRPr="003931D5">
              <w:rPr>
                <w:b/>
                <w:szCs w:val="24"/>
              </w:rPr>
              <w:t>After the day</w:t>
            </w:r>
          </w:p>
        </w:tc>
        <w:tc>
          <w:tcPr>
            <w:tcW w:w="1706" w:type="dxa"/>
            <w:shd w:val="pct10" w:color="auto" w:fill="auto"/>
          </w:tcPr>
          <w:p w14:paraId="25A3B20A" w14:textId="77777777" w:rsidR="003931D5" w:rsidRPr="003931D5" w:rsidRDefault="003931D5" w:rsidP="003931D5">
            <w:pPr>
              <w:autoSpaceDE w:val="0"/>
              <w:autoSpaceDN w:val="0"/>
              <w:adjustRightInd w:val="0"/>
              <w:spacing w:before="0" w:after="0"/>
              <w:rPr>
                <w:b/>
                <w:szCs w:val="24"/>
              </w:rPr>
            </w:pPr>
            <w:r w:rsidRPr="003931D5">
              <w:rPr>
                <w:b/>
                <w:szCs w:val="24"/>
              </w:rPr>
              <w:t>Before the day</w:t>
            </w:r>
          </w:p>
        </w:tc>
      </w:tr>
      <w:tr w:rsidR="003931D5" w:rsidRPr="003931D5" w14:paraId="193AF0F1" w14:textId="77777777" w:rsidTr="00AC6F3F">
        <w:trPr>
          <w:cantSplit/>
        </w:trPr>
        <w:tc>
          <w:tcPr>
            <w:tcW w:w="696" w:type="dxa"/>
          </w:tcPr>
          <w:p w14:paraId="44BE7EAD" w14:textId="77777777" w:rsidR="003931D5" w:rsidRPr="003931D5" w:rsidRDefault="003931D5" w:rsidP="003931D5">
            <w:pPr>
              <w:autoSpaceDE w:val="0"/>
              <w:autoSpaceDN w:val="0"/>
              <w:adjustRightInd w:val="0"/>
              <w:spacing w:before="0" w:after="0"/>
              <w:rPr>
                <w:szCs w:val="24"/>
              </w:rPr>
            </w:pPr>
            <w:r w:rsidRPr="003931D5">
              <w:rPr>
                <w:szCs w:val="24"/>
              </w:rPr>
              <w:t>1</w:t>
            </w:r>
          </w:p>
        </w:tc>
        <w:tc>
          <w:tcPr>
            <w:tcW w:w="1680" w:type="dxa"/>
          </w:tcPr>
          <w:p w14:paraId="5B0E7ED3" w14:textId="77777777" w:rsidR="003931D5" w:rsidRPr="003931D5" w:rsidRDefault="003931D5" w:rsidP="003931D5">
            <w:pPr>
              <w:autoSpaceDE w:val="0"/>
              <w:autoSpaceDN w:val="0"/>
              <w:adjustRightInd w:val="0"/>
              <w:spacing w:before="0" w:after="0"/>
              <w:rPr>
                <w:szCs w:val="24"/>
              </w:rPr>
            </w:pPr>
            <w:r w:rsidRPr="003931D5">
              <w:rPr>
                <w:szCs w:val="24"/>
              </w:rPr>
              <w:t>Australian Defence Force on Operation Accordion</w:t>
            </w:r>
          </w:p>
        </w:tc>
        <w:tc>
          <w:tcPr>
            <w:tcW w:w="2740" w:type="dxa"/>
          </w:tcPr>
          <w:p w14:paraId="56244589" w14:textId="77777777" w:rsidR="003931D5" w:rsidRPr="003931D5" w:rsidRDefault="003931D5" w:rsidP="003931D5">
            <w:pPr>
              <w:autoSpaceDE w:val="0"/>
              <w:autoSpaceDN w:val="0"/>
              <w:adjustRightInd w:val="0"/>
              <w:spacing w:before="0" w:after="0"/>
              <w:rPr>
                <w:szCs w:val="24"/>
              </w:rPr>
            </w:pPr>
            <w:r w:rsidRPr="003931D5">
              <w:rPr>
                <w:szCs w:val="24"/>
              </w:rPr>
              <w:t xml:space="preserve">The land area, territorial waters, airspace and </w:t>
            </w:r>
            <w:proofErr w:type="spellStart"/>
            <w:r w:rsidRPr="003931D5">
              <w:rPr>
                <w:szCs w:val="24"/>
              </w:rPr>
              <w:t>superjacent</w:t>
            </w:r>
            <w:proofErr w:type="spellEnd"/>
            <w:r w:rsidRPr="003931D5">
              <w:rPr>
                <w:szCs w:val="24"/>
              </w:rPr>
              <w:t xml:space="preserve"> airspace of the following countries:</w:t>
            </w:r>
          </w:p>
          <w:p w14:paraId="488C6D4A" w14:textId="77777777" w:rsidR="003931D5" w:rsidRPr="003931D5" w:rsidRDefault="003931D5" w:rsidP="003931D5">
            <w:pPr>
              <w:autoSpaceDE w:val="0"/>
              <w:autoSpaceDN w:val="0"/>
              <w:adjustRightInd w:val="0"/>
              <w:spacing w:before="0" w:after="0"/>
              <w:rPr>
                <w:szCs w:val="24"/>
              </w:rPr>
            </w:pPr>
            <w:r w:rsidRPr="003931D5">
              <w:rPr>
                <w:szCs w:val="24"/>
              </w:rPr>
              <w:t xml:space="preserve">- the Kingdom of Bahrain; </w:t>
            </w:r>
          </w:p>
          <w:p w14:paraId="4E498586" w14:textId="77777777" w:rsidR="003931D5" w:rsidRPr="003931D5" w:rsidRDefault="003931D5" w:rsidP="003931D5">
            <w:pPr>
              <w:autoSpaceDE w:val="0"/>
              <w:autoSpaceDN w:val="0"/>
              <w:adjustRightInd w:val="0"/>
              <w:spacing w:before="0" w:after="0"/>
              <w:rPr>
                <w:szCs w:val="24"/>
              </w:rPr>
            </w:pPr>
            <w:r w:rsidRPr="003931D5">
              <w:rPr>
                <w:szCs w:val="24"/>
              </w:rPr>
              <w:t>- the State of Qatar; and</w:t>
            </w:r>
          </w:p>
          <w:p w14:paraId="7594571E" w14:textId="77777777" w:rsidR="003931D5" w:rsidRPr="003931D5" w:rsidRDefault="003931D5" w:rsidP="003931D5">
            <w:pPr>
              <w:autoSpaceDE w:val="0"/>
              <w:autoSpaceDN w:val="0"/>
              <w:adjustRightInd w:val="0"/>
              <w:spacing w:before="0" w:after="0"/>
              <w:rPr>
                <w:szCs w:val="24"/>
              </w:rPr>
            </w:pPr>
            <w:r w:rsidRPr="003931D5">
              <w:rPr>
                <w:szCs w:val="24"/>
              </w:rPr>
              <w:t xml:space="preserve">- the United Arab Emirates. </w:t>
            </w:r>
          </w:p>
        </w:tc>
        <w:tc>
          <w:tcPr>
            <w:tcW w:w="1706" w:type="dxa"/>
          </w:tcPr>
          <w:p w14:paraId="56DF1A40" w14:textId="77777777" w:rsidR="003931D5" w:rsidRPr="003931D5" w:rsidRDefault="003931D5" w:rsidP="003931D5">
            <w:pPr>
              <w:autoSpaceDE w:val="0"/>
              <w:autoSpaceDN w:val="0"/>
              <w:adjustRightInd w:val="0"/>
              <w:spacing w:before="0" w:after="0"/>
              <w:rPr>
                <w:szCs w:val="24"/>
              </w:rPr>
            </w:pPr>
            <w:r w:rsidRPr="003931D5">
              <w:rPr>
                <w:szCs w:val="24"/>
              </w:rPr>
              <w:t>30 June 2014</w:t>
            </w:r>
          </w:p>
        </w:tc>
        <w:tc>
          <w:tcPr>
            <w:tcW w:w="1706" w:type="dxa"/>
          </w:tcPr>
          <w:p w14:paraId="47FEE8EF" w14:textId="77777777" w:rsidR="003931D5" w:rsidRPr="003931D5" w:rsidRDefault="003931D5" w:rsidP="003931D5">
            <w:pPr>
              <w:autoSpaceDE w:val="0"/>
              <w:autoSpaceDN w:val="0"/>
              <w:adjustRightInd w:val="0"/>
              <w:spacing w:before="0" w:after="0"/>
              <w:rPr>
                <w:szCs w:val="24"/>
              </w:rPr>
            </w:pPr>
            <w:r w:rsidRPr="003931D5">
              <w:rPr>
                <w:szCs w:val="24"/>
              </w:rPr>
              <w:t>1 July 2016</w:t>
            </w:r>
          </w:p>
        </w:tc>
      </w:tr>
      <w:tr w:rsidR="003931D5" w:rsidRPr="003931D5" w14:paraId="03339760" w14:textId="77777777" w:rsidTr="00AC6F3F">
        <w:trPr>
          <w:cantSplit/>
        </w:trPr>
        <w:tc>
          <w:tcPr>
            <w:tcW w:w="696" w:type="dxa"/>
          </w:tcPr>
          <w:p w14:paraId="053A1868" w14:textId="77777777" w:rsidR="003931D5" w:rsidRPr="003931D5" w:rsidRDefault="003931D5" w:rsidP="003931D5">
            <w:pPr>
              <w:autoSpaceDE w:val="0"/>
              <w:autoSpaceDN w:val="0"/>
              <w:adjustRightInd w:val="0"/>
              <w:spacing w:before="0" w:after="0"/>
              <w:rPr>
                <w:szCs w:val="24"/>
              </w:rPr>
            </w:pPr>
            <w:r w:rsidRPr="003931D5">
              <w:rPr>
                <w:szCs w:val="24"/>
              </w:rPr>
              <w:t>2</w:t>
            </w:r>
          </w:p>
        </w:tc>
        <w:tc>
          <w:tcPr>
            <w:tcW w:w="1680" w:type="dxa"/>
          </w:tcPr>
          <w:p w14:paraId="20C712DE" w14:textId="77777777" w:rsidR="003931D5" w:rsidRPr="003931D5" w:rsidRDefault="003931D5" w:rsidP="003931D5">
            <w:pPr>
              <w:autoSpaceDE w:val="0"/>
              <w:autoSpaceDN w:val="0"/>
              <w:adjustRightInd w:val="0"/>
              <w:spacing w:before="0" w:after="0"/>
              <w:rPr>
                <w:szCs w:val="24"/>
              </w:rPr>
            </w:pPr>
            <w:r w:rsidRPr="003931D5">
              <w:rPr>
                <w:szCs w:val="24"/>
              </w:rPr>
              <w:t>Australian Defence Force on Operation Augury</w:t>
            </w:r>
          </w:p>
        </w:tc>
        <w:tc>
          <w:tcPr>
            <w:tcW w:w="2740" w:type="dxa"/>
          </w:tcPr>
          <w:p w14:paraId="102B9443" w14:textId="77777777" w:rsidR="003931D5" w:rsidRPr="003931D5" w:rsidRDefault="003931D5" w:rsidP="003931D5">
            <w:pPr>
              <w:autoSpaceDE w:val="0"/>
              <w:autoSpaceDN w:val="0"/>
              <w:adjustRightInd w:val="0"/>
              <w:spacing w:before="0" w:after="0"/>
              <w:rPr>
                <w:szCs w:val="24"/>
              </w:rPr>
            </w:pPr>
            <w:r w:rsidRPr="003931D5">
              <w:rPr>
                <w:szCs w:val="24"/>
              </w:rPr>
              <w:t xml:space="preserve">The land area, territorial waters, airspace and </w:t>
            </w:r>
            <w:proofErr w:type="spellStart"/>
            <w:r w:rsidRPr="003931D5">
              <w:rPr>
                <w:szCs w:val="24"/>
              </w:rPr>
              <w:t>superjacent</w:t>
            </w:r>
            <w:proofErr w:type="spellEnd"/>
            <w:r w:rsidRPr="003931D5">
              <w:rPr>
                <w:szCs w:val="24"/>
              </w:rPr>
              <w:t xml:space="preserve"> airspace of the Hashemite Kingdom of Jordan. </w:t>
            </w:r>
          </w:p>
        </w:tc>
        <w:tc>
          <w:tcPr>
            <w:tcW w:w="1706" w:type="dxa"/>
          </w:tcPr>
          <w:p w14:paraId="72E377FF" w14:textId="77777777" w:rsidR="003931D5" w:rsidRPr="003931D5" w:rsidRDefault="003931D5" w:rsidP="003931D5">
            <w:pPr>
              <w:autoSpaceDE w:val="0"/>
              <w:autoSpaceDN w:val="0"/>
              <w:adjustRightInd w:val="0"/>
              <w:spacing w:before="0" w:after="0"/>
              <w:rPr>
                <w:szCs w:val="24"/>
              </w:rPr>
            </w:pPr>
            <w:r w:rsidRPr="003931D5">
              <w:rPr>
                <w:szCs w:val="24"/>
              </w:rPr>
              <w:t>3 July 2014</w:t>
            </w:r>
          </w:p>
        </w:tc>
        <w:tc>
          <w:tcPr>
            <w:tcW w:w="1706" w:type="dxa"/>
          </w:tcPr>
          <w:p w14:paraId="1B7F718B" w14:textId="77777777" w:rsidR="003931D5" w:rsidRPr="003931D5" w:rsidRDefault="003931D5" w:rsidP="003931D5">
            <w:pPr>
              <w:autoSpaceDE w:val="0"/>
              <w:autoSpaceDN w:val="0"/>
              <w:adjustRightInd w:val="0"/>
              <w:spacing w:before="0" w:after="0"/>
              <w:rPr>
                <w:szCs w:val="24"/>
              </w:rPr>
            </w:pPr>
          </w:p>
        </w:tc>
      </w:tr>
      <w:tr w:rsidR="003931D5" w:rsidRPr="003931D5" w14:paraId="0D6017C2" w14:textId="77777777" w:rsidTr="00AC6F3F">
        <w:trPr>
          <w:cantSplit/>
        </w:trPr>
        <w:tc>
          <w:tcPr>
            <w:tcW w:w="696" w:type="dxa"/>
          </w:tcPr>
          <w:p w14:paraId="6D42E1FD" w14:textId="77777777" w:rsidR="003931D5" w:rsidRPr="003931D5" w:rsidRDefault="003931D5" w:rsidP="003931D5">
            <w:pPr>
              <w:autoSpaceDE w:val="0"/>
              <w:autoSpaceDN w:val="0"/>
              <w:adjustRightInd w:val="0"/>
              <w:spacing w:before="0" w:after="0"/>
              <w:rPr>
                <w:szCs w:val="24"/>
              </w:rPr>
            </w:pPr>
            <w:r w:rsidRPr="003931D5">
              <w:rPr>
                <w:szCs w:val="24"/>
              </w:rPr>
              <w:t>3</w:t>
            </w:r>
          </w:p>
        </w:tc>
        <w:tc>
          <w:tcPr>
            <w:tcW w:w="1680" w:type="dxa"/>
          </w:tcPr>
          <w:p w14:paraId="39E495E2" w14:textId="77777777" w:rsidR="003931D5" w:rsidRPr="003931D5" w:rsidRDefault="003931D5" w:rsidP="003931D5">
            <w:pPr>
              <w:autoSpaceDE w:val="0"/>
              <w:autoSpaceDN w:val="0"/>
              <w:adjustRightInd w:val="0"/>
              <w:spacing w:before="0" w:after="0"/>
              <w:rPr>
                <w:szCs w:val="24"/>
              </w:rPr>
            </w:pPr>
            <w:r w:rsidRPr="003931D5">
              <w:rPr>
                <w:szCs w:val="24"/>
              </w:rPr>
              <w:t>Australian Defence Force on Operation Highroad</w:t>
            </w:r>
          </w:p>
        </w:tc>
        <w:tc>
          <w:tcPr>
            <w:tcW w:w="2740" w:type="dxa"/>
          </w:tcPr>
          <w:p w14:paraId="1156C9F5" w14:textId="77777777" w:rsidR="003931D5" w:rsidRPr="003931D5" w:rsidRDefault="003931D5" w:rsidP="003931D5">
            <w:pPr>
              <w:autoSpaceDE w:val="0"/>
              <w:autoSpaceDN w:val="0"/>
              <w:adjustRightInd w:val="0"/>
              <w:spacing w:before="0" w:after="0"/>
              <w:rPr>
                <w:szCs w:val="24"/>
              </w:rPr>
            </w:pPr>
            <w:r w:rsidRPr="003931D5">
              <w:rPr>
                <w:szCs w:val="24"/>
              </w:rPr>
              <w:t xml:space="preserve">The land area, territorial waters, airspace and </w:t>
            </w:r>
            <w:proofErr w:type="spellStart"/>
            <w:r w:rsidRPr="003931D5">
              <w:rPr>
                <w:szCs w:val="24"/>
              </w:rPr>
              <w:t>superjacent</w:t>
            </w:r>
            <w:proofErr w:type="spellEnd"/>
            <w:r w:rsidRPr="003931D5">
              <w:rPr>
                <w:szCs w:val="24"/>
              </w:rPr>
              <w:t xml:space="preserve"> airspace of Afghanistan.</w:t>
            </w:r>
          </w:p>
        </w:tc>
        <w:tc>
          <w:tcPr>
            <w:tcW w:w="1706" w:type="dxa"/>
          </w:tcPr>
          <w:p w14:paraId="498E8116" w14:textId="77777777" w:rsidR="003931D5" w:rsidRPr="003931D5" w:rsidRDefault="003931D5" w:rsidP="003931D5">
            <w:pPr>
              <w:autoSpaceDE w:val="0"/>
              <w:autoSpaceDN w:val="0"/>
              <w:adjustRightInd w:val="0"/>
              <w:spacing w:before="0" w:after="0"/>
              <w:rPr>
                <w:szCs w:val="24"/>
              </w:rPr>
            </w:pPr>
            <w:r w:rsidRPr="003931D5">
              <w:rPr>
                <w:szCs w:val="24"/>
              </w:rPr>
              <w:t>31 December 2014</w:t>
            </w:r>
          </w:p>
        </w:tc>
        <w:tc>
          <w:tcPr>
            <w:tcW w:w="1706" w:type="dxa"/>
          </w:tcPr>
          <w:p w14:paraId="7AFB14F6" w14:textId="77777777" w:rsidR="003931D5" w:rsidRPr="003931D5" w:rsidRDefault="003931D5" w:rsidP="003931D5">
            <w:pPr>
              <w:autoSpaceDE w:val="0"/>
              <w:autoSpaceDN w:val="0"/>
              <w:adjustRightInd w:val="0"/>
              <w:spacing w:before="0" w:after="0"/>
              <w:rPr>
                <w:szCs w:val="24"/>
              </w:rPr>
            </w:pPr>
            <w:r w:rsidRPr="003931D5">
              <w:rPr>
                <w:szCs w:val="24"/>
              </w:rPr>
              <w:t>1 July 2016</w:t>
            </w:r>
          </w:p>
        </w:tc>
      </w:tr>
      <w:tr w:rsidR="003931D5" w:rsidRPr="003931D5" w14:paraId="62B25B62" w14:textId="77777777" w:rsidTr="00AC6F3F">
        <w:trPr>
          <w:cantSplit/>
        </w:trPr>
        <w:tc>
          <w:tcPr>
            <w:tcW w:w="696" w:type="dxa"/>
          </w:tcPr>
          <w:p w14:paraId="3A7C20A7" w14:textId="77777777" w:rsidR="003931D5" w:rsidRPr="003931D5" w:rsidRDefault="003931D5" w:rsidP="003931D5">
            <w:pPr>
              <w:autoSpaceDE w:val="0"/>
              <w:autoSpaceDN w:val="0"/>
              <w:adjustRightInd w:val="0"/>
              <w:spacing w:before="0" w:after="0"/>
              <w:rPr>
                <w:szCs w:val="24"/>
              </w:rPr>
            </w:pPr>
            <w:r w:rsidRPr="003931D5">
              <w:rPr>
                <w:szCs w:val="24"/>
              </w:rPr>
              <w:t>4</w:t>
            </w:r>
          </w:p>
        </w:tc>
        <w:tc>
          <w:tcPr>
            <w:tcW w:w="1680" w:type="dxa"/>
          </w:tcPr>
          <w:p w14:paraId="46FD82D4" w14:textId="77777777" w:rsidR="003931D5" w:rsidRPr="003931D5" w:rsidRDefault="003931D5" w:rsidP="003931D5">
            <w:pPr>
              <w:autoSpaceDE w:val="0"/>
              <w:autoSpaceDN w:val="0"/>
              <w:adjustRightInd w:val="0"/>
              <w:spacing w:before="0" w:after="0"/>
              <w:rPr>
                <w:szCs w:val="24"/>
              </w:rPr>
            </w:pPr>
            <w:r w:rsidRPr="003931D5">
              <w:rPr>
                <w:szCs w:val="24"/>
              </w:rPr>
              <w:t>Australian Defence Force on Operation Manitou</w:t>
            </w:r>
          </w:p>
        </w:tc>
        <w:tc>
          <w:tcPr>
            <w:tcW w:w="2740" w:type="dxa"/>
          </w:tcPr>
          <w:p w14:paraId="0690E8E5" w14:textId="234CCAD4" w:rsidR="003931D5" w:rsidRPr="003931D5" w:rsidRDefault="003931D5" w:rsidP="003931D5">
            <w:pPr>
              <w:autoSpaceDE w:val="0"/>
              <w:autoSpaceDN w:val="0"/>
              <w:adjustRightInd w:val="0"/>
              <w:spacing w:before="0" w:after="0"/>
              <w:rPr>
                <w:szCs w:val="24"/>
              </w:rPr>
            </w:pPr>
            <w:r w:rsidRPr="003931D5">
              <w:rPr>
                <w:szCs w:val="24"/>
              </w:rPr>
              <w:t xml:space="preserve">The sea (including adjacent ports and the area within a </w:t>
            </w:r>
            <w:r w:rsidR="00A4755D" w:rsidRPr="003931D5">
              <w:rPr>
                <w:szCs w:val="24"/>
              </w:rPr>
              <w:t>10</w:t>
            </w:r>
            <w:r w:rsidR="00A4755D">
              <w:rPr>
                <w:szCs w:val="24"/>
              </w:rPr>
              <w:t> </w:t>
            </w:r>
            <w:r w:rsidRPr="003931D5">
              <w:rPr>
                <w:szCs w:val="24"/>
              </w:rPr>
              <w:t xml:space="preserve">kilometres radius of such ports) and </w:t>
            </w:r>
            <w:proofErr w:type="spellStart"/>
            <w:r w:rsidRPr="003931D5">
              <w:rPr>
                <w:szCs w:val="24"/>
              </w:rPr>
              <w:t>superjacent</w:t>
            </w:r>
            <w:proofErr w:type="spellEnd"/>
            <w:r w:rsidRPr="003931D5">
              <w:rPr>
                <w:szCs w:val="24"/>
              </w:rPr>
              <w:t xml:space="preserve"> airspace of: </w:t>
            </w:r>
          </w:p>
          <w:p w14:paraId="00433F8F" w14:textId="77777777" w:rsidR="003931D5" w:rsidRPr="003931D5" w:rsidRDefault="003931D5" w:rsidP="003931D5">
            <w:pPr>
              <w:autoSpaceDE w:val="0"/>
              <w:autoSpaceDN w:val="0"/>
              <w:adjustRightInd w:val="0"/>
              <w:spacing w:before="0" w:after="0"/>
              <w:rPr>
                <w:szCs w:val="24"/>
              </w:rPr>
            </w:pPr>
            <w:r w:rsidRPr="003931D5">
              <w:rPr>
                <w:szCs w:val="24"/>
              </w:rPr>
              <w:t xml:space="preserve">- the Arabian Sea north of latitude </w:t>
            </w:r>
            <w:proofErr w:type="spellStart"/>
            <w:r w:rsidRPr="003931D5">
              <w:rPr>
                <w:szCs w:val="24"/>
              </w:rPr>
              <w:t>11°00′00″S</w:t>
            </w:r>
            <w:proofErr w:type="spellEnd"/>
            <w:r w:rsidRPr="003931D5">
              <w:rPr>
                <w:szCs w:val="24"/>
              </w:rPr>
              <w:t xml:space="preserve"> and west of longitude </w:t>
            </w:r>
            <w:proofErr w:type="spellStart"/>
            <w:r w:rsidRPr="003931D5">
              <w:rPr>
                <w:szCs w:val="24"/>
              </w:rPr>
              <w:t>68°00′00″E</w:t>
            </w:r>
            <w:proofErr w:type="spellEnd"/>
            <w:r w:rsidRPr="003931D5">
              <w:rPr>
                <w:szCs w:val="24"/>
              </w:rPr>
              <w:t xml:space="preserve">; </w:t>
            </w:r>
          </w:p>
          <w:p w14:paraId="2EEA046D" w14:textId="77777777" w:rsidR="003931D5" w:rsidRPr="003931D5" w:rsidRDefault="003931D5" w:rsidP="003931D5">
            <w:pPr>
              <w:autoSpaceDE w:val="0"/>
              <w:autoSpaceDN w:val="0"/>
              <w:adjustRightInd w:val="0"/>
              <w:spacing w:before="0" w:after="0"/>
              <w:rPr>
                <w:szCs w:val="24"/>
              </w:rPr>
            </w:pPr>
            <w:r w:rsidRPr="003931D5">
              <w:rPr>
                <w:szCs w:val="24"/>
              </w:rPr>
              <w:t xml:space="preserve">- the Gulf of Aden; </w:t>
            </w:r>
          </w:p>
          <w:p w14:paraId="62B89B45" w14:textId="77777777" w:rsidR="003931D5" w:rsidRPr="003931D5" w:rsidRDefault="003931D5" w:rsidP="003931D5">
            <w:pPr>
              <w:autoSpaceDE w:val="0"/>
              <w:autoSpaceDN w:val="0"/>
              <w:adjustRightInd w:val="0"/>
              <w:spacing w:before="0" w:after="0"/>
              <w:rPr>
                <w:szCs w:val="24"/>
              </w:rPr>
            </w:pPr>
            <w:r w:rsidRPr="003931D5">
              <w:rPr>
                <w:szCs w:val="24"/>
              </w:rPr>
              <w:t xml:space="preserve">- the Gulf of Oman; </w:t>
            </w:r>
          </w:p>
          <w:p w14:paraId="5F298DD7" w14:textId="77777777" w:rsidR="003931D5" w:rsidRPr="003931D5" w:rsidRDefault="003931D5" w:rsidP="003931D5">
            <w:pPr>
              <w:autoSpaceDE w:val="0"/>
              <w:autoSpaceDN w:val="0"/>
              <w:adjustRightInd w:val="0"/>
              <w:spacing w:before="0" w:after="0"/>
              <w:rPr>
                <w:szCs w:val="24"/>
              </w:rPr>
            </w:pPr>
            <w:r w:rsidRPr="003931D5">
              <w:rPr>
                <w:szCs w:val="24"/>
              </w:rPr>
              <w:t xml:space="preserve">- the Persian Gulf; </w:t>
            </w:r>
          </w:p>
          <w:p w14:paraId="583360E6" w14:textId="77777777" w:rsidR="003931D5" w:rsidRPr="003931D5" w:rsidRDefault="003931D5" w:rsidP="003931D5">
            <w:pPr>
              <w:autoSpaceDE w:val="0"/>
              <w:autoSpaceDN w:val="0"/>
              <w:adjustRightInd w:val="0"/>
              <w:spacing w:before="0" w:after="0"/>
              <w:rPr>
                <w:szCs w:val="24"/>
              </w:rPr>
            </w:pPr>
            <w:r w:rsidRPr="003931D5">
              <w:rPr>
                <w:szCs w:val="24"/>
              </w:rPr>
              <w:t xml:space="preserve">- the Red Sea; and </w:t>
            </w:r>
          </w:p>
          <w:p w14:paraId="461931B2" w14:textId="77777777" w:rsidR="003931D5" w:rsidRPr="003931D5" w:rsidRDefault="003931D5" w:rsidP="003931D5">
            <w:pPr>
              <w:autoSpaceDE w:val="0"/>
              <w:autoSpaceDN w:val="0"/>
              <w:adjustRightInd w:val="0"/>
              <w:spacing w:before="0" w:after="0"/>
              <w:rPr>
                <w:szCs w:val="24"/>
              </w:rPr>
            </w:pPr>
            <w:r w:rsidRPr="003931D5">
              <w:rPr>
                <w:szCs w:val="24"/>
              </w:rPr>
              <w:t>- the Strait of Hormuz.</w:t>
            </w:r>
          </w:p>
        </w:tc>
        <w:tc>
          <w:tcPr>
            <w:tcW w:w="1706" w:type="dxa"/>
          </w:tcPr>
          <w:p w14:paraId="4F9440D8" w14:textId="77777777" w:rsidR="003931D5" w:rsidRPr="003931D5" w:rsidRDefault="003931D5" w:rsidP="003931D5">
            <w:pPr>
              <w:autoSpaceDE w:val="0"/>
              <w:autoSpaceDN w:val="0"/>
              <w:adjustRightInd w:val="0"/>
              <w:spacing w:before="0" w:after="0"/>
              <w:rPr>
                <w:szCs w:val="24"/>
              </w:rPr>
            </w:pPr>
            <w:r w:rsidRPr="003931D5">
              <w:rPr>
                <w:szCs w:val="24"/>
              </w:rPr>
              <w:t>30 June 2014</w:t>
            </w:r>
          </w:p>
        </w:tc>
        <w:tc>
          <w:tcPr>
            <w:tcW w:w="1706" w:type="dxa"/>
          </w:tcPr>
          <w:p w14:paraId="05888DBE" w14:textId="77777777" w:rsidR="003931D5" w:rsidRPr="003931D5" w:rsidRDefault="003931D5" w:rsidP="003931D5">
            <w:pPr>
              <w:autoSpaceDE w:val="0"/>
              <w:autoSpaceDN w:val="0"/>
              <w:adjustRightInd w:val="0"/>
              <w:spacing w:before="0" w:after="0"/>
              <w:rPr>
                <w:szCs w:val="24"/>
              </w:rPr>
            </w:pPr>
            <w:r w:rsidRPr="003931D5">
              <w:rPr>
                <w:szCs w:val="24"/>
              </w:rPr>
              <w:t>1 July 2016</w:t>
            </w:r>
          </w:p>
        </w:tc>
      </w:tr>
      <w:tr w:rsidR="003931D5" w:rsidRPr="003931D5" w14:paraId="373CAF8F" w14:textId="77777777" w:rsidTr="00AC6F3F">
        <w:trPr>
          <w:cantSplit/>
        </w:trPr>
        <w:tc>
          <w:tcPr>
            <w:tcW w:w="696" w:type="dxa"/>
          </w:tcPr>
          <w:p w14:paraId="6F68A2A1" w14:textId="77777777" w:rsidR="003931D5" w:rsidRPr="003931D5" w:rsidRDefault="003931D5" w:rsidP="003931D5">
            <w:pPr>
              <w:autoSpaceDE w:val="0"/>
              <w:autoSpaceDN w:val="0"/>
              <w:adjustRightInd w:val="0"/>
              <w:spacing w:before="0" w:after="0"/>
              <w:rPr>
                <w:szCs w:val="24"/>
              </w:rPr>
            </w:pPr>
            <w:r w:rsidRPr="003931D5">
              <w:rPr>
                <w:szCs w:val="24"/>
              </w:rPr>
              <w:lastRenderedPageBreak/>
              <w:t>5</w:t>
            </w:r>
          </w:p>
        </w:tc>
        <w:tc>
          <w:tcPr>
            <w:tcW w:w="1680" w:type="dxa"/>
          </w:tcPr>
          <w:p w14:paraId="1C33E723" w14:textId="77777777" w:rsidR="003931D5" w:rsidRPr="003931D5" w:rsidRDefault="003931D5" w:rsidP="003931D5">
            <w:pPr>
              <w:autoSpaceDE w:val="0"/>
              <w:autoSpaceDN w:val="0"/>
              <w:adjustRightInd w:val="0"/>
              <w:spacing w:before="0" w:after="0"/>
              <w:rPr>
                <w:szCs w:val="24"/>
              </w:rPr>
            </w:pPr>
            <w:r w:rsidRPr="003931D5">
              <w:rPr>
                <w:szCs w:val="24"/>
              </w:rPr>
              <w:t>Australian Defence Force on Operation Okra</w:t>
            </w:r>
          </w:p>
        </w:tc>
        <w:tc>
          <w:tcPr>
            <w:tcW w:w="2740" w:type="dxa"/>
          </w:tcPr>
          <w:p w14:paraId="0E36EBBB" w14:textId="77777777" w:rsidR="003931D5" w:rsidRPr="003931D5" w:rsidRDefault="003931D5" w:rsidP="003931D5">
            <w:pPr>
              <w:autoSpaceDE w:val="0"/>
              <w:autoSpaceDN w:val="0"/>
              <w:adjustRightInd w:val="0"/>
              <w:spacing w:before="0" w:after="0"/>
              <w:rPr>
                <w:szCs w:val="24"/>
              </w:rPr>
            </w:pPr>
            <w:r w:rsidRPr="003931D5">
              <w:rPr>
                <w:szCs w:val="24"/>
              </w:rPr>
              <w:t>The following areas:</w:t>
            </w:r>
          </w:p>
          <w:p w14:paraId="6BFE1962" w14:textId="77777777" w:rsidR="003931D5" w:rsidRPr="003931D5" w:rsidRDefault="003931D5" w:rsidP="003931D5">
            <w:pPr>
              <w:autoSpaceDE w:val="0"/>
              <w:autoSpaceDN w:val="0"/>
              <w:adjustRightInd w:val="0"/>
              <w:spacing w:before="0" w:after="0"/>
              <w:rPr>
                <w:szCs w:val="24"/>
              </w:rPr>
            </w:pPr>
            <w:r w:rsidRPr="003931D5">
              <w:rPr>
                <w:szCs w:val="24"/>
              </w:rPr>
              <w:t xml:space="preserve">(a) the land area, territorial waters, airspace and </w:t>
            </w:r>
            <w:proofErr w:type="spellStart"/>
            <w:r w:rsidRPr="003931D5">
              <w:rPr>
                <w:szCs w:val="24"/>
              </w:rPr>
              <w:t>superjacent</w:t>
            </w:r>
            <w:proofErr w:type="spellEnd"/>
            <w:r w:rsidRPr="003931D5">
              <w:rPr>
                <w:szCs w:val="24"/>
              </w:rPr>
              <w:t xml:space="preserve"> airspace of the following countries: </w:t>
            </w:r>
          </w:p>
          <w:p w14:paraId="0E20A423" w14:textId="77777777" w:rsidR="003931D5" w:rsidRPr="003931D5" w:rsidRDefault="003931D5" w:rsidP="003931D5">
            <w:pPr>
              <w:autoSpaceDE w:val="0"/>
              <w:autoSpaceDN w:val="0"/>
              <w:adjustRightInd w:val="0"/>
              <w:spacing w:before="0" w:after="0"/>
              <w:rPr>
                <w:szCs w:val="24"/>
              </w:rPr>
            </w:pPr>
            <w:r w:rsidRPr="003931D5">
              <w:rPr>
                <w:szCs w:val="24"/>
              </w:rPr>
              <w:t xml:space="preserve">- Albania; </w:t>
            </w:r>
          </w:p>
          <w:p w14:paraId="15459CF9" w14:textId="129147FC" w:rsidR="003931D5" w:rsidRPr="003931D5" w:rsidRDefault="003931D5" w:rsidP="003931D5">
            <w:pPr>
              <w:autoSpaceDE w:val="0"/>
              <w:autoSpaceDN w:val="0"/>
              <w:adjustRightInd w:val="0"/>
              <w:spacing w:before="0" w:after="0"/>
              <w:rPr>
                <w:szCs w:val="24"/>
              </w:rPr>
            </w:pPr>
            <w:r w:rsidRPr="003931D5">
              <w:rPr>
                <w:szCs w:val="24"/>
              </w:rPr>
              <w:t>- Bosnia</w:t>
            </w:r>
            <w:r w:rsidR="00410658">
              <w:rPr>
                <w:szCs w:val="24"/>
              </w:rPr>
              <w:t xml:space="preserve"> and </w:t>
            </w:r>
            <w:r w:rsidRPr="003931D5">
              <w:rPr>
                <w:szCs w:val="24"/>
              </w:rPr>
              <w:t>Herzegovina;</w:t>
            </w:r>
          </w:p>
          <w:p w14:paraId="2AA3B029" w14:textId="77777777" w:rsidR="003931D5" w:rsidRPr="003931D5" w:rsidRDefault="003931D5" w:rsidP="003931D5">
            <w:pPr>
              <w:autoSpaceDE w:val="0"/>
              <w:autoSpaceDN w:val="0"/>
              <w:adjustRightInd w:val="0"/>
              <w:spacing w:before="0" w:after="0"/>
              <w:rPr>
                <w:szCs w:val="24"/>
              </w:rPr>
            </w:pPr>
            <w:r w:rsidRPr="003931D5">
              <w:rPr>
                <w:szCs w:val="24"/>
              </w:rPr>
              <w:t xml:space="preserve">- Bulgaria; </w:t>
            </w:r>
          </w:p>
          <w:p w14:paraId="64A9D51B" w14:textId="77777777" w:rsidR="003931D5" w:rsidRPr="003931D5" w:rsidRDefault="003931D5" w:rsidP="003931D5">
            <w:pPr>
              <w:autoSpaceDE w:val="0"/>
              <w:autoSpaceDN w:val="0"/>
              <w:adjustRightInd w:val="0"/>
              <w:spacing w:before="0" w:after="0"/>
              <w:rPr>
                <w:szCs w:val="24"/>
              </w:rPr>
            </w:pPr>
            <w:r w:rsidRPr="003931D5">
              <w:rPr>
                <w:szCs w:val="24"/>
              </w:rPr>
              <w:t xml:space="preserve">- Croatia; </w:t>
            </w:r>
          </w:p>
          <w:p w14:paraId="62616032" w14:textId="77777777" w:rsidR="003931D5" w:rsidRPr="003931D5" w:rsidRDefault="003931D5" w:rsidP="003931D5">
            <w:pPr>
              <w:autoSpaceDE w:val="0"/>
              <w:autoSpaceDN w:val="0"/>
              <w:adjustRightInd w:val="0"/>
              <w:spacing w:before="0" w:after="0"/>
              <w:rPr>
                <w:szCs w:val="24"/>
              </w:rPr>
            </w:pPr>
            <w:r w:rsidRPr="003931D5">
              <w:rPr>
                <w:szCs w:val="24"/>
              </w:rPr>
              <w:t xml:space="preserve">- Cyprus; </w:t>
            </w:r>
          </w:p>
          <w:p w14:paraId="4CB453E0" w14:textId="77777777" w:rsidR="003931D5" w:rsidRPr="003931D5" w:rsidRDefault="003931D5" w:rsidP="003931D5">
            <w:pPr>
              <w:autoSpaceDE w:val="0"/>
              <w:autoSpaceDN w:val="0"/>
              <w:adjustRightInd w:val="0"/>
              <w:spacing w:before="0" w:after="0"/>
              <w:rPr>
                <w:szCs w:val="24"/>
              </w:rPr>
            </w:pPr>
            <w:r w:rsidRPr="003931D5">
              <w:rPr>
                <w:szCs w:val="24"/>
              </w:rPr>
              <w:t xml:space="preserve">- Czech Republic; </w:t>
            </w:r>
          </w:p>
          <w:p w14:paraId="3D029FED" w14:textId="77777777" w:rsidR="003931D5" w:rsidRPr="003931D5" w:rsidRDefault="003931D5" w:rsidP="003931D5">
            <w:pPr>
              <w:autoSpaceDE w:val="0"/>
              <w:autoSpaceDN w:val="0"/>
              <w:adjustRightInd w:val="0"/>
              <w:spacing w:before="0" w:after="0"/>
              <w:rPr>
                <w:szCs w:val="24"/>
              </w:rPr>
            </w:pPr>
            <w:r w:rsidRPr="003931D5">
              <w:rPr>
                <w:szCs w:val="24"/>
              </w:rPr>
              <w:t xml:space="preserve">- Estonia; </w:t>
            </w:r>
          </w:p>
          <w:p w14:paraId="28BE21FD" w14:textId="77777777" w:rsidR="003931D5" w:rsidRPr="003931D5" w:rsidRDefault="003931D5" w:rsidP="003931D5">
            <w:pPr>
              <w:autoSpaceDE w:val="0"/>
              <w:autoSpaceDN w:val="0"/>
              <w:adjustRightInd w:val="0"/>
              <w:spacing w:before="0" w:after="0"/>
              <w:rPr>
                <w:szCs w:val="24"/>
              </w:rPr>
            </w:pPr>
            <w:r w:rsidRPr="003931D5">
              <w:rPr>
                <w:szCs w:val="24"/>
              </w:rPr>
              <w:t xml:space="preserve">- Hungary; </w:t>
            </w:r>
          </w:p>
          <w:p w14:paraId="212AA70D" w14:textId="77777777" w:rsidR="003931D5" w:rsidRPr="003931D5" w:rsidRDefault="003931D5" w:rsidP="003931D5">
            <w:pPr>
              <w:autoSpaceDE w:val="0"/>
              <w:autoSpaceDN w:val="0"/>
              <w:adjustRightInd w:val="0"/>
              <w:spacing w:before="0" w:after="0"/>
              <w:rPr>
                <w:szCs w:val="24"/>
              </w:rPr>
            </w:pPr>
            <w:r w:rsidRPr="003931D5">
              <w:rPr>
                <w:szCs w:val="24"/>
              </w:rPr>
              <w:t xml:space="preserve">- Iraq; </w:t>
            </w:r>
          </w:p>
          <w:p w14:paraId="7C5763C7" w14:textId="77777777" w:rsidR="003931D5" w:rsidRPr="003931D5" w:rsidRDefault="003931D5" w:rsidP="003931D5">
            <w:pPr>
              <w:autoSpaceDE w:val="0"/>
              <w:autoSpaceDN w:val="0"/>
              <w:adjustRightInd w:val="0"/>
              <w:spacing w:before="0" w:after="0"/>
              <w:rPr>
                <w:szCs w:val="24"/>
              </w:rPr>
            </w:pPr>
            <w:r w:rsidRPr="003931D5">
              <w:rPr>
                <w:szCs w:val="24"/>
              </w:rPr>
              <w:t xml:space="preserve">- Kuwait; </w:t>
            </w:r>
          </w:p>
          <w:p w14:paraId="3F9BC320" w14:textId="77777777" w:rsidR="003931D5" w:rsidRPr="003931D5" w:rsidRDefault="003931D5" w:rsidP="003931D5">
            <w:pPr>
              <w:autoSpaceDE w:val="0"/>
              <w:autoSpaceDN w:val="0"/>
              <w:adjustRightInd w:val="0"/>
              <w:spacing w:before="0" w:after="0"/>
              <w:rPr>
                <w:szCs w:val="24"/>
              </w:rPr>
            </w:pPr>
            <w:r w:rsidRPr="003931D5">
              <w:rPr>
                <w:szCs w:val="24"/>
              </w:rPr>
              <w:t xml:space="preserve">- Montenegro; </w:t>
            </w:r>
          </w:p>
          <w:p w14:paraId="559989CD" w14:textId="77777777" w:rsidR="003931D5" w:rsidRPr="003931D5" w:rsidRDefault="003931D5" w:rsidP="003931D5">
            <w:pPr>
              <w:autoSpaceDE w:val="0"/>
              <w:autoSpaceDN w:val="0"/>
              <w:adjustRightInd w:val="0"/>
              <w:spacing w:before="0" w:after="0"/>
              <w:rPr>
                <w:szCs w:val="24"/>
              </w:rPr>
            </w:pPr>
            <w:r w:rsidRPr="003931D5">
              <w:rPr>
                <w:szCs w:val="24"/>
              </w:rPr>
              <w:t xml:space="preserve">- Poland; </w:t>
            </w:r>
          </w:p>
          <w:p w14:paraId="7E485BE1" w14:textId="77777777" w:rsidR="003931D5" w:rsidRPr="003931D5" w:rsidRDefault="003931D5" w:rsidP="003931D5">
            <w:pPr>
              <w:autoSpaceDE w:val="0"/>
              <w:autoSpaceDN w:val="0"/>
              <w:adjustRightInd w:val="0"/>
              <w:spacing w:before="0" w:after="0"/>
              <w:rPr>
                <w:szCs w:val="24"/>
              </w:rPr>
            </w:pPr>
            <w:r w:rsidRPr="003931D5">
              <w:rPr>
                <w:szCs w:val="24"/>
              </w:rPr>
              <w:t xml:space="preserve">- Romania; </w:t>
            </w:r>
          </w:p>
          <w:p w14:paraId="38F9C1D9" w14:textId="77777777" w:rsidR="003931D5" w:rsidRPr="003931D5" w:rsidRDefault="003931D5" w:rsidP="003931D5">
            <w:pPr>
              <w:autoSpaceDE w:val="0"/>
              <w:autoSpaceDN w:val="0"/>
              <w:adjustRightInd w:val="0"/>
              <w:spacing w:before="0" w:after="0"/>
              <w:rPr>
                <w:szCs w:val="24"/>
              </w:rPr>
            </w:pPr>
            <w:r w:rsidRPr="003931D5">
              <w:rPr>
                <w:szCs w:val="24"/>
              </w:rPr>
              <w:t>- the Hashemite Kingdom of Jordan;</w:t>
            </w:r>
          </w:p>
          <w:p w14:paraId="608E6617" w14:textId="77777777" w:rsidR="003931D5" w:rsidRPr="003931D5" w:rsidRDefault="003931D5" w:rsidP="003931D5">
            <w:pPr>
              <w:autoSpaceDE w:val="0"/>
              <w:autoSpaceDN w:val="0"/>
              <w:adjustRightInd w:val="0"/>
              <w:spacing w:before="0" w:after="0"/>
              <w:rPr>
                <w:szCs w:val="24"/>
              </w:rPr>
            </w:pPr>
            <w:r w:rsidRPr="003931D5">
              <w:rPr>
                <w:szCs w:val="24"/>
              </w:rPr>
              <w:t xml:space="preserve">- the Kingdom of Bahrain; </w:t>
            </w:r>
          </w:p>
          <w:p w14:paraId="51EF6C67" w14:textId="6A833E80" w:rsidR="003931D5" w:rsidRPr="003931D5" w:rsidRDefault="003931D5" w:rsidP="003931D5">
            <w:pPr>
              <w:autoSpaceDE w:val="0"/>
              <w:autoSpaceDN w:val="0"/>
              <w:adjustRightInd w:val="0"/>
              <w:spacing w:before="0" w:after="0"/>
              <w:rPr>
                <w:szCs w:val="24"/>
              </w:rPr>
            </w:pPr>
            <w:r w:rsidRPr="003931D5">
              <w:rPr>
                <w:szCs w:val="24"/>
              </w:rPr>
              <w:t xml:space="preserve">- the State of Qatar; </w:t>
            </w:r>
          </w:p>
          <w:p w14:paraId="691E8268" w14:textId="77777777" w:rsidR="003931D5" w:rsidRPr="003931D5" w:rsidRDefault="003931D5" w:rsidP="003931D5">
            <w:pPr>
              <w:autoSpaceDE w:val="0"/>
              <w:autoSpaceDN w:val="0"/>
              <w:adjustRightInd w:val="0"/>
              <w:spacing w:before="0" w:after="0"/>
              <w:rPr>
                <w:szCs w:val="24"/>
              </w:rPr>
            </w:pPr>
            <w:r w:rsidRPr="003931D5">
              <w:rPr>
                <w:szCs w:val="24"/>
              </w:rPr>
              <w:t>- the United Arab Emirates; and</w:t>
            </w:r>
          </w:p>
          <w:p w14:paraId="527DCB90" w14:textId="77777777" w:rsidR="003931D5" w:rsidRPr="003931D5" w:rsidRDefault="003931D5" w:rsidP="003931D5">
            <w:pPr>
              <w:autoSpaceDE w:val="0"/>
              <w:autoSpaceDN w:val="0"/>
              <w:adjustRightInd w:val="0"/>
              <w:spacing w:before="0" w:after="0"/>
              <w:rPr>
                <w:szCs w:val="24"/>
              </w:rPr>
            </w:pPr>
            <w:r w:rsidRPr="003931D5">
              <w:rPr>
                <w:szCs w:val="24"/>
              </w:rPr>
              <w:t xml:space="preserve">(b) the waters and </w:t>
            </w:r>
            <w:proofErr w:type="spellStart"/>
            <w:r w:rsidRPr="003931D5">
              <w:rPr>
                <w:szCs w:val="24"/>
              </w:rPr>
              <w:t>superjacent</w:t>
            </w:r>
            <w:proofErr w:type="spellEnd"/>
            <w:r w:rsidRPr="003931D5">
              <w:rPr>
                <w:szCs w:val="24"/>
              </w:rPr>
              <w:t xml:space="preserve"> airspace of the Persian Gulf.</w:t>
            </w:r>
          </w:p>
        </w:tc>
        <w:tc>
          <w:tcPr>
            <w:tcW w:w="1706" w:type="dxa"/>
          </w:tcPr>
          <w:p w14:paraId="3EF72FD9" w14:textId="77777777" w:rsidR="003931D5" w:rsidRPr="003931D5" w:rsidRDefault="003931D5" w:rsidP="003931D5">
            <w:pPr>
              <w:autoSpaceDE w:val="0"/>
              <w:autoSpaceDN w:val="0"/>
              <w:adjustRightInd w:val="0"/>
              <w:spacing w:before="0" w:after="0"/>
              <w:rPr>
                <w:szCs w:val="24"/>
              </w:rPr>
            </w:pPr>
            <w:r w:rsidRPr="003931D5">
              <w:rPr>
                <w:szCs w:val="24"/>
              </w:rPr>
              <w:t>8 August 2014</w:t>
            </w:r>
          </w:p>
        </w:tc>
        <w:tc>
          <w:tcPr>
            <w:tcW w:w="1706" w:type="dxa"/>
          </w:tcPr>
          <w:p w14:paraId="2BF37E30" w14:textId="77777777" w:rsidR="003931D5" w:rsidRPr="003931D5" w:rsidRDefault="003931D5" w:rsidP="003931D5">
            <w:pPr>
              <w:autoSpaceDE w:val="0"/>
              <w:autoSpaceDN w:val="0"/>
              <w:adjustRightInd w:val="0"/>
              <w:spacing w:before="0" w:after="0"/>
              <w:rPr>
                <w:szCs w:val="24"/>
              </w:rPr>
            </w:pPr>
            <w:r w:rsidRPr="003931D5">
              <w:rPr>
                <w:szCs w:val="24"/>
              </w:rPr>
              <w:t>1 July 2016</w:t>
            </w:r>
          </w:p>
        </w:tc>
      </w:tr>
      <w:tr w:rsidR="003931D5" w:rsidRPr="003931D5" w14:paraId="6E39429E" w14:textId="77777777" w:rsidTr="00AC6F3F">
        <w:trPr>
          <w:cantSplit/>
        </w:trPr>
        <w:tc>
          <w:tcPr>
            <w:tcW w:w="696" w:type="dxa"/>
          </w:tcPr>
          <w:p w14:paraId="2E27DCAA" w14:textId="77777777" w:rsidR="003931D5" w:rsidRPr="003931D5" w:rsidRDefault="003931D5" w:rsidP="003931D5">
            <w:pPr>
              <w:autoSpaceDE w:val="0"/>
              <w:autoSpaceDN w:val="0"/>
              <w:adjustRightInd w:val="0"/>
              <w:spacing w:before="0" w:after="0"/>
              <w:rPr>
                <w:szCs w:val="24"/>
              </w:rPr>
            </w:pPr>
            <w:r w:rsidRPr="003931D5">
              <w:rPr>
                <w:szCs w:val="24"/>
              </w:rPr>
              <w:t>6</w:t>
            </w:r>
          </w:p>
        </w:tc>
        <w:tc>
          <w:tcPr>
            <w:tcW w:w="1680" w:type="dxa"/>
          </w:tcPr>
          <w:p w14:paraId="4A4925D2" w14:textId="77777777" w:rsidR="003931D5" w:rsidRPr="003931D5" w:rsidRDefault="003931D5" w:rsidP="003931D5">
            <w:pPr>
              <w:autoSpaceDE w:val="0"/>
              <w:autoSpaceDN w:val="0"/>
              <w:adjustRightInd w:val="0"/>
              <w:spacing w:before="0" w:after="0"/>
              <w:rPr>
                <w:szCs w:val="24"/>
              </w:rPr>
            </w:pPr>
            <w:r w:rsidRPr="003931D5">
              <w:rPr>
                <w:szCs w:val="24"/>
              </w:rPr>
              <w:t>United Nations—Assistance Mission in Afghanistan (Operation Palate II)</w:t>
            </w:r>
          </w:p>
        </w:tc>
        <w:tc>
          <w:tcPr>
            <w:tcW w:w="2740" w:type="dxa"/>
          </w:tcPr>
          <w:p w14:paraId="733CCEBD" w14:textId="77777777" w:rsidR="003931D5" w:rsidRPr="003931D5" w:rsidRDefault="003931D5" w:rsidP="003931D5">
            <w:pPr>
              <w:autoSpaceDE w:val="0"/>
              <w:autoSpaceDN w:val="0"/>
              <w:adjustRightInd w:val="0"/>
              <w:spacing w:before="0" w:after="0"/>
              <w:rPr>
                <w:szCs w:val="24"/>
              </w:rPr>
            </w:pPr>
            <w:r w:rsidRPr="003931D5">
              <w:rPr>
                <w:szCs w:val="24"/>
              </w:rPr>
              <w:t xml:space="preserve">The land area, territorial waters, airspace and </w:t>
            </w:r>
            <w:proofErr w:type="spellStart"/>
            <w:r w:rsidRPr="003931D5">
              <w:rPr>
                <w:szCs w:val="24"/>
              </w:rPr>
              <w:t>superjacent</w:t>
            </w:r>
            <w:proofErr w:type="spellEnd"/>
            <w:r w:rsidRPr="003931D5">
              <w:rPr>
                <w:szCs w:val="24"/>
              </w:rPr>
              <w:t xml:space="preserve"> airspace of Afghanistan.</w:t>
            </w:r>
          </w:p>
        </w:tc>
        <w:tc>
          <w:tcPr>
            <w:tcW w:w="1706" w:type="dxa"/>
          </w:tcPr>
          <w:p w14:paraId="7ED4269C" w14:textId="77777777" w:rsidR="003931D5" w:rsidRPr="003931D5" w:rsidRDefault="003931D5" w:rsidP="003931D5">
            <w:pPr>
              <w:autoSpaceDE w:val="0"/>
              <w:autoSpaceDN w:val="0"/>
              <w:adjustRightInd w:val="0"/>
              <w:spacing w:before="0" w:after="0"/>
              <w:rPr>
                <w:szCs w:val="24"/>
              </w:rPr>
            </w:pPr>
            <w:r w:rsidRPr="003931D5">
              <w:rPr>
                <w:szCs w:val="24"/>
              </w:rPr>
              <w:t>26 June 2005</w:t>
            </w:r>
          </w:p>
        </w:tc>
        <w:tc>
          <w:tcPr>
            <w:tcW w:w="1706" w:type="dxa"/>
          </w:tcPr>
          <w:p w14:paraId="2BDA3BEA" w14:textId="77777777" w:rsidR="003931D5" w:rsidRPr="003931D5" w:rsidRDefault="003931D5" w:rsidP="003931D5">
            <w:pPr>
              <w:autoSpaceDE w:val="0"/>
              <w:autoSpaceDN w:val="0"/>
              <w:adjustRightInd w:val="0"/>
              <w:spacing w:before="0" w:after="0"/>
              <w:rPr>
                <w:szCs w:val="24"/>
              </w:rPr>
            </w:pPr>
            <w:r w:rsidRPr="003931D5">
              <w:rPr>
                <w:szCs w:val="24"/>
              </w:rPr>
              <w:t>1 January 2016</w:t>
            </w:r>
          </w:p>
        </w:tc>
      </w:tr>
    </w:tbl>
    <w:p w14:paraId="25BD9399" w14:textId="77777777" w:rsidR="003931D5" w:rsidRPr="003931D5" w:rsidRDefault="003931D5" w:rsidP="003931D5">
      <w:pPr>
        <w:autoSpaceDE w:val="0"/>
        <w:autoSpaceDN w:val="0"/>
        <w:adjustRightInd w:val="0"/>
        <w:spacing w:before="0" w:after="0"/>
        <w:rPr>
          <w:szCs w:val="24"/>
        </w:rPr>
      </w:pPr>
    </w:p>
    <w:p w14:paraId="06EF65FC" w14:textId="206E4D1B" w:rsidR="003931D5" w:rsidRPr="003931D5" w:rsidRDefault="003931D5" w:rsidP="003931D5">
      <w:pPr>
        <w:autoSpaceDE w:val="0"/>
        <w:autoSpaceDN w:val="0"/>
        <w:adjustRightInd w:val="0"/>
        <w:spacing w:before="0" w:after="0"/>
        <w:rPr>
          <w:szCs w:val="24"/>
        </w:rPr>
      </w:pPr>
      <w:r w:rsidRPr="003931D5">
        <w:rPr>
          <w:szCs w:val="24"/>
        </w:rPr>
        <w:t xml:space="preserve">Item 1 of </w:t>
      </w:r>
      <w:r w:rsidR="00FC79B9">
        <w:rPr>
          <w:szCs w:val="24"/>
        </w:rPr>
        <w:t>Schedule 1</w:t>
      </w:r>
      <w:r w:rsidRPr="003931D5">
        <w:rPr>
          <w:szCs w:val="24"/>
        </w:rPr>
        <w:t xml:space="preserve"> also repeal</w:t>
      </w:r>
      <w:r w:rsidR="00FC79B9">
        <w:rPr>
          <w:szCs w:val="24"/>
        </w:rPr>
        <w:t>s</w:t>
      </w:r>
      <w:r w:rsidRPr="003931D5">
        <w:rPr>
          <w:szCs w:val="24"/>
        </w:rPr>
        <w:t xml:space="preserve"> paragraphs </w:t>
      </w:r>
      <w:proofErr w:type="spellStart"/>
      <w:r w:rsidRPr="003931D5">
        <w:rPr>
          <w:szCs w:val="24"/>
        </w:rPr>
        <w:t>7A</w:t>
      </w:r>
      <w:proofErr w:type="spellEnd"/>
      <w:r w:rsidRPr="003931D5">
        <w:rPr>
          <w:szCs w:val="24"/>
        </w:rPr>
        <w:t>(aa) and (ab) of the Principal Regulations, which are redundant.</w:t>
      </w:r>
    </w:p>
    <w:p w14:paraId="29282B79" w14:textId="77777777" w:rsidR="003931D5" w:rsidRPr="003931D5" w:rsidRDefault="003931D5" w:rsidP="003931D5">
      <w:pPr>
        <w:autoSpaceDE w:val="0"/>
        <w:autoSpaceDN w:val="0"/>
        <w:adjustRightInd w:val="0"/>
        <w:spacing w:before="0" w:after="0"/>
        <w:rPr>
          <w:szCs w:val="24"/>
        </w:rPr>
      </w:pPr>
    </w:p>
    <w:p w14:paraId="051879E8" w14:textId="77777777" w:rsidR="003931D5" w:rsidRPr="003931D5" w:rsidRDefault="003931D5" w:rsidP="003931D5">
      <w:pPr>
        <w:autoSpaceDE w:val="0"/>
        <w:autoSpaceDN w:val="0"/>
        <w:adjustRightInd w:val="0"/>
        <w:spacing w:before="0" w:after="0"/>
        <w:rPr>
          <w:b/>
          <w:szCs w:val="24"/>
        </w:rPr>
      </w:pPr>
      <w:r w:rsidRPr="003931D5">
        <w:rPr>
          <w:b/>
          <w:szCs w:val="24"/>
        </w:rPr>
        <w:t>Item 2</w:t>
      </w:r>
    </w:p>
    <w:p w14:paraId="17096E8F" w14:textId="77777777" w:rsidR="003931D5" w:rsidRPr="003931D5" w:rsidRDefault="003931D5" w:rsidP="003931D5">
      <w:pPr>
        <w:autoSpaceDE w:val="0"/>
        <w:autoSpaceDN w:val="0"/>
        <w:adjustRightInd w:val="0"/>
        <w:spacing w:before="0" w:after="0"/>
        <w:rPr>
          <w:b/>
          <w:szCs w:val="24"/>
        </w:rPr>
      </w:pPr>
    </w:p>
    <w:p w14:paraId="66426862" w14:textId="025FAC91" w:rsidR="003A5144" w:rsidRDefault="00FC79B9" w:rsidP="003A5144">
      <w:pPr>
        <w:autoSpaceDE w:val="0"/>
        <w:autoSpaceDN w:val="0"/>
        <w:adjustRightInd w:val="0"/>
        <w:spacing w:before="0" w:after="0"/>
        <w:rPr>
          <w:szCs w:val="24"/>
        </w:rPr>
      </w:pPr>
      <w:r>
        <w:rPr>
          <w:szCs w:val="24"/>
        </w:rPr>
        <w:t>Item 2 of Schedule 1</w:t>
      </w:r>
      <w:r w:rsidR="003931D5" w:rsidRPr="003931D5">
        <w:rPr>
          <w:szCs w:val="24"/>
        </w:rPr>
        <w:t xml:space="preserve"> repeal</w:t>
      </w:r>
      <w:r>
        <w:rPr>
          <w:szCs w:val="24"/>
        </w:rPr>
        <w:t>s</w:t>
      </w:r>
      <w:r w:rsidR="003931D5" w:rsidRPr="003931D5">
        <w:rPr>
          <w:szCs w:val="24"/>
        </w:rPr>
        <w:t xml:space="preserve"> item 15 of Schedule 1 to the </w:t>
      </w:r>
      <w:r w:rsidR="003931D5" w:rsidRPr="003931D5">
        <w:rPr>
          <w:i/>
          <w:szCs w:val="24"/>
        </w:rPr>
        <w:t>Treasury Laws Amendment (2015 Measures No. 1) Regulation 2015</w:t>
      </w:r>
      <w:r w:rsidR="003931D5" w:rsidRPr="003931D5">
        <w:rPr>
          <w:szCs w:val="24"/>
        </w:rPr>
        <w:t xml:space="preserve">. Item 15 of Schedule 1 to the </w:t>
      </w:r>
      <w:r w:rsidR="003931D5" w:rsidRPr="003931D5">
        <w:rPr>
          <w:i/>
          <w:szCs w:val="24"/>
        </w:rPr>
        <w:t xml:space="preserve">Treasury Laws Amendment (2015 Measures No. 1) Regulation 2015 </w:t>
      </w:r>
      <w:r w:rsidR="003931D5" w:rsidRPr="003931D5">
        <w:rPr>
          <w:szCs w:val="24"/>
        </w:rPr>
        <w:t>repeals paragraph </w:t>
      </w:r>
      <w:proofErr w:type="spellStart"/>
      <w:r w:rsidR="003931D5" w:rsidRPr="003931D5">
        <w:rPr>
          <w:szCs w:val="24"/>
        </w:rPr>
        <w:t>7A</w:t>
      </w:r>
      <w:proofErr w:type="spellEnd"/>
      <w:r w:rsidR="003931D5" w:rsidRPr="003931D5">
        <w:rPr>
          <w:szCs w:val="24"/>
        </w:rPr>
        <w:t>(aa) of the Principal Regulations from 1 July 2015 and therefore conflict</w:t>
      </w:r>
      <w:r w:rsidR="008C31B4">
        <w:rPr>
          <w:szCs w:val="24"/>
        </w:rPr>
        <w:t>s</w:t>
      </w:r>
      <w:r w:rsidR="003931D5" w:rsidRPr="003931D5">
        <w:rPr>
          <w:szCs w:val="24"/>
        </w:rPr>
        <w:t xml:space="preserve"> with the amendments in item 1 of the Regulation. </w:t>
      </w:r>
      <w:r w:rsidR="003A5144">
        <w:rPr>
          <w:szCs w:val="24"/>
        </w:rPr>
        <w:br w:type="page"/>
      </w:r>
    </w:p>
    <w:p w14:paraId="11AAE78D" w14:textId="77777777" w:rsidR="00E4438C" w:rsidRPr="0046308D" w:rsidRDefault="00E4438C" w:rsidP="00E4438C">
      <w:pPr>
        <w:pStyle w:val="Heading3"/>
        <w:jc w:val="center"/>
        <w:rPr>
          <w:u w:val="single"/>
        </w:rPr>
      </w:pPr>
      <w:r w:rsidRPr="0046308D">
        <w:rPr>
          <w:u w:val="single"/>
        </w:rPr>
        <w:lastRenderedPageBreak/>
        <w:t>Statement of Compatibility with Human Rights</w:t>
      </w:r>
    </w:p>
    <w:p w14:paraId="6481C730" w14:textId="77777777" w:rsidR="00E4438C" w:rsidRPr="00E4438C" w:rsidRDefault="00E4438C" w:rsidP="00E4438C">
      <w:pPr>
        <w:jc w:val="center"/>
        <w:rPr>
          <w:i/>
        </w:rPr>
      </w:pPr>
      <w:r w:rsidRPr="00E4438C">
        <w:rPr>
          <w:i/>
        </w:rPr>
        <w:t>Prepared in accordance with Part 3 of the Human Rights (Parliamentary Scrutiny) Act 2011</w:t>
      </w:r>
    </w:p>
    <w:p w14:paraId="61C37AC4" w14:textId="3E180FB9" w:rsidR="00E4438C" w:rsidRPr="00E4438C" w:rsidRDefault="00774D3B" w:rsidP="00E4438C">
      <w:pPr>
        <w:jc w:val="center"/>
        <w:rPr>
          <w:b/>
        </w:rPr>
      </w:pPr>
      <w:r w:rsidRPr="00774D3B">
        <w:rPr>
          <w:b/>
        </w:rPr>
        <w:t xml:space="preserve">Income Tax Amendment (Defence Force </w:t>
      </w:r>
      <w:r w:rsidR="00D431DE">
        <w:rPr>
          <w:b/>
        </w:rPr>
        <w:t>I</w:t>
      </w:r>
      <w:r w:rsidRPr="00774D3B">
        <w:rPr>
          <w:b/>
        </w:rPr>
        <w:t xml:space="preserve">ncome </w:t>
      </w:r>
      <w:r w:rsidR="00D431DE">
        <w:rPr>
          <w:b/>
        </w:rPr>
        <w:t>T</w:t>
      </w:r>
      <w:r w:rsidRPr="00774D3B">
        <w:rPr>
          <w:b/>
        </w:rPr>
        <w:t xml:space="preserve">ax </w:t>
      </w:r>
      <w:r w:rsidR="00D431DE">
        <w:rPr>
          <w:b/>
        </w:rPr>
        <w:t>E</w:t>
      </w:r>
      <w:r w:rsidRPr="00774D3B">
        <w:rPr>
          <w:b/>
        </w:rPr>
        <w:t>xemptions) Regulation 2015</w:t>
      </w:r>
    </w:p>
    <w:p w14:paraId="2349947C" w14:textId="77777777" w:rsidR="00E4438C" w:rsidRDefault="00E4438C" w:rsidP="00E4438C">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14:paraId="58D2265F" w14:textId="77777777" w:rsidR="00E4438C" w:rsidRPr="0046308D" w:rsidRDefault="00E4438C" w:rsidP="00E4438C">
      <w:pPr>
        <w:pStyle w:val="Heading4"/>
        <w:rPr>
          <w:i/>
        </w:rPr>
      </w:pPr>
      <w:r w:rsidRPr="0046308D">
        <w:rPr>
          <w:i/>
        </w:rPr>
        <w:t>Overview of the Legislative Instrument</w:t>
      </w:r>
    </w:p>
    <w:p w14:paraId="3FD7B88D" w14:textId="482B1386" w:rsidR="00774D3B" w:rsidRPr="00D51E3F" w:rsidRDefault="00774D3B" w:rsidP="00774D3B">
      <w:pPr>
        <w:autoSpaceDE w:val="0"/>
        <w:autoSpaceDN w:val="0"/>
        <w:adjustRightInd w:val="0"/>
        <w:spacing w:before="0" w:after="0"/>
        <w:rPr>
          <w:szCs w:val="24"/>
        </w:rPr>
      </w:pPr>
      <w:r w:rsidRPr="00D51E3F">
        <w:rPr>
          <w:szCs w:val="24"/>
        </w:rPr>
        <w:t xml:space="preserve">Section </w:t>
      </w:r>
      <w:proofErr w:type="spellStart"/>
      <w:r w:rsidRPr="00D51E3F">
        <w:rPr>
          <w:szCs w:val="24"/>
        </w:rPr>
        <w:t>23AD</w:t>
      </w:r>
      <w:proofErr w:type="spellEnd"/>
      <w:r w:rsidRPr="00D51E3F">
        <w:rPr>
          <w:szCs w:val="24"/>
        </w:rPr>
        <w:t xml:space="preserve"> of the </w:t>
      </w:r>
      <w:r w:rsidR="008C31B4">
        <w:rPr>
          <w:szCs w:val="24"/>
        </w:rPr>
        <w:t>Act</w:t>
      </w:r>
      <w:r w:rsidRPr="00D51E3F">
        <w:rPr>
          <w:szCs w:val="24"/>
        </w:rPr>
        <w:t xml:space="preserve"> provides an exemption from income tax of pay and</w:t>
      </w:r>
      <w:r>
        <w:rPr>
          <w:szCs w:val="24"/>
        </w:rPr>
        <w:t xml:space="preserve"> </w:t>
      </w:r>
      <w:r w:rsidRPr="00D51E3F">
        <w:rPr>
          <w:szCs w:val="24"/>
        </w:rPr>
        <w:t>allowances of Australian Defence Force (</w:t>
      </w:r>
      <w:proofErr w:type="spellStart"/>
      <w:r w:rsidRPr="00D51E3F">
        <w:rPr>
          <w:szCs w:val="24"/>
        </w:rPr>
        <w:t>ADF</w:t>
      </w:r>
      <w:proofErr w:type="spellEnd"/>
      <w:r w:rsidRPr="00D51E3F">
        <w:rPr>
          <w:szCs w:val="24"/>
        </w:rPr>
        <w:t>) members performing certain overseas duty.</w:t>
      </w:r>
      <w:r>
        <w:rPr>
          <w:szCs w:val="24"/>
        </w:rPr>
        <w:t xml:space="preserve"> </w:t>
      </w:r>
      <w:r w:rsidR="00EE67E2">
        <w:rPr>
          <w:szCs w:val="24"/>
        </w:rPr>
        <w:t>The exemption is available to</w:t>
      </w:r>
      <w:r w:rsidRPr="00D51E3F">
        <w:rPr>
          <w:szCs w:val="24"/>
        </w:rPr>
        <w:t xml:space="preserve"> members on ‘eligible duty’</w:t>
      </w:r>
      <w:r w:rsidR="00EE67E2">
        <w:rPr>
          <w:szCs w:val="24"/>
        </w:rPr>
        <w:t>, as declared by the regulations</w:t>
      </w:r>
      <w:r w:rsidRPr="00D51E3F">
        <w:rPr>
          <w:szCs w:val="24"/>
        </w:rPr>
        <w:t>.</w:t>
      </w:r>
      <w:r w:rsidR="00EE67E2" w:rsidRPr="00D51E3F" w:rsidDel="00EE67E2">
        <w:rPr>
          <w:szCs w:val="24"/>
        </w:rPr>
        <w:t xml:space="preserve"> </w:t>
      </w:r>
    </w:p>
    <w:p w14:paraId="51CFE1D2" w14:textId="77777777" w:rsidR="00774D3B" w:rsidRDefault="00774D3B" w:rsidP="00774D3B">
      <w:pPr>
        <w:autoSpaceDE w:val="0"/>
        <w:autoSpaceDN w:val="0"/>
        <w:adjustRightInd w:val="0"/>
        <w:spacing w:before="0" w:after="0"/>
        <w:rPr>
          <w:szCs w:val="24"/>
        </w:rPr>
      </w:pPr>
    </w:p>
    <w:p w14:paraId="2F172502" w14:textId="6660F69A" w:rsidR="00774D3B" w:rsidRDefault="00774D3B" w:rsidP="00774D3B">
      <w:pPr>
        <w:autoSpaceDE w:val="0"/>
        <w:autoSpaceDN w:val="0"/>
        <w:adjustRightInd w:val="0"/>
        <w:spacing w:before="0" w:after="0"/>
        <w:rPr>
          <w:szCs w:val="24"/>
        </w:rPr>
      </w:pPr>
      <w:r w:rsidRPr="00D51E3F">
        <w:rPr>
          <w:szCs w:val="24"/>
        </w:rPr>
        <w:t xml:space="preserve">Regulation </w:t>
      </w:r>
      <w:proofErr w:type="spellStart"/>
      <w:r w:rsidRPr="00D51E3F">
        <w:rPr>
          <w:szCs w:val="24"/>
        </w:rPr>
        <w:t>7A</w:t>
      </w:r>
      <w:proofErr w:type="spellEnd"/>
      <w:r w:rsidRPr="00D51E3F">
        <w:rPr>
          <w:szCs w:val="24"/>
        </w:rPr>
        <w:t xml:space="preserve"> of the </w:t>
      </w:r>
      <w:r w:rsidR="00EE67E2">
        <w:rPr>
          <w:szCs w:val="24"/>
        </w:rPr>
        <w:t>Principal Regulations</w:t>
      </w:r>
      <w:r w:rsidRPr="00D51E3F">
        <w:rPr>
          <w:szCs w:val="24"/>
        </w:rPr>
        <w:t xml:space="preserve"> specifies duty with </w:t>
      </w:r>
      <w:r w:rsidR="00EE67E2">
        <w:rPr>
          <w:szCs w:val="24"/>
        </w:rPr>
        <w:t>certain</w:t>
      </w:r>
      <w:r w:rsidR="00EE67E2" w:rsidRPr="00D51E3F">
        <w:rPr>
          <w:szCs w:val="24"/>
        </w:rPr>
        <w:t xml:space="preserve"> </w:t>
      </w:r>
      <w:r w:rsidRPr="00D51E3F">
        <w:rPr>
          <w:szCs w:val="24"/>
        </w:rPr>
        <w:t xml:space="preserve">organisations in </w:t>
      </w:r>
      <w:r w:rsidR="00EE67E2">
        <w:rPr>
          <w:szCs w:val="24"/>
        </w:rPr>
        <w:t xml:space="preserve">certain </w:t>
      </w:r>
      <w:r w:rsidRPr="00D51E3F">
        <w:rPr>
          <w:szCs w:val="24"/>
        </w:rPr>
        <w:t>areas outside Australia and declares that duty to be ‘eligible duty’ for the purposes of</w:t>
      </w:r>
      <w:r>
        <w:rPr>
          <w:szCs w:val="24"/>
        </w:rPr>
        <w:t xml:space="preserve"> </w:t>
      </w:r>
      <w:r w:rsidRPr="00D51E3F">
        <w:rPr>
          <w:szCs w:val="24"/>
        </w:rPr>
        <w:t xml:space="preserve">section </w:t>
      </w:r>
      <w:proofErr w:type="spellStart"/>
      <w:r w:rsidRPr="00D51E3F">
        <w:rPr>
          <w:szCs w:val="24"/>
        </w:rPr>
        <w:t>23AD</w:t>
      </w:r>
      <w:proofErr w:type="spellEnd"/>
      <w:r w:rsidRPr="00D51E3F">
        <w:rPr>
          <w:szCs w:val="24"/>
        </w:rPr>
        <w:t xml:space="preserve"> of the Act.</w:t>
      </w:r>
    </w:p>
    <w:p w14:paraId="43E5EA79" w14:textId="77777777" w:rsidR="001B5E47" w:rsidRDefault="001B5E47" w:rsidP="00774D3B">
      <w:pPr>
        <w:autoSpaceDE w:val="0"/>
        <w:autoSpaceDN w:val="0"/>
        <w:adjustRightInd w:val="0"/>
        <w:spacing w:before="0" w:after="0"/>
        <w:rPr>
          <w:szCs w:val="24"/>
        </w:rPr>
      </w:pPr>
    </w:p>
    <w:p w14:paraId="7ECFD2D1" w14:textId="20B370CF" w:rsidR="001B5E47" w:rsidRDefault="001B5E47" w:rsidP="00774D3B">
      <w:pPr>
        <w:autoSpaceDE w:val="0"/>
        <w:autoSpaceDN w:val="0"/>
        <w:adjustRightInd w:val="0"/>
        <w:spacing w:before="0" w:after="0"/>
        <w:rPr>
          <w:szCs w:val="24"/>
        </w:rPr>
      </w:pPr>
      <w:r w:rsidRPr="001B5E47">
        <w:rPr>
          <w:szCs w:val="24"/>
        </w:rPr>
        <w:t>Schedule 1 to th</w:t>
      </w:r>
      <w:r w:rsidR="00E60D74">
        <w:rPr>
          <w:szCs w:val="24"/>
        </w:rPr>
        <w:t>is</w:t>
      </w:r>
      <w:r w:rsidRPr="001B5E47">
        <w:rPr>
          <w:szCs w:val="24"/>
        </w:rPr>
        <w:t xml:space="preserve"> </w:t>
      </w:r>
      <w:r w:rsidR="00E60D74">
        <w:rPr>
          <w:szCs w:val="24"/>
        </w:rPr>
        <w:t xml:space="preserve">Legislative Instrument </w:t>
      </w:r>
      <w:r w:rsidRPr="001B5E47">
        <w:rPr>
          <w:szCs w:val="24"/>
        </w:rPr>
        <w:t xml:space="preserve">amends regulation </w:t>
      </w:r>
      <w:proofErr w:type="spellStart"/>
      <w:r w:rsidRPr="001B5E47">
        <w:rPr>
          <w:szCs w:val="24"/>
        </w:rPr>
        <w:t>7A</w:t>
      </w:r>
      <w:proofErr w:type="spellEnd"/>
      <w:r w:rsidRPr="001B5E47">
        <w:rPr>
          <w:szCs w:val="24"/>
        </w:rPr>
        <w:t xml:space="preserve"> of the Principal Regulations to update for</w:t>
      </w:r>
      <w:r w:rsidR="00E60D74">
        <w:rPr>
          <w:szCs w:val="24"/>
        </w:rPr>
        <w:t xml:space="preserve"> the following</w:t>
      </w:r>
      <w:r w:rsidRPr="001B5E47">
        <w:rPr>
          <w:szCs w:val="24"/>
        </w:rPr>
        <w:t xml:space="preserve"> new or continuing operations</w:t>
      </w:r>
      <w:r w:rsidR="00E60D74">
        <w:rPr>
          <w:szCs w:val="24"/>
        </w:rPr>
        <w:t>:</w:t>
      </w:r>
      <w:r w:rsidR="00E60D74" w:rsidRPr="00E60D74">
        <w:t xml:space="preserve"> </w:t>
      </w:r>
      <w:r w:rsidR="00FA5B16">
        <w:t xml:space="preserve">Operations </w:t>
      </w:r>
      <w:r w:rsidR="00E60D74" w:rsidRPr="00E60D74">
        <w:rPr>
          <w:szCs w:val="24"/>
        </w:rPr>
        <w:t>ACCORDION, AUGURY, HIGHROAD, MANITOU, OKRA and PALATE II</w:t>
      </w:r>
      <w:r w:rsidRPr="001B5E47">
        <w:rPr>
          <w:szCs w:val="24"/>
        </w:rPr>
        <w:t xml:space="preserve"> and specifies the</w:t>
      </w:r>
      <w:r w:rsidR="009417F1">
        <w:rPr>
          <w:szCs w:val="24"/>
        </w:rPr>
        <w:t>se</w:t>
      </w:r>
      <w:r w:rsidRPr="001B5E47">
        <w:rPr>
          <w:szCs w:val="24"/>
        </w:rPr>
        <w:t xml:space="preserve"> operations as eligible duty for the purposes of section </w:t>
      </w:r>
      <w:proofErr w:type="spellStart"/>
      <w:r w:rsidRPr="001B5E47">
        <w:rPr>
          <w:szCs w:val="24"/>
        </w:rPr>
        <w:t>23AD</w:t>
      </w:r>
      <w:proofErr w:type="spellEnd"/>
      <w:r w:rsidRPr="001B5E47">
        <w:rPr>
          <w:szCs w:val="24"/>
        </w:rPr>
        <w:t xml:space="preserve"> of the Act. The Regulation also improves readability by redrafting regulation </w:t>
      </w:r>
      <w:proofErr w:type="spellStart"/>
      <w:r w:rsidRPr="001B5E47">
        <w:rPr>
          <w:szCs w:val="24"/>
        </w:rPr>
        <w:t>7A</w:t>
      </w:r>
      <w:proofErr w:type="spellEnd"/>
      <w:r w:rsidRPr="001B5E47">
        <w:rPr>
          <w:szCs w:val="24"/>
        </w:rPr>
        <w:t xml:space="preserve"> as a table.</w:t>
      </w:r>
    </w:p>
    <w:p w14:paraId="271B4E1B" w14:textId="5B76590E" w:rsidR="00774D3B" w:rsidRDefault="00774D3B" w:rsidP="0046308D">
      <w:pPr>
        <w:autoSpaceDE w:val="0"/>
        <w:autoSpaceDN w:val="0"/>
        <w:adjustRightInd w:val="0"/>
        <w:spacing w:before="0" w:after="0"/>
        <w:rPr>
          <w:b/>
          <w:i/>
        </w:rPr>
      </w:pPr>
    </w:p>
    <w:p w14:paraId="0F3A8CD7" w14:textId="77777777" w:rsidR="0046308D" w:rsidRPr="0046308D" w:rsidRDefault="0046308D" w:rsidP="0046308D">
      <w:pPr>
        <w:autoSpaceDE w:val="0"/>
        <w:autoSpaceDN w:val="0"/>
        <w:adjustRightInd w:val="0"/>
        <w:spacing w:before="0" w:after="0"/>
        <w:rPr>
          <w:b/>
          <w:i/>
        </w:rPr>
      </w:pPr>
      <w:r w:rsidRPr="0046308D">
        <w:rPr>
          <w:b/>
          <w:i/>
        </w:rPr>
        <w:t>Human rights implications</w:t>
      </w:r>
    </w:p>
    <w:p w14:paraId="5439BAFE" w14:textId="77777777" w:rsidR="0046308D" w:rsidRDefault="0046308D" w:rsidP="0046308D">
      <w:pPr>
        <w:autoSpaceDE w:val="0"/>
        <w:autoSpaceDN w:val="0"/>
        <w:adjustRightInd w:val="0"/>
        <w:spacing w:before="0" w:after="0"/>
      </w:pPr>
    </w:p>
    <w:p w14:paraId="45C78687" w14:textId="77777777" w:rsidR="0046308D" w:rsidRDefault="0046308D" w:rsidP="0046308D">
      <w:pPr>
        <w:autoSpaceDE w:val="0"/>
        <w:autoSpaceDN w:val="0"/>
        <w:adjustRightInd w:val="0"/>
        <w:spacing w:before="0" w:after="0"/>
      </w:pPr>
      <w:r>
        <w:t>This Legislative Instrument does not engage any of the applicable rights or freedoms.</w:t>
      </w:r>
    </w:p>
    <w:p w14:paraId="1280C43C" w14:textId="77777777" w:rsidR="0046308D" w:rsidRDefault="0046308D" w:rsidP="0046308D">
      <w:pPr>
        <w:autoSpaceDE w:val="0"/>
        <w:autoSpaceDN w:val="0"/>
        <w:adjustRightInd w:val="0"/>
        <w:spacing w:before="0" w:after="0"/>
      </w:pPr>
    </w:p>
    <w:p w14:paraId="70F4E771" w14:textId="77777777" w:rsidR="0046308D" w:rsidRPr="0046308D" w:rsidRDefault="0046308D" w:rsidP="0046308D">
      <w:pPr>
        <w:autoSpaceDE w:val="0"/>
        <w:autoSpaceDN w:val="0"/>
        <w:adjustRightInd w:val="0"/>
        <w:spacing w:before="0" w:after="0"/>
        <w:rPr>
          <w:b/>
          <w:i/>
        </w:rPr>
      </w:pPr>
      <w:r w:rsidRPr="0046308D">
        <w:rPr>
          <w:b/>
          <w:i/>
        </w:rPr>
        <w:t>Conclusion</w:t>
      </w:r>
    </w:p>
    <w:p w14:paraId="7E5FDC59" w14:textId="77777777" w:rsidR="0046308D" w:rsidRDefault="0046308D" w:rsidP="0046308D">
      <w:pPr>
        <w:autoSpaceDE w:val="0"/>
        <w:autoSpaceDN w:val="0"/>
        <w:adjustRightInd w:val="0"/>
        <w:spacing w:before="0" w:after="0"/>
      </w:pPr>
    </w:p>
    <w:p w14:paraId="3E953DBD" w14:textId="77777777" w:rsidR="0046308D" w:rsidRDefault="0046308D" w:rsidP="0046308D">
      <w:pPr>
        <w:autoSpaceDE w:val="0"/>
        <w:autoSpaceDN w:val="0"/>
        <w:adjustRightInd w:val="0"/>
        <w:spacing w:before="0" w:after="0"/>
      </w:pPr>
      <w:r>
        <w:t>This Legislative Instrument is compatible with human rights as it does not raise any human rights issues.</w:t>
      </w:r>
    </w:p>
    <w:p w14:paraId="676FEEA4" w14:textId="77777777" w:rsidR="0046308D" w:rsidRDefault="0046308D" w:rsidP="00E4438C">
      <w:bookmarkStart w:id="0" w:name="_GoBack"/>
      <w:bookmarkEnd w:id="0"/>
    </w:p>
    <w:sectPr w:rsidR="0046308D"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F0A32" w14:textId="77777777" w:rsidR="00410658" w:rsidRDefault="00410658" w:rsidP="006870D6">
      <w:pPr>
        <w:spacing w:before="0" w:after="0"/>
      </w:pPr>
      <w:r>
        <w:separator/>
      </w:r>
    </w:p>
  </w:endnote>
  <w:endnote w:type="continuationSeparator" w:id="0">
    <w:p w14:paraId="5D08A1BE" w14:textId="77777777" w:rsidR="00410658" w:rsidRDefault="00410658" w:rsidP="006870D6">
      <w:pPr>
        <w:spacing w:before="0" w:after="0"/>
      </w:pPr>
      <w:r>
        <w:continuationSeparator/>
      </w:r>
    </w:p>
  </w:endnote>
  <w:endnote w:type="continuationNotice" w:id="1">
    <w:p w14:paraId="413F2CBC" w14:textId="77777777" w:rsidR="004C3990" w:rsidRDefault="004C399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351767"/>
      <w:docPartObj>
        <w:docPartGallery w:val="Page Numbers (Bottom of Page)"/>
        <w:docPartUnique/>
      </w:docPartObj>
    </w:sdtPr>
    <w:sdtEndPr>
      <w:rPr>
        <w:noProof/>
      </w:rPr>
    </w:sdtEndPr>
    <w:sdtContent>
      <w:p w14:paraId="1853E277" w14:textId="267B8505" w:rsidR="00410658" w:rsidRDefault="00410658">
        <w:pPr>
          <w:pStyle w:val="Footer"/>
          <w:jc w:val="right"/>
        </w:pPr>
        <w:r>
          <w:fldChar w:fldCharType="begin"/>
        </w:r>
        <w:r>
          <w:instrText xml:space="preserve"> PAGE   \* MERGEFORMAT </w:instrText>
        </w:r>
        <w:r>
          <w:fldChar w:fldCharType="separate"/>
        </w:r>
        <w:r w:rsidR="00B00F99">
          <w:rPr>
            <w:noProof/>
          </w:rPr>
          <w:t>6</w:t>
        </w:r>
        <w:r>
          <w:rPr>
            <w:noProof/>
          </w:rPr>
          <w:fldChar w:fldCharType="end"/>
        </w:r>
      </w:p>
    </w:sdtContent>
  </w:sdt>
  <w:p w14:paraId="18CC900E" w14:textId="77777777" w:rsidR="00410658" w:rsidRDefault="004106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CF35A" w14:textId="77777777" w:rsidR="00410658" w:rsidRDefault="00410658" w:rsidP="006870D6">
      <w:pPr>
        <w:spacing w:before="0" w:after="0"/>
      </w:pPr>
      <w:r>
        <w:separator/>
      </w:r>
    </w:p>
  </w:footnote>
  <w:footnote w:type="continuationSeparator" w:id="0">
    <w:p w14:paraId="76395F86" w14:textId="77777777" w:rsidR="00410658" w:rsidRDefault="00410658" w:rsidP="006870D6">
      <w:pPr>
        <w:spacing w:before="0" w:after="0"/>
      </w:pPr>
      <w:r>
        <w:continuationSeparator/>
      </w:r>
    </w:p>
  </w:footnote>
  <w:footnote w:type="continuationNotice" w:id="1">
    <w:p w14:paraId="7E8028B7" w14:textId="77777777" w:rsidR="004C3990" w:rsidRDefault="004C3990">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67A43C0B"/>
    <w:multiLevelType w:val="multilevel"/>
    <w:tmpl w:val="26CCBB6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290"/>
    <w:rsid w:val="00016EA2"/>
    <w:rsid w:val="00095211"/>
    <w:rsid w:val="000C10DF"/>
    <w:rsid w:val="00113B45"/>
    <w:rsid w:val="00133574"/>
    <w:rsid w:val="00135AF5"/>
    <w:rsid w:val="001B47A2"/>
    <w:rsid w:val="001B5E47"/>
    <w:rsid w:val="001E6A74"/>
    <w:rsid w:val="001F41D0"/>
    <w:rsid w:val="002112BF"/>
    <w:rsid w:val="00220F16"/>
    <w:rsid w:val="00254C5B"/>
    <w:rsid w:val="002B264A"/>
    <w:rsid w:val="002B690A"/>
    <w:rsid w:val="002D1E16"/>
    <w:rsid w:val="00300149"/>
    <w:rsid w:val="003342CD"/>
    <w:rsid w:val="00335042"/>
    <w:rsid w:val="00392BBA"/>
    <w:rsid w:val="003931D5"/>
    <w:rsid w:val="003A5144"/>
    <w:rsid w:val="003B28AB"/>
    <w:rsid w:val="00410658"/>
    <w:rsid w:val="00437290"/>
    <w:rsid w:val="0046308D"/>
    <w:rsid w:val="004B4C20"/>
    <w:rsid w:val="004C3990"/>
    <w:rsid w:val="004C3F1D"/>
    <w:rsid w:val="004C769F"/>
    <w:rsid w:val="004D6144"/>
    <w:rsid w:val="004E39E1"/>
    <w:rsid w:val="00503E44"/>
    <w:rsid w:val="00515283"/>
    <w:rsid w:val="00533A32"/>
    <w:rsid w:val="0055675D"/>
    <w:rsid w:val="00566047"/>
    <w:rsid w:val="005833BE"/>
    <w:rsid w:val="005D5AC7"/>
    <w:rsid w:val="005D7D5A"/>
    <w:rsid w:val="0060130D"/>
    <w:rsid w:val="00637792"/>
    <w:rsid w:val="0064129F"/>
    <w:rsid w:val="006870D6"/>
    <w:rsid w:val="00774D3B"/>
    <w:rsid w:val="00785734"/>
    <w:rsid w:val="007E018D"/>
    <w:rsid w:val="008032A2"/>
    <w:rsid w:val="00807E7D"/>
    <w:rsid w:val="00831675"/>
    <w:rsid w:val="0088467C"/>
    <w:rsid w:val="008B4980"/>
    <w:rsid w:val="008C31B4"/>
    <w:rsid w:val="008D16F7"/>
    <w:rsid w:val="00910604"/>
    <w:rsid w:val="009417F1"/>
    <w:rsid w:val="009B19DA"/>
    <w:rsid w:val="009E044E"/>
    <w:rsid w:val="009E2F86"/>
    <w:rsid w:val="00A12209"/>
    <w:rsid w:val="00A36DF3"/>
    <w:rsid w:val="00A4755D"/>
    <w:rsid w:val="00A532DD"/>
    <w:rsid w:val="00A75620"/>
    <w:rsid w:val="00A80BCF"/>
    <w:rsid w:val="00AC6F3F"/>
    <w:rsid w:val="00B00F99"/>
    <w:rsid w:val="00B01695"/>
    <w:rsid w:val="00B07B0C"/>
    <w:rsid w:val="00B34422"/>
    <w:rsid w:val="00BD61A2"/>
    <w:rsid w:val="00BE484D"/>
    <w:rsid w:val="00C30801"/>
    <w:rsid w:val="00C37E05"/>
    <w:rsid w:val="00C5288D"/>
    <w:rsid w:val="00C55D29"/>
    <w:rsid w:val="00CC5A80"/>
    <w:rsid w:val="00D03925"/>
    <w:rsid w:val="00D23888"/>
    <w:rsid w:val="00D34626"/>
    <w:rsid w:val="00D4257A"/>
    <w:rsid w:val="00D431DE"/>
    <w:rsid w:val="00D51E3F"/>
    <w:rsid w:val="00D92082"/>
    <w:rsid w:val="00DC0CDE"/>
    <w:rsid w:val="00E0624D"/>
    <w:rsid w:val="00E4438C"/>
    <w:rsid w:val="00E457F3"/>
    <w:rsid w:val="00E60D74"/>
    <w:rsid w:val="00E65469"/>
    <w:rsid w:val="00EB7E71"/>
    <w:rsid w:val="00EC5926"/>
    <w:rsid w:val="00EE67E2"/>
    <w:rsid w:val="00F04BBE"/>
    <w:rsid w:val="00F068AF"/>
    <w:rsid w:val="00F109D4"/>
    <w:rsid w:val="00F14B86"/>
    <w:rsid w:val="00FA5B16"/>
    <w:rsid w:val="00FC79B9"/>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B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table" w:styleId="TableGrid">
    <w:name w:val="Table Grid"/>
    <w:basedOn w:val="TableNormal"/>
    <w:uiPriority w:val="59"/>
    <w:rsid w:val="00F14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C5926"/>
    <w:rPr>
      <w:sz w:val="16"/>
      <w:szCs w:val="16"/>
    </w:rPr>
  </w:style>
  <w:style w:type="paragraph" w:styleId="CommentText">
    <w:name w:val="annotation text"/>
    <w:basedOn w:val="Normal"/>
    <w:link w:val="CommentTextChar"/>
    <w:uiPriority w:val="99"/>
    <w:semiHidden/>
    <w:unhideWhenUsed/>
    <w:rsid w:val="00EC5926"/>
    <w:rPr>
      <w:sz w:val="20"/>
    </w:rPr>
  </w:style>
  <w:style w:type="character" w:customStyle="1" w:styleId="CommentTextChar">
    <w:name w:val="Comment Text Char"/>
    <w:basedOn w:val="DefaultParagraphFont"/>
    <w:link w:val="CommentText"/>
    <w:uiPriority w:val="99"/>
    <w:semiHidden/>
    <w:rsid w:val="00EC5926"/>
  </w:style>
  <w:style w:type="paragraph" w:styleId="CommentSubject">
    <w:name w:val="annotation subject"/>
    <w:basedOn w:val="CommentText"/>
    <w:next w:val="CommentText"/>
    <w:link w:val="CommentSubjectChar"/>
    <w:uiPriority w:val="99"/>
    <w:semiHidden/>
    <w:unhideWhenUsed/>
    <w:rsid w:val="00EC5926"/>
    <w:rPr>
      <w:b/>
      <w:bCs/>
    </w:rPr>
  </w:style>
  <w:style w:type="character" w:customStyle="1" w:styleId="CommentSubjectChar">
    <w:name w:val="Comment Subject Char"/>
    <w:basedOn w:val="CommentTextChar"/>
    <w:link w:val="CommentSubject"/>
    <w:uiPriority w:val="99"/>
    <w:semiHidden/>
    <w:rsid w:val="00EC5926"/>
    <w:rPr>
      <w:b/>
      <w:bCs/>
    </w:rPr>
  </w:style>
  <w:style w:type="paragraph" w:styleId="Header">
    <w:name w:val="header"/>
    <w:basedOn w:val="Normal"/>
    <w:link w:val="HeaderChar"/>
    <w:uiPriority w:val="99"/>
    <w:unhideWhenUsed/>
    <w:rsid w:val="006870D6"/>
    <w:pPr>
      <w:tabs>
        <w:tab w:val="center" w:pos="4513"/>
        <w:tab w:val="right" w:pos="9026"/>
      </w:tabs>
      <w:spacing w:before="0" w:after="0"/>
    </w:pPr>
  </w:style>
  <w:style w:type="character" w:customStyle="1" w:styleId="HeaderChar">
    <w:name w:val="Header Char"/>
    <w:basedOn w:val="DefaultParagraphFont"/>
    <w:link w:val="Header"/>
    <w:uiPriority w:val="99"/>
    <w:rsid w:val="006870D6"/>
    <w:rPr>
      <w:sz w:val="24"/>
    </w:rPr>
  </w:style>
  <w:style w:type="paragraph" w:styleId="Footer">
    <w:name w:val="footer"/>
    <w:basedOn w:val="Normal"/>
    <w:link w:val="FooterChar"/>
    <w:uiPriority w:val="99"/>
    <w:unhideWhenUsed/>
    <w:rsid w:val="006870D6"/>
    <w:pPr>
      <w:tabs>
        <w:tab w:val="center" w:pos="4513"/>
        <w:tab w:val="right" w:pos="9026"/>
      </w:tabs>
      <w:spacing w:before="0" w:after="0"/>
    </w:pPr>
  </w:style>
  <w:style w:type="character" w:customStyle="1" w:styleId="FooterChar">
    <w:name w:val="Footer Char"/>
    <w:basedOn w:val="DefaultParagraphFont"/>
    <w:link w:val="Footer"/>
    <w:uiPriority w:val="99"/>
    <w:rsid w:val="006870D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table" w:styleId="TableGrid">
    <w:name w:val="Table Grid"/>
    <w:basedOn w:val="TableNormal"/>
    <w:uiPriority w:val="59"/>
    <w:rsid w:val="00F14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C5926"/>
    <w:rPr>
      <w:sz w:val="16"/>
      <w:szCs w:val="16"/>
    </w:rPr>
  </w:style>
  <w:style w:type="paragraph" w:styleId="CommentText">
    <w:name w:val="annotation text"/>
    <w:basedOn w:val="Normal"/>
    <w:link w:val="CommentTextChar"/>
    <w:uiPriority w:val="99"/>
    <w:semiHidden/>
    <w:unhideWhenUsed/>
    <w:rsid w:val="00EC5926"/>
    <w:rPr>
      <w:sz w:val="20"/>
    </w:rPr>
  </w:style>
  <w:style w:type="character" w:customStyle="1" w:styleId="CommentTextChar">
    <w:name w:val="Comment Text Char"/>
    <w:basedOn w:val="DefaultParagraphFont"/>
    <w:link w:val="CommentText"/>
    <w:uiPriority w:val="99"/>
    <w:semiHidden/>
    <w:rsid w:val="00EC5926"/>
  </w:style>
  <w:style w:type="paragraph" w:styleId="CommentSubject">
    <w:name w:val="annotation subject"/>
    <w:basedOn w:val="CommentText"/>
    <w:next w:val="CommentText"/>
    <w:link w:val="CommentSubjectChar"/>
    <w:uiPriority w:val="99"/>
    <w:semiHidden/>
    <w:unhideWhenUsed/>
    <w:rsid w:val="00EC5926"/>
    <w:rPr>
      <w:b/>
      <w:bCs/>
    </w:rPr>
  </w:style>
  <w:style w:type="character" w:customStyle="1" w:styleId="CommentSubjectChar">
    <w:name w:val="Comment Subject Char"/>
    <w:basedOn w:val="CommentTextChar"/>
    <w:link w:val="CommentSubject"/>
    <w:uiPriority w:val="99"/>
    <w:semiHidden/>
    <w:rsid w:val="00EC5926"/>
    <w:rPr>
      <w:b/>
      <w:bCs/>
    </w:rPr>
  </w:style>
  <w:style w:type="paragraph" w:styleId="Header">
    <w:name w:val="header"/>
    <w:basedOn w:val="Normal"/>
    <w:link w:val="HeaderChar"/>
    <w:uiPriority w:val="99"/>
    <w:unhideWhenUsed/>
    <w:rsid w:val="006870D6"/>
    <w:pPr>
      <w:tabs>
        <w:tab w:val="center" w:pos="4513"/>
        <w:tab w:val="right" w:pos="9026"/>
      </w:tabs>
      <w:spacing w:before="0" w:after="0"/>
    </w:pPr>
  </w:style>
  <w:style w:type="character" w:customStyle="1" w:styleId="HeaderChar">
    <w:name w:val="Header Char"/>
    <w:basedOn w:val="DefaultParagraphFont"/>
    <w:link w:val="Header"/>
    <w:uiPriority w:val="99"/>
    <w:rsid w:val="006870D6"/>
    <w:rPr>
      <w:sz w:val="24"/>
    </w:rPr>
  </w:style>
  <w:style w:type="paragraph" w:styleId="Footer">
    <w:name w:val="footer"/>
    <w:basedOn w:val="Normal"/>
    <w:link w:val="FooterChar"/>
    <w:uiPriority w:val="99"/>
    <w:unhideWhenUsed/>
    <w:rsid w:val="006870D6"/>
    <w:pPr>
      <w:tabs>
        <w:tab w:val="center" w:pos="4513"/>
        <w:tab w:val="right" w:pos="9026"/>
      </w:tabs>
      <w:spacing w:before="0" w:after="0"/>
    </w:pPr>
  </w:style>
  <w:style w:type="character" w:customStyle="1" w:styleId="FooterChar">
    <w:name w:val="Footer Char"/>
    <w:basedOn w:val="DefaultParagraphFont"/>
    <w:link w:val="Footer"/>
    <w:uiPriority w:val="99"/>
    <w:rsid w:val="006870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17" ma:contentTypeDescription=" " ma:contentTypeScope="" ma:versionID="8c2c2b48f8cdf5a516cff142e9fb3c11">
  <xsd:schema xmlns:xsd="http://www.w3.org/2001/XMLSchema" xmlns:xs="http://www.w3.org/2001/XMLSchema" xmlns:p="http://schemas.microsoft.com/office/2006/metadata/properties" xmlns:ns1="http://schemas.microsoft.com/sharepoint/v3" xmlns:ns2="9f7bc583-7cbe-45b9-a2bd-8bbb6543b37e" targetNamespace="http://schemas.microsoft.com/office/2006/metadata/properties" ma:root="true" ma:fieldsID="dae03b1008b7399435e4a24fc1b987ab" ns1:_="" ns2:_="">
    <xsd:import namespace="http://schemas.microsoft.com/sharepoint/v3"/>
    <xsd:import namespace="9f7bc583-7cbe-45b9-a2bd-8bbb6543b37e"/>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9f7bc583-7cbe-45b9-a2bd-8bbb6543b37e">
      <Value>11</Value>
    </TaxCatchAll>
    <_dlc_DocId xmlns="9f7bc583-7cbe-45b9-a2bd-8bbb6543b37e">2014RG-86-14246</_dlc_DocId>
    <_dlc_DocIdUrl xmlns="9f7bc583-7cbe-45b9-a2bd-8bbb6543b37e">
      <Url>http://tweb13/sites/rg/ldp/lmu/_layouts/15/DocIdRedir.aspx?ID=2014RG-86-14246</Url>
      <Description>2014RG-86-14246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F6274-3E4C-498C-BC4C-2C50460F2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23656-36E8-40B1-8641-C437B3FC7CD4}">
  <ds:schemaRefs>
    <ds:schemaRef ds:uri="http://schemas.microsoft.com/office/2006/metadata/properties"/>
    <ds:schemaRef ds:uri="http://schemas.microsoft.com/office/infopath/2007/PartnerControls"/>
    <ds:schemaRef ds:uri="9f7bc583-7cbe-45b9-a2bd-8bbb6543b37e"/>
  </ds:schemaRefs>
</ds:datastoreItem>
</file>

<file path=customXml/itemProps3.xml><?xml version="1.0" encoding="utf-8"?>
<ds:datastoreItem xmlns:ds="http://schemas.openxmlformats.org/officeDocument/2006/customXml" ds:itemID="{1158F268-44B4-4A3C-906D-32547E07B550}">
  <ds:schemaRefs>
    <ds:schemaRef ds:uri="http://schemas.microsoft.com/sharepoint/v3/contenttype/forms"/>
  </ds:schemaRefs>
</ds:datastoreItem>
</file>

<file path=customXml/itemProps4.xml><?xml version="1.0" encoding="utf-8"?>
<ds:datastoreItem xmlns:ds="http://schemas.openxmlformats.org/officeDocument/2006/customXml" ds:itemID="{A7B2EBB2-6C92-4891-A4BE-FB9064C41311}">
  <ds:schemaRefs>
    <ds:schemaRef ds:uri="http://schemas.microsoft.com/sharepoint/events"/>
  </ds:schemaRefs>
</ds:datastoreItem>
</file>

<file path=customXml/itemProps5.xml><?xml version="1.0" encoding="utf-8"?>
<ds:datastoreItem xmlns:ds="http://schemas.openxmlformats.org/officeDocument/2006/customXml" ds:itemID="{C46F94DB-FE8C-41F8-816F-855269D7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ExCo-Explanatory Statement.dotm</Template>
  <TotalTime>1</TotalTime>
  <Pages>6</Pages>
  <Words>1226</Words>
  <Characters>6552</Characters>
  <Application>Microsoft Office Word</Application>
  <DocSecurity>0</DocSecurity>
  <Lines>728</Lines>
  <Paragraphs>388</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Irwin, Zoe</dc:creator>
  <cp:lastModifiedBy>Gibson, Vikki</cp:lastModifiedBy>
  <cp:revision>3</cp:revision>
  <cp:lastPrinted>2011-09-27T02:53:00Z</cp:lastPrinted>
  <dcterms:created xsi:type="dcterms:W3CDTF">2015-05-25T04:26:00Z</dcterms:created>
  <dcterms:modified xsi:type="dcterms:W3CDTF">2015-05-25T04:27:00Z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-884066514</vt:i4>
  </property>
  <property fmtid="{D5CDD505-2E9C-101B-9397-08002B2CF9AE}" pid="3" name="_NewReviewCycle">
    <vt:lpwstr/>
  </property>
  <property fmtid="{D5CDD505-2E9C-101B-9397-08002B2CF9AE}" pid="4" name="_EmailSubject">
    <vt:lpwstr>Defence regulations - final approved EXCO documents</vt:lpwstr>
  </property>
  <property fmtid="{D5CDD505-2E9C-101B-9397-08002B2CF9AE}" pid="5" name="_AuthorEmail">
    <vt:lpwstr>Laurel.Beresford@treasury.gov.au</vt:lpwstr>
  </property>
  <property fmtid="{D5CDD505-2E9C-101B-9397-08002B2CF9AE}" pid="6" name="_AuthorEmailDisplayName">
    <vt:lpwstr>Beresford, Laurel</vt:lpwstr>
  </property>
  <property fmtid="{D5CDD505-2E9C-101B-9397-08002B2CF9AE}" pid="7" name="ContentTypeId">
    <vt:lpwstr>0x01010036BB8DE7EC542E42A8B2E98CC20CB69700A0A840AFAB52624689FA9AA81E9EF0D1</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9303257e-d40b-47f7-9435-b0927da05db5</vt:lpwstr>
  </property>
  <property fmtid="{D5CDD505-2E9C-101B-9397-08002B2CF9AE}" pid="10" name="_PreviousAdHocReviewCycleID">
    <vt:i4>-2119910230</vt:i4>
  </property>
  <property fmtid="{D5CDD505-2E9C-101B-9397-08002B2CF9AE}" pid="11" name="_ReviewingToolsShownOnce">
    <vt:lpwstr/>
  </property>
</Properties>
</file>