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D5" w:rsidRDefault="00663DD5" w:rsidP="00B5763C">
      <w:pPr>
        <w:keepNext/>
        <w:tabs>
          <w:tab w:val="left" w:pos="567"/>
        </w:tabs>
        <w:spacing w:after="120" w:line="36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AU"/>
        </w:rPr>
        <w:t>EXPLANATORY STATEMENT</w:t>
      </w:r>
    </w:p>
    <w:p w:rsidR="00663DD5" w:rsidRDefault="00663DD5" w:rsidP="00B5763C">
      <w:pPr>
        <w:keepNext/>
        <w:spacing w:after="0" w:line="240" w:lineRule="auto"/>
        <w:ind w:right="113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Migration Regulations 1994</w:t>
      </w:r>
    </w:p>
    <w:p w:rsidR="00663DD5" w:rsidRDefault="00663DD5" w:rsidP="00B5763C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663DD5" w:rsidRDefault="00663DD5" w:rsidP="00B5763C">
      <w:pPr>
        <w:spacing w:after="0" w:line="240" w:lineRule="auto"/>
        <w:ind w:left="-240" w:right="1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CLASS OF PERSONS</w:t>
      </w:r>
      <w:r w:rsidR="003B323E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(EMERGENCY SERVICES)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</w:t>
      </w:r>
      <w:r w:rsidRPr="00663DD5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2015</w:t>
      </w:r>
    </w:p>
    <w:p w:rsidR="00663DD5" w:rsidRDefault="00663DD5" w:rsidP="00B5763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663DD5" w:rsidRDefault="00663DD5" w:rsidP="00B5763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(Sub-subparagraph 1231(2)(a)(iv)(A))</w:t>
      </w:r>
    </w:p>
    <w:p w:rsidR="00663DD5" w:rsidRDefault="00663DD5" w:rsidP="00B5763C">
      <w:pPr>
        <w:tabs>
          <w:tab w:val="left" w:pos="567"/>
        </w:tabs>
        <w:spacing w:after="120" w:line="360" w:lineRule="auto"/>
        <w:ind w:right="113" w:hanging="22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663DD5" w:rsidRDefault="00663DD5" w:rsidP="00B5763C">
      <w:pPr>
        <w:numPr>
          <w:ilvl w:val="0"/>
          <w:numId w:val="1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This Instrument is made under sub-subparagraph 1231(2)(a)(iv)(A) of Schedule 1 to the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Migration Regulations 1994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(‘the Regulations’).</w:t>
      </w:r>
    </w:p>
    <w:p w:rsidR="00663DD5" w:rsidRDefault="00663DD5" w:rsidP="00B5763C">
      <w:pPr>
        <w:numPr>
          <w:ilvl w:val="0"/>
          <w:numId w:val="1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The purpose of the Instrument is to</w:t>
      </w:r>
      <w:r w:rsidR="00D45A70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only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specify </w:t>
      </w:r>
      <w:r w:rsidRP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persons who have been invited to Australia by the Australian Government, or by an Australian </w:t>
      </w:r>
      <w:r w:rsidR="00B5763C" w:rsidRP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>S</w:t>
      </w:r>
      <w:r w:rsidRP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tate or </w:t>
      </w:r>
      <w:r w:rsidR="00B5763C" w:rsidRP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>T</w:t>
      </w:r>
      <w:r w:rsidRP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>erritory government, to assist in providing emergency services in connection with a disaster or emergency as a class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of persons applying for the Subclass 400 (Temporary Work (Short Stay Activity)) visa.</w:t>
      </w:r>
    </w:p>
    <w:p w:rsidR="00663DD5" w:rsidRDefault="00663DD5" w:rsidP="00B5763C">
      <w:pPr>
        <w:numPr>
          <w:ilvl w:val="0"/>
          <w:numId w:val="1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The Instrument operates by specifying applicants for a Subclass 400 (Temporary Work (Short Stay Activity)) visa who are a class </w:t>
      </w:r>
      <w:r w:rsidR="00B5763C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of persons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who under sub-subparagraph 1231(2)(a)(iv)(A) are not required to pay a Visa Application Charge.</w:t>
      </w:r>
    </w:p>
    <w:p w:rsidR="00663DD5" w:rsidRDefault="00663DD5" w:rsidP="00B5763C">
      <w:pPr>
        <w:numPr>
          <w:ilvl w:val="0"/>
          <w:numId w:val="1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Consultation was not necessary as, under subsection 18(1) of the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Legislative Instruments Act 2003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, the Instrument is of a minor or machinery nature and does not substantially alter existing arrangements.</w:t>
      </w:r>
    </w:p>
    <w:p w:rsidR="00663DD5" w:rsidRDefault="00663DD5" w:rsidP="00B5763C">
      <w:pPr>
        <w:numPr>
          <w:ilvl w:val="0"/>
          <w:numId w:val="2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has advised that a Regulation Impact Statement is not required (OBPR Reference </w:t>
      </w:r>
      <w:r w:rsidR="00D45A70">
        <w:rPr>
          <w:rFonts w:ascii="Times New Roman" w:eastAsia="Times New Roman" w:hAnsi="Times New Roman" w:cs="Times New Roman"/>
          <w:sz w:val="24"/>
          <w:szCs w:val="24"/>
          <w:lang w:eastAsia="en-AU"/>
        </w:rPr>
        <w:t>19058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:rsidR="00663DD5" w:rsidRDefault="00663DD5" w:rsidP="00B5763C">
      <w:pPr>
        <w:numPr>
          <w:ilvl w:val="0"/>
          <w:numId w:val="2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section 44 of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the Instrument is exempt from disallowance and therefore a Human Rights Statement of Compatibility is not required.</w:t>
      </w:r>
    </w:p>
    <w:p w:rsidR="00663DD5" w:rsidRDefault="00663DD5" w:rsidP="00B5763C">
      <w:pPr>
        <w:numPr>
          <w:ilvl w:val="0"/>
          <w:numId w:val="2"/>
        </w:numPr>
        <w:spacing w:after="120" w:line="360" w:lineRule="auto"/>
        <w:ind w:right="113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Instrument, </w:t>
      </w:r>
      <w:r w:rsidRPr="00B5763C">
        <w:rPr>
          <w:rFonts w:ascii="Times New Roman" w:eastAsia="Times New Roman" w:hAnsi="Times New Roman" w:cs="Times New Roman"/>
          <w:sz w:val="24"/>
          <w:szCs w:val="24"/>
          <w:lang w:eastAsia="en-AU"/>
        </w:rPr>
        <w:t>IMMI 15/081</w:t>
      </w:r>
      <w:r w:rsidR="003B323E">
        <w:rPr>
          <w:rFonts w:ascii="Times New Roman" w:eastAsia="Times New Roman" w:hAnsi="Times New Roman" w:cs="Times New Roman"/>
          <w:sz w:val="24"/>
          <w:szCs w:val="24"/>
          <w:lang w:eastAsia="en-AU"/>
        </w:rPr>
        <w:t>, commences on the day after registration on the Federal Register of Legislative Instruments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663DD5" w:rsidRDefault="00663DD5" w:rsidP="00B5763C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663DD5" w:rsidRDefault="00663DD5" w:rsidP="00B5763C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663DD5" w:rsidRDefault="00663DD5" w:rsidP="00B5763C">
      <w:pPr>
        <w:ind w:right="113"/>
      </w:pPr>
    </w:p>
    <w:p w:rsidR="00C032ED" w:rsidRDefault="00C032ED" w:rsidP="00B5763C">
      <w:pPr>
        <w:ind w:right="113"/>
      </w:pPr>
    </w:p>
    <w:sectPr w:rsidR="00C032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D5" w:rsidRDefault="00663DD5" w:rsidP="00663DD5">
      <w:pPr>
        <w:spacing w:after="0" w:line="240" w:lineRule="auto"/>
      </w:pPr>
      <w:r>
        <w:separator/>
      </w:r>
    </w:p>
  </w:endnote>
  <w:endnote w:type="continuationSeparator" w:id="0">
    <w:p w:rsidR="00663DD5" w:rsidRDefault="00663DD5" w:rsidP="0066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D5" w:rsidRDefault="00663DD5" w:rsidP="00663DD5">
      <w:pPr>
        <w:spacing w:after="0" w:line="240" w:lineRule="auto"/>
      </w:pPr>
      <w:r>
        <w:separator/>
      </w:r>
    </w:p>
  </w:footnote>
  <w:footnote w:type="continuationSeparator" w:id="0">
    <w:p w:rsidR="00663DD5" w:rsidRDefault="00663DD5" w:rsidP="0066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D5" w:rsidRPr="00D7097E" w:rsidRDefault="00663DD5">
    <w:pPr>
      <w:pStyle w:val="Header"/>
      <w:rPr>
        <w:rFonts w:ascii="Times New Roman" w:hAnsi="Times New Roman" w:cs="Times New Roman"/>
        <w:i/>
      </w:rPr>
    </w:pPr>
    <w:r w:rsidRPr="00D7097E">
      <w:rPr>
        <w:rFonts w:ascii="Times New Roman" w:hAnsi="Times New Roman" w:cs="Times New Roman"/>
        <w:i/>
      </w:rPr>
      <w:t>IMMI 15/081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FFC"/>
    <w:multiLevelType w:val="hybridMultilevel"/>
    <w:tmpl w:val="DCC61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7F4C"/>
    <w:multiLevelType w:val="hybridMultilevel"/>
    <w:tmpl w:val="78EC80BE"/>
    <w:lvl w:ilvl="0" w:tplc="7CFA0E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5"/>
    <w:rsid w:val="003B323E"/>
    <w:rsid w:val="00663DD5"/>
    <w:rsid w:val="008C326D"/>
    <w:rsid w:val="00A3520A"/>
    <w:rsid w:val="00B5763C"/>
    <w:rsid w:val="00C032ED"/>
    <w:rsid w:val="00D45A70"/>
    <w:rsid w:val="00D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6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DD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3DD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D5"/>
  </w:style>
  <w:style w:type="paragraph" w:styleId="Footer">
    <w:name w:val="footer"/>
    <w:basedOn w:val="Normal"/>
    <w:link w:val="FooterChar"/>
    <w:uiPriority w:val="99"/>
    <w:unhideWhenUsed/>
    <w:rsid w:val="0066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6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DD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3DD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D5"/>
  </w:style>
  <w:style w:type="paragraph" w:styleId="Footer">
    <w:name w:val="footer"/>
    <w:basedOn w:val="Normal"/>
    <w:link w:val="FooterChar"/>
    <w:uiPriority w:val="99"/>
    <w:unhideWhenUsed/>
    <w:rsid w:val="0066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Bill ORR</cp:lastModifiedBy>
  <cp:revision>7</cp:revision>
  <dcterms:created xsi:type="dcterms:W3CDTF">2015-04-20T02:03:00Z</dcterms:created>
  <dcterms:modified xsi:type="dcterms:W3CDTF">2015-05-03T23:32:00Z</dcterms:modified>
</cp:coreProperties>
</file>