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D5" w:rsidRDefault="00663DD5" w:rsidP="00B5763C">
      <w:pPr>
        <w:keepNext/>
        <w:tabs>
          <w:tab w:val="left" w:pos="567"/>
        </w:tabs>
        <w:spacing w:after="120" w:line="36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A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AU"/>
        </w:rPr>
        <w:t>EXPLANATORY STATEMENT</w:t>
      </w:r>
    </w:p>
    <w:p w:rsidR="00663DD5" w:rsidRDefault="00663DD5" w:rsidP="00B5763C">
      <w:pPr>
        <w:keepNext/>
        <w:spacing w:after="0" w:line="240" w:lineRule="auto"/>
        <w:ind w:right="113"/>
        <w:jc w:val="center"/>
        <w:outlineLvl w:val="3"/>
        <w:rPr>
          <w:rFonts w:ascii="Times New Roman" w:eastAsia="Times New Roman" w:hAnsi="Times New Roman" w:cs="Times New Roman"/>
          <w:i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en-AU"/>
        </w:rPr>
        <w:t>Migration Regulations 1994</w:t>
      </w:r>
    </w:p>
    <w:p w:rsidR="00663DD5" w:rsidRDefault="00663DD5" w:rsidP="00B5763C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663DD5" w:rsidRDefault="00663DD5" w:rsidP="00B5763C">
      <w:pPr>
        <w:spacing w:after="0" w:line="240" w:lineRule="auto"/>
        <w:ind w:left="-240" w:right="11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CLASS OF PERSONS</w:t>
      </w:r>
      <w:r w:rsidR="003B323E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(EMERGENCY SERVICES)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 </w:t>
      </w:r>
      <w:r w:rsidRPr="00663DD5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2015</w:t>
      </w:r>
    </w:p>
    <w:p w:rsidR="00663DD5" w:rsidRDefault="00663DD5" w:rsidP="00B5763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663DD5" w:rsidRDefault="00663DD5" w:rsidP="00B5763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>(Sub-subparagraph 1231(2)(a)(iv)(A))</w:t>
      </w:r>
    </w:p>
    <w:p w:rsidR="00663DD5" w:rsidRDefault="00663DD5" w:rsidP="00B5763C">
      <w:pPr>
        <w:tabs>
          <w:tab w:val="left" w:pos="567"/>
        </w:tabs>
        <w:spacing w:after="120" w:line="360" w:lineRule="auto"/>
        <w:ind w:right="113" w:hanging="22"/>
        <w:jc w:val="center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663DD5" w:rsidRDefault="00663DD5" w:rsidP="00B5763C">
      <w:pPr>
        <w:numPr>
          <w:ilvl w:val="0"/>
          <w:numId w:val="1"/>
        </w:numPr>
        <w:spacing w:after="120" w:line="360" w:lineRule="auto"/>
        <w:ind w:right="113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This Instrument is made under sub-subparagraph 1231(2)(a)(iv)(A) of Schedule 1 to the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en-AU"/>
        </w:rPr>
        <w:t>Migration Regulations 1994</w:t>
      </w: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(‘the Regulations’).</w:t>
      </w:r>
    </w:p>
    <w:p w:rsidR="00663DD5" w:rsidRDefault="00663DD5" w:rsidP="00B5763C">
      <w:pPr>
        <w:numPr>
          <w:ilvl w:val="0"/>
          <w:numId w:val="1"/>
        </w:numPr>
        <w:spacing w:after="120" w:line="360" w:lineRule="auto"/>
        <w:ind w:right="113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>The purpose of the Instrument is to</w:t>
      </w:r>
      <w:r w:rsidR="00D45A70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only</w:t>
      </w: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specify </w:t>
      </w:r>
      <w:r w:rsidRPr="00B5763C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persons who have been invited to Australia by the Australian Government, or by an Australian </w:t>
      </w:r>
      <w:r w:rsidR="00B5763C" w:rsidRPr="00B5763C">
        <w:rPr>
          <w:rFonts w:ascii="Times New Roman" w:eastAsia="Times New Roman" w:hAnsi="Times New Roman" w:cs="Times New Roman"/>
          <w:sz w:val="24"/>
          <w:szCs w:val="20"/>
          <w:lang w:eastAsia="en-AU"/>
        </w:rPr>
        <w:t>S</w:t>
      </w:r>
      <w:r w:rsidRPr="00B5763C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tate or </w:t>
      </w:r>
      <w:r w:rsidR="00B5763C" w:rsidRPr="00B5763C">
        <w:rPr>
          <w:rFonts w:ascii="Times New Roman" w:eastAsia="Times New Roman" w:hAnsi="Times New Roman" w:cs="Times New Roman"/>
          <w:sz w:val="24"/>
          <w:szCs w:val="20"/>
          <w:lang w:eastAsia="en-AU"/>
        </w:rPr>
        <w:t>T</w:t>
      </w:r>
      <w:r w:rsidRPr="00B5763C">
        <w:rPr>
          <w:rFonts w:ascii="Times New Roman" w:eastAsia="Times New Roman" w:hAnsi="Times New Roman" w:cs="Times New Roman"/>
          <w:sz w:val="24"/>
          <w:szCs w:val="20"/>
          <w:lang w:eastAsia="en-AU"/>
        </w:rPr>
        <w:t>erritory government, to assist in providing emergency services in connection with a disaster or emergency as a class</w:t>
      </w: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of persons applying for the Subclass 400 (Temporary Work (Short Stay Activity)) visa.</w:t>
      </w:r>
    </w:p>
    <w:p w:rsidR="00663DD5" w:rsidRDefault="00663DD5" w:rsidP="00B5763C">
      <w:pPr>
        <w:numPr>
          <w:ilvl w:val="0"/>
          <w:numId w:val="1"/>
        </w:numPr>
        <w:spacing w:after="120" w:line="360" w:lineRule="auto"/>
        <w:ind w:right="113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The Instrument operates by specifying applicants for a Subclass 400 (Temporary Work (Short Stay Activity)) visa who are a class </w:t>
      </w:r>
      <w:r w:rsidR="00B5763C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of persons </w:t>
      </w: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>who under sub-subparagraph 1231(2)(a)(iv)(A) are not required to pay a Visa Application Charge.</w:t>
      </w:r>
    </w:p>
    <w:p w:rsidR="00663DD5" w:rsidRDefault="00663DD5" w:rsidP="00B5763C">
      <w:pPr>
        <w:numPr>
          <w:ilvl w:val="0"/>
          <w:numId w:val="1"/>
        </w:numPr>
        <w:spacing w:after="120" w:line="360" w:lineRule="auto"/>
        <w:ind w:right="113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Consultation was not necessary as, under subsection 18(1) of the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en-AU"/>
        </w:rPr>
        <w:t>Legislative Instruments Act 2003</w:t>
      </w: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>, the Instrument is of a minor or machinery nature and does not substantially alter existing arrangements.</w:t>
      </w:r>
    </w:p>
    <w:p w:rsidR="00663DD5" w:rsidRDefault="00663DD5" w:rsidP="00B5763C">
      <w:pPr>
        <w:numPr>
          <w:ilvl w:val="0"/>
          <w:numId w:val="2"/>
        </w:numPr>
        <w:spacing w:after="120" w:line="360" w:lineRule="auto"/>
        <w:ind w:right="11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Office of Best Practice Regulation has advised that a Regulation Impact Statement is not required (OBPR Reference </w:t>
      </w:r>
      <w:r w:rsidR="00D45A70">
        <w:rPr>
          <w:rFonts w:ascii="Times New Roman" w:eastAsia="Times New Roman" w:hAnsi="Times New Roman" w:cs="Times New Roman"/>
          <w:sz w:val="24"/>
          <w:szCs w:val="24"/>
          <w:lang w:eastAsia="en-AU"/>
        </w:rPr>
        <w:t>19058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).</w:t>
      </w:r>
    </w:p>
    <w:p w:rsidR="00663DD5" w:rsidRDefault="00663DD5" w:rsidP="00B5763C">
      <w:pPr>
        <w:numPr>
          <w:ilvl w:val="0"/>
          <w:numId w:val="2"/>
        </w:numPr>
        <w:spacing w:after="120" w:line="360" w:lineRule="auto"/>
        <w:ind w:right="11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Under section 44 of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Legislative Instruments Act 2003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 the Instrument is exempt from disallowance and therefore a Human Rights Statement of Compatibility is not required.</w:t>
      </w:r>
    </w:p>
    <w:p w:rsidR="00663DD5" w:rsidRDefault="00663DD5" w:rsidP="00B5763C">
      <w:pPr>
        <w:numPr>
          <w:ilvl w:val="0"/>
          <w:numId w:val="2"/>
        </w:numPr>
        <w:spacing w:after="120" w:line="360" w:lineRule="auto"/>
        <w:ind w:right="11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Instrument, </w:t>
      </w:r>
      <w:r w:rsidRPr="00B5763C">
        <w:rPr>
          <w:rFonts w:ascii="Times New Roman" w:eastAsia="Times New Roman" w:hAnsi="Times New Roman" w:cs="Times New Roman"/>
          <w:sz w:val="24"/>
          <w:szCs w:val="24"/>
          <w:lang w:eastAsia="en-AU"/>
        </w:rPr>
        <w:t>IMMI 15/081</w:t>
      </w:r>
      <w:r w:rsidR="003B323E">
        <w:rPr>
          <w:rFonts w:ascii="Times New Roman" w:eastAsia="Times New Roman" w:hAnsi="Times New Roman" w:cs="Times New Roman"/>
          <w:sz w:val="24"/>
          <w:szCs w:val="24"/>
          <w:lang w:eastAsia="en-AU"/>
        </w:rPr>
        <w:t>, commences on the day after registration on the Federal Register of Legislative Instruments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663DD5" w:rsidRDefault="00663DD5" w:rsidP="00B5763C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63DD5" w:rsidRDefault="00663DD5" w:rsidP="00B5763C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63DD5" w:rsidRDefault="00663DD5" w:rsidP="00B5763C">
      <w:pPr>
        <w:ind w:right="113"/>
      </w:pPr>
    </w:p>
    <w:p w:rsidR="00C032ED" w:rsidRDefault="00C032ED" w:rsidP="00B5763C">
      <w:pPr>
        <w:ind w:right="113"/>
      </w:pPr>
    </w:p>
    <w:sectPr w:rsidR="00C032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D5" w:rsidRDefault="00663DD5" w:rsidP="00663DD5">
      <w:pPr>
        <w:spacing w:after="0" w:line="240" w:lineRule="auto"/>
      </w:pPr>
      <w:r>
        <w:separator/>
      </w:r>
    </w:p>
  </w:endnote>
  <w:endnote w:type="continuationSeparator" w:id="0">
    <w:p w:rsidR="00663DD5" w:rsidRDefault="00663DD5" w:rsidP="0066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D5" w:rsidRDefault="00663DD5" w:rsidP="00663DD5">
      <w:pPr>
        <w:spacing w:after="0" w:line="240" w:lineRule="auto"/>
      </w:pPr>
      <w:r>
        <w:separator/>
      </w:r>
    </w:p>
  </w:footnote>
  <w:footnote w:type="continuationSeparator" w:id="0">
    <w:p w:rsidR="00663DD5" w:rsidRDefault="00663DD5" w:rsidP="0066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D5" w:rsidRPr="00D7097E" w:rsidRDefault="00663DD5">
    <w:pPr>
      <w:pStyle w:val="Header"/>
      <w:rPr>
        <w:rFonts w:ascii="Times New Roman" w:hAnsi="Times New Roman" w:cs="Times New Roman"/>
        <w:i/>
      </w:rPr>
    </w:pPr>
    <w:r w:rsidRPr="00D7097E">
      <w:rPr>
        <w:rFonts w:ascii="Times New Roman" w:hAnsi="Times New Roman" w:cs="Times New Roman"/>
        <w:i/>
      </w:rPr>
      <w:t>IMMI 15/081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FFC"/>
    <w:multiLevelType w:val="hybridMultilevel"/>
    <w:tmpl w:val="DCC61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F7F4C"/>
    <w:multiLevelType w:val="hybridMultilevel"/>
    <w:tmpl w:val="78EC80BE"/>
    <w:lvl w:ilvl="0" w:tplc="7CFA0E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D5"/>
    <w:rsid w:val="003B323E"/>
    <w:rsid w:val="00663DD5"/>
    <w:rsid w:val="008C326D"/>
    <w:rsid w:val="00A3520A"/>
    <w:rsid w:val="00B5763C"/>
    <w:rsid w:val="00C032ED"/>
    <w:rsid w:val="00D45A70"/>
    <w:rsid w:val="00D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DD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3D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D5"/>
  </w:style>
  <w:style w:type="paragraph" w:styleId="Footer">
    <w:name w:val="footer"/>
    <w:basedOn w:val="Normal"/>
    <w:link w:val="FooterChar"/>
    <w:uiPriority w:val="99"/>
    <w:unhideWhenUsed/>
    <w:rsid w:val="0066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DD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3D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D5"/>
  </w:style>
  <w:style w:type="paragraph" w:styleId="Footer">
    <w:name w:val="footer"/>
    <w:basedOn w:val="Normal"/>
    <w:link w:val="FooterChar"/>
    <w:uiPriority w:val="99"/>
    <w:unhideWhenUsed/>
    <w:rsid w:val="0066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ORR</dc:creator>
  <cp:lastModifiedBy>Bill ORR</cp:lastModifiedBy>
  <cp:revision>7</cp:revision>
  <dcterms:created xsi:type="dcterms:W3CDTF">2015-04-20T02:03:00Z</dcterms:created>
  <dcterms:modified xsi:type="dcterms:W3CDTF">2015-05-03T23:32:00Z</dcterms:modified>
</cp:coreProperties>
</file>