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EB" w:rsidRPr="007E64EB" w:rsidRDefault="007E64EB" w:rsidP="007E64EB">
      <w:pPr>
        <w:jc w:val="center"/>
        <w:rPr>
          <w:rFonts w:ascii="Arial" w:hAnsi="Arial" w:cs="Arial"/>
          <w:sz w:val="24"/>
          <w:szCs w:val="24"/>
        </w:rPr>
      </w:pPr>
      <w:bookmarkStart w:id="0" w:name="_GoBack"/>
      <w:bookmarkEnd w:id="0"/>
      <w:r w:rsidRPr="007E64EB">
        <w:rPr>
          <w:rFonts w:ascii="Arial" w:hAnsi="Arial" w:cs="Arial"/>
          <w:b/>
          <w:bCs/>
          <w:sz w:val="24"/>
          <w:szCs w:val="24"/>
        </w:rPr>
        <w:t>EXPLANATORY STATEMENT</w:t>
      </w:r>
    </w:p>
    <w:p w:rsidR="007E64EB" w:rsidRPr="007E64EB" w:rsidRDefault="002F4BA3" w:rsidP="007E64EB">
      <w:pPr>
        <w:jc w:val="center"/>
        <w:rPr>
          <w:rFonts w:ascii="Arial" w:hAnsi="Arial" w:cs="Arial"/>
          <w:sz w:val="24"/>
          <w:szCs w:val="24"/>
        </w:rPr>
      </w:pPr>
      <w:r>
        <w:rPr>
          <w:rFonts w:ascii="Arial" w:hAnsi="Arial" w:cs="Arial"/>
          <w:b/>
          <w:bCs/>
          <w:sz w:val="24"/>
          <w:szCs w:val="24"/>
        </w:rPr>
        <w:t>Bankruptcy</w:t>
      </w:r>
      <w:r w:rsidR="007E64EB" w:rsidRPr="007E64EB">
        <w:rPr>
          <w:rFonts w:ascii="Arial" w:hAnsi="Arial" w:cs="Arial"/>
          <w:b/>
          <w:bCs/>
          <w:sz w:val="24"/>
          <w:szCs w:val="24"/>
        </w:rPr>
        <w:t xml:space="preserve"> </w:t>
      </w:r>
      <w:r w:rsidR="006E0973">
        <w:rPr>
          <w:rFonts w:ascii="Arial" w:hAnsi="Arial" w:cs="Arial"/>
          <w:b/>
          <w:bCs/>
          <w:sz w:val="24"/>
          <w:szCs w:val="24"/>
        </w:rPr>
        <w:t>(</w:t>
      </w:r>
      <w:r w:rsidR="00792252">
        <w:rPr>
          <w:rFonts w:ascii="Arial" w:hAnsi="Arial" w:cs="Arial"/>
          <w:b/>
          <w:bCs/>
          <w:sz w:val="24"/>
          <w:szCs w:val="24"/>
        </w:rPr>
        <w:t>Estate Charges</w:t>
      </w:r>
      <w:r w:rsidR="007E64EB" w:rsidRPr="007E64EB">
        <w:rPr>
          <w:rFonts w:ascii="Arial" w:hAnsi="Arial" w:cs="Arial"/>
          <w:b/>
          <w:bCs/>
          <w:sz w:val="24"/>
          <w:szCs w:val="24"/>
        </w:rPr>
        <w:t>)</w:t>
      </w:r>
      <w:r w:rsidR="00792252">
        <w:rPr>
          <w:rFonts w:ascii="Arial" w:hAnsi="Arial" w:cs="Arial"/>
          <w:b/>
          <w:bCs/>
          <w:sz w:val="24"/>
          <w:szCs w:val="24"/>
        </w:rPr>
        <w:t xml:space="preserve"> (Amount of Charge Payable)</w:t>
      </w:r>
      <w:r w:rsidR="007E64EB" w:rsidRPr="007E64EB">
        <w:rPr>
          <w:rFonts w:ascii="Arial" w:hAnsi="Arial" w:cs="Arial"/>
          <w:b/>
          <w:bCs/>
          <w:sz w:val="24"/>
          <w:szCs w:val="24"/>
        </w:rPr>
        <w:t xml:space="preserve"> Determination </w:t>
      </w:r>
      <w:r w:rsidR="00E33D42">
        <w:rPr>
          <w:rFonts w:ascii="Arial" w:hAnsi="Arial" w:cs="Arial"/>
          <w:b/>
          <w:bCs/>
          <w:sz w:val="24"/>
          <w:szCs w:val="24"/>
        </w:rPr>
        <w:t>201</w:t>
      </w:r>
      <w:r w:rsidR="00BA39D7">
        <w:rPr>
          <w:rFonts w:ascii="Arial" w:hAnsi="Arial" w:cs="Arial"/>
          <w:b/>
          <w:bCs/>
          <w:sz w:val="24"/>
          <w:szCs w:val="24"/>
        </w:rPr>
        <w:t>5</w:t>
      </w:r>
    </w:p>
    <w:p w:rsidR="00AC1FA9" w:rsidRDefault="00AC1FA9" w:rsidP="007E64EB">
      <w:pPr>
        <w:rPr>
          <w:rFonts w:ascii="Arial" w:hAnsi="Arial" w:cs="Arial"/>
          <w:b/>
          <w:bCs/>
          <w:sz w:val="24"/>
          <w:szCs w:val="24"/>
        </w:rPr>
      </w:pPr>
    </w:p>
    <w:p w:rsidR="007E64EB" w:rsidRPr="007E64EB" w:rsidRDefault="007E64EB" w:rsidP="007E64EB">
      <w:pPr>
        <w:rPr>
          <w:rFonts w:ascii="Arial" w:hAnsi="Arial" w:cs="Arial"/>
          <w:sz w:val="24"/>
          <w:szCs w:val="24"/>
        </w:rPr>
      </w:pPr>
      <w:r w:rsidRPr="007E64EB">
        <w:rPr>
          <w:rFonts w:ascii="Arial" w:hAnsi="Arial" w:cs="Arial"/>
          <w:b/>
          <w:bCs/>
          <w:sz w:val="24"/>
          <w:szCs w:val="24"/>
        </w:rPr>
        <w:t>Summary</w:t>
      </w:r>
    </w:p>
    <w:p w:rsidR="007E64EB" w:rsidRPr="007E64EB" w:rsidRDefault="007E64EB" w:rsidP="007E64EB">
      <w:pPr>
        <w:rPr>
          <w:rFonts w:ascii="Arial" w:hAnsi="Arial" w:cs="Arial"/>
          <w:sz w:val="24"/>
          <w:szCs w:val="24"/>
        </w:rPr>
      </w:pPr>
      <w:r w:rsidRPr="007E64EB">
        <w:rPr>
          <w:rFonts w:ascii="Arial" w:hAnsi="Arial" w:cs="Arial"/>
          <w:sz w:val="24"/>
          <w:szCs w:val="24"/>
        </w:rPr>
        <w:t>The</w:t>
      </w:r>
      <w:r w:rsidRPr="007E64EB">
        <w:rPr>
          <w:rFonts w:ascii="Arial" w:hAnsi="Arial" w:cs="Arial"/>
          <w:i/>
          <w:iCs/>
          <w:sz w:val="24"/>
          <w:szCs w:val="24"/>
        </w:rPr>
        <w:t xml:space="preserve"> </w:t>
      </w:r>
      <w:r w:rsidR="002F4BA3" w:rsidRPr="002F4BA3">
        <w:rPr>
          <w:rFonts w:ascii="Arial" w:hAnsi="Arial" w:cs="Arial"/>
          <w:i/>
          <w:iCs/>
          <w:sz w:val="24"/>
          <w:szCs w:val="24"/>
        </w:rPr>
        <w:t xml:space="preserve">Bankruptcy </w:t>
      </w:r>
      <w:r w:rsidR="00792252" w:rsidRPr="00792252">
        <w:rPr>
          <w:rFonts w:ascii="Arial" w:hAnsi="Arial" w:cs="Arial"/>
          <w:i/>
          <w:iCs/>
          <w:sz w:val="24"/>
          <w:szCs w:val="24"/>
        </w:rPr>
        <w:t xml:space="preserve">(Estate Charges) (Amount of Charge Payable) </w:t>
      </w:r>
      <w:r w:rsidR="002F4BA3" w:rsidRPr="002F4BA3">
        <w:rPr>
          <w:rFonts w:ascii="Arial" w:hAnsi="Arial" w:cs="Arial"/>
          <w:i/>
          <w:iCs/>
          <w:sz w:val="24"/>
          <w:szCs w:val="24"/>
        </w:rPr>
        <w:t>Determination 201</w:t>
      </w:r>
      <w:r w:rsidR="00BA39D7">
        <w:rPr>
          <w:rFonts w:ascii="Arial" w:hAnsi="Arial" w:cs="Arial"/>
          <w:i/>
          <w:iCs/>
          <w:sz w:val="24"/>
          <w:szCs w:val="24"/>
        </w:rPr>
        <w:t>5</w:t>
      </w:r>
      <w:r w:rsidR="002F4BA3">
        <w:rPr>
          <w:rFonts w:ascii="Arial" w:hAnsi="Arial" w:cs="Arial"/>
          <w:i/>
          <w:iCs/>
          <w:sz w:val="24"/>
          <w:szCs w:val="24"/>
        </w:rPr>
        <w:t xml:space="preserve"> </w:t>
      </w:r>
      <w:r w:rsidR="002F4BA3">
        <w:rPr>
          <w:rFonts w:ascii="Arial" w:hAnsi="Arial" w:cs="Arial"/>
          <w:iCs/>
          <w:sz w:val="24"/>
          <w:szCs w:val="24"/>
        </w:rPr>
        <w:t>(</w:t>
      </w:r>
      <w:r w:rsidR="00C43871">
        <w:rPr>
          <w:rFonts w:ascii="Arial" w:hAnsi="Arial" w:cs="Arial"/>
          <w:sz w:val="24"/>
          <w:szCs w:val="24"/>
        </w:rPr>
        <w:t>the Determination</w:t>
      </w:r>
      <w:r w:rsidRPr="007E64EB">
        <w:rPr>
          <w:rFonts w:ascii="Arial" w:hAnsi="Arial" w:cs="Arial"/>
          <w:sz w:val="24"/>
          <w:szCs w:val="24"/>
        </w:rPr>
        <w:t>) is made under section </w:t>
      </w:r>
      <w:r w:rsidR="00792252">
        <w:rPr>
          <w:rFonts w:ascii="Arial" w:hAnsi="Arial" w:cs="Arial"/>
          <w:sz w:val="24"/>
          <w:szCs w:val="24"/>
        </w:rPr>
        <w:t>7</w:t>
      </w:r>
      <w:r w:rsidRPr="007E64EB">
        <w:rPr>
          <w:rFonts w:ascii="Arial" w:hAnsi="Arial" w:cs="Arial"/>
          <w:sz w:val="24"/>
          <w:szCs w:val="24"/>
        </w:rPr>
        <w:t xml:space="preserve"> of the </w:t>
      </w:r>
      <w:r w:rsidR="00AB5DEE">
        <w:rPr>
          <w:rFonts w:ascii="Arial" w:hAnsi="Arial" w:cs="Arial"/>
          <w:i/>
          <w:iCs/>
          <w:sz w:val="24"/>
          <w:szCs w:val="24"/>
        </w:rPr>
        <w:t>Bank</w:t>
      </w:r>
      <w:r w:rsidR="00792252">
        <w:rPr>
          <w:rFonts w:ascii="Arial" w:hAnsi="Arial" w:cs="Arial"/>
          <w:i/>
          <w:iCs/>
          <w:sz w:val="24"/>
          <w:szCs w:val="24"/>
        </w:rPr>
        <w:t>ruptcy (Estate Charges Act) 1997</w:t>
      </w:r>
      <w:r w:rsidRPr="007E64EB">
        <w:rPr>
          <w:rFonts w:ascii="Arial" w:hAnsi="Arial" w:cs="Arial"/>
          <w:sz w:val="24"/>
          <w:szCs w:val="24"/>
        </w:rPr>
        <w:t xml:space="preserve"> (the Act) by the </w:t>
      </w:r>
      <w:r w:rsidR="008A21E5">
        <w:rPr>
          <w:rFonts w:ascii="Arial" w:hAnsi="Arial" w:cs="Arial"/>
          <w:sz w:val="24"/>
          <w:szCs w:val="24"/>
        </w:rPr>
        <w:t>Attorney-General</w:t>
      </w:r>
      <w:r w:rsidRPr="007E64EB">
        <w:rPr>
          <w:rFonts w:ascii="Arial" w:hAnsi="Arial" w:cs="Arial"/>
          <w:sz w:val="24"/>
          <w:szCs w:val="24"/>
        </w:rPr>
        <w:t xml:space="preserve">.  </w:t>
      </w:r>
    </w:p>
    <w:p w:rsidR="007E64EB" w:rsidRDefault="007E64EB" w:rsidP="007E64EB">
      <w:pPr>
        <w:rPr>
          <w:rFonts w:ascii="Arial" w:hAnsi="Arial" w:cs="Arial"/>
          <w:sz w:val="24"/>
          <w:szCs w:val="24"/>
        </w:rPr>
      </w:pPr>
      <w:r w:rsidRPr="00ED2883">
        <w:rPr>
          <w:rFonts w:ascii="Arial" w:hAnsi="Arial" w:cs="Arial"/>
          <w:sz w:val="24"/>
          <w:szCs w:val="24"/>
        </w:rPr>
        <w:t xml:space="preserve">The </w:t>
      </w:r>
      <w:r w:rsidR="008A21E5">
        <w:rPr>
          <w:rFonts w:ascii="Arial" w:hAnsi="Arial" w:cs="Arial"/>
          <w:sz w:val="24"/>
          <w:szCs w:val="24"/>
        </w:rPr>
        <w:t xml:space="preserve">instrument determines </w:t>
      </w:r>
      <w:r w:rsidR="00792252" w:rsidRPr="00792252">
        <w:rPr>
          <w:rFonts w:ascii="Arial" w:hAnsi="Arial" w:cs="Arial"/>
          <w:sz w:val="24"/>
          <w:szCs w:val="24"/>
        </w:rPr>
        <w:t>the percentage payable as the realisations charge on amounts received by trustees, controlling trustees and debt agreement administrators.</w:t>
      </w:r>
    </w:p>
    <w:p w:rsidR="007E64EB" w:rsidRPr="007E64EB" w:rsidRDefault="007E64EB" w:rsidP="007E64EB">
      <w:pPr>
        <w:rPr>
          <w:rFonts w:ascii="Arial" w:hAnsi="Arial" w:cs="Arial"/>
          <w:sz w:val="24"/>
          <w:szCs w:val="24"/>
        </w:rPr>
      </w:pPr>
      <w:r w:rsidRPr="007E64EB">
        <w:rPr>
          <w:rFonts w:ascii="Arial" w:hAnsi="Arial" w:cs="Arial"/>
          <w:b/>
          <w:bCs/>
          <w:sz w:val="24"/>
          <w:szCs w:val="24"/>
        </w:rPr>
        <w:t>Background</w:t>
      </w:r>
    </w:p>
    <w:p w:rsidR="00270CA4" w:rsidRPr="00584366" w:rsidRDefault="00270CA4" w:rsidP="00270CA4">
      <w:pPr>
        <w:spacing w:before="120" w:after="120"/>
        <w:rPr>
          <w:rFonts w:ascii="Arial" w:hAnsi="Arial" w:cs="Arial"/>
          <w:sz w:val="24"/>
          <w:szCs w:val="24"/>
        </w:rPr>
      </w:pPr>
      <w:r>
        <w:rPr>
          <w:rFonts w:ascii="Arial" w:hAnsi="Arial" w:cs="Arial"/>
          <w:sz w:val="24"/>
          <w:szCs w:val="24"/>
        </w:rPr>
        <w:t>The Australian Financial Security Authority (AFSA)</w:t>
      </w:r>
      <w:r w:rsidRPr="00584366">
        <w:rPr>
          <w:rFonts w:ascii="Arial" w:hAnsi="Arial" w:cs="Arial"/>
          <w:b/>
          <w:sz w:val="24"/>
          <w:szCs w:val="24"/>
        </w:rPr>
        <w:t xml:space="preserve"> </w:t>
      </w:r>
      <w:r w:rsidRPr="00584366">
        <w:rPr>
          <w:rFonts w:ascii="Arial" w:hAnsi="Arial" w:cs="Arial"/>
          <w:sz w:val="24"/>
          <w:szCs w:val="24"/>
        </w:rPr>
        <w:t xml:space="preserve">has responsibility for the administration and regulation of Australia’s personal insolvency </w:t>
      </w:r>
      <w:r>
        <w:rPr>
          <w:rFonts w:ascii="Arial" w:hAnsi="Arial" w:cs="Arial"/>
          <w:sz w:val="24"/>
          <w:szCs w:val="24"/>
        </w:rPr>
        <w:t>system.  In the 2013-14 Mid-Year Economic and Fiscal Outlook, Government announced AFSA to be funded completely through cost recovery.  AFSA must therefore ensure the pricing for its activities cover the efficient costs of performing them.  The</w:t>
      </w:r>
      <w:r w:rsidR="000249A0">
        <w:rPr>
          <w:rFonts w:ascii="Arial" w:hAnsi="Arial" w:cs="Arial"/>
          <w:sz w:val="24"/>
          <w:szCs w:val="24"/>
        </w:rPr>
        <w:t xml:space="preserve"> revenue from</w:t>
      </w:r>
      <w:r>
        <w:rPr>
          <w:rFonts w:ascii="Arial" w:hAnsi="Arial" w:cs="Arial"/>
          <w:sz w:val="24"/>
          <w:szCs w:val="24"/>
        </w:rPr>
        <w:t xml:space="preserve"> estate charges covered in this determination </w:t>
      </w:r>
      <w:r w:rsidR="000249A0">
        <w:rPr>
          <w:rFonts w:ascii="Arial" w:hAnsi="Arial" w:cs="Arial"/>
          <w:sz w:val="24"/>
          <w:szCs w:val="24"/>
        </w:rPr>
        <w:t>is</w:t>
      </w:r>
      <w:r>
        <w:rPr>
          <w:rFonts w:ascii="Arial" w:hAnsi="Arial" w:cs="Arial"/>
          <w:sz w:val="24"/>
          <w:szCs w:val="24"/>
        </w:rPr>
        <w:t xml:space="preserve"> used to </w:t>
      </w:r>
      <w:r w:rsidR="000249A0">
        <w:rPr>
          <w:rFonts w:ascii="Arial" w:hAnsi="Arial" w:cs="Arial"/>
          <w:sz w:val="24"/>
          <w:szCs w:val="24"/>
        </w:rPr>
        <w:t>fund</w:t>
      </w:r>
      <w:r>
        <w:rPr>
          <w:rFonts w:ascii="Arial" w:hAnsi="Arial" w:cs="Arial"/>
          <w:sz w:val="24"/>
          <w:szCs w:val="24"/>
        </w:rPr>
        <w:t xml:space="preserve"> activities such as</w:t>
      </w:r>
      <w:r w:rsidRPr="00584366">
        <w:rPr>
          <w:rFonts w:ascii="Arial" w:hAnsi="Arial" w:cs="Arial"/>
          <w:sz w:val="24"/>
          <w:szCs w:val="24"/>
        </w:rPr>
        <w:t>:</w:t>
      </w:r>
    </w:p>
    <w:p w:rsidR="00270CA4" w:rsidRPr="00270CA4" w:rsidRDefault="00270CA4" w:rsidP="00270CA4">
      <w:pPr>
        <w:pStyle w:val="Pa12"/>
        <w:numPr>
          <w:ilvl w:val="0"/>
          <w:numId w:val="4"/>
        </w:numPr>
        <w:spacing w:after="0"/>
        <w:jc w:val="both"/>
        <w:rPr>
          <w:rFonts w:ascii="Arial" w:hAnsi="Arial" w:cs="Arial"/>
          <w:lang w:val="en-AU"/>
        </w:rPr>
      </w:pPr>
      <w:r w:rsidRPr="00270CA4">
        <w:rPr>
          <w:rFonts w:ascii="Arial" w:hAnsi="Arial" w:cs="Arial"/>
          <w:lang w:val="en-AU"/>
        </w:rPr>
        <w:t xml:space="preserve">Processing </w:t>
      </w:r>
      <w:r w:rsidR="00D217DD">
        <w:rPr>
          <w:rFonts w:ascii="Arial" w:hAnsi="Arial" w:cs="Arial"/>
          <w:lang w:val="en-AU"/>
        </w:rPr>
        <w:t xml:space="preserve">Debtor Petitions, </w:t>
      </w:r>
      <w:r w:rsidRPr="00270CA4">
        <w:rPr>
          <w:rFonts w:ascii="Arial" w:hAnsi="Arial" w:cs="Arial"/>
          <w:lang w:val="en-AU"/>
        </w:rPr>
        <w:t>Creditor Petitions and Declarations of Intentions;</w:t>
      </w:r>
    </w:p>
    <w:p w:rsidR="00270CA4" w:rsidRPr="00270CA4" w:rsidRDefault="00270CA4" w:rsidP="00270CA4">
      <w:pPr>
        <w:pStyle w:val="Pa12"/>
        <w:numPr>
          <w:ilvl w:val="0"/>
          <w:numId w:val="4"/>
        </w:numPr>
        <w:spacing w:after="0"/>
        <w:jc w:val="both"/>
        <w:rPr>
          <w:rFonts w:ascii="Arial" w:hAnsi="Arial" w:cs="Arial"/>
          <w:lang w:val="en-AU"/>
        </w:rPr>
      </w:pPr>
      <w:r w:rsidRPr="00270CA4">
        <w:rPr>
          <w:rFonts w:ascii="Arial" w:hAnsi="Arial" w:cs="Arial"/>
          <w:lang w:val="en-AU"/>
        </w:rPr>
        <w:t>Debt Agreements – Compliance and Education;</w:t>
      </w:r>
    </w:p>
    <w:p w:rsidR="00270CA4" w:rsidRPr="00270CA4" w:rsidRDefault="00270CA4" w:rsidP="00270CA4">
      <w:pPr>
        <w:pStyle w:val="Pa12"/>
        <w:numPr>
          <w:ilvl w:val="0"/>
          <w:numId w:val="4"/>
        </w:numPr>
        <w:spacing w:after="0"/>
        <w:jc w:val="both"/>
        <w:rPr>
          <w:rFonts w:ascii="Arial" w:hAnsi="Arial" w:cs="Arial"/>
          <w:lang w:val="en-AU"/>
        </w:rPr>
      </w:pPr>
      <w:r w:rsidRPr="00270CA4">
        <w:rPr>
          <w:rFonts w:ascii="Arial" w:hAnsi="Arial" w:cs="Arial"/>
          <w:lang w:val="en-AU"/>
        </w:rPr>
        <w:t xml:space="preserve">Issuing Official Receiver notices under section 77CA of the </w:t>
      </w:r>
      <w:r w:rsidRPr="00270CA4">
        <w:rPr>
          <w:rFonts w:ascii="Arial" w:hAnsi="Arial" w:cs="Arial"/>
          <w:i/>
          <w:lang w:val="en-AU"/>
        </w:rPr>
        <w:t>Bankruptcy Act 1966</w:t>
      </w:r>
      <w:r w:rsidRPr="00270CA4">
        <w:rPr>
          <w:rFonts w:ascii="Arial" w:hAnsi="Arial" w:cs="Arial"/>
          <w:lang w:val="en-AU"/>
        </w:rPr>
        <w:t xml:space="preserve">; </w:t>
      </w:r>
    </w:p>
    <w:p w:rsidR="00D217DD" w:rsidRDefault="00D217DD" w:rsidP="00270CA4">
      <w:pPr>
        <w:pStyle w:val="Pa12"/>
        <w:numPr>
          <w:ilvl w:val="0"/>
          <w:numId w:val="4"/>
        </w:numPr>
        <w:spacing w:after="0"/>
        <w:jc w:val="both"/>
        <w:rPr>
          <w:rFonts w:ascii="Arial" w:hAnsi="Arial" w:cs="Arial"/>
          <w:lang w:val="en-AU"/>
        </w:rPr>
      </w:pPr>
      <w:r>
        <w:rPr>
          <w:rFonts w:ascii="Arial" w:hAnsi="Arial" w:cs="Arial"/>
          <w:lang w:val="en-AU"/>
        </w:rPr>
        <w:t>Information provision;</w:t>
      </w:r>
    </w:p>
    <w:p w:rsidR="00D217DD" w:rsidRDefault="00D217DD" w:rsidP="00270CA4">
      <w:pPr>
        <w:pStyle w:val="Pa12"/>
        <w:numPr>
          <w:ilvl w:val="0"/>
          <w:numId w:val="4"/>
        </w:numPr>
        <w:spacing w:after="0"/>
        <w:jc w:val="both"/>
        <w:rPr>
          <w:rFonts w:ascii="Arial" w:hAnsi="Arial" w:cs="Arial"/>
          <w:lang w:val="en-AU"/>
        </w:rPr>
      </w:pPr>
      <w:r>
        <w:rPr>
          <w:rFonts w:ascii="Arial" w:hAnsi="Arial" w:cs="Arial"/>
          <w:lang w:val="en-AU"/>
        </w:rPr>
        <w:t>Regulation of Trustees and Debt Agreement Administrators (education, monitoring, inspections and compliance)</w:t>
      </w:r>
    </w:p>
    <w:p w:rsidR="00D217DD" w:rsidRDefault="00D217DD" w:rsidP="00270CA4">
      <w:pPr>
        <w:pStyle w:val="Pa12"/>
        <w:numPr>
          <w:ilvl w:val="0"/>
          <w:numId w:val="4"/>
        </w:numPr>
        <w:spacing w:after="0"/>
        <w:jc w:val="both"/>
        <w:rPr>
          <w:rFonts w:ascii="Arial" w:hAnsi="Arial" w:cs="Arial"/>
          <w:lang w:val="en-AU"/>
        </w:rPr>
      </w:pPr>
      <w:r>
        <w:rPr>
          <w:rFonts w:ascii="Arial" w:hAnsi="Arial" w:cs="Arial"/>
          <w:lang w:val="en-AU"/>
        </w:rPr>
        <w:t>Administration of non fee-paying bankruptcies; and</w:t>
      </w:r>
    </w:p>
    <w:p w:rsidR="00270CA4" w:rsidRDefault="00D217DD" w:rsidP="00270CA4">
      <w:pPr>
        <w:pStyle w:val="Pa12"/>
        <w:numPr>
          <w:ilvl w:val="0"/>
          <w:numId w:val="4"/>
        </w:numPr>
        <w:spacing w:after="0"/>
        <w:jc w:val="both"/>
        <w:rPr>
          <w:rFonts w:ascii="Arial" w:hAnsi="Arial" w:cs="Arial"/>
          <w:lang w:val="en-AU"/>
        </w:rPr>
      </w:pPr>
      <w:r w:rsidRPr="00D217DD">
        <w:rPr>
          <w:rFonts w:ascii="Arial" w:hAnsi="Arial" w:cs="Arial"/>
          <w:lang w:val="en-AU"/>
        </w:rPr>
        <w:t>Investigation of bankruptcy offences.</w:t>
      </w:r>
    </w:p>
    <w:p w:rsidR="00D217DD" w:rsidRPr="00D217DD" w:rsidRDefault="00D217DD" w:rsidP="00D217DD"/>
    <w:p w:rsidR="00270CA4" w:rsidRDefault="00270CA4" w:rsidP="00270CA4">
      <w:pPr>
        <w:spacing w:after="120"/>
        <w:rPr>
          <w:rFonts w:ascii="Arial" w:hAnsi="Arial" w:cs="Arial"/>
          <w:b/>
          <w:sz w:val="24"/>
          <w:szCs w:val="24"/>
          <w:lang w:val="en-US"/>
        </w:rPr>
      </w:pPr>
      <w:r>
        <w:rPr>
          <w:rFonts w:ascii="Arial" w:hAnsi="Arial" w:cs="Arial"/>
          <w:sz w:val="24"/>
          <w:szCs w:val="24"/>
        </w:rPr>
        <w:t>Consistent with the Australian Government Cost Recovery Guidelines, a</w:t>
      </w:r>
      <w:r w:rsidRPr="002C4672">
        <w:rPr>
          <w:rFonts w:ascii="Arial" w:hAnsi="Arial" w:cs="Arial"/>
          <w:sz w:val="24"/>
          <w:szCs w:val="24"/>
        </w:rPr>
        <w:t xml:space="preserve"> Cost Recovery Impact Statement (CRIS)</w:t>
      </w:r>
      <w:r>
        <w:rPr>
          <w:rFonts w:ascii="Arial" w:hAnsi="Arial" w:cs="Arial"/>
          <w:sz w:val="24"/>
          <w:szCs w:val="24"/>
        </w:rPr>
        <w:t xml:space="preserve"> was</w:t>
      </w:r>
      <w:r w:rsidRPr="002C4672">
        <w:rPr>
          <w:rFonts w:ascii="Arial" w:hAnsi="Arial" w:cs="Arial"/>
          <w:sz w:val="24"/>
          <w:szCs w:val="24"/>
        </w:rPr>
        <w:t xml:space="preserve"> </w:t>
      </w:r>
      <w:r>
        <w:rPr>
          <w:rFonts w:ascii="Arial" w:hAnsi="Arial" w:cs="Arial"/>
          <w:sz w:val="24"/>
          <w:szCs w:val="24"/>
        </w:rPr>
        <w:t>produced to provide transparency over the setting of fee prices and remuneration rates. The CRIS is also a means of consultation over the fees and remuneration presented in the Determination</w:t>
      </w:r>
      <w:r w:rsidRPr="002C4672">
        <w:rPr>
          <w:rFonts w:ascii="Arial" w:hAnsi="Arial" w:cs="Arial"/>
          <w:sz w:val="24"/>
          <w:szCs w:val="24"/>
        </w:rPr>
        <w:t>.</w:t>
      </w:r>
      <w:r>
        <w:rPr>
          <w:rFonts w:ascii="Arial" w:hAnsi="Arial" w:cs="Arial"/>
          <w:sz w:val="24"/>
          <w:szCs w:val="24"/>
        </w:rPr>
        <w:t xml:space="preserve">  T</w:t>
      </w:r>
      <w:r w:rsidRPr="004B6529">
        <w:rPr>
          <w:rFonts w:ascii="Arial" w:hAnsi="Arial" w:cs="Arial"/>
          <w:sz w:val="24"/>
          <w:szCs w:val="24"/>
        </w:rPr>
        <w:t xml:space="preserve">he </w:t>
      </w:r>
      <w:r>
        <w:rPr>
          <w:rFonts w:ascii="Arial" w:hAnsi="Arial" w:cs="Arial"/>
          <w:sz w:val="24"/>
          <w:szCs w:val="24"/>
        </w:rPr>
        <w:t>CRIS is available to view on AFSA’s internet site.</w:t>
      </w:r>
      <w:r w:rsidRPr="004B6529">
        <w:rPr>
          <w:rFonts w:ascii="Arial" w:hAnsi="Arial" w:cs="Arial"/>
          <w:sz w:val="24"/>
          <w:szCs w:val="24"/>
        </w:rPr>
        <w:t xml:space="preserve">  </w:t>
      </w:r>
    </w:p>
    <w:p w:rsidR="00167C59" w:rsidRDefault="00792252" w:rsidP="00792252">
      <w:pPr>
        <w:spacing w:before="120" w:after="120"/>
        <w:rPr>
          <w:rFonts w:ascii="Arial" w:hAnsi="Arial" w:cs="Arial"/>
          <w:sz w:val="24"/>
          <w:szCs w:val="24"/>
        </w:rPr>
      </w:pPr>
      <w:r w:rsidRPr="00792252">
        <w:rPr>
          <w:rFonts w:ascii="Arial" w:hAnsi="Arial" w:cs="Arial"/>
          <w:sz w:val="24"/>
          <w:szCs w:val="24"/>
        </w:rPr>
        <w:t xml:space="preserve">  </w:t>
      </w:r>
    </w:p>
    <w:p w:rsidR="00714AB9" w:rsidRPr="007E64EB" w:rsidRDefault="00714AB9" w:rsidP="00714AB9">
      <w:pPr>
        <w:keepNext/>
        <w:rPr>
          <w:rFonts w:ascii="Arial" w:hAnsi="Arial" w:cs="Arial"/>
          <w:sz w:val="24"/>
          <w:szCs w:val="24"/>
        </w:rPr>
      </w:pPr>
      <w:r w:rsidRPr="007E64EB">
        <w:rPr>
          <w:rFonts w:ascii="Arial" w:hAnsi="Arial" w:cs="Arial"/>
          <w:b/>
          <w:bCs/>
          <w:sz w:val="24"/>
          <w:szCs w:val="24"/>
        </w:rPr>
        <w:t>Consultation</w:t>
      </w:r>
    </w:p>
    <w:p w:rsidR="00714AB9" w:rsidRPr="00B6403F" w:rsidRDefault="00714AB9" w:rsidP="00714AB9">
      <w:pPr>
        <w:rPr>
          <w:rFonts w:ascii="Arial" w:eastAsia="Times New Roman" w:hAnsi="Arial" w:cs="Arial"/>
          <w:sz w:val="24"/>
          <w:szCs w:val="24"/>
          <w:lang w:eastAsia="en-AU"/>
        </w:rPr>
      </w:pPr>
      <w:r w:rsidRPr="00B6403F">
        <w:rPr>
          <w:rFonts w:ascii="Arial" w:eastAsia="Times New Roman" w:hAnsi="Arial" w:cs="Arial"/>
          <w:sz w:val="24"/>
          <w:szCs w:val="24"/>
          <w:lang w:eastAsia="en-AU"/>
        </w:rPr>
        <w:t xml:space="preserve">A review of AFSA’s activities and costs has been undertaken as part of a Cost Recovery Impact Statement (CRIS) on AFSA’s insolvency and trustee services that was developed in compliance with the Australian Government Cost Recovery Guidelines.  The formal consultation period for the CRIS commenced on </w:t>
      </w:r>
      <w:r>
        <w:rPr>
          <w:rFonts w:ascii="Arial" w:eastAsia="Times New Roman" w:hAnsi="Arial" w:cs="Arial"/>
          <w:sz w:val="24"/>
          <w:szCs w:val="24"/>
          <w:lang w:eastAsia="en-AU"/>
        </w:rPr>
        <w:t xml:space="preserve">10 </w:t>
      </w:r>
      <w:r>
        <w:rPr>
          <w:rFonts w:ascii="Arial" w:eastAsia="Times New Roman" w:hAnsi="Arial" w:cs="Arial"/>
          <w:sz w:val="24"/>
          <w:szCs w:val="24"/>
          <w:lang w:eastAsia="en-AU"/>
        </w:rPr>
        <w:lastRenderedPageBreak/>
        <w:t xml:space="preserve">November </w:t>
      </w:r>
      <w:r w:rsidRPr="00B6403F">
        <w:rPr>
          <w:rFonts w:ascii="Arial" w:eastAsia="Times New Roman" w:hAnsi="Arial" w:cs="Arial"/>
          <w:sz w:val="24"/>
          <w:szCs w:val="24"/>
          <w:lang w:eastAsia="en-AU"/>
        </w:rPr>
        <w:t xml:space="preserve"> 2014 and closed on </w:t>
      </w:r>
      <w:r>
        <w:rPr>
          <w:rFonts w:ascii="Arial" w:eastAsia="Times New Roman" w:hAnsi="Arial" w:cs="Arial"/>
          <w:sz w:val="24"/>
          <w:szCs w:val="24"/>
          <w:lang w:eastAsia="en-AU"/>
        </w:rPr>
        <w:t>5 December</w:t>
      </w:r>
      <w:r w:rsidRPr="00B6403F">
        <w:rPr>
          <w:rFonts w:ascii="Arial" w:eastAsia="Times New Roman" w:hAnsi="Arial" w:cs="Arial"/>
          <w:sz w:val="24"/>
          <w:szCs w:val="24"/>
          <w:lang w:eastAsia="en-AU"/>
        </w:rPr>
        <w:t xml:space="preserve"> 2014.</w:t>
      </w:r>
      <w:r>
        <w:rPr>
          <w:rFonts w:ascii="Arial" w:eastAsia="Times New Roman" w:hAnsi="Arial" w:cs="Arial"/>
          <w:sz w:val="24"/>
          <w:szCs w:val="24"/>
          <w:lang w:eastAsia="en-AU"/>
        </w:rPr>
        <w:t xml:space="preserve">  During this process, the draft CRIS was made available on AFSA’s internet site.  The draft CRIS was brought to the attention of stakeholders </w:t>
      </w:r>
      <w:r w:rsidR="000249A0">
        <w:rPr>
          <w:rFonts w:ascii="Arial" w:eastAsia="Times New Roman" w:hAnsi="Arial" w:cs="Arial"/>
          <w:sz w:val="24"/>
          <w:szCs w:val="24"/>
          <w:lang w:eastAsia="en-AU"/>
        </w:rPr>
        <w:t xml:space="preserve">subscribing to </w:t>
      </w:r>
      <w:r>
        <w:rPr>
          <w:rFonts w:ascii="Arial" w:eastAsia="Times New Roman" w:hAnsi="Arial" w:cs="Arial"/>
          <w:sz w:val="24"/>
          <w:szCs w:val="24"/>
          <w:lang w:eastAsia="en-AU"/>
        </w:rPr>
        <w:t>AFSA’s stakeholder mailing lists.</w:t>
      </w:r>
      <w:r w:rsidRPr="00B6403F">
        <w:rPr>
          <w:rFonts w:ascii="Arial" w:eastAsia="Times New Roman" w:hAnsi="Arial" w:cs="Arial"/>
          <w:sz w:val="24"/>
          <w:szCs w:val="24"/>
          <w:lang w:eastAsia="en-AU"/>
        </w:rPr>
        <w:t xml:space="preserve">  Issues raised by stakeholders during the consultation period were used in finalising the CRIS.  </w:t>
      </w:r>
    </w:p>
    <w:p w:rsidR="00714AB9" w:rsidRPr="007E64EB" w:rsidRDefault="00714AB9" w:rsidP="00714AB9">
      <w:pPr>
        <w:rPr>
          <w:rFonts w:ascii="Arial" w:hAnsi="Arial" w:cs="Arial"/>
          <w:sz w:val="24"/>
          <w:szCs w:val="24"/>
        </w:rPr>
      </w:pPr>
      <w:r w:rsidRPr="007E64EB">
        <w:rPr>
          <w:rFonts w:ascii="Arial" w:hAnsi="Arial" w:cs="Arial"/>
          <w:b/>
          <w:bCs/>
          <w:sz w:val="24"/>
          <w:szCs w:val="24"/>
        </w:rPr>
        <w:t>Regulat</w:t>
      </w:r>
      <w:r>
        <w:rPr>
          <w:rFonts w:ascii="Arial" w:hAnsi="Arial" w:cs="Arial"/>
          <w:b/>
          <w:bCs/>
          <w:sz w:val="24"/>
          <w:szCs w:val="24"/>
        </w:rPr>
        <w:t>ion</w:t>
      </w:r>
      <w:r w:rsidRPr="007E64EB">
        <w:rPr>
          <w:rFonts w:ascii="Arial" w:hAnsi="Arial" w:cs="Arial"/>
          <w:b/>
          <w:bCs/>
          <w:sz w:val="24"/>
          <w:szCs w:val="24"/>
        </w:rPr>
        <w:t xml:space="preserve"> Impact Analysis</w:t>
      </w:r>
    </w:p>
    <w:p w:rsidR="00714AB9" w:rsidRDefault="00714AB9" w:rsidP="00714AB9">
      <w:pPr>
        <w:rPr>
          <w:rFonts w:ascii="Arial" w:hAnsi="Arial" w:cs="Arial"/>
          <w:sz w:val="24"/>
          <w:szCs w:val="24"/>
        </w:rPr>
      </w:pPr>
      <w:bookmarkStart w:id="1" w:name="OLE_LINK1"/>
      <w:bookmarkStart w:id="2" w:name="OLE_LINK2"/>
      <w:r>
        <w:rPr>
          <w:rFonts w:ascii="Arial" w:hAnsi="Arial" w:cs="Arial"/>
          <w:sz w:val="24"/>
          <w:szCs w:val="24"/>
        </w:rPr>
        <w:t xml:space="preserve">The Determination has been assessed against </w:t>
      </w:r>
      <w:r>
        <w:rPr>
          <w:rFonts w:ascii="Arial" w:hAnsi="Arial" w:cs="Arial"/>
          <w:i/>
          <w:sz w:val="24"/>
          <w:szCs w:val="24"/>
        </w:rPr>
        <w:t>The Australian Government Guide to Regulation</w:t>
      </w:r>
      <w:r>
        <w:rPr>
          <w:rFonts w:ascii="Arial" w:hAnsi="Arial" w:cs="Arial"/>
          <w:sz w:val="24"/>
          <w:szCs w:val="24"/>
        </w:rPr>
        <w:t xml:space="preserve"> as not requiring </w:t>
      </w:r>
      <w:bookmarkEnd w:id="1"/>
      <w:bookmarkEnd w:id="2"/>
      <w:r w:rsidR="000249A0">
        <w:rPr>
          <w:rFonts w:ascii="Arial" w:hAnsi="Arial" w:cs="Arial"/>
          <w:sz w:val="24"/>
          <w:szCs w:val="24"/>
        </w:rPr>
        <w:t>the production of a</w:t>
      </w:r>
      <w:r w:rsidRPr="00940C8F">
        <w:rPr>
          <w:rFonts w:ascii="Arial" w:hAnsi="Arial" w:cs="Arial"/>
          <w:sz w:val="24"/>
          <w:szCs w:val="24"/>
        </w:rPr>
        <w:t xml:space="preserve"> regulat</w:t>
      </w:r>
      <w:r>
        <w:rPr>
          <w:rFonts w:ascii="Arial" w:hAnsi="Arial" w:cs="Arial"/>
          <w:sz w:val="24"/>
          <w:szCs w:val="24"/>
        </w:rPr>
        <w:t>ion</w:t>
      </w:r>
      <w:r w:rsidRPr="00940C8F">
        <w:rPr>
          <w:rFonts w:ascii="Arial" w:hAnsi="Arial" w:cs="Arial"/>
          <w:sz w:val="24"/>
          <w:szCs w:val="24"/>
        </w:rPr>
        <w:t xml:space="preserve"> impact statement.</w:t>
      </w:r>
    </w:p>
    <w:p w:rsidR="005B62E5" w:rsidRPr="00380996" w:rsidRDefault="005B62E5" w:rsidP="005B62E5">
      <w:pPr>
        <w:rPr>
          <w:rFonts w:ascii="Arial" w:hAnsi="Arial" w:cs="Arial"/>
          <w:sz w:val="24"/>
          <w:szCs w:val="24"/>
        </w:rPr>
      </w:pPr>
      <w:r w:rsidRPr="00380996">
        <w:rPr>
          <w:rFonts w:ascii="Arial" w:hAnsi="Arial" w:cs="Arial"/>
          <w:b/>
          <w:bCs/>
          <w:sz w:val="24"/>
          <w:szCs w:val="24"/>
        </w:rPr>
        <w:t>Statement of compatibility prepared in accordance with Part 3 of the Human Rights (Parliamentary Scrutiny)</w:t>
      </w:r>
      <w:r w:rsidRPr="00380996">
        <w:rPr>
          <w:rFonts w:ascii="Arial" w:hAnsi="Arial" w:cs="Arial"/>
          <w:sz w:val="24"/>
          <w:szCs w:val="24"/>
        </w:rPr>
        <w:t xml:space="preserve"> </w:t>
      </w:r>
      <w:r w:rsidRPr="005B62E5">
        <w:rPr>
          <w:rFonts w:ascii="Arial" w:hAnsi="Arial" w:cs="Arial"/>
          <w:b/>
          <w:sz w:val="24"/>
          <w:szCs w:val="24"/>
        </w:rPr>
        <w:t>Act 2011</w:t>
      </w:r>
    </w:p>
    <w:p w:rsidR="005B62E5" w:rsidRDefault="005B62E5" w:rsidP="005B62E5">
      <w:pPr>
        <w:rPr>
          <w:rFonts w:ascii="Arial" w:hAnsi="Arial" w:cs="Arial"/>
          <w:sz w:val="24"/>
          <w:szCs w:val="24"/>
        </w:rPr>
      </w:pPr>
      <w:r w:rsidRPr="00380996">
        <w:rPr>
          <w:rFonts w:ascii="Arial" w:hAnsi="Arial" w:cs="Arial"/>
          <w:sz w:val="24"/>
          <w:szCs w:val="24"/>
        </w:rPr>
        <w:t xml:space="preserve">A Statement of compatibility prepared in accordance with Part 3 of the </w:t>
      </w:r>
      <w:r w:rsidRPr="00380996">
        <w:rPr>
          <w:rFonts w:ascii="Arial" w:hAnsi="Arial" w:cs="Arial"/>
          <w:i/>
          <w:sz w:val="24"/>
          <w:szCs w:val="24"/>
        </w:rPr>
        <w:t>Human Rights (Parliamentary Scrutiny) Act 2011</w:t>
      </w:r>
      <w:r w:rsidRPr="00380996">
        <w:rPr>
          <w:rFonts w:ascii="Arial" w:hAnsi="Arial" w:cs="Arial"/>
          <w:sz w:val="24"/>
          <w:szCs w:val="24"/>
        </w:rPr>
        <w:t xml:space="preserve"> is provided at </w:t>
      </w:r>
      <w:r w:rsidRPr="001D7DA3">
        <w:rPr>
          <w:rFonts w:ascii="Arial" w:hAnsi="Arial" w:cs="Arial"/>
          <w:b/>
          <w:sz w:val="24"/>
          <w:szCs w:val="24"/>
        </w:rPr>
        <w:t>Attachment A</w:t>
      </w:r>
      <w:r w:rsidRPr="00380996">
        <w:rPr>
          <w:rFonts w:ascii="Arial" w:hAnsi="Arial" w:cs="Arial"/>
          <w:sz w:val="24"/>
          <w:szCs w:val="24"/>
        </w:rPr>
        <w:t xml:space="preserve"> to this Explanatory Statement.</w:t>
      </w:r>
    </w:p>
    <w:p w:rsidR="005B62E5" w:rsidRDefault="005B62E5" w:rsidP="00792252">
      <w:pPr>
        <w:spacing w:before="120" w:after="120"/>
        <w:rPr>
          <w:rFonts w:ascii="Arial" w:hAnsi="Arial" w:cs="Arial"/>
          <w:sz w:val="24"/>
          <w:szCs w:val="24"/>
        </w:rPr>
      </w:pPr>
    </w:p>
    <w:p w:rsidR="00AC1FA9" w:rsidRDefault="00AC1FA9">
      <w:pPr>
        <w:spacing w:after="0" w:line="240" w:lineRule="auto"/>
        <w:rPr>
          <w:rFonts w:ascii="Arial" w:hAnsi="Arial" w:cs="Arial"/>
          <w:b/>
          <w:sz w:val="24"/>
          <w:szCs w:val="24"/>
          <w:lang w:val="en-US"/>
        </w:rPr>
      </w:pPr>
      <w:r>
        <w:rPr>
          <w:rFonts w:ascii="Arial" w:hAnsi="Arial" w:cs="Arial"/>
          <w:b/>
          <w:sz w:val="24"/>
          <w:szCs w:val="24"/>
          <w:lang w:val="en-US"/>
        </w:rPr>
        <w:br w:type="page"/>
      </w:r>
    </w:p>
    <w:p w:rsidR="00B84B18" w:rsidRPr="00F12604" w:rsidRDefault="007E64EB" w:rsidP="00B84B18">
      <w:pPr>
        <w:rPr>
          <w:rFonts w:ascii="Arial" w:hAnsi="Arial" w:cs="Arial"/>
          <w:b/>
          <w:bCs/>
          <w:sz w:val="28"/>
          <w:szCs w:val="28"/>
          <w:lang w:val="en-US"/>
        </w:rPr>
      </w:pPr>
      <w:r w:rsidRPr="00F12604">
        <w:rPr>
          <w:rFonts w:ascii="Arial" w:hAnsi="Arial" w:cs="Arial"/>
          <w:b/>
          <w:sz w:val="28"/>
          <w:szCs w:val="28"/>
          <w:lang w:val="en-US"/>
        </w:rPr>
        <w:lastRenderedPageBreak/>
        <w:t>Notes on Sections</w:t>
      </w:r>
    </w:p>
    <w:p w:rsidR="007E64EB" w:rsidRPr="00B84B18" w:rsidRDefault="007E64EB" w:rsidP="00B84B18">
      <w:pPr>
        <w:rPr>
          <w:rFonts w:ascii="Arial" w:hAnsi="Arial" w:cs="Arial"/>
          <w:b/>
          <w:sz w:val="24"/>
          <w:szCs w:val="24"/>
          <w:lang w:val="en-US"/>
        </w:rPr>
      </w:pPr>
      <w:r w:rsidRPr="007E64EB">
        <w:rPr>
          <w:rFonts w:ascii="Arial" w:hAnsi="Arial" w:cs="Arial"/>
          <w:b/>
          <w:bCs/>
          <w:sz w:val="24"/>
          <w:szCs w:val="24"/>
          <w:lang w:val="en-US"/>
        </w:rPr>
        <w:t>Section 1 – Name of Determination</w:t>
      </w:r>
    </w:p>
    <w:p w:rsidR="00F33164" w:rsidRPr="00B84B18" w:rsidRDefault="007E64EB" w:rsidP="00B84B18">
      <w:pPr>
        <w:rPr>
          <w:rFonts w:ascii="Arial" w:hAnsi="Arial" w:cs="Arial"/>
          <w:i/>
          <w:iCs/>
          <w:sz w:val="24"/>
          <w:szCs w:val="24"/>
          <w:lang w:val="en-US"/>
        </w:rPr>
      </w:pPr>
      <w:r w:rsidRPr="007E64EB">
        <w:rPr>
          <w:rFonts w:ascii="Arial" w:hAnsi="Arial" w:cs="Arial"/>
          <w:sz w:val="24"/>
          <w:szCs w:val="24"/>
          <w:lang w:val="en-US"/>
        </w:rPr>
        <w:t xml:space="preserve">Section 1 provides for the citation of </w:t>
      </w:r>
      <w:r w:rsidR="00C43871">
        <w:rPr>
          <w:rFonts w:ascii="Arial" w:hAnsi="Arial" w:cs="Arial"/>
          <w:sz w:val="24"/>
          <w:szCs w:val="24"/>
          <w:lang w:val="en-US"/>
        </w:rPr>
        <w:t xml:space="preserve">the </w:t>
      </w:r>
      <w:r w:rsidR="00AB5DEE" w:rsidRPr="002F4BA3">
        <w:rPr>
          <w:rFonts w:ascii="Arial" w:hAnsi="Arial" w:cs="Arial"/>
          <w:i/>
          <w:iCs/>
          <w:sz w:val="24"/>
          <w:szCs w:val="24"/>
        </w:rPr>
        <w:t xml:space="preserve">Bankruptcy </w:t>
      </w:r>
      <w:r w:rsidR="00AB5DEE" w:rsidRPr="00792252">
        <w:rPr>
          <w:rFonts w:ascii="Arial" w:hAnsi="Arial" w:cs="Arial"/>
          <w:i/>
          <w:iCs/>
          <w:sz w:val="24"/>
          <w:szCs w:val="24"/>
        </w:rPr>
        <w:t xml:space="preserve">(Estate Charges) (Amount of Charge Payable) </w:t>
      </w:r>
      <w:r w:rsidR="00AB5DEE" w:rsidRPr="002F4BA3">
        <w:rPr>
          <w:rFonts w:ascii="Arial" w:hAnsi="Arial" w:cs="Arial"/>
          <w:i/>
          <w:iCs/>
          <w:sz w:val="24"/>
          <w:szCs w:val="24"/>
        </w:rPr>
        <w:t>Determination 201</w:t>
      </w:r>
      <w:r w:rsidR="00345C66">
        <w:rPr>
          <w:rFonts w:ascii="Arial" w:hAnsi="Arial" w:cs="Arial"/>
          <w:i/>
          <w:iCs/>
          <w:sz w:val="24"/>
          <w:szCs w:val="24"/>
        </w:rPr>
        <w:t>5</w:t>
      </w:r>
      <w:r w:rsidRPr="007E64EB">
        <w:rPr>
          <w:rFonts w:ascii="Arial" w:hAnsi="Arial" w:cs="Arial"/>
          <w:i/>
          <w:iCs/>
          <w:sz w:val="24"/>
          <w:szCs w:val="24"/>
          <w:lang w:val="en-US"/>
        </w:rPr>
        <w:t>.</w:t>
      </w:r>
    </w:p>
    <w:p w:rsidR="007E64EB" w:rsidRPr="007E64EB" w:rsidRDefault="007E64EB" w:rsidP="00B84B18">
      <w:pPr>
        <w:rPr>
          <w:rFonts w:ascii="Arial" w:hAnsi="Arial" w:cs="Arial"/>
          <w:sz w:val="24"/>
          <w:szCs w:val="24"/>
        </w:rPr>
      </w:pPr>
      <w:r w:rsidRPr="007E64EB">
        <w:rPr>
          <w:rFonts w:ascii="Arial" w:hAnsi="Arial" w:cs="Arial"/>
          <w:b/>
          <w:bCs/>
          <w:sz w:val="24"/>
          <w:szCs w:val="24"/>
          <w:lang w:val="en-US"/>
        </w:rPr>
        <w:t>Section 2 – Commencement</w:t>
      </w:r>
    </w:p>
    <w:p w:rsidR="00FA1DEB" w:rsidRDefault="00C43871" w:rsidP="007E64EB">
      <w:pPr>
        <w:rPr>
          <w:rFonts w:ascii="Arial" w:hAnsi="Arial" w:cs="Arial"/>
          <w:sz w:val="24"/>
          <w:szCs w:val="24"/>
          <w:lang w:val="en-US"/>
        </w:rPr>
      </w:pPr>
      <w:r w:rsidRPr="00932215">
        <w:rPr>
          <w:rFonts w:ascii="Arial" w:hAnsi="Arial" w:cs="Arial"/>
          <w:sz w:val="24"/>
          <w:szCs w:val="24"/>
          <w:lang w:val="en-US"/>
        </w:rPr>
        <w:t>The Determination</w:t>
      </w:r>
      <w:r w:rsidR="00432151" w:rsidRPr="00932215">
        <w:rPr>
          <w:rFonts w:ascii="Arial" w:hAnsi="Arial" w:cs="Arial"/>
          <w:sz w:val="24"/>
          <w:szCs w:val="24"/>
          <w:lang w:val="en-US"/>
        </w:rPr>
        <w:t xml:space="preserve"> commences on </w:t>
      </w:r>
      <w:r w:rsidR="00FA1DEB">
        <w:rPr>
          <w:rFonts w:ascii="Arial" w:hAnsi="Arial" w:cs="Arial"/>
          <w:sz w:val="24"/>
          <w:szCs w:val="24"/>
          <w:lang w:val="en-US"/>
        </w:rPr>
        <w:t>1 July 201</w:t>
      </w:r>
      <w:r w:rsidR="00345C66">
        <w:rPr>
          <w:rFonts w:ascii="Arial" w:hAnsi="Arial" w:cs="Arial"/>
          <w:sz w:val="24"/>
          <w:szCs w:val="24"/>
          <w:lang w:val="en-US"/>
        </w:rPr>
        <w:t>5</w:t>
      </w:r>
      <w:r w:rsidR="007E64EB" w:rsidRPr="00932215">
        <w:rPr>
          <w:rFonts w:ascii="Arial" w:hAnsi="Arial" w:cs="Arial"/>
          <w:sz w:val="24"/>
          <w:szCs w:val="24"/>
          <w:lang w:val="en-US"/>
        </w:rPr>
        <w:t>.</w:t>
      </w:r>
      <w:r w:rsidR="00FA1DEB">
        <w:rPr>
          <w:rFonts w:ascii="Arial" w:hAnsi="Arial" w:cs="Arial"/>
          <w:sz w:val="24"/>
          <w:szCs w:val="24"/>
          <w:lang w:val="en-US"/>
        </w:rPr>
        <w:t xml:space="preserve"> </w:t>
      </w:r>
    </w:p>
    <w:p w:rsidR="00FA1DEB" w:rsidRPr="007E64EB" w:rsidRDefault="00FA1DEB" w:rsidP="00FA1DEB">
      <w:pPr>
        <w:rPr>
          <w:rFonts w:ascii="Arial" w:hAnsi="Arial" w:cs="Arial"/>
          <w:sz w:val="24"/>
          <w:szCs w:val="24"/>
        </w:rPr>
      </w:pPr>
      <w:r w:rsidRPr="007E64EB">
        <w:rPr>
          <w:rFonts w:ascii="Arial" w:hAnsi="Arial" w:cs="Arial"/>
          <w:b/>
          <w:bCs/>
          <w:sz w:val="24"/>
          <w:szCs w:val="24"/>
          <w:lang w:val="en-US"/>
        </w:rPr>
        <w:t xml:space="preserve">Section </w:t>
      </w:r>
      <w:r>
        <w:rPr>
          <w:rFonts w:ascii="Arial" w:hAnsi="Arial" w:cs="Arial"/>
          <w:b/>
          <w:bCs/>
          <w:sz w:val="24"/>
          <w:szCs w:val="24"/>
          <w:lang w:val="en-US"/>
        </w:rPr>
        <w:t>3</w:t>
      </w:r>
      <w:r w:rsidRPr="007E64EB">
        <w:rPr>
          <w:rFonts w:ascii="Arial" w:hAnsi="Arial" w:cs="Arial"/>
          <w:b/>
          <w:bCs/>
          <w:sz w:val="24"/>
          <w:szCs w:val="24"/>
          <w:lang w:val="en-US"/>
        </w:rPr>
        <w:t xml:space="preserve"> –</w:t>
      </w:r>
      <w:r>
        <w:rPr>
          <w:rFonts w:ascii="Arial" w:hAnsi="Arial" w:cs="Arial"/>
          <w:b/>
          <w:bCs/>
          <w:sz w:val="24"/>
          <w:szCs w:val="24"/>
          <w:lang w:val="en-US"/>
        </w:rPr>
        <w:t xml:space="preserve"> Repeal</w:t>
      </w:r>
    </w:p>
    <w:p w:rsidR="00F12604" w:rsidRDefault="00B74846" w:rsidP="007E64EB">
      <w:pPr>
        <w:rPr>
          <w:rFonts w:ascii="Arial" w:hAnsi="Arial" w:cs="Arial"/>
          <w:sz w:val="24"/>
          <w:szCs w:val="24"/>
          <w:lang w:val="en-US"/>
        </w:rPr>
      </w:pPr>
      <w:r>
        <w:rPr>
          <w:rFonts w:ascii="Arial" w:hAnsi="Arial" w:cs="Arial"/>
          <w:sz w:val="24"/>
          <w:szCs w:val="24"/>
          <w:lang w:val="en-US"/>
        </w:rPr>
        <w:t>Commencement of the Determination</w:t>
      </w:r>
      <w:r w:rsidR="00FA1DEB">
        <w:rPr>
          <w:rFonts w:ascii="Arial" w:hAnsi="Arial" w:cs="Arial"/>
          <w:sz w:val="24"/>
          <w:szCs w:val="24"/>
          <w:lang w:val="en-US"/>
        </w:rPr>
        <w:t xml:space="preserve"> </w:t>
      </w:r>
      <w:r>
        <w:rPr>
          <w:rFonts w:ascii="Arial" w:hAnsi="Arial" w:cs="Arial"/>
          <w:sz w:val="24"/>
          <w:szCs w:val="24"/>
          <w:lang w:val="en-US"/>
        </w:rPr>
        <w:t>ends the application of the</w:t>
      </w:r>
      <w:r w:rsidR="00FA1DEB">
        <w:rPr>
          <w:rFonts w:ascii="Arial" w:hAnsi="Arial" w:cs="Arial"/>
          <w:sz w:val="24"/>
          <w:szCs w:val="24"/>
          <w:lang w:val="en-US"/>
        </w:rPr>
        <w:t xml:space="preserve"> </w:t>
      </w:r>
      <w:r w:rsidR="00AB5DEE" w:rsidRPr="002F4BA3">
        <w:rPr>
          <w:rFonts w:ascii="Arial" w:hAnsi="Arial" w:cs="Arial"/>
          <w:i/>
          <w:iCs/>
          <w:sz w:val="24"/>
          <w:szCs w:val="24"/>
        </w:rPr>
        <w:t xml:space="preserve">Bankruptcy </w:t>
      </w:r>
      <w:r w:rsidR="00AB5DEE" w:rsidRPr="00792252">
        <w:rPr>
          <w:rFonts w:ascii="Arial" w:hAnsi="Arial" w:cs="Arial"/>
          <w:i/>
          <w:iCs/>
          <w:sz w:val="24"/>
          <w:szCs w:val="24"/>
        </w:rPr>
        <w:t xml:space="preserve">(Estate Charges) (Amount of Charge Payable) </w:t>
      </w:r>
      <w:r w:rsidR="00AB5DEE" w:rsidRPr="002F4BA3">
        <w:rPr>
          <w:rFonts w:ascii="Arial" w:hAnsi="Arial" w:cs="Arial"/>
          <w:i/>
          <w:iCs/>
          <w:sz w:val="24"/>
          <w:szCs w:val="24"/>
        </w:rPr>
        <w:t>Determination 201</w:t>
      </w:r>
      <w:r w:rsidR="00345C66">
        <w:rPr>
          <w:rFonts w:ascii="Arial" w:hAnsi="Arial" w:cs="Arial"/>
          <w:i/>
          <w:iCs/>
          <w:sz w:val="24"/>
          <w:szCs w:val="24"/>
        </w:rPr>
        <w:t>4</w:t>
      </w:r>
      <w:r>
        <w:rPr>
          <w:rFonts w:ascii="Arial" w:hAnsi="Arial" w:cs="Arial"/>
          <w:sz w:val="24"/>
          <w:szCs w:val="24"/>
          <w:lang w:val="en-US"/>
        </w:rPr>
        <w:t>.</w:t>
      </w:r>
    </w:p>
    <w:p w:rsidR="00F12604" w:rsidRDefault="0051292D" w:rsidP="007E64EB">
      <w:pPr>
        <w:rPr>
          <w:rFonts w:ascii="Arial" w:hAnsi="Arial" w:cs="Arial"/>
          <w:b/>
          <w:bCs/>
          <w:sz w:val="24"/>
          <w:szCs w:val="24"/>
          <w:lang w:val="en-US"/>
        </w:rPr>
      </w:pPr>
      <w:r>
        <w:rPr>
          <w:rFonts w:ascii="Arial" w:hAnsi="Arial" w:cs="Arial"/>
          <w:b/>
          <w:bCs/>
          <w:sz w:val="24"/>
          <w:szCs w:val="24"/>
          <w:lang w:val="en-US"/>
        </w:rPr>
        <w:t xml:space="preserve">Section </w:t>
      </w:r>
      <w:r w:rsidR="00F12604" w:rsidRPr="00F12604">
        <w:rPr>
          <w:rFonts w:ascii="Arial" w:hAnsi="Arial" w:cs="Arial"/>
          <w:b/>
          <w:bCs/>
          <w:sz w:val="24"/>
          <w:szCs w:val="24"/>
          <w:lang w:val="en-US"/>
        </w:rPr>
        <w:t xml:space="preserve">4 </w:t>
      </w:r>
      <w:r w:rsidR="00F12604">
        <w:rPr>
          <w:rFonts w:ascii="Arial" w:hAnsi="Arial" w:cs="Arial"/>
          <w:b/>
          <w:bCs/>
          <w:sz w:val="24"/>
          <w:szCs w:val="24"/>
          <w:lang w:val="en-US"/>
        </w:rPr>
        <w:t>–</w:t>
      </w:r>
      <w:r w:rsidR="00F12604" w:rsidRPr="00F12604">
        <w:rPr>
          <w:rFonts w:ascii="Arial" w:hAnsi="Arial" w:cs="Arial"/>
          <w:b/>
          <w:bCs/>
          <w:sz w:val="24"/>
          <w:szCs w:val="24"/>
          <w:lang w:val="en-US"/>
        </w:rPr>
        <w:t xml:space="preserve"> </w:t>
      </w:r>
      <w:r w:rsidR="00AB5DEE">
        <w:rPr>
          <w:rFonts w:ascii="Arial" w:hAnsi="Arial" w:cs="Arial"/>
          <w:b/>
          <w:bCs/>
          <w:sz w:val="24"/>
          <w:szCs w:val="24"/>
          <w:lang w:val="en-US"/>
        </w:rPr>
        <w:t>Amount of charge payable</w:t>
      </w:r>
    </w:p>
    <w:p w:rsidR="00FC7FB8" w:rsidRDefault="00FC7FB8" w:rsidP="00AE5643">
      <w:pPr>
        <w:rPr>
          <w:rFonts w:ascii="Arial" w:hAnsi="Arial" w:cs="Arial"/>
          <w:sz w:val="24"/>
          <w:szCs w:val="24"/>
          <w:lang w:val="en-US"/>
        </w:rPr>
      </w:pPr>
      <w:r>
        <w:rPr>
          <w:rFonts w:ascii="Arial" w:hAnsi="Arial" w:cs="Arial"/>
          <w:sz w:val="24"/>
          <w:szCs w:val="24"/>
          <w:lang w:val="en-US"/>
        </w:rPr>
        <w:t>Section</w:t>
      </w:r>
      <w:r w:rsidR="00AB5DEE">
        <w:rPr>
          <w:rFonts w:ascii="Arial" w:hAnsi="Arial" w:cs="Arial"/>
          <w:sz w:val="24"/>
          <w:szCs w:val="24"/>
          <w:lang w:val="en-US"/>
        </w:rPr>
        <w:t xml:space="preserve"> </w:t>
      </w:r>
      <w:r w:rsidRPr="00FC7FB8">
        <w:rPr>
          <w:rFonts w:ascii="Arial" w:hAnsi="Arial" w:cs="Arial"/>
          <w:sz w:val="24"/>
          <w:szCs w:val="24"/>
          <w:lang w:val="en-US"/>
        </w:rPr>
        <w:t xml:space="preserve">4 </w:t>
      </w:r>
      <w:r w:rsidR="00AE5643">
        <w:rPr>
          <w:rFonts w:ascii="Arial" w:hAnsi="Arial" w:cs="Arial"/>
          <w:sz w:val="24"/>
          <w:szCs w:val="24"/>
          <w:lang w:val="en-US"/>
        </w:rPr>
        <w:t xml:space="preserve">sets out </w:t>
      </w:r>
      <w:r w:rsidR="00AE5643" w:rsidRPr="00792252">
        <w:rPr>
          <w:rFonts w:ascii="Arial" w:hAnsi="Arial" w:cs="Arial"/>
          <w:sz w:val="24"/>
          <w:szCs w:val="24"/>
        </w:rPr>
        <w:t>the percentage payable as the realisations charge on amounts received by trustees, controlling trustees an</w:t>
      </w:r>
      <w:r w:rsidR="00AE5643">
        <w:rPr>
          <w:rFonts w:ascii="Arial" w:hAnsi="Arial" w:cs="Arial"/>
          <w:sz w:val="24"/>
          <w:szCs w:val="24"/>
        </w:rPr>
        <w:t>d debt agreement administrators</w:t>
      </w:r>
      <w:r w:rsidRPr="00FC7FB8">
        <w:rPr>
          <w:rFonts w:ascii="Arial" w:hAnsi="Arial" w:cs="Arial"/>
          <w:sz w:val="24"/>
          <w:szCs w:val="24"/>
          <w:lang w:val="en-US"/>
        </w:rPr>
        <w:t>.</w:t>
      </w:r>
      <w:r w:rsidR="00502049">
        <w:rPr>
          <w:rFonts w:ascii="Arial" w:hAnsi="Arial" w:cs="Arial"/>
          <w:sz w:val="24"/>
          <w:szCs w:val="24"/>
          <w:lang w:val="en-US"/>
        </w:rPr>
        <w:t xml:space="preserve">  The amount payable is increased from </w:t>
      </w:r>
      <w:r w:rsidR="00345C66">
        <w:rPr>
          <w:rFonts w:ascii="Arial" w:hAnsi="Arial" w:cs="Arial"/>
          <w:sz w:val="24"/>
          <w:szCs w:val="24"/>
          <w:lang w:val="en-US"/>
        </w:rPr>
        <w:t>6.0</w:t>
      </w:r>
      <w:r w:rsidR="00502049">
        <w:rPr>
          <w:rFonts w:ascii="Arial" w:hAnsi="Arial" w:cs="Arial"/>
          <w:sz w:val="24"/>
          <w:szCs w:val="24"/>
          <w:lang w:val="en-US"/>
        </w:rPr>
        <w:t xml:space="preserve">% to </w:t>
      </w:r>
      <w:r w:rsidR="00345C66">
        <w:rPr>
          <w:rFonts w:ascii="Arial" w:hAnsi="Arial" w:cs="Arial"/>
          <w:sz w:val="24"/>
          <w:szCs w:val="24"/>
          <w:lang w:val="en-US"/>
        </w:rPr>
        <w:t>7</w:t>
      </w:r>
      <w:r w:rsidR="00502049">
        <w:rPr>
          <w:rFonts w:ascii="Arial" w:hAnsi="Arial" w:cs="Arial"/>
          <w:sz w:val="24"/>
          <w:szCs w:val="24"/>
          <w:lang w:val="en-US"/>
        </w:rPr>
        <w:t>.</w:t>
      </w:r>
      <w:r w:rsidR="00136923">
        <w:rPr>
          <w:rFonts w:ascii="Arial" w:hAnsi="Arial" w:cs="Arial"/>
          <w:sz w:val="24"/>
          <w:szCs w:val="24"/>
          <w:lang w:val="en-US"/>
        </w:rPr>
        <w:t>0</w:t>
      </w:r>
      <w:r w:rsidR="00502049">
        <w:rPr>
          <w:rFonts w:ascii="Arial" w:hAnsi="Arial" w:cs="Arial"/>
          <w:sz w:val="24"/>
          <w:szCs w:val="24"/>
          <w:lang w:val="en-US"/>
        </w:rPr>
        <w:t>%.</w:t>
      </w:r>
    </w:p>
    <w:p w:rsidR="005B62E5" w:rsidRPr="00FC7FB8" w:rsidRDefault="005B62E5" w:rsidP="00AE5643">
      <w:pPr>
        <w:rPr>
          <w:rFonts w:ascii="Arial" w:hAnsi="Arial" w:cs="Arial"/>
          <w:sz w:val="24"/>
          <w:szCs w:val="24"/>
          <w:lang w:val="en-US"/>
        </w:rPr>
      </w:pPr>
    </w:p>
    <w:p w:rsidR="005B62E5" w:rsidRDefault="005B62E5" w:rsidP="005B62E5">
      <w:pPr>
        <w:spacing w:after="0" w:line="240" w:lineRule="auto"/>
        <w:rPr>
          <w:rFonts w:ascii="Arial" w:hAnsi="Arial" w:cs="Arial"/>
          <w:sz w:val="24"/>
          <w:szCs w:val="24"/>
        </w:rPr>
      </w:pPr>
      <w:r>
        <w:rPr>
          <w:rFonts w:ascii="Arial" w:hAnsi="Arial" w:cs="Arial"/>
          <w:sz w:val="24"/>
          <w:szCs w:val="24"/>
        </w:rPr>
        <w:br w:type="page"/>
      </w:r>
    </w:p>
    <w:p w:rsidR="002C41B4" w:rsidRPr="00984A87" w:rsidRDefault="002C41B4" w:rsidP="002C41B4">
      <w:pPr>
        <w:rPr>
          <w:rFonts w:ascii="Arial" w:hAnsi="Arial" w:cs="Arial"/>
          <w:b/>
          <w:sz w:val="24"/>
          <w:szCs w:val="24"/>
        </w:rPr>
      </w:pPr>
      <w:r w:rsidRPr="00984A87">
        <w:rPr>
          <w:rFonts w:ascii="Arial" w:hAnsi="Arial" w:cs="Arial"/>
          <w:b/>
          <w:sz w:val="24"/>
          <w:szCs w:val="24"/>
        </w:rPr>
        <w:lastRenderedPageBreak/>
        <w:t>Attachment A</w:t>
      </w:r>
    </w:p>
    <w:p w:rsidR="002C41B4" w:rsidRPr="00380996" w:rsidRDefault="002C41B4" w:rsidP="002C41B4">
      <w:pPr>
        <w:jc w:val="center"/>
        <w:rPr>
          <w:rFonts w:ascii="Arial" w:hAnsi="Arial" w:cs="Arial"/>
          <w:b/>
          <w:sz w:val="24"/>
          <w:szCs w:val="24"/>
        </w:rPr>
      </w:pPr>
      <w:r w:rsidRPr="00380996">
        <w:rPr>
          <w:rFonts w:ascii="Arial" w:hAnsi="Arial" w:cs="Arial"/>
          <w:b/>
          <w:sz w:val="24"/>
          <w:szCs w:val="24"/>
        </w:rPr>
        <w:t>Statement of Compatibility with Human Rights</w:t>
      </w:r>
    </w:p>
    <w:p w:rsidR="002C41B4" w:rsidRPr="00380996" w:rsidRDefault="002C41B4" w:rsidP="002C41B4">
      <w:pPr>
        <w:rPr>
          <w:rFonts w:ascii="Arial" w:hAnsi="Arial" w:cs="Arial"/>
          <w:sz w:val="24"/>
          <w:szCs w:val="24"/>
        </w:rPr>
      </w:pPr>
      <w:r w:rsidRPr="00380996">
        <w:rPr>
          <w:rFonts w:ascii="Arial" w:hAnsi="Arial" w:cs="Arial"/>
          <w:i/>
          <w:sz w:val="24"/>
          <w:szCs w:val="24"/>
        </w:rPr>
        <w:t>Prepared in accordance with Part 3 of the Human Rights (Parliamentary Scrutiny)</w:t>
      </w:r>
      <w:r>
        <w:rPr>
          <w:rFonts w:ascii="Arial" w:hAnsi="Arial" w:cs="Arial"/>
          <w:i/>
          <w:sz w:val="24"/>
          <w:szCs w:val="24"/>
        </w:rPr>
        <w:t> </w:t>
      </w:r>
      <w:r w:rsidRPr="00380996">
        <w:rPr>
          <w:rFonts w:ascii="Arial" w:hAnsi="Arial" w:cs="Arial"/>
          <w:i/>
          <w:sz w:val="24"/>
          <w:szCs w:val="24"/>
        </w:rPr>
        <w:t>Act 2011</w:t>
      </w:r>
    </w:p>
    <w:p w:rsidR="002C41B4" w:rsidRPr="00380996" w:rsidRDefault="002C41B4" w:rsidP="002C41B4">
      <w:pPr>
        <w:jc w:val="center"/>
        <w:rPr>
          <w:rFonts w:ascii="Arial" w:hAnsi="Arial" w:cs="Arial"/>
          <w:b/>
          <w:sz w:val="24"/>
          <w:szCs w:val="24"/>
        </w:rPr>
      </w:pPr>
      <w:r>
        <w:rPr>
          <w:rFonts w:ascii="Arial" w:hAnsi="Arial" w:cs="Arial"/>
          <w:b/>
          <w:sz w:val="24"/>
          <w:szCs w:val="24"/>
        </w:rPr>
        <w:t>Bankruptcy (Estate Charges) (Amount of Charge Payable) Determination 201</w:t>
      </w:r>
      <w:r w:rsidR="00345C66">
        <w:rPr>
          <w:rFonts w:ascii="Arial" w:hAnsi="Arial" w:cs="Arial"/>
          <w:b/>
          <w:sz w:val="24"/>
          <w:szCs w:val="24"/>
        </w:rPr>
        <w:t>5</w:t>
      </w:r>
    </w:p>
    <w:p w:rsidR="002C41B4" w:rsidRPr="00380996" w:rsidRDefault="002C41B4" w:rsidP="002C41B4">
      <w:pPr>
        <w:rPr>
          <w:rFonts w:ascii="Arial" w:hAnsi="Arial" w:cs="Arial"/>
          <w:sz w:val="24"/>
          <w:szCs w:val="24"/>
        </w:rPr>
      </w:pPr>
      <w:r w:rsidRPr="00380996">
        <w:rPr>
          <w:rFonts w:ascii="Arial" w:hAnsi="Arial" w:cs="Arial"/>
          <w:sz w:val="24"/>
          <w:szCs w:val="24"/>
        </w:rPr>
        <w:t xml:space="preserve">This Legislative Instrument is compatible with the human rights and freedoms recognised or declared in the international instruments listed in section 3 of the </w:t>
      </w:r>
      <w:r w:rsidRPr="00380996">
        <w:rPr>
          <w:rFonts w:ascii="Arial" w:hAnsi="Arial" w:cs="Arial"/>
          <w:i/>
          <w:sz w:val="24"/>
          <w:szCs w:val="24"/>
        </w:rPr>
        <w:t>Human Rights (Parliamentary Scrutiny) Act 2011</w:t>
      </w:r>
      <w:r w:rsidRPr="00380996">
        <w:rPr>
          <w:rFonts w:ascii="Arial" w:hAnsi="Arial" w:cs="Arial"/>
          <w:sz w:val="24"/>
          <w:szCs w:val="24"/>
        </w:rPr>
        <w:t>.</w:t>
      </w:r>
    </w:p>
    <w:p w:rsidR="002C41B4" w:rsidRPr="00380996" w:rsidRDefault="002C41B4" w:rsidP="00F633CD">
      <w:pPr>
        <w:rPr>
          <w:rFonts w:ascii="Arial" w:hAnsi="Arial" w:cs="Arial"/>
          <w:b/>
          <w:sz w:val="24"/>
          <w:szCs w:val="24"/>
        </w:rPr>
      </w:pPr>
      <w:r w:rsidRPr="00380996">
        <w:rPr>
          <w:rFonts w:ascii="Arial" w:hAnsi="Arial" w:cs="Arial"/>
          <w:b/>
          <w:sz w:val="24"/>
          <w:szCs w:val="24"/>
        </w:rPr>
        <w:t>Overview of the Legislative Instrument</w:t>
      </w:r>
    </w:p>
    <w:p w:rsidR="002C41B4" w:rsidRPr="00380996" w:rsidRDefault="002C41B4" w:rsidP="002C41B4">
      <w:pPr>
        <w:rPr>
          <w:rFonts w:ascii="Arial" w:hAnsi="Arial" w:cs="Arial"/>
          <w:sz w:val="24"/>
          <w:szCs w:val="24"/>
        </w:rPr>
      </w:pPr>
      <w:r>
        <w:rPr>
          <w:rFonts w:ascii="Arial" w:hAnsi="Arial" w:cs="Arial"/>
          <w:sz w:val="24"/>
          <w:szCs w:val="24"/>
        </w:rPr>
        <w:t xml:space="preserve">This </w:t>
      </w:r>
      <w:r w:rsidR="001D7DA3">
        <w:rPr>
          <w:rFonts w:ascii="Arial" w:hAnsi="Arial" w:cs="Arial"/>
          <w:sz w:val="24"/>
          <w:szCs w:val="24"/>
        </w:rPr>
        <w:t>Legislative I</w:t>
      </w:r>
      <w:r>
        <w:rPr>
          <w:rFonts w:ascii="Arial" w:hAnsi="Arial" w:cs="Arial"/>
          <w:sz w:val="24"/>
          <w:szCs w:val="24"/>
        </w:rPr>
        <w:t xml:space="preserve">nstrument determines the percentage payable as the realisations charge on amounts received by trustees, controlling trustees and debt agreement administrators.  </w:t>
      </w:r>
    </w:p>
    <w:p w:rsidR="002C41B4" w:rsidRPr="00380996" w:rsidRDefault="002C41B4" w:rsidP="00F633CD">
      <w:pPr>
        <w:rPr>
          <w:rFonts w:ascii="Arial" w:hAnsi="Arial" w:cs="Arial"/>
          <w:b/>
          <w:sz w:val="24"/>
          <w:szCs w:val="24"/>
        </w:rPr>
      </w:pPr>
      <w:r w:rsidRPr="00380996">
        <w:rPr>
          <w:rFonts w:ascii="Arial" w:hAnsi="Arial" w:cs="Arial"/>
          <w:b/>
          <w:sz w:val="24"/>
          <w:szCs w:val="24"/>
        </w:rPr>
        <w:t>Human rights implications</w:t>
      </w:r>
    </w:p>
    <w:p w:rsidR="002C41B4" w:rsidRPr="00380996" w:rsidRDefault="002C41B4" w:rsidP="002C41B4">
      <w:pPr>
        <w:rPr>
          <w:rFonts w:ascii="Arial" w:hAnsi="Arial" w:cs="Arial"/>
          <w:sz w:val="24"/>
          <w:szCs w:val="24"/>
        </w:rPr>
      </w:pPr>
      <w:r w:rsidRPr="00380996">
        <w:rPr>
          <w:rFonts w:ascii="Arial" w:hAnsi="Arial" w:cs="Arial"/>
          <w:sz w:val="24"/>
          <w:szCs w:val="24"/>
        </w:rPr>
        <w:t>This Legislative Instrument does not engage any of the applicable rights or freedoms.</w:t>
      </w:r>
    </w:p>
    <w:p w:rsidR="002C41B4" w:rsidRPr="00380996" w:rsidRDefault="002C41B4" w:rsidP="00F633CD">
      <w:pPr>
        <w:rPr>
          <w:rFonts w:ascii="Arial" w:hAnsi="Arial" w:cs="Arial"/>
          <w:b/>
          <w:sz w:val="24"/>
          <w:szCs w:val="24"/>
        </w:rPr>
      </w:pPr>
      <w:r w:rsidRPr="00380996">
        <w:rPr>
          <w:rFonts w:ascii="Arial" w:hAnsi="Arial" w:cs="Arial"/>
          <w:b/>
          <w:sz w:val="24"/>
          <w:szCs w:val="24"/>
        </w:rPr>
        <w:t>Conclusion</w:t>
      </w:r>
    </w:p>
    <w:p w:rsidR="002C41B4" w:rsidRPr="00380996" w:rsidRDefault="002C41B4" w:rsidP="002C41B4">
      <w:pPr>
        <w:rPr>
          <w:rFonts w:ascii="Arial" w:hAnsi="Arial" w:cs="Arial"/>
          <w:sz w:val="24"/>
          <w:szCs w:val="24"/>
        </w:rPr>
      </w:pPr>
      <w:r w:rsidRPr="00380996">
        <w:rPr>
          <w:rFonts w:ascii="Arial" w:hAnsi="Arial" w:cs="Arial"/>
          <w:sz w:val="24"/>
          <w:szCs w:val="24"/>
        </w:rPr>
        <w:t>This Legislative Instrument is compatible with human rights as it does not raise any human rights issues.</w:t>
      </w:r>
    </w:p>
    <w:p w:rsidR="009B4ED3" w:rsidRPr="009B4ED3" w:rsidRDefault="009B4ED3" w:rsidP="007E64EB">
      <w:pPr>
        <w:rPr>
          <w:rFonts w:ascii="Arial" w:eastAsia="Times New Roman" w:hAnsi="Arial" w:cs="Arial"/>
          <w:b/>
          <w:sz w:val="24"/>
          <w:szCs w:val="24"/>
          <w:lang w:eastAsia="en-AU"/>
        </w:rPr>
      </w:pPr>
    </w:p>
    <w:sectPr w:rsidR="009B4ED3" w:rsidRPr="009B4ED3" w:rsidSect="0077380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0F" w:rsidRDefault="00CC750F" w:rsidP="00584366">
      <w:pPr>
        <w:spacing w:after="0" w:line="240" w:lineRule="auto"/>
      </w:pPr>
      <w:r>
        <w:separator/>
      </w:r>
    </w:p>
  </w:endnote>
  <w:endnote w:type="continuationSeparator" w:id="0">
    <w:p w:rsidR="00CC750F" w:rsidRDefault="00CC750F" w:rsidP="00584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300725"/>
      <w:docPartObj>
        <w:docPartGallery w:val="Page Numbers (Bottom of Page)"/>
        <w:docPartUnique/>
      </w:docPartObj>
    </w:sdtPr>
    <w:sdtEndPr>
      <w:rPr>
        <w:noProof/>
      </w:rPr>
    </w:sdtEndPr>
    <w:sdtContent>
      <w:p w:rsidR="00BA39D7" w:rsidRDefault="002E333E">
        <w:pPr>
          <w:pStyle w:val="Footer"/>
          <w:jc w:val="center"/>
        </w:pPr>
        <w:fldSimple w:instr=" PAGE   \* MERGEFORMAT ">
          <w:r w:rsidR="00345C66">
            <w:rPr>
              <w:noProof/>
            </w:rPr>
            <w:t>3</w:t>
          </w:r>
        </w:fldSimple>
      </w:p>
    </w:sdtContent>
  </w:sdt>
  <w:p w:rsidR="00BA39D7" w:rsidRDefault="00BA3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0F" w:rsidRDefault="00CC750F" w:rsidP="00584366">
      <w:pPr>
        <w:spacing w:after="0" w:line="240" w:lineRule="auto"/>
      </w:pPr>
      <w:r>
        <w:separator/>
      </w:r>
    </w:p>
  </w:footnote>
  <w:footnote w:type="continuationSeparator" w:id="0">
    <w:p w:rsidR="00CC750F" w:rsidRDefault="00CC750F" w:rsidP="00584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6835"/>
    <w:multiLevelType w:val="hybridMultilevel"/>
    <w:tmpl w:val="FD6A7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C42909"/>
    <w:multiLevelType w:val="multilevel"/>
    <w:tmpl w:val="753AC1FE"/>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pStyle w:val="AlphaParagraph"/>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nsid w:val="44B234B6"/>
    <w:multiLevelType w:val="hybridMultilevel"/>
    <w:tmpl w:val="AD287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026599"/>
    <w:multiLevelType w:val="hybridMultilevel"/>
    <w:tmpl w:val="EA8A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4034"/>
  </w:hdrShapeDefaults>
  <w:footnotePr>
    <w:footnote w:id="-1"/>
    <w:footnote w:id="0"/>
  </w:footnotePr>
  <w:endnotePr>
    <w:endnote w:id="-1"/>
    <w:endnote w:id="0"/>
  </w:endnotePr>
  <w:compat/>
  <w:rsids>
    <w:rsidRoot w:val="007E64EB"/>
    <w:rsid w:val="0001098B"/>
    <w:rsid w:val="00017B08"/>
    <w:rsid w:val="00023E24"/>
    <w:rsid w:val="000249A0"/>
    <w:rsid w:val="00036554"/>
    <w:rsid w:val="00041A62"/>
    <w:rsid w:val="000431EF"/>
    <w:rsid w:val="000538C0"/>
    <w:rsid w:val="000566C6"/>
    <w:rsid w:val="000610B7"/>
    <w:rsid w:val="00067B00"/>
    <w:rsid w:val="000710FD"/>
    <w:rsid w:val="000827C7"/>
    <w:rsid w:val="00085F3A"/>
    <w:rsid w:val="00094F4E"/>
    <w:rsid w:val="000A6A40"/>
    <w:rsid w:val="000C1B90"/>
    <w:rsid w:val="000E02B4"/>
    <w:rsid w:val="000E28D0"/>
    <w:rsid w:val="0011081E"/>
    <w:rsid w:val="001244D0"/>
    <w:rsid w:val="001309E5"/>
    <w:rsid w:val="00136923"/>
    <w:rsid w:val="00150BA9"/>
    <w:rsid w:val="0016484B"/>
    <w:rsid w:val="00164AFF"/>
    <w:rsid w:val="00167C59"/>
    <w:rsid w:val="00177C24"/>
    <w:rsid w:val="00177DD3"/>
    <w:rsid w:val="001801D3"/>
    <w:rsid w:val="00180B6B"/>
    <w:rsid w:val="0019163C"/>
    <w:rsid w:val="001B4F35"/>
    <w:rsid w:val="001C4F16"/>
    <w:rsid w:val="001D7180"/>
    <w:rsid w:val="001D7964"/>
    <w:rsid w:val="001D7DA3"/>
    <w:rsid w:val="001E2C73"/>
    <w:rsid w:val="001F3429"/>
    <w:rsid w:val="001F6E20"/>
    <w:rsid w:val="00211551"/>
    <w:rsid w:val="0022025B"/>
    <w:rsid w:val="0022365C"/>
    <w:rsid w:val="00225AFD"/>
    <w:rsid w:val="00230200"/>
    <w:rsid w:val="00232B00"/>
    <w:rsid w:val="00250D38"/>
    <w:rsid w:val="002530F3"/>
    <w:rsid w:val="00270CA4"/>
    <w:rsid w:val="00274FC3"/>
    <w:rsid w:val="002A77F6"/>
    <w:rsid w:val="002C04A0"/>
    <w:rsid w:val="002C41B4"/>
    <w:rsid w:val="002C4672"/>
    <w:rsid w:val="002E1F2A"/>
    <w:rsid w:val="002E333E"/>
    <w:rsid w:val="002E4700"/>
    <w:rsid w:val="002E4DAD"/>
    <w:rsid w:val="002F4BA3"/>
    <w:rsid w:val="003012F6"/>
    <w:rsid w:val="0030580A"/>
    <w:rsid w:val="0034022D"/>
    <w:rsid w:val="0034133E"/>
    <w:rsid w:val="00345C66"/>
    <w:rsid w:val="003604EF"/>
    <w:rsid w:val="003858E3"/>
    <w:rsid w:val="003A2AFC"/>
    <w:rsid w:val="003B050C"/>
    <w:rsid w:val="003B3A21"/>
    <w:rsid w:val="003C3EE3"/>
    <w:rsid w:val="003C4AEC"/>
    <w:rsid w:val="003C529D"/>
    <w:rsid w:val="003F5CFA"/>
    <w:rsid w:val="00413B70"/>
    <w:rsid w:val="00420072"/>
    <w:rsid w:val="00431A72"/>
    <w:rsid w:val="00432151"/>
    <w:rsid w:val="004343A9"/>
    <w:rsid w:val="004471EC"/>
    <w:rsid w:val="004B0C75"/>
    <w:rsid w:val="004B6529"/>
    <w:rsid w:val="004C2C7E"/>
    <w:rsid w:val="004C400C"/>
    <w:rsid w:val="004C4406"/>
    <w:rsid w:val="004D03D7"/>
    <w:rsid w:val="004D571E"/>
    <w:rsid w:val="004E2A4E"/>
    <w:rsid w:val="004F5565"/>
    <w:rsid w:val="005009ED"/>
    <w:rsid w:val="00502049"/>
    <w:rsid w:val="00511A4C"/>
    <w:rsid w:val="0051292D"/>
    <w:rsid w:val="00533756"/>
    <w:rsid w:val="00536333"/>
    <w:rsid w:val="00537BEF"/>
    <w:rsid w:val="00541A25"/>
    <w:rsid w:val="00546421"/>
    <w:rsid w:val="00562455"/>
    <w:rsid w:val="00575EEE"/>
    <w:rsid w:val="00582B7F"/>
    <w:rsid w:val="00584366"/>
    <w:rsid w:val="00584C51"/>
    <w:rsid w:val="00592FE2"/>
    <w:rsid w:val="0059762B"/>
    <w:rsid w:val="005A2B75"/>
    <w:rsid w:val="005B1FBE"/>
    <w:rsid w:val="005B62E5"/>
    <w:rsid w:val="005C1D88"/>
    <w:rsid w:val="005D41E5"/>
    <w:rsid w:val="005F5FE6"/>
    <w:rsid w:val="0060369C"/>
    <w:rsid w:val="00603E43"/>
    <w:rsid w:val="00610E6E"/>
    <w:rsid w:val="00625E6B"/>
    <w:rsid w:val="00627C61"/>
    <w:rsid w:val="00637F9A"/>
    <w:rsid w:val="00651583"/>
    <w:rsid w:val="00661506"/>
    <w:rsid w:val="00676518"/>
    <w:rsid w:val="00691E7D"/>
    <w:rsid w:val="00692A85"/>
    <w:rsid w:val="0069536A"/>
    <w:rsid w:val="00697A9E"/>
    <w:rsid w:val="006A0DA2"/>
    <w:rsid w:val="006B164D"/>
    <w:rsid w:val="006B5029"/>
    <w:rsid w:val="006D1B6E"/>
    <w:rsid w:val="006D50CC"/>
    <w:rsid w:val="006E0973"/>
    <w:rsid w:val="0070222D"/>
    <w:rsid w:val="00705B37"/>
    <w:rsid w:val="00707A4B"/>
    <w:rsid w:val="007127E4"/>
    <w:rsid w:val="00714AB9"/>
    <w:rsid w:val="00714C33"/>
    <w:rsid w:val="00762B05"/>
    <w:rsid w:val="00763D04"/>
    <w:rsid w:val="00765140"/>
    <w:rsid w:val="007731DC"/>
    <w:rsid w:val="00773805"/>
    <w:rsid w:val="00787DE8"/>
    <w:rsid w:val="00791E1F"/>
    <w:rsid w:val="00792252"/>
    <w:rsid w:val="00792798"/>
    <w:rsid w:val="00792FC0"/>
    <w:rsid w:val="007A4740"/>
    <w:rsid w:val="007A5E8D"/>
    <w:rsid w:val="007A6920"/>
    <w:rsid w:val="007B0A9F"/>
    <w:rsid w:val="007B111B"/>
    <w:rsid w:val="007B628D"/>
    <w:rsid w:val="007B6E8B"/>
    <w:rsid w:val="007C496B"/>
    <w:rsid w:val="007C6322"/>
    <w:rsid w:val="007E64EB"/>
    <w:rsid w:val="007F3ADA"/>
    <w:rsid w:val="007F4906"/>
    <w:rsid w:val="007F511F"/>
    <w:rsid w:val="008003DE"/>
    <w:rsid w:val="00824B8A"/>
    <w:rsid w:val="00831C65"/>
    <w:rsid w:val="008564E9"/>
    <w:rsid w:val="0086436C"/>
    <w:rsid w:val="00864A44"/>
    <w:rsid w:val="00875264"/>
    <w:rsid w:val="008775D1"/>
    <w:rsid w:val="00890E2C"/>
    <w:rsid w:val="0089453A"/>
    <w:rsid w:val="008A009C"/>
    <w:rsid w:val="008A21E5"/>
    <w:rsid w:val="008A4DE6"/>
    <w:rsid w:val="008A52C4"/>
    <w:rsid w:val="008B66E1"/>
    <w:rsid w:val="008C42FF"/>
    <w:rsid w:val="008D011A"/>
    <w:rsid w:val="008F2941"/>
    <w:rsid w:val="008F5AA6"/>
    <w:rsid w:val="00915D45"/>
    <w:rsid w:val="00932215"/>
    <w:rsid w:val="009475DC"/>
    <w:rsid w:val="009501CB"/>
    <w:rsid w:val="00962F71"/>
    <w:rsid w:val="00975552"/>
    <w:rsid w:val="00984A87"/>
    <w:rsid w:val="009B493E"/>
    <w:rsid w:val="009B4ED3"/>
    <w:rsid w:val="009C5A04"/>
    <w:rsid w:val="009C6CE8"/>
    <w:rsid w:val="009D1772"/>
    <w:rsid w:val="009E7DAA"/>
    <w:rsid w:val="009F7D75"/>
    <w:rsid w:val="00A10840"/>
    <w:rsid w:val="00A151F8"/>
    <w:rsid w:val="00A20CB6"/>
    <w:rsid w:val="00A22C5F"/>
    <w:rsid w:val="00A23E85"/>
    <w:rsid w:val="00A2738F"/>
    <w:rsid w:val="00A36D08"/>
    <w:rsid w:val="00A374F5"/>
    <w:rsid w:val="00A42AB9"/>
    <w:rsid w:val="00A5441D"/>
    <w:rsid w:val="00A91A9B"/>
    <w:rsid w:val="00A95D7D"/>
    <w:rsid w:val="00A978D7"/>
    <w:rsid w:val="00AA758A"/>
    <w:rsid w:val="00AB5DEE"/>
    <w:rsid w:val="00AC026A"/>
    <w:rsid w:val="00AC1FA9"/>
    <w:rsid w:val="00AD246C"/>
    <w:rsid w:val="00AD43AF"/>
    <w:rsid w:val="00AD71E5"/>
    <w:rsid w:val="00AE5643"/>
    <w:rsid w:val="00AE76AA"/>
    <w:rsid w:val="00AF2DB2"/>
    <w:rsid w:val="00B01E02"/>
    <w:rsid w:val="00B04A16"/>
    <w:rsid w:val="00B04FED"/>
    <w:rsid w:val="00B05162"/>
    <w:rsid w:val="00B16BE1"/>
    <w:rsid w:val="00B2573F"/>
    <w:rsid w:val="00B47A03"/>
    <w:rsid w:val="00B6392A"/>
    <w:rsid w:val="00B74846"/>
    <w:rsid w:val="00B84B18"/>
    <w:rsid w:val="00B85D9F"/>
    <w:rsid w:val="00B90D2A"/>
    <w:rsid w:val="00B95E5F"/>
    <w:rsid w:val="00BA0604"/>
    <w:rsid w:val="00BA39D7"/>
    <w:rsid w:val="00BA71BB"/>
    <w:rsid w:val="00BE6A86"/>
    <w:rsid w:val="00BE7928"/>
    <w:rsid w:val="00BF61AF"/>
    <w:rsid w:val="00C1511F"/>
    <w:rsid w:val="00C16EF8"/>
    <w:rsid w:val="00C308DC"/>
    <w:rsid w:val="00C34DB1"/>
    <w:rsid w:val="00C43871"/>
    <w:rsid w:val="00C43FEF"/>
    <w:rsid w:val="00C54C11"/>
    <w:rsid w:val="00C66E92"/>
    <w:rsid w:val="00C76FDC"/>
    <w:rsid w:val="00C776AC"/>
    <w:rsid w:val="00CA0919"/>
    <w:rsid w:val="00CA7C9A"/>
    <w:rsid w:val="00CB1C25"/>
    <w:rsid w:val="00CB21BF"/>
    <w:rsid w:val="00CC0B58"/>
    <w:rsid w:val="00CC5410"/>
    <w:rsid w:val="00CC750F"/>
    <w:rsid w:val="00CC7C15"/>
    <w:rsid w:val="00CD5B91"/>
    <w:rsid w:val="00CE6661"/>
    <w:rsid w:val="00CE700B"/>
    <w:rsid w:val="00D0526E"/>
    <w:rsid w:val="00D2050C"/>
    <w:rsid w:val="00D217DD"/>
    <w:rsid w:val="00D25D4D"/>
    <w:rsid w:val="00D26D1B"/>
    <w:rsid w:val="00D327E5"/>
    <w:rsid w:val="00D465BF"/>
    <w:rsid w:val="00D5587D"/>
    <w:rsid w:val="00D566BF"/>
    <w:rsid w:val="00D63526"/>
    <w:rsid w:val="00D6480E"/>
    <w:rsid w:val="00D77A24"/>
    <w:rsid w:val="00D96563"/>
    <w:rsid w:val="00DD2924"/>
    <w:rsid w:val="00DD5640"/>
    <w:rsid w:val="00DE52AB"/>
    <w:rsid w:val="00DF0952"/>
    <w:rsid w:val="00E127F0"/>
    <w:rsid w:val="00E15CE0"/>
    <w:rsid w:val="00E33D42"/>
    <w:rsid w:val="00E36B3F"/>
    <w:rsid w:val="00E407D6"/>
    <w:rsid w:val="00E42B43"/>
    <w:rsid w:val="00E45699"/>
    <w:rsid w:val="00E45CF4"/>
    <w:rsid w:val="00E47E02"/>
    <w:rsid w:val="00E52429"/>
    <w:rsid w:val="00E562D4"/>
    <w:rsid w:val="00E57211"/>
    <w:rsid w:val="00E64C05"/>
    <w:rsid w:val="00E72C58"/>
    <w:rsid w:val="00EB381D"/>
    <w:rsid w:val="00ED2883"/>
    <w:rsid w:val="00ED3302"/>
    <w:rsid w:val="00EE74FA"/>
    <w:rsid w:val="00EF06FE"/>
    <w:rsid w:val="00EF109B"/>
    <w:rsid w:val="00F009DA"/>
    <w:rsid w:val="00F03D95"/>
    <w:rsid w:val="00F125C3"/>
    <w:rsid w:val="00F12604"/>
    <w:rsid w:val="00F165B4"/>
    <w:rsid w:val="00F2341A"/>
    <w:rsid w:val="00F33164"/>
    <w:rsid w:val="00F35166"/>
    <w:rsid w:val="00F361AB"/>
    <w:rsid w:val="00F36D12"/>
    <w:rsid w:val="00F50D3D"/>
    <w:rsid w:val="00F51A29"/>
    <w:rsid w:val="00F55302"/>
    <w:rsid w:val="00F564B5"/>
    <w:rsid w:val="00F60B26"/>
    <w:rsid w:val="00F633CD"/>
    <w:rsid w:val="00F72B05"/>
    <w:rsid w:val="00F8232D"/>
    <w:rsid w:val="00F84022"/>
    <w:rsid w:val="00F91841"/>
    <w:rsid w:val="00F921BC"/>
    <w:rsid w:val="00F9368B"/>
    <w:rsid w:val="00F972F4"/>
    <w:rsid w:val="00FA1DEB"/>
    <w:rsid w:val="00FB5D2D"/>
    <w:rsid w:val="00FC497B"/>
    <w:rsid w:val="00FC7FB8"/>
    <w:rsid w:val="00FF513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0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9D"/>
    <w:rPr>
      <w:rFonts w:ascii="Tahoma" w:hAnsi="Tahoma" w:cs="Tahoma"/>
      <w:sz w:val="16"/>
      <w:szCs w:val="16"/>
      <w:lang w:eastAsia="en-US"/>
    </w:rPr>
  </w:style>
  <w:style w:type="character" w:styleId="CommentReference">
    <w:name w:val="annotation reference"/>
    <w:basedOn w:val="DefaultParagraphFont"/>
    <w:uiPriority w:val="99"/>
    <w:semiHidden/>
    <w:unhideWhenUsed/>
    <w:rsid w:val="00592FE2"/>
    <w:rPr>
      <w:sz w:val="16"/>
      <w:szCs w:val="16"/>
    </w:rPr>
  </w:style>
  <w:style w:type="paragraph" w:styleId="CommentText">
    <w:name w:val="annotation text"/>
    <w:basedOn w:val="Normal"/>
    <w:link w:val="CommentTextChar"/>
    <w:uiPriority w:val="99"/>
    <w:semiHidden/>
    <w:unhideWhenUsed/>
    <w:rsid w:val="00592FE2"/>
    <w:rPr>
      <w:sz w:val="20"/>
      <w:szCs w:val="20"/>
    </w:rPr>
  </w:style>
  <w:style w:type="character" w:customStyle="1" w:styleId="CommentTextChar">
    <w:name w:val="Comment Text Char"/>
    <w:basedOn w:val="DefaultParagraphFont"/>
    <w:link w:val="CommentText"/>
    <w:uiPriority w:val="99"/>
    <w:semiHidden/>
    <w:rsid w:val="00592FE2"/>
    <w:rPr>
      <w:lang w:eastAsia="en-US"/>
    </w:rPr>
  </w:style>
  <w:style w:type="paragraph" w:styleId="CommentSubject">
    <w:name w:val="annotation subject"/>
    <w:basedOn w:val="CommentText"/>
    <w:next w:val="CommentText"/>
    <w:link w:val="CommentSubjectChar"/>
    <w:uiPriority w:val="99"/>
    <w:semiHidden/>
    <w:unhideWhenUsed/>
    <w:rsid w:val="00592FE2"/>
    <w:rPr>
      <w:b/>
      <w:bCs/>
    </w:rPr>
  </w:style>
  <w:style w:type="character" w:customStyle="1" w:styleId="CommentSubjectChar">
    <w:name w:val="Comment Subject Char"/>
    <w:basedOn w:val="CommentTextChar"/>
    <w:link w:val="CommentSubject"/>
    <w:uiPriority w:val="99"/>
    <w:semiHidden/>
    <w:rsid w:val="00592FE2"/>
    <w:rPr>
      <w:b/>
      <w:bCs/>
      <w:lang w:eastAsia="en-US"/>
    </w:rPr>
  </w:style>
  <w:style w:type="paragraph" w:customStyle="1" w:styleId="AlphaParagraph">
    <w:name w:val="Alpha Paragraph"/>
    <w:basedOn w:val="Normal"/>
    <w:rsid w:val="00584366"/>
    <w:pPr>
      <w:numPr>
        <w:ilvl w:val="1"/>
        <w:numId w:val="2"/>
      </w:numPr>
      <w:spacing w:after="120" w:line="260" w:lineRule="exact"/>
      <w:ind w:hanging="567"/>
    </w:pPr>
    <w:rPr>
      <w:rFonts w:ascii="Book Antiqua" w:eastAsia="Times New Roman" w:hAnsi="Book Antiqua"/>
      <w:sz w:val="20"/>
      <w:szCs w:val="20"/>
      <w:lang w:eastAsia="en-AU"/>
    </w:rPr>
  </w:style>
  <w:style w:type="paragraph" w:customStyle="1" w:styleId="Bullet">
    <w:name w:val="Bullet"/>
    <w:basedOn w:val="Normal"/>
    <w:link w:val="BulletChar"/>
    <w:rsid w:val="00584366"/>
    <w:pPr>
      <w:tabs>
        <w:tab w:val="num" w:pos="720"/>
      </w:tabs>
      <w:spacing w:after="120" w:line="260" w:lineRule="exact"/>
      <w:ind w:left="284" w:hanging="284"/>
    </w:pPr>
    <w:rPr>
      <w:rFonts w:ascii="Book Antiqua" w:eastAsia="Times New Roman" w:hAnsi="Book Antiqua"/>
      <w:sz w:val="20"/>
      <w:szCs w:val="20"/>
    </w:rPr>
  </w:style>
  <w:style w:type="character" w:customStyle="1" w:styleId="BulletChar">
    <w:name w:val="Bullet Char"/>
    <w:link w:val="Bullet"/>
    <w:rsid w:val="00584366"/>
    <w:rPr>
      <w:rFonts w:ascii="Book Antiqua" w:eastAsia="Times New Roman" w:hAnsi="Book Antiqua"/>
      <w:lang w:eastAsia="en-US"/>
    </w:rPr>
  </w:style>
  <w:style w:type="paragraph" w:customStyle="1" w:styleId="Dash">
    <w:name w:val="Dash"/>
    <w:basedOn w:val="Normal"/>
    <w:rsid w:val="00584366"/>
    <w:pPr>
      <w:tabs>
        <w:tab w:val="num" w:pos="1440"/>
      </w:tabs>
      <w:spacing w:after="120" w:line="260" w:lineRule="exact"/>
      <w:ind w:left="568" w:hanging="360"/>
    </w:pPr>
    <w:rPr>
      <w:rFonts w:ascii="Book Antiqua" w:eastAsia="Times New Roman" w:hAnsi="Book Antiqua"/>
      <w:sz w:val="20"/>
      <w:szCs w:val="20"/>
      <w:lang w:eastAsia="en-AU"/>
    </w:rPr>
  </w:style>
  <w:style w:type="character" w:customStyle="1" w:styleId="italic-body">
    <w:name w:val="italic - body"/>
    <w:rsid w:val="00584366"/>
    <w:rPr>
      <w:i/>
      <w:iCs/>
    </w:rPr>
  </w:style>
  <w:style w:type="paragraph" w:customStyle="1" w:styleId="Bulletlast">
    <w:name w:val="Bullet last"/>
    <w:basedOn w:val="Normal"/>
    <w:rsid w:val="00584366"/>
    <w:pPr>
      <w:tabs>
        <w:tab w:val="num" w:pos="283"/>
      </w:tabs>
      <w:spacing w:after="240" w:line="260" w:lineRule="exact"/>
      <w:ind w:left="284" w:hanging="284"/>
    </w:pPr>
    <w:rPr>
      <w:rFonts w:ascii="Book Antiqua" w:eastAsia="Times New Roman" w:hAnsi="Book Antiqua" w:cs="Book Antiqua"/>
      <w:color w:val="000000"/>
      <w:sz w:val="20"/>
      <w:szCs w:val="20"/>
      <w:lang w:val="en-US"/>
    </w:rPr>
  </w:style>
  <w:style w:type="paragraph" w:styleId="FootnoteText">
    <w:name w:val="footnote text"/>
    <w:basedOn w:val="Normal"/>
    <w:link w:val="FootnoteTextChar"/>
    <w:uiPriority w:val="99"/>
    <w:semiHidden/>
    <w:unhideWhenUsed/>
    <w:rsid w:val="0058436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84366"/>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584366"/>
    <w:rPr>
      <w:vertAlign w:val="superscript"/>
    </w:rPr>
  </w:style>
  <w:style w:type="paragraph" w:styleId="ListParagraph">
    <w:name w:val="List Paragraph"/>
    <w:basedOn w:val="Normal"/>
    <w:uiPriority w:val="34"/>
    <w:qFormat/>
    <w:rsid w:val="00167C59"/>
    <w:pPr>
      <w:ind w:left="720"/>
      <w:contextualSpacing/>
    </w:pPr>
  </w:style>
  <w:style w:type="paragraph" w:styleId="Header">
    <w:name w:val="header"/>
    <w:basedOn w:val="Normal"/>
    <w:link w:val="HeaderChar"/>
    <w:uiPriority w:val="99"/>
    <w:unhideWhenUsed/>
    <w:rsid w:val="00D7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A24"/>
    <w:rPr>
      <w:sz w:val="22"/>
      <w:szCs w:val="22"/>
      <w:lang w:eastAsia="en-US"/>
    </w:rPr>
  </w:style>
  <w:style w:type="paragraph" w:styleId="Footer">
    <w:name w:val="footer"/>
    <w:basedOn w:val="Normal"/>
    <w:link w:val="FooterChar"/>
    <w:uiPriority w:val="99"/>
    <w:unhideWhenUsed/>
    <w:rsid w:val="00D7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A24"/>
    <w:rPr>
      <w:sz w:val="22"/>
      <w:szCs w:val="22"/>
      <w:lang w:eastAsia="en-US"/>
    </w:rPr>
  </w:style>
  <w:style w:type="paragraph" w:customStyle="1" w:styleId="Pa12">
    <w:name w:val="Pa12"/>
    <w:basedOn w:val="Normal"/>
    <w:next w:val="Normal"/>
    <w:uiPriority w:val="99"/>
    <w:rsid w:val="00225AFD"/>
    <w:pPr>
      <w:widowControl w:val="0"/>
      <w:autoSpaceDE w:val="0"/>
      <w:autoSpaceDN w:val="0"/>
      <w:adjustRightInd w:val="0"/>
      <w:spacing w:after="160" w:line="241" w:lineRule="atLeast"/>
    </w:pPr>
    <w:rPr>
      <w:rFonts w:ascii="Univers" w:eastAsia="SimSun" w:hAnsi="Univers" w:cs="Univer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384727">
      <w:bodyDiv w:val="1"/>
      <w:marLeft w:val="0"/>
      <w:marRight w:val="0"/>
      <w:marTop w:val="0"/>
      <w:marBottom w:val="0"/>
      <w:divBdr>
        <w:top w:val="none" w:sz="0" w:space="0" w:color="auto"/>
        <w:left w:val="none" w:sz="0" w:space="0" w:color="auto"/>
        <w:bottom w:val="none" w:sz="0" w:space="0" w:color="auto"/>
        <w:right w:val="none" w:sz="0" w:space="0" w:color="auto"/>
      </w:divBdr>
      <w:divsChild>
        <w:div w:id="427695113">
          <w:marLeft w:val="0"/>
          <w:marRight w:val="0"/>
          <w:marTop w:val="0"/>
          <w:marBottom w:val="0"/>
          <w:divBdr>
            <w:top w:val="none" w:sz="0" w:space="0" w:color="auto"/>
            <w:left w:val="none" w:sz="0" w:space="0" w:color="auto"/>
            <w:bottom w:val="none" w:sz="0" w:space="0" w:color="auto"/>
            <w:right w:val="none" w:sz="0" w:space="0" w:color="auto"/>
          </w:divBdr>
          <w:divsChild>
            <w:div w:id="1491479345">
              <w:marLeft w:val="0"/>
              <w:marRight w:val="0"/>
              <w:marTop w:val="0"/>
              <w:marBottom w:val="0"/>
              <w:divBdr>
                <w:top w:val="none" w:sz="0" w:space="0" w:color="auto"/>
                <w:left w:val="none" w:sz="0" w:space="0" w:color="auto"/>
                <w:bottom w:val="none" w:sz="0" w:space="0" w:color="auto"/>
                <w:right w:val="none" w:sz="0" w:space="0" w:color="auto"/>
              </w:divBdr>
              <w:divsChild>
                <w:div w:id="706300038">
                  <w:marLeft w:val="0"/>
                  <w:marRight w:val="0"/>
                  <w:marTop w:val="0"/>
                  <w:marBottom w:val="0"/>
                  <w:divBdr>
                    <w:top w:val="none" w:sz="0" w:space="0" w:color="auto"/>
                    <w:left w:val="none" w:sz="0" w:space="0" w:color="auto"/>
                    <w:bottom w:val="none" w:sz="0" w:space="0" w:color="auto"/>
                    <w:right w:val="none" w:sz="0" w:space="0" w:color="auto"/>
                  </w:divBdr>
                  <w:divsChild>
                    <w:div w:id="1744373511">
                      <w:marLeft w:val="0"/>
                      <w:marRight w:val="0"/>
                      <w:marTop w:val="0"/>
                      <w:marBottom w:val="0"/>
                      <w:divBdr>
                        <w:top w:val="none" w:sz="0" w:space="0" w:color="auto"/>
                        <w:left w:val="none" w:sz="0" w:space="0" w:color="auto"/>
                        <w:bottom w:val="none" w:sz="0" w:space="0" w:color="auto"/>
                        <w:right w:val="none" w:sz="0" w:space="0" w:color="auto"/>
                      </w:divBdr>
                      <w:divsChild>
                        <w:div w:id="987323321">
                          <w:marLeft w:val="0"/>
                          <w:marRight w:val="0"/>
                          <w:marTop w:val="0"/>
                          <w:marBottom w:val="0"/>
                          <w:divBdr>
                            <w:top w:val="single" w:sz="4" w:space="0" w:color="828282"/>
                            <w:left w:val="single" w:sz="4" w:space="0" w:color="828282"/>
                            <w:bottom w:val="single" w:sz="4" w:space="0" w:color="828282"/>
                            <w:right w:val="single" w:sz="4" w:space="0" w:color="828282"/>
                          </w:divBdr>
                          <w:divsChild>
                            <w:div w:id="1557424500">
                              <w:marLeft w:val="0"/>
                              <w:marRight w:val="0"/>
                              <w:marTop w:val="0"/>
                              <w:marBottom w:val="0"/>
                              <w:divBdr>
                                <w:top w:val="none" w:sz="0" w:space="0" w:color="auto"/>
                                <w:left w:val="none" w:sz="0" w:space="0" w:color="auto"/>
                                <w:bottom w:val="none" w:sz="0" w:space="0" w:color="auto"/>
                                <w:right w:val="none" w:sz="0" w:space="0" w:color="auto"/>
                              </w:divBdr>
                              <w:divsChild>
                                <w:div w:id="1614945775">
                                  <w:marLeft w:val="0"/>
                                  <w:marRight w:val="0"/>
                                  <w:marTop w:val="0"/>
                                  <w:marBottom w:val="0"/>
                                  <w:divBdr>
                                    <w:top w:val="none" w:sz="0" w:space="0" w:color="auto"/>
                                    <w:left w:val="none" w:sz="0" w:space="0" w:color="auto"/>
                                    <w:bottom w:val="none" w:sz="0" w:space="0" w:color="auto"/>
                                    <w:right w:val="none" w:sz="0" w:space="0" w:color="auto"/>
                                  </w:divBdr>
                                  <w:divsChild>
                                    <w:div w:id="897325791">
                                      <w:marLeft w:val="0"/>
                                      <w:marRight w:val="0"/>
                                      <w:marTop w:val="0"/>
                                      <w:marBottom w:val="0"/>
                                      <w:divBdr>
                                        <w:top w:val="none" w:sz="0" w:space="0" w:color="auto"/>
                                        <w:left w:val="none" w:sz="0" w:space="0" w:color="auto"/>
                                        <w:bottom w:val="none" w:sz="0" w:space="0" w:color="auto"/>
                                        <w:right w:val="none" w:sz="0" w:space="0" w:color="auto"/>
                                      </w:divBdr>
                                      <w:divsChild>
                                        <w:div w:id="827984024">
                                          <w:marLeft w:val="0"/>
                                          <w:marRight w:val="0"/>
                                          <w:marTop w:val="0"/>
                                          <w:marBottom w:val="0"/>
                                          <w:divBdr>
                                            <w:top w:val="none" w:sz="0" w:space="0" w:color="auto"/>
                                            <w:left w:val="none" w:sz="0" w:space="0" w:color="auto"/>
                                            <w:bottom w:val="none" w:sz="0" w:space="0" w:color="auto"/>
                                            <w:right w:val="none" w:sz="0" w:space="0" w:color="auto"/>
                                          </w:divBdr>
                                          <w:divsChild>
                                            <w:div w:id="629555846">
                                              <w:marLeft w:val="0"/>
                                              <w:marRight w:val="0"/>
                                              <w:marTop w:val="0"/>
                                              <w:marBottom w:val="0"/>
                                              <w:divBdr>
                                                <w:top w:val="none" w:sz="0" w:space="0" w:color="auto"/>
                                                <w:left w:val="none" w:sz="0" w:space="0" w:color="auto"/>
                                                <w:bottom w:val="none" w:sz="0" w:space="0" w:color="auto"/>
                                                <w:right w:val="none" w:sz="0" w:space="0" w:color="auto"/>
                                              </w:divBdr>
                                              <w:divsChild>
                                                <w:div w:id="3752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1B4D-34AC-48B5-9090-6DB6D7B3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ITSA</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horobp</dc:creator>
  <cp:lastModifiedBy>maherd</cp:lastModifiedBy>
  <cp:revision>7</cp:revision>
  <cp:lastPrinted>2013-06-13T03:55:00Z</cp:lastPrinted>
  <dcterms:created xsi:type="dcterms:W3CDTF">2015-03-03T04:36:00Z</dcterms:created>
  <dcterms:modified xsi:type="dcterms:W3CDTF">2015-03-04T22:08:00Z</dcterms:modified>
</cp:coreProperties>
</file>