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869EE" w:rsidRDefault="00193461" w:rsidP="0020300C">
      <w:pPr>
        <w:rPr>
          <w:sz w:val="28"/>
        </w:rPr>
      </w:pPr>
      <w:r w:rsidRPr="00C869EE">
        <w:rPr>
          <w:noProof/>
          <w:lang w:eastAsia="en-AU"/>
        </w:rPr>
        <w:drawing>
          <wp:inline distT="0" distB="0" distL="0" distR="0" wp14:anchorId="200B0C8D" wp14:editId="62ED363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869EE" w:rsidRDefault="0048364F" w:rsidP="0048364F">
      <w:pPr>
        <w:rPr>
          <w:sz w:val="19"/>
        </w:rPr>
      </w:pPr>
    </w:p>
    <w:p w:rsidR="0048364F" w:rsidRPr="00C869EE" w:rsidRDefault="00AA782B" w:rsidP="0048364F">
      <w:pPr>
        <w:pStyle w:val="ShortT"/>
      </w:pPr>
      <w:r w:rsidRPr="00C869EE">
        <w:t>Defence Force (Superannuation) (Productivity Benefit) Amendment (Interest Factor and Other Measures) Determination</w:t>
      </w:r>
      <w:r w:rsidR="00C869EE" w:rsidRPr="00C869EE">
        <w:t> </w:t>
      </w:r>
      <w:r w:rsidRPr="00C869EE">
        <w:t>201</w:t>
      </w:r>
      <w:r w:rsidR="00C85192" w:rsidRPr="00C869EE">
        <w:t>5</w:t>
      </w:r>
    </w:p>
    <w:p w:rsidR="004D0476" w:rsidRPr="00C869EE" w:rsidRDefault="004D0476" w:rsidP="000C5962">
      <w:pPr>
        <w:pStyle w:val="SignCoverPageStart"/>
        <w:rPr>
          <w:szCs w:val="22"/>
        </w:rPr>
      </w:pPr>
      <w:r w:rsidRPr="00C869EE">
        <w:rPr>
          <w:szCs w:val="22"/>
        </w:rPr>
        <w:t xml:space="preserve">I, </w:t>
      </w:r>
      <w:r w:rsidR="00D33835" w:rsidRPr="00C869EE">
        <w:rPr>
          <w:szCs w:val="22"/>
        </w:rPr>
        <w:t>Stuart Robert</w:t>
      </w:r>
      <w:r w:rsidRPr="00C869EE">
        <w:rPr>
          <w:szCs w:val="22"/>
        </w:rPr>
        <w:t xml:space="preserve">, </w:t>
      </w:r>
      <w:r w:rsidR="00D33835" w:rsidRPr="00C869EE">
        <w:rPr>
          <w:szCs w:val="22"/>
        </w:rPr>
        <w:t xml:space="preserve">Assistant </w:t>
      </w:r>
      <w:r w:rsidRPr="00C869EE">
        <w:rPr>
          <w:szCs w:val="22"/>
        </w:rPr>
        <w:t>Minister for Defence, make the following determination.</w:t>
      </w:r>
    </w:p>
    <w:p w:rsidR="004D0476" w:rsidRPr="00C869EE" w:rsidRDefault="004D0476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C869EE">
        <w:rPr>
          <w:szCs w:val="22"/>
        </w:rPr>
        <w:t>Dated</w:t>
      </w:r>
      <w:r w:rsidR="004F7FA5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C869EE">
        <w:rPr>
          <w:szCs w:val="22"/>
        </w:rPr>
        <w:fldChar w:fldCharType="begin"/>
      </w:r>
      <w:r w:rsidRPr="00C869EE">
        <w:rPr>
          <w:szCs w:val="22"/>
        </w:rPr>
        <w:instrText xml:space="preserve"> DOCPROPERTY  DateMade </w:instrText>
      </w:r>
      <w:r w:rsidRPr="00C869EE">
        <w:rPr>
          <w:szCs w:val="22"/>
        </w:rPr>
        <w:fldChar w:fldCharType="separate"/>
      </w:r>
      <w:r w:rsidR="004F7FA5">
        <w:rPr>
          <w:szCs w:val="22"/>
        </w:rPr>
        <w:t>23 April 2015</w:t>
      </w:r>
      <w:r w:rsidRPr="00C869EE">
        <w:rPr>
          <w:szCs w:val="22"/>
        </w:rPr>
        <w:fldChar w:fldCharType="end"/>
      </w:r>
    </w:p>
    <w:p w:rsidR="004D0476" w:rsidRPr="00C869EE" w:rsidRDefault="00D33835" w:rsidP="000C596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869EE">
        <w:rPr>
          <w:szCs w:val="22"/>
        </w:rPr>
        <w:t>Stuart Robert</w:t>
      </w:r>
    </w:p>
    <w:p w:rsidR="004D0476" w:rsidRPr="00C869EE" w:rsidRDefault="00D33835" w:rsidP="000C5962">
      <w:pPr>
        <w:pStyle w:val="SignCoverPageEnd"/>
        <w:rPr>
          <w:szCs w:val="22"/>
        </w:rPr>
      </w:pPr>
      <w:r w:rsidRPr="00C869EE">
        <w:rPr>
          <w:szCs w:val="22"/>
        </w:rPr>
        <w:t xml:space="preserve">Assistant </w:t>
      </w:r>
      <w:r w:rsidR="004D0476" w:rsidRPr="00C869EE">
        <w:rPr>
          <w:szCs w:val="22"/>
        </w:rPr>
        <w:t>Minister for Defence</w:t>
      </w:r>
    </w:p>
    <w:p w:rsidR="004D0476" w:rsidRPr="00C869EE" w:rsidRDefault="004D0476" w:rsidP="004D0476"/>
    <w:p w:rsidR="0048364F" w:rsidRPr="00C869EE" w:rsidRDefault="0048364F" w:rsidP="0048364F">
      <w:pPr>
        <w:pStyle w:val="Header"/>
        <w:tabs>
          <w:tab w:val="clear" w:pos="4150"/>
          <w:tab w:val="clear" w:pos="8307"/>
        </w:tabs>
      </w:pPr>
      <w:r w:rsidRPr="00C869EE">
        <w:rPr>
          <w:rStyle w:val="CharAmSchNo"/>
        </w:rPr>
        <w:t xml:space="preserve"> </w:t>
      </w:r>
      <w:r w:rsidRPr="00C869EE">
        <w:rPr>
          <w:rStyle w:val="CharAmSchText"/>
        </w:rPr>
        <w:t xml:space="preserve"> </w:t>
      </w:r>
    </w:p>
    <w:p w:rsidR="0048364F" w:rsidRPr="00C869EE" w:rsidRDefault="0048364F" w:rsidP="0048364F">
      <w:pPr>
        <w:pStyle w:val="Header"/>
        <w:tabs>
          <w:tab w:val="clear" w:pos="4150"/>
          <w:tab w:val="clear" w:pos="8307"/>
        </w:tabs>
      </w:pPr>
      <w:r w:rsidRPr="00C869EE">
        <w:rPr>
          <w:rStyle w:val="CharAmPartNo"/>
        </w:rPr>
        <w:t xml:space="preserve"> </w:t>
      </w:r>
      <w:r w:rsidRPr="00C869EE">
        <w:rPr>
          <w:rStyle w:val="CharAmPartText"/>
        </w:rPr>
        <w:t xml:space="preserve"> </w:t>
      </w:r>
    </w:p>
    <w:p w:rsidR="0048364F" w:rsidRPr="00C869EE" w:rsidRDefault="0048364F" w:rsidP="0048364F">
      <w:pPr>
        <w:sectPr w:rsidR="0048364F" w:rsidRPr="00C869EE" w:rsidSect="00B038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869EE" w:rsidRDefault="0048364F" w:rsidP="005D1045">
      <w:pPr>
        <w:rPr>
          <w:sz w:val="36"/>
        </w:rPr>
      </w:pPr>
      <w:r w:rsidRPr="00C869EE">
        <w:rPr>
          <w:sz w:val="36"/>
        </w:rPr>
        <w:lastRenderedPageBreak/>
        <w:t>Contents</w:t>
      </w:r>
    </w:p>
    <w:bookmarkStart w:id="2" w:name="BKCheck15B_2"/>
    <w:bookmarkEnd w:id="2"/>
    <w:p w:rsidR="00571E36" w:rsidRPr="00C869EE" w:rsidRDefault="00571E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69EE">
        <w:fldChar w:fldCharType="begin"/>
      </w:r>
      <w:r w:rsidRPr="00C869EE">
        <w:instrText xml:space="preserve"> TOC \o "1-9" </w:instrText>
      </w:r>
      <w:r w:rsidRPr="00C869EE">
        <w:fldChar w:fldCharType="separate"/>
      </w:r>
      <w:r w:rsidRPr="00C869EE">
        <w:rPr>
          <w:noProof/>
        </w:rPr>
        <w:t>1</w:t>
      </w:r>
      <w:r w:rsidRPr="00C869EE">
        <w:rPr>
          <w:noProof/>
        </w:rPr>
        <w:tab/>
        <w:t>Name</w:t>
      </w:r>
      <w:r w:rsidRPr="00C869EE">
        <w:rPr>
          <w:noProof/>
        </w:rPr>
        <w:tab/>
      </w:r>
      <w:r w:rsidRPr="00C869EE">
        <w:rPr>
          <w:noProof/>
        </w:rPr>
        <w:fldChar w:fldCharType="begin"/>
      </w:r>
      <w:r w:rsidRPr="00C869EE">
        <w:rPr>
          <w:noProof/>
        </w:rPr>
        <w:instrText xml:space="preserve"> PAGEREF _Toc409191563 \h </w:instrText>
      </w:r>
      <w:r w:rsidRPr="00C869EE">
        <w:rPr>
          <w:noProof/>
        </w:rPr>
      </w:r>
      <w:r w:rsidRPr="00C869EE">
        <w:rPr>
          <w:noProof/>
        </w:rPr>
        <w:fldChar w:fldCharType="separate"/>
      </w:r>
      <w:r w:rsidR="004F7FA5">
        <w:rPr>
          <w:noProof/>
        </w:rPr>
        <w:t>1</w:t>
      </w:r>
      <w:r w:rsidRPr="00C869EE">
        <w:rPr>
          <w:noProof/>
        </w:rPr>
        <w:fldChar w:fldCharType="end"/>
      </w:r>
    </w:p>
    <w:p w:rsidR="00571E36" w:rsidRPr="00C869EE" w:rsidRDefault="00571E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69EE">
        <w:rPr>
          <w:noProof/>
        </w:rPr>
        <w:t>2</w:t>
      </w:r>
      <w:r w:rsidRPr="00C869EE">
        <w:rPr>
          <w:noProof/>
        </w:rPr>
        <w:tab/>
        <w:t>Commencement</w:t>
      </w:r>
      <w:r w:rsidRPr="00C869EE">
        <w:rPr>
          <w:noProof/>
        </w:rPr>
        <w:tab/>
      </w:r>
      <w:r w:rsidRPr="00C869EE">
        <w:rPr>
          <w:noProof/>
        </w:rPr>
        <w:fldChar w:fldCharType="begin"/>
      </w:r>
      <w:r w:rsidRPr="00C869EE">
        <w:rPr>
          <w:noProof/>
        </w:rPr>
        <w:instrText xml:space="preserve"> PAGEREF _Toc409191564 \h </w:instrText>
      </w:r>
      <w:r w:rsidRPr="00C869EE">
        <w:rPr>
          <w:noProof/>
        </w:rPr>
      </w:r>
      <w:r w:rsidRPr="00C869EE">
        <w:rPr>
          <w:noProof/>
        </w:rPr>
        <w:fldChar w:fldCharType="separate"/>
      </w:r>
      <w:r w:rsidR="004F7FA5">
        <w:rPr>
          <w:noProof/>
        </w:rPr>
        <w:t>1</w:t>
      </w:r>
      <w:r w:rsidRPr="00C869EE">
        <w:rPr>
          <w:noProof/>
        </w:rPr>
        <w:fldChar w:fldCharType="end"/>
      </w:r>
    </w:p>
    <w:p w:rsidR="00571E36" w:rsidRPr="00C869EE" w:rsidRDefault="00571E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69EE">
        <w:rPr>
          <w:noProof/>
        </w:rPr>
        <w:t>3</w:t>
      </w:r>
      <w:r w:rsidRPr="00C869EE">
        <w:rPr>
          <w:noProof/>
        </w:rPr>
        <w:tab/>
        <w:t>Authority</w:t>
      </w:r>
      <w:r w:rsidRPr="00C869EE">
        <w:rPr>
          <w:noProof/>
        </w:rPr>
        <w:tab/>
      </w:r>
      <w:r w:rsidRPr="00C869EE">
        <w:rPr>
          <w:noProof/>
        </w:rPr>
        <w:fldChar w:fldCharType="begin"/>
      </w:r>
      <w:r w:rsidRPr="00C869EE">
        <w:rPr>
          <w:noProof/>
        </w:rPr>
        <w:instrText xml:space="preserve"> PAGEREF _Toc409191565 \h </w:instrText>
      </w:r>
      <w:r w:rsidRPr="00C869EE">
        <w:rPr>
          <w:noProof/>
        </w:rPr>
      </w:r>
      <w:r w:rsidRPr="00C869EE">
        <w:rPr>
          <w:noProof/>
        </w:rPr>
        <w:fldChar w:fldCharType="separate"/>
      </w:r>
      <w:r w:rsidR="004F7FA5">
        <w:rPr>
          <w:noProof/>
        </w:rPr>
        <w:t>1</w:t>
      </w:r>
      <w:r w:rsidRPr="00C869EE">
        <w:rPr>
          <w:noProof/>
        </w:rPr>
        <w:fldChar w:fldCharType="end"/>
      </w:r>
    </w:p>
    <w:p w:rsidR="00571E36" w:rsidRPr="00C869EE" w:rsidRDefault="00571E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69EE">
        <w:rPr>
          <w:noProof/>
        </w:rPr>
        <w:t>4</w:t>
      </w:r>
      <w:r w:rsidRPr="00C869EE">
        <w:rPr>
          <w:noProof/>
        </w:rPr>
        <w:tab/>
        <w:t>Schedules</w:t>
      </w:r>
      <w:r w:rsidRPr="00C869EE">
        <w:rPr>
          <w:noProof/>
        </w:rPr>
        <w:tab/>
      </w:r>
      <w:r w:rsidRPr="00C869EE">
        <w:rPr>
          <w:noProof/>
        </w:rPr>
        <w:fldChar w:fldCharType="begin"/>
      </w:r>
      <w:r w:rsidRPr="00C869EE">
        <w:rPr>
          <w:noProof/>
        </w:rPr>
        <w:instrText xml:space="preserve"> PAGEREF _Toc409191566 \h </w:instrText>
      </w:r>
      <w:r w:rsidRPr="00C869EE">
        <w:rPr>
          <w:noProof/>
        </w:rPr>
      </w:r>
      <w:r w:rsidRPr="00C869EE">
        <w:rPr>
          <w:noProof/>
        </w:rPr>
        <w:fldChar w:fldCharType="separate"/>
      </w:r>
      <w:r w:rsidR="004F7FA5">
        <w:rPr>
          <w:noProof/>
        </w:rPr>
        <w:t>1</w:t>
      </w:r>
      <w:r w:rsidRPr="00C869EE">
        <w:rPr>
          <w:noProof/>
        </w:rPr>
        <w:fldChar w:fldCharType="end"/>
      </w:r>
    </w:p>
    <w:p w:rsidR="00571E36" w:rsidRPr="00C869EE" w:rsidRDefault="00571E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869EE">
        <w:rPr>
          <w:noProof/>
        </w:rPr>
        <w:t>Schedule</w:t>
      </w:r>
      <w:r w:rsidR="00C869EE" w:rsidRPr="00C869EE">
        <w:rPr>
          <w:noProof/>
        </w:rPr>
        <w:t> </w:t>
      </w:r>
      <w:r w:rsidRPr="00C869EE">
        <w:rPr>
          <w:noProof/>
        </w:rPr>
        <w:t>1—Amendments</w:t>
      </w:r>
      <w:r w:rsidRPr="00C869EE">
        <w:rPr>
          <w:b w:val="0"/>
          <w:noProof/>
          <w:sz w:val="18"/>
        </w:rPr>
        <w:tab/>
      </w:r>
      <w:r w:rsidRPr="00C869EE">
        <w:rPr>
          <w:b w:val="0"/>
          <w:noProof/>
          <w:sz w:val="18"/>
        </w:rPr>
        <w:fldChar w:fldCharType="begin"/>
      </w:r>
      <w:r w:rsidRPr="00C869EE">
        <w:rPr>
          <w:b w:val="0"/>
          <w:noProof/>
          <w:sz w:val="18"/>
        </w:rPr>
        <w:instrText xml:space="preserve"> PAGEREF _Toc409191567 \h </w:instrText>
      </w:r>
      <w:r w:rsidRPr="00C869EE">
        <w:rPr>
          <w:b w:val="0"/>
          <w:noProof/>
          <w:sz w:val="18"/>
        </w:rPr>
      </w:r>
      <w:r w:rsidRPr="00C869EE">
        <w:rPr>
          <w:b w:val="0"/>
          <w:noProof/>
          <w:sz w:val="18"/>
        </w:rPr>
        <w:fldChar w:fldCharType="separate"/>
      </w:r>
      <w:r w:rsidR="004F7FA5">
        <w:rPr>
          <w:b w:val="0"/>
          <w:noProof/>
          <w:sz w:val="18"/>
        </w:rPr>
        <w:t>2</w:t>
      </w:r>
      <w:r w:rsidRPr="00C869EE">
        <w:rPr>
          <w:b w:val="0"/>
          <w:noProof/>
          <w:sz w:val="18"/>
        </w:rPr>
        <w:fldChar w:fldCharType="end"/>
      </w:r>
    </w:p>
    <w:p w:rsidR="00571E36" w:rsidRPr="00C869EE" w:rsidRDefault="00571E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869EE">
        <w:rPr>
          <w:noProof/>
        </w:rPr>
        <w:t>Defence Force (Superannuation) (Productivity Benefit) Determination</w:t>
      </w:r>
      <w:r w:rsidR="00C869EE" w:rsidRPr="00C869EE">
        <w:rPr>
          <w:noProof/>
        </w:rPr>
        <w:t> </w:t>
      </w:r>
      <w:r w:rsidRPr="00C869EE">
        <w:rPr>
          <w:noProof/>
        </w:rPr>
        <w:t>1988</w:t>
      </w:r>
      <w:r w:rsidRPr="00C869EE">
        <w:rPr>
          <w:i w:val="0"/>
          <w:noProof/>
          <w:sz w:val="18"/>
        </w:rPr>
        <w:tab/>
      </w:r>
      <w:r w:rsidRPr="00C869EE">
        <w:rPr>
          <w:i w:val="0"/>
          <w:noProof/>
          <w:sz w:val="18"/>
        </w:rPr>
        <w:fldChar w:fldCharType="begin"/>
      </w:r>
      <w:r w:rsidRPr="00C869EE">
        <w:rPr>
          <w:i w:val="0"/>
          <w:noProof/>
          <w:sz w:val="18"/>
        </w:rPr>
        <w:instrText xml:space="preserve"> PAGEREF _Toc409191568 \h </w:instrText>
      </w:r>
      <w:r w:rsidRPr="00C869EE">
        <w:rPr>
          <w:i w:val="0"/>
          <w:noProof/>
          <w:sz w:val="18"/>
        </w:rPr>
      </w:r>
      <w:r w:rsidRPr="00C869EE">
        <w:rPr>
          <w:i w:val="0"/>
          <w:noProof/>
          <w:sz w:val="18"/>
        </w:rPr>
        <w:fldChar w:fldCharType="separate"/>
      </w:r>
      <w:r w:rsidR="004F7FA5">
        <w:rPr>
          <w:i w:val="0"/>
          <w:noProof/>
          <w:sz w:val="18"/>
        </w:rPr>
        <w:t>2</w:t>
      </w:r>
      <w:r w:rsidRPr="00C869EE">
        <w:rPr>
          <w:i w:val="0"/>
          <w:noProof/>
          <w:sz w:val="18"/>
        </w:rPr>
        <w:fldChar w:fldCharType="end"/>
      </w:r>
    </w:p>
    <w:p w:rsidR="0048364F" w:rsidRPr="00C869EE" w:rsidRDefault="00571E36" w:rsidP="0048364F">
      <w:r w:rsidRPr="00C869EE">
        <w:fldChar w:fldCharType="end"/>
      </w:r>
    </w:p>
    <w:p w:rsidR="0048364F" w:rsidRPr="00C869EE" w:rsidRDefault="0048364F" w:rsidP="0048364F">
      <w:pPr>
        <w:sectPr w:rsidR="0048364F" w:rsidRPr="00C869EE" w:rsidSect="00B038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869EE" w:rsidRDefault="0048364F" w:rsidP="0048364F">
      <w:pPr>
        <w:pStyle w:val="ActHead5"/>
      </w:pPr>
      <w:bookmarkStart w:id="3" w:name="_Toc409191563"/>
      <w:r w:rsidRPr="00C869EE">
        <w:rPr>
          <w:rStyle w:val="CharSectno"/>
        </w:rPr>
        <w:lastRenderedPageBreak/>
        <w:t>1</w:t>
      </w:r>
      <w:r w:rsidRPr="00C869EE">
        <w:t xml:space="preserve">  </w:t>
      </w:r>
      <w:r w:rsidR="004F676E" w:rsidRPr="00C869EE">
        <w:t>Name</w:t>
      </w:r>
      <w:bookmarkEnd w:id="3"/>
    </w:p>
    <w:p w:rsidR="0048364F" w:rsidRPr="00C869EE" w:rsidRDefault="0048364F" w:rsidP="0048364F">
      <w:pPr>
        <w:pStyle w:val="subsection"/>
      </w:pPr>
      <w:r w:rsidRPr="00C869EE">
        <w:tab/>
      </w:r>
      <w:r w:rsidRPr="00C869EE">
        <w:tab/>
        <w:t xml:space="preserve">This </w:t>
      </w:r>
      <w:r w:rsidR="00613EAD" w:rsidRPr="00C869EE">
        <w:t>is</w:t>
      </w:r>
      <w:r w:rsidRPr="00C869EE">
        <w:t xml:space="preserve"> the </w:t>
      </w:r>
      <w:bookmarkStart w:id="4" w:name="BKCheck15B_3"/>
      <w:bookmarkEnd w:id="4"/>
      <w:r w:rsidR="00414ADE" w:rsidRPr="00C869EE">
        <w:rPr>
          <w:i/>
        </w:rPr>
        <w:fldChar w:fldCharType="begin"/>
      </w:r>
      <w:r w:rsidR="00414ADE" w:rsidRPr="00C869EE">
        <w:rPr>
          <w:i/>
        </w:rPr>
        <w:instrText xml:space="preserve"> STYLEREF  ShortT </w:instrText>
      </w:r>
      <w:r w:rsidR="00414ADE" w:rsidRPr="00C869EE">
        <w:rPr>
          <w:i/>
        </w:rPr>
        <w:fldChar w:fldCharType="separate"/>
      </w:r>
      <w:r w:rsidR="004F7FA5">
        <w:rPr>
          <w:i/>
          <w:noProof/>
        </w:rPr>
        <w:t>Defence Force (Superannuation) (Productivity Benefit) Amendment (Interest Factor and Other Measures) Determination 2015</w:t>
      </w:r>
      <w:r w:rsidR="00414ADE" w:rsidRPr="00C869EE">
        <w:rPr>
          <w:i/>
        </w:rPr>
        <w:fldChar w:fldCharType="end"/>
      </w:r>
      <w:r w:rsidRPr="00C869EE">
        <w:t>.</w:t>
      </w:r>
    </w:p>
    <w:p w:rsidR="0048364F" w:rsidRPr="00C869EE" w:rsidRDefault="0048364F" w:rsidP="0048364F">
      <w:pPr>
        <w:pStyle w:val="ActHead5"/>
      </w:pPr>
      <w:bookmarkStart w:id="5" w:name="_Toc409191564"/>
      <w:r w:rsidRPr="00C869EE">
        <w:rPr>
          <w:rStyle w:val="CharSectno"/>
        </w:rPr>
        <w:t>2</w:t>
      </w:r>
      <w:r w:rsidRPr="00C869EE">
        <w:t xml:space="preserve">  Commencement</w:t>
      </w:r>
      <w:bookmarkEnd w:id="5"/>
    </w:p>
    <w:p w:rsidR="002B5CB4" w:rsidRPr="00C869EE" w:rsidRDefault="004F676E" w:rsidP="00EA51D3">
      <w:pPr>
        <w:pStyle w:val="subsection"/>
      </w:pPr>
      <w:r w:rsidRPr="00C869EE">
        <w:tab/>
      </w:r>
      <w:r w:rsidRPr="00C869EE">
        <w:tab/>
        <w:t>Th</w:t>
      </w:r>
      <w:r w:rsidR="00562A58" w:rsidRPr="00C869EE">
        <w:t>is</w:t>
      </w:r>
      <w:r w:rsidRPr="00C869EE">
        <w:t xml:space="preserve"> </w:t>
      </w:r>
      <w:r w:rsidR="005D168D" w:rsidRPr="00C869EE">
        <w:t>instrument</w:t>
      </w:r>
      <w:r w:rsidRPr="00C869EE">
        <w:t xml:space="preserve"> commence</w:t>
      </w:r>
      <w:r w:rsidR="00562A58" w:rsidRPr="00C869EE">
        <w:t>s</w:t>
      </w:r>
      <w:r w:rsidRPr="00C869EE">
        <w:t xml:space="preserve"> on</w:t>
      </w:r>
      <w:r w:rsidR="001A3B9F" w:rsidRPr="00C869EE">
        <w:t xml:space="preserve"> </w:t>
      </w:r>
      <w:r w:rsidR="00EA51D3" w:rsidRPr="00C869EE">
        <w:t>the day after it is registered</w:t>
      </w:r>
      <w:r w:rsidRPr="00C869EE">
        <w:t>.</w:t>
      </w:r>
    </w:p>
    <w:p w:rsidR="00BF6650" w:rsidRPr="00C869EE" w:rsidRDefault="00BF6650" w:rsidP="00BF6650">
      <w:pPr>
        <w:pStyle w:val="ActHead5"/>
      </w:pPr>
      <w:bookmarkStart w:id="6" w:name="_Toc409191565"/>
      <w:r w:rsidRPr="00C869EE">
        <w:rPr>
          <w:rStyle w:val="CharSectno"/>
        </w:rPr>
        <w:t>3</w:t>
      </w:r>
      <w:r w:rsidRPr="00C869EE">
        <w:t xml:space="preserve">  Authority</w:t>
      </w:r>
      <w:bookmarkEnd w:id="6"/>
    </w:p>
    <w:p w:rsidR="00BF6650" w:rsidRPr="00C869EE" w:rsidRDefault="00BF6650" w:rsidP="00BF6650">
      <w:pPr>
        <w:pStyle w:val="subsection"/>
      </w:pPr>
      <w:r w:rsidRPr="00C869EE">
        <w:tab/>
      </w:r>
      <w:r w:rsidRPr="00C869EE">
        <w:tab/>
        <w:t xml:space="preserve">This </w:t>
      </w:r>
      <w:r w:rsidR="005D168D" w:rsidRPr="00C869EE">
        <w:t>instrument</w:t>
      </w:r>
      <w:r w:rsidRPr="00C869EE">
        <w:t xml:space="preserve"> is made under </w:t>
      </w:r>
      <w:r w:rsidR="00AA782B" w:rsidRPr="00C869EE">
        <w:t>subsection</w:t>
      </w:r>
      <w:r w:rsidR="00C869EE" w:rsidRPr="00C869EE">
        <w:t> </w:t>
      </w:r>
      <w:r w:rsidR="00AA782B" w:rsidRPr="00C869EE">
        <w:t xml:space="preserve">52(1) of the </w:t>
      </w:r>
      <w:r w:rsidR="00AA782B" w:rsidRPr="00C869EE">
        <w:rPr>
          <w:i/>
        </w:rPr>
        <w:t>Defence Act 1903</w:t>
      </w:r>
      <w:r w:rsidR="00546FA3" w:rsidRPr="00C869EE">
        <w:rPr>
          <w:i/>
        </w:rPr>
        <w:t>.</w:t>
      </w:r>
    </w:p>
    <w:p w:rsidR="00557C7A" w:rsidRPr="00C869EE" w:rsidRDefault="00BF6650" w:rsidP="00557C7A">
      <w:pPr>
        <w:pStyle w:val="ActHead5"/>
      </w:pPr>
      <w:bookmarkStart w:id="7" w:name="_Toc409191566"/>
      <w:r w:rsidRPr="00C869EE">
        <w:rPr>
          <w:rStyle w:val="CharSectno"/>
        </w:rPr>
        <w:t>4</w:t>
      </w:r>
      <w:r w:rsidR="00557C7A" w:rsidRPr="00C869EE">
        <w:t xml:space="preserve">  </w:t>
      </w:r>
      <w:r w:rsidR="00083F48" w:rsidRPr="00C869EE">
        <w:t>Schedules</w:t>
      </w:r>
      <w:bookmarkEnd w:id="7"/>
    </w:p>
    <w:p w:rsidR="00557C7A" w:rsidRPr="00C869EE" w:rsidRDefault="00557C7A" w:rsidP="00557C7A">
      <w:pPr>
        <w:pStyle w:val="subsection"/>
      </w:pPr>
      <w:r w:rsidRPr="00C869EE">
        <w:tab/>
      </w:r>
      <w:r w:rsidRPr="00C869EE">
        <w:tab/>
      </w:r>
      <w:r w:rsidR="00083F48" w:rsidRPr="00C869EE">
        <w:t xml:space="preserve">Each </w:t>
      </w:r>
      <w:r w:rsidR="00160BD7" w:rsidRPr="00C869EE">
        <w:t>instrument</w:t>
      </w:r>
      <w:r w:rsidR="00083F48" w:rsidRPr="00C869EE">
        <w:t xml:space="preserve"> that is specified in a Schedule to this</w:t>
      </w:r>
      <w:r w:rsidR="00160BD7" w:rsidRPr="00C869EE">
        <w:t xml:space="preserve"> instrument</w:t>
      </w:r>
      <w:r w:rsidR="00083F48" w:rsidRPr="00C869EE">
        <w:t xml:space="preserve"> is amended or repealed as set out in the applicable items in the Schedule concerned, and any other item in a Schedule to this </w:t>
      </w:r>
      <w:r w:rsidR="00160BD7" w:rsidRPr="00C869EE">
        <w:t>instrument</w:t>
      </w:r>
      <w:r w:rsidR="00083F48" w:rsidRPr="00C869EE">
        <w:t xml:space="preserve"> has effect according to its terms.</w:t>
      </w:r>
    </w:p>
    <w:p w:rsidR="0048364F" w:rsidRPr="00C869EE" w:rsidRDefault="0048364F" w:rsidP="009C5989">
      <w:pPr>
        <w:pStyle w:val="ActHead6"/>
        <w:pageBreakBefore/>
      </w:pPr>
      <w:bookmarkStart w:id="8" w:name="_Toc409191567"/>
      <w:bookmarkStart w:id="9" w:name="opcAmSched"/>
      <w:bookmarkStart w:id="10" w:name="opcCurrentFind"/>
      <w:r w:rsidRPr="00C869EE">
        <w:rPr>
          <w:rStyle w:val="CharAmSchNo"/>
        </w:rPr>
        <w:lastRenderedPageBreak/>
        <w:t>Schedule</w:t>
      </w:r>
      <w:r w:rsidR="00C869EE" w:rsidRPr="00C869EE">
        <w:rPr>
          <w:rStyle w:val="CharAmSchNo"/>
        </w:rPr>
        <w:t> </w:t>
      </w:r>
      <w:r w:rsidRPr="00C869EE">
        <w:rPr>
          <w:rStyle w:val="CharAmSchNo"/>
        </w:rPr>
        <w:t>1</w:t>
      </w:r>
      <w:r w:rsidRPr="00C869EE">
        <w:t>—</w:t>
      </w:r>
      <w:r w:rsidR="00460499" w:rsidRPr="00C869EE">
        <w:rPr>
          <w:rStyle w:val="CharAmSchText"/>
        </w:rPr>
        <w:t>Amendments</w:t>
      </w:r>
      <w:bookmarkEnd w:id="8"/>
    </w:p>
    <w:bookmarkEnd w:id="9"/>
    <w:bookmarkEnd w:id="10"/>
    <w:p w:rsidR="0004044E" w:rsidRPr="00C869EE" w:rsidRDefault="0004044E" w:rsidP="0004044E">
      <w:pPr>
        <w:pStyle w:val="Header"/>
      </w:pPr>
      <w:r w:rsidRPr="00C869EE">
        <w:rPr>
          <w:rStyle w:val="CharAmPartNo"/>
        </w:rPr>
        <w:t xml:space="preserve"> </w:t>
      </w:r>
      <w:r w:rsidRPr="00C869EE">
        <w:rPr>
          <w:rStyle w:val="CharAmPartText"/>
        </w:rPr>
        <w:t xml:space="preserve"> </w:t>
      </w:r>
    </w:p>
    <w:p w:rsidR="004D0476" w:rsidRPr="00C869EE" w:rsidRDefault="004D0476" w:rsidP="004D0476">
      <w:pPr>
        <w:pStyle w:val="ActHead9"/>
      </w:pPr>
      <w:bookmarkStart w:id="11" w:name="_Toc409191568"/>
      <w:r w:rsidRPr="00C869EE">
        <w:t xml:space="preserve">Defence Force (Superannuation) </w:t>
      </w:r>
      <w:r w:rsidR="00961A47" w:rsidRPr="00C869EE">
        <w:t>(</w:t>
      </w:r>
      <w:r w:rsidRPr="00C869EE">
        <w:t>Productivity Benefit) Determination</w:t>
      </w:r>
      <w:r w:rsidR="00C869EE" w:rsidRPr="00C869EE">
        <w:t> </w:t>
      </w:r>
      <w:r w:rsidRPr="00C869EE">
        <w:t>1988</w:t>
      </w:r>
      <w:bookmarkEnd w:id="11"/>
    </w:p>
    <w:p w:rsidR="0084172C" w:rsidRPr="00C869EE" w:rsidRDefault="00BB6E79" w:rsidP="007A6863">
      <w:pPr>
        <w:pStyle w:val="ItemHead"/>
      </w:pPr>
      <w:r w:rsidRPr="00C869EE">
        <w:t xml:space="preserve">1  </w:t>
      </w:r>
      <w:r w:rsidR="004D0476" w:rsidRPr="00C869EE">
        <w:t>Subclause</w:t>
      </w:r>
      <w:r w:rsidR="00C869EE" w:rsidRPr="00C869EE">
        <w:t> </w:t>
      </w:r>
      <w:r w:rsidR="004D0476" w:rsidRPr="00C869EE">
        <w:t>3(1)</w:t>
      </w:r>
    </w:p>
    <w:p w:rsidR="004D0476" w:rsidRPr="00C869EE" w:rsidRDefault="004D0476" w:rsidP="004D0476">
      <w:pPr>
        <w:pStyle w:val="Item"/>
      </w:pPr>
      <w:r w:rsidRPr="00C869EE">
        <w:t>Insert:</w:t>
      </w:r>
    </w:p>
    <w:p w:rsidR="004D0476" w:rsidRPr="00C869EE" w:rsidRDefault="004D0476" w:rsidP="004D0476">
      <w:pPr>
        <w:pStyle w:val="Definition"/>
      </w:pPr>
      <w:r w:rsidRPr="00C869EE">
        <w:rPr>
          <w:b/>
          <w:i/>
        </w:rPr>
        <w:t>annual interest rate</w:t>
      </w:r>
      <w:r w:rsidRPr="00C869EE">
        <w:t>, for 2015 or a later calendar year, means a rate equal to the last annual yield on Commonwealth government 10</w:t>
      </w:r>
      <w:r w:rsidR="00C869EE">
        <w:noBreakHyphen/>
      </w:r>
      <w:r w:rsidRPr="00C869EE">
        <w:t>year bonds published by the Reserve Bank of Australia before 1</w:t>
      </w:r>
      <w:r w:rsidR="00C869EE" w:rsidRPr="00C869EE">
        <w:t> </w:t>
      </w:r>
      <w:r w:rsidRPr="00C869EE">
        <w:t>January of the calendar year.</w:t>
      </w:r>
    </w:p>
    <w:p w:rsidR="008422A1" w:rsidRPr="00C869EE" w:rsidRDefault="008422A1" w:rsidP="00F63578">
      <w:pPr>
        <w:pStyle w:val="ItemHead"/>
      </w:pPr>
      <w:r w:rsidRPr="00C869EE">
        <w:t>2  Subclause</w:t>
      </w:r>
      <w:r w:rsidR="00C869EE" w:rsidRPr="00C869EE">
        <w:t> </w:t>
      </w:r>
      <w:r w:rsidRPr="00C869EE">
        <w:t xml:space="preserve">8AA(2) (definition of </w:t>
      </w:r>
      <w:r w:rsidRPr="00C869EE">
        <w:rPr>
          <w:i/>
        </w:rPr>
        <w:t>Percentage</w:t>
      </w:r>
      <w:r w:rsidRPr="00C869EE">
        <w:t>)</w:t>
      </w:r>
    </w:p>
    <w:p w:rsidR="008422A1" w:rsidRPr="00C869EE" w:rsidRDefault="008422A1" w:rsidP="008422A1">
      <w:pPr>
        <w:pStyle w:val="Item"/>
      </w:pPr>
      <w:r w:rsidRPr="00C869EE">
        <w:t>Repeal the definition, substitute:</w:t>
      </w:r>
    </w:p>
    <w:p w:rsidR="008422A1" w:rsidRPr="00C869EE" w:rsidRDefault="00987309" w:rsidP="008422A1">
      <w:pPr>
        <w:pStyle w:val="Definition"/>
      </w:pPr>
      <w:r w:rsidRPr="00C869EE">
        <w:rPr>
          <w:b/>
          <w:i/>
        </w:rPr>
        <w:t>p</w:t>
      </w:r>
      <w:r w:rsidR="008422A1" w:rsidRPr="00C869EE">
        <w:rPr>
          <w:b/>
          <w:i/>
        </w:rPr>
        <w:t>ercentage</w:t>
      </w:r>
      <w:r w:rsidR="008422A1" w:rsidRPr="00C869EE">
        <w:t xml:space="preserve"> is the percentage specified in </w:t>
      </w:r>
      <w:r w:rsidR="00C869EE" w:rsidRPr="00C869EE">
        <w:t>subclause (</w:t>
      </w:r>
      <w:r w:rsidR="008422A1" w:rsidRPr="00C869EE">
        <w:t xml:space="preserve">2A), (2B) or (2C) </w:t>
      </w:r>
      <w:r w:rsidR="009A6BBE" w:rsidRPr="00C869EE">
        <w:t>in respect of</w:t>
      </w:r>
      <w:r w:rsidR="008422A1" w:rsidRPr="00C869EE">
        <w:t xml:space="preserve"> the member for the date on which the pay period ends.</w:t>
      </w:r>
    </w:p>
    <w:p w:rsidR="008422A1" w:rsidRPr="00C869EE" w:rsidRDefault="00C2765C" w:rsidP="008422A1">
      <w:pPr>
        <w:pStyle w:val="ItemHead"/>
      </w:pPr>
      <w:r w:rsidRPr="00C869EE">
        <w:t>3</w:t>
      </w:r>
      <w:r w:rsidR="008422A1" w:rsidRPr="00C869EE">
        <w:t xml:space="preserve">  After subclause</w:t>
      </w:r>
      <w:r w:rsidR="00C869EE" w:rsidRPr="00C869EE">
        <w:t> </w:t>
      </w:r>
      <w:r w:rsidR="008422A1" w:rsidRPr="00C869EE">
        <w:t>8AA(2)</w:t>
      </w:r>
    </w:p>
    <w:p w:rsidR="008422A1" w:rsidRPr="00C869EE" w:rsidRDefault="008422A1" w:rsidP="008422A1">
      <w:pPr>
        <w:pStyle w:val="Item"/>
      </w:pPr>
      <w:r w:rsidRPr="00C869EE">
        <w:t>Insert:</w:t>
      </w:r>
    </w:p>
    <w:p w:rsidR="008422A1" w:rsidRPr="00C869EE" w:rsidRDefault="008422A1" w:rsidP="008422A1">
      <w:pPr>
        <w:pStyle w:val="subsection"/>
      </w:pPr>
      <w:r w:rsidRPr="00C869EE">
        <w:tab/>
        <w:t>(2A)</w:t>
      </w:r>
      <w:r w:rsidRPr="00C869EE">
        <w:tab/>
        <w:t xml:space="preserve">For the definition of </w:t>
      </w:r>
      <w:r w:rsidR="00987309" w:rsidRPr="00C869EE">
        <w:rPr>
          <w:b/>
          <w:i/>
        </w:rPr>
        <w:t>p</w:t>
      </w:r>
      <w:r w:rsidRPr="00C869EE">
        <w:rPr>
          <w:b/>
          <w:i/>
        </w:rPr>
        <w:t>ercentage</w:t>
      </w:r>
      <w:r w:rsidRPr="00C869EE">
        <w:t xml:space="preserve"> in </w:t>
      </w:r>
      <w:r w:rsidR="00C869EE" w:rsidRPr="00C869EE">
        <w:t>subclause (</w:t>
      </w:r>
      <w:r w:rsidRPr="00C869EE">
        <w:t>2), the following table specifies the percentage in respect of non</w:t>
      </w:r>
      <w:r w:rsidR="00C869EE">
        <w:noBreakHyphen/>
      </w:r>
      <w:r w:rsidRPr="00C869EE">
        <w:t xml:space="preserve">recipient members and recipient members with </w:t>
      </w:r>
      <w:r w:rsidR="007F766F" w:rsidRPr="00C869EE">
        <w:t>at least</w:t>
      </w:r>
      <w:r w:rsidRPr="00C869EE">
        <w:t xml:space="preserve"> 12 months service for a pay period ending between 1</w:t>
      </w:r>
      <w:r w:rsidR="00C869EE" w:rsidRPr="00C869EE">
        <w:t> </w:t>
      </w:r>
      <w:r w:rsidRPr="00C869EE">
        <w:t>July 1992 and 30</w:t>
      </w:r>
      <w:r w:rsidR="00C869EE" w:rsidRPr="00C869EE">
        <w:t> </w:t>
      </w:r>
      <w:r w:rsidRPr="00C869EE">
        <w:t>June 2015.</w:t>
      </w:r>
    </w:p>
    <w:p w:rsidR="008422A1" w:rsidRPr="00C869EE" w:rsidRDefault="008422A1" w:rsidP="008422A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810"/>
        <w:gridCol w:w="2788"/>
      </w:tblGrid>
      <w:tr w:rsidR="008422A1" w:rsidRPr="00C869EE" w:rsidTr="008422A1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422A1" w:rsidRPr="00C869EE" w:rsidRDefault="008422A1" w:rsidP="00813AB4">
            <w:pPr>
              <w:pStyle w:val="TableHeading"/>
            </w:pPr>
            <w:r w:rsidRPr="00C869EE">
              <w:t>Percentages</w:t>
            </w:r>
            <w:r w:rsidR="00813AB4" w:rsidRPr="00C869EE">
              <w:t>—</w:t>
            </w:r>
            <w:r w:rsidRPr="00C869EE">
              <w:t>non</w:t>
            </w:r>
            <w:r w:rsidR="00C869EE">
              <w:noBreakHyphen/>
            </w:r>
            <w:r w:rsidRPr="00C869EE">
              <w:t xml:space="preserve">recipient </w:t>
            </w:r>
            <w:r w:rsidR="00813AB4" w:rsidRPr="00C869EE">
              <w:t xml:space="preserve">members </w:t>
            </w:r>
            <w:r w:rsidRPr="00C869EE">
              <w:t xml:space="preserve">and </w:t>
            </w:r>
            <w:r w:rsidR="00813AB4" w:rsidRPr="00C869EE">
              <w:t>certain</w:t>
            </w:r>
            <w:r w:rsidR="001F3C18" w:rsidRPr="00C869EE">
              <w:t xml:space="preserve"> </w:t>
            </w:r>
            <w:r w:rsidRPr="00C869EE">
              <w:t>recipient members from 1992 to 2015</w:t>
            </w:r>
          </w:p>
        </w:tc>
      </w:tr>
      <w:tr w:rsidR="008422A1" w:rsidRPr="00C869EE" w:rsidTr="008422A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422A1" w:rsidRPr="00C869EE" w:rsidRDefault="008422A1" w:rsidP="008422A1">
            <w:pPr>
              <w:pStyle w:val="TableHeading"/>
            </w:pPr>
            <w:r w:rsidRPr="00C869EE">
              <w:t>Item</w:t>
            </w:r>
          </w:p>
        </w:tc>
        <w:tc>
          <w:tcPr>
            <w:tcW w:w="48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422A1" w:rsidRPr="00C869EE" w:rsidRDefault="008422A1" w:rsidP="008422A1">
            <w:pPr>
              <w:pStyle w:val="TableHeading"/>
            </w:pPr>
            <w:r w:rsidRPr="00C869EE">
              <w:t>Date pay period ends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422A1" w:rsidRPr="00C869EE" w:rsidRDefault="008422A1" w:rsidP="001F3C18">
            <w:pPr>
              <w:pStyle w:val="TableHeading"/>
              <w:jc w:val="right"/>
            </w:pPr>
            <w:r w:rsidRPr="00C869EE">
              <w:t>Percentage</w:t>
            </w:r>
          </w:p>
        </w:tc>
      </w:tr>
      <w:tr w:rsidR="008422A1" w:rsidRPr="00C869EE" w:rsidTr="008422A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1</w:t>
            </w:r>
          </w:p>
        </w:tc>
        <w:tc>
          <w:tcPr>
            <w:tcW w:w="4810" w:type="dxa"/>
            <w:tcBorders>
              <w:top w:val="single" w:sz="12" w:space="0" w:color="auto"/>
            </w:tcBorders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1992 and 31</w:t>
            </w:r>
            <w:r w:rsidR="00C869EE" w:rsidRPr="00C869EE">
              <w:t> </w:t>
            </w:r>
            <w:r w:rsidRPr="00C869EE">
              <w:t>December 1992</w:t>
            </w:r>
          </w:p>
        </w:tc>
        <w:tc>
          <w:tcPr>
            <w:tcW w:w="2788" w:type="dxa"/>
            <w:tcBorders>
              <w:top w:val="single" w:sz="12" w:space="0" w:color="auto"/>
            </w:tcBorders>
            <w:shd w:val="clear" w:color="auto" w:fill="auto"/>
          </w:tcPr>
          <w:p w:rsidR="008422A1" w:rsidRPr="00C869EE" w:rsidRDefault="001F3C18" w:rsidP="001F3C18">
            <w:pPr>
              <w:pStyle w:val="Tabletext"/>
              <w:jc w:val="right"/>
            </w:pPr>
            <w:r w:rsidRPr="00C869EE">
              <w:t>3.6</w:t>
            </w:r>
          </w:p>
        </w:tc>
      </w:tr>
      <w:tr w:rsidR="008422A1" w:rsidRPr="00C869EE" w:rsidTr="008422A1">
        <w:tc>
          <w:tcPr>
            <w:tcW w:w="714" w:type="dxa"/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2</w:t>
            </w:r>
          </w:p>
        </w:tc>
        <w:tc>
          <w:tcPr>
            <w:tcW w:w="4810" w:type="dxa"/>
            <w:shd w:val="clear" w:color="auto" w:fill="auto"/>
          </w:tcPr>
          <w:p w:rsidR="008422A1" w:rsidRPr="00C869EE" w:rsidRDefault="001F3C18" w:rsidP="008422A1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January 1993 and 30</w:t>
            </w:r>
            <w:r w:rsidR="00C869EE" w:rsidRPr="00C869EE">
              <w:t> </w:t>
            </w:r>
            <w:r w:rsidRPr="00C869EE">
              <w:t>June 1995</w:t>
            </w:r>
          </w:p>
        </w:tc>
        <w:tc>
          <w:tcPr>
            <w:tcW w:w="2788" w:type="dxa"/>
            <w:shd w:val="clear" w:color="auto" w:fill="auto"/>
          </w:tcPr>
          <w:p w:rsidR="008422A1" w:rsidRPr="00C869EE" w:rsidRDefault="001F3C18" w:rsidP="001F3C18">
            <w:pPr>
              <w:pStyle w:val="Tabletext"/>
              <w:jc w:val="right"/>
            </w:pPr>
            <w:r w:rsidRPr="00C869EE">
              <w:t>4.5</w:t>
            </w:r>
          </w:p>
        </w:tc>
      </w:tr>
      <w:tr w:rsidR="008422A1" w:rsidRPr="00C869EE" w:rsidTr="008422A1">
        <w:tc>
          <w:tcPr>
            <w:tcW w:w="714" w:type="dxa"/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3</w:t>
            </w:r>
          </w:p>
        </w:tc>
        <w:tc>
          <w:tcPr>
            <w:tcW w:w="4810" w:type="dxa"/>
            <w:shd w:val="clear" w:color="auto" w:fill="auto"/>
          </w:tcPr>
          <w:p w:rsidR="008422A1" w:rsidRPr="00C869EE" w:rsidRDefault="001F3C18" w:rsidP="008422A1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1995 and 30</w:t>
            </w:r>
            <w:r w:rsidR="00C869EE" w:rsidRPr="00C869EE">
              <w:t> </w:t>
            </w:r>
            <w:r w:rsidRPr="00C869EE">
              <w:t>June 1998</w:t>
            </w:r>
          </w:p>
        </w:tc>
        <w:tc>
          <w:tcPr>
            <w:tcW w:w="2788" w:type="dxa"/>
            <w:shd w:val="clear" w:color="auto" w:fill="auto"/>
          </w:tcPr>
          <w:p w:rsidR="008422A1" w:rsidRPr="00C869EE" w:rsidRDefault="001F3C18" w:rsidP="001F3C18">
            <w:pPr>
              <w:pStyle w:val="Tabletext"/>
              <w:jc w:val="right"/>
            </w:pPr>
            <w:r w:rsidRPr="00C869EE">
              <w:t>5.4</w:t>
            </w:r>
          </w:p>
        </w:tc>
      </w:tr>
      <w:tr w:rsidR="008422A1" w:rsidRPr="00C869EE" w:rsidTr="008422A1">
        <w:tc>
          <w:tcPr>
            <w:tcW w:w="714" w:type="dxa"/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4</w:t>
            </w:r>
          </w:p>
        </w:tc>
        <w:tc>
          <w:tcPr>
            <w:tcW w:w="4810" w:type="dxa"/>
            <w:shd w:val="clear" w:color="auto" w:fill="auto"/>
          </w:tcPr>
          <w:p w:rsidR="008422A1" w:rsidRPr="00C869EE" w:rsidRDefault="001F3C18" w:rsidP="008422A1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1998 and 30</w:t>
            </w:r>
            <w:r w:rsidR="00C869EE" w:rsidRPr="00C869EE">
              <w:t> </w:t>
            </w:r>
            <w:r w:rsidRPr="00C869EE">
              <w:t>June 2013</w:t>
            </w:r>
          </w:p>
        </w:tc>
        <w:tc>
          <w:tcPr>
            <w:tcW w:w="2788" w:type="dxa"/>
            <w:shd w:val="clear" w:color="auto" w:fill="auto"/>
          </w:tcPr>
          <w:p w:rsidR="008422A1" w:rsidRPr="00C869EE" w:rsidRDefault="001F3C18" w:rsidP="001F3C18">
            <w:pPr>
              <w:pStyle w:val="Tabletext"/>
              <w:jc w:val="right"/>
            </w:pPr>
            <w:r w:rsidRPr="00C869EE">
              <w:t>9.0</w:t>
            </w:r>
          </w:p>
        </w:tc>
      </w:tr>
      <w:tr w:rsidR="008422A1" w:rsidRPr="00C869EE" w:rsidTr="008422A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5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:rsidR="008422A1" w:rsidRPr="00C869EE" w:rsidRDefault="001F3C18" w:rsidP="008422A1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2013 and 30</w:t>
            </w:r>
            <w:r w:rsidR="00C869EE" w:rsidRPr="00C869EE">
              <w:t> </w:t>
            </w:r>
            <w:r w:rsidRPr="00C869EE">
              <w:t>June 2014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8422A1" w:rsidRPr="00C869EE" w:rsidRDefault="001F3C18" w:rsidP="001F3C18">
            <w:pPr>
              <w:pStyle w:val="Tabletext"/>
              <w:jc w:val="right"/>
            </w:pPr>
            <w:r w:rsidRPr="00C869EE">
              <w:t>9.25</w:t>
            </w:r>
          </w:p>
        </w:tc>
      </w:tr>
      <w:tr w:rsidR="008422A1" w:rsidRPr="00C869EE" w:rsidTr="008422A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8422A1" w:rsidRPr="00C869EE" w:rsidRDefault="008422A1" w:rsidP="008422A1">
            <w:pPr>
              <w:pStyle w:val="Tabletext"/>
            </w:pPr>
            <w:r w:rsidRPr="00C869EE">
              <w:t>6</w:t>
            </w:r>
          </w:p>
        </w:tc>
        <w:tc>
          <w:tcPr>
            <w:tcW w:w="4810" w:type="dxa"/>
            <w:tcBorders>
              <w:bottom w:val="single" w:sz="12" w:space="0" w:color="auto"/>
            </w:tcBorders>
            <w:shd w:val="clear" w:color="auto" w:fill="auto"/>
          </w:tcPr>
          <w:p w:rsidR="008422A1" w:rsidRPr="00C869EE" w:rsidRDefault="001F3C18" w:rsidP="008422A1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2014 and 30</w:t>
            </w:r>
            <w:r w:rsidR="00C869EE" w:rsidRPr="00C869EE">
              <w:t> </w:t>
            </w:r>
            <w:r w:rsidRPr="00C869EE">
              <w:t>June 2015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shd w:val="clear" w:color="auto" w:fill="auto"/>
          </w:tcPr>
          <w:p w:rsidR="008422A1" w:rsidRPr="00C869EE" w:rsidRDefault="001F3C18" w:rsidP="001F3C18">
            <w:pPr>
              <w:pStyle w:val="Tabletext"/>
              <w:jc w:val="right"/>
            </w:pPr>
            <w:r w:rsidRPr="00C869EE">
              <w:t>9.5</w:t>
            </w:r>
          </w:p>
        </w:tc>
      </w:tr>
    </w:tbl>
    <w:p w:rsidR="008422A1" w:rsidRPr="00C869EE" w:rsidRDefault="001F3C18" w:rsidP="001F3C18">
      <w:pPr>
        <w:pStyle w:val="subsection"/>
      </w:pPr>
      <w:r w:rsidRPr="00C869EE">
        <w:tab/>
        <w:t>(2B)</w:t>
      </w:r>
      <w:r w:rsidRPr="00C869EE">
        <w:tab/>
        <w:t xml:space="preserve">For the definition of </w:t>
      </w:r>
      <w:r w:rsidR="00987309" w:rsidRPr="00C869EE">
        <w:rPr>
          <w:b/>
          <w:i/>
        </w:rPr>
        <w:t>p</w:t>
      </w:r>
      <w:r w:rsidRPr="00C869EE">
        <w:rPr>
          <w:b/>
          <w:i/>
        </w:rPr>
        <w:t>ercentage</w:t>
      </w:r>
      <w:r w:rsidRPr="00C869EE">
        <w:t xml:space="preserve"> in </w:t>
      </w:r>
      <w:r w:rsidR="00C869EE" w:rsidRPr="00C869EE">
        <w:t>subclause (</w:t>
      </w:r>
      <w:r w:rsidRPr="00C869EE">
        <w:t>2), the foll</w:t>
      </w:r>
      <w:r w:rsidR="002F71EC" w:rsidRPr="00C869EE">
        <w:t>o</w:t>
      </w:r>
      <w:r w:rsidRPr="00C869EE">
        <w:t xml:space="preserve">wing table specifies the percentage in respect of recipient members with less than </w:t>
      </w:r>
      <w:r w:rsidR="007F766F" w:rsidRPr="00C869EE">
        <w:t>12 months</w:t>
      </w:r>
      <w:r w:rsidRPr="00C869EE">
        <w:t xml:space="preserve"> service for a pay period ending between 1</w:t>
      </w:r>
      <w:r w:rsidR="00C869EE" w:rsidRPr="00C869EE">
        <w:t> </w:t>
      </w:r>
      <w:r w:rsidRPr="00C869EE">
        <w:t>July 1992 and 30</w:t>
      </w:r>
      <w:r w:rsidR="00C869EE" w:rsidRPr="00C869EE">
        <w:t> </w:t>
      </w:r>
      <w:r w:rsidRPr="00C869EE">
        <w:t>June 2015.</w:t>
      </w:r>
    </w:p>
    <w:p w:rsidR="001F3C18" w:rsidRPr="00C869EE" w:rsidRDefault="001F3C18" w:rsidP="001F3C1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810"/>
        <w:gridCol w:w="2788"/>
      </w:tblGrid>
      <w:tr w:rsidR="001F3C18" w:rsidRPr="00C869EE" w:rsidTr="001F3C18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F3C18" w:rsidRPr="00C869EE" w:rsidRDefault="001F3C18" w:rsidP="00813AB4">
            <w:pPr>
              <w:pStyle w:val="TableHeading"/>
            </w:pPr>
            <w:r w:rsidRPr="00C869EE">
              <w:t>Percentages</w:t>
            </w:r>
            <w:r w:rsidR="00813AB4" w:rsidRPr="00C869EE">
              <w:t>—</w:t>
            </w:r>
            <w:r w:rsidRPr="00C869EE">
              <w:t>recipient members with less than 365 days service</w:t>
            </w:r>
            <w:r w:rsidR="002F3282" w:rsidRPr="00C869EE">
              <w:t xml:space="preserve"> from 1992 to 2015</w:t>
            </w:r>
          </w:p>
        </w:tc>
      </w:tr>
      <w:tr w:rsidR="001F3C18" w:rsidRPr="00C869EE" w:rsidTr="001F3C1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Heading"/>
            </w:pPr>
            <w:r w:rsidRPr="00C869EE">
              <w:t>Item</w:t>
            </w:r>
          </w:p>
        </w:tc>
        <w:tc>
          <w:tcPr>
            <w:tcW w:w="48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F3C18" w:rsidRPr="00C869EE" w:rsidRDefault="002F3282" w:rsidP="002F3282">
            <w:pPr>
              <w:pStyle w:val="TableHeading"/>
            </w:pPr>
            <w:r w:rsidRPr="00C869EE">
              <w:t>Date pay period ends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Heading"/>
              <w:jc w:val="right"/>
            </w:pPr>
            <w:r w:rsidRPr="00C869EE">
              <w:t>Percentage</w:t>
            </w:r>
          </w:p>
        </w:tc>
      </w:tr>
      <w:tr w:rsidR="001F3C18" w:rsidRPr="00C869EE" w:rsidTr="001F3C1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text"/>
            </w:pPr>
            <w:r w:rsidRPr="00C869EE">
              <w:t>1</w:t>
            </w:r>
          </w:p>
        </w:tc>
        <w:tc>
          <w:tcPr>
            <w:tcW w:w="4810" w:type="dxa"/>
            <w:tcBorders>
              <w:top w:val="single" w:sz="12" w:space="0" w:color="auto"/>
            </w:tcBorders>
            <w:shd w:val="clear" w:color="auto" w:fill="auto"/>
          </w:tcPr>
          <w:p w:rsidR="001F3C18" w:rsidRPr="00C869EE" w:rsidRDefault="001F3C18" w:rsidP="007F766F">
            <w:pPr>
              <w:pStyle w:val="Tabletext"/>
              <w:rPr>
                <w:i/>
              </w:rPr>
            </w:pPr>
            <w:r w:rsidRPr="00C869EE">
              <w:t>Between 1</w:t>
            </w:r>
            <w:r w:rsidR="00C869EE" w:rsidRPr="00C869EE">
              <w:t> </w:t>
            </w:r>
            <w:r w:rsidR="007F766F" w:rsidRPr="00C869EE">
              <w:t>July 1992 and 31</w:t>
            </w:r>
            <w:r w:rsidR="00C869EE" w:rsidRPr="00C869EE">
              <w:t> </w:t>
            </w:r>
            <w:r w:rsidR="007F766F" w:rsidRPr="00C869EE">
              <w:t>December 1992</w:t>
            </w:r>
          </w:p>
        </w:tc>
        <w:tc>
          <w:tcPr>
            <w:tcW w:w="2788" w:type="dxa"/>
            <w:tcBorders>
              <w:top w:val="single" w:sz="12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text"/>
              <w:jc w:val="right"/>
            </w:pPr>
            <w:r w:rsidRPr="00C869EE">
              <w:t>4.0</w:t>
            </w:r>
          </w:p>
        </w:tc>
      </w:tr>
      <w:tr w:rsidR="001F3C18" w:rsidRPr="00C869EE" w:rsidTr="001F3C18">
        <w:tc>
          <w:tcPr>
            <w:tcW w:w="714" w:type="dxa"/>
            <w:shd w:val="clear" w:color="auto" w:fill="auto"/>
          </w:tcPr>
          <w:p w:rsidR="001F3C18" w:rsidRPr="00C869EE" w:rsidRDefault="001F3C18" w:rsidP="001F3C18">
            <w:pPr>
              <w:pStyle w:val="Tabletext"/>
            </w:pPr>
            <w:r w:rsidRPr="00C869EE">
              <w:t>2</w:t>
            </w:r>
          </w:p>
        </w:tc>
        <w:tc>
          <w:tcPr>
            <w:tcW w:w="4810" w:type="dxa"/>
            <w:shd w:val="clear" w:color="auto" w:fill="auto"/>
          </w:tcPr>
          <w:p w:rsidR="001F3C18" w:rsidRPr="00C869EE" w:rsidRDefault="001F3C18" w:rsidP="003F0606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January 1993 and 30</w:t>
            </w:r>
            <w:r w:rsidR="00C869EE" w:rsidRPr="00C869EE">
              <w:t> </w:t>
            </w:r>
            <w:r w:rsidRPr="00C869EE">
              <w:t>June 1995</w:t>
            </w:r>
          </w:p>
        </w:tc>
        <w:tc>
          <w:tcPr>
            <w:tcW w:w="2788" w:type="dxa"/>
            <w:shd w:val="clear" w:color="auto" w:fill="auto"/>
          </w:tcPr>
          <w:p w:rsidR="001F3C18" w:rsidRPr="00C869EE" w:rsidRDefault="001F3C18" w:rsidP="001F3C18">
            <w:pPr>
              <w:pStyle w:val="Tabletext"/>
              <w:jc w:val="right"/>
            </w:pPr>
            <w:r w:rsidRPr="00C869EE">
              <w:t>5.0</w:t>
            </w:r>
          </w:p>
        </w:tc>
      </w:tr>
      <w:tr w:rsidR="001F3C18" w:rsidRPr="00C869EE" w:rsidTr="001F3C18">
        <w:tc>
          <w:tcPr>
            <w:tcW w:w="714" w:type="dxa"/>
            <w:shd w:val="clear" w:color="auto" w:fill="auto"/>
          </w:tcPr>
          <w:p w:rsidR="001F3C18" w:rsidRPr="00C869EE" w:rsidRDefault="001F3C18" w:rsidP="001F3C18">
            <w:pPr>
              <w:pStyle w:val="Tabletext"/>
            </w:pPr>
            <w:r w:rsidRPr="00C869EE">
              <w:t>3</w:t>
            </w:r>
          </w:p>
        </w:tc>
        <w:tc>
          <w:tcPr>
            <w:tcW w:w="4810" w:type="dxa"/>
            <w:shd w:val="clear" w:color="auto" w:fill="auto"/>
          </w:tcPr>
          <w:p w:rsidR="001F3C18" w:rsidRPr="00C869EE" w:rsidRDefault="001F3C18" w:rsidP="003F0606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1995 and 30</w:t>
            </w:r>
            <w:r w:rsidR="00C869EE" w:rsidRPr="00C869EE">
              <w:t> </w:t>
            </w:r>
            <w:r w:rsidRPr="00C869EE">
              <w:t>June 1998</w:t>
            </w:r>
          </w:p>
        </w:tc>
        <w:tc>
          <w:tcPr>
            <w:tcW w:w="2788" w:type="dxa"/>
            <w:shd w:val="clear" w:color="auto" w:fill="auto"/>
          </w:tcPr>
          <w:p w:rsidR="001F3C18" w:rsidRPr="00C869EE" w:rsidRDefault="001F3C18" w:rsidP="001F3C18">
            <w:pPr>
              <w:pStyle w:val="Tabletext"/>
              <w:jc w:val="right"/>
            </w:pPr>
            <w:r w:rsidRPr="00C869EE">
              <w:t>6.0</w:t>
            </w:r>
          </w:p>
        </w:tc>
      </w:tr>
      <w:tr w:rsidR="001F3C18" w:rsidRPr="00C869EE" w:rsidTr="001F3C18">
        <w:tc>
          <w:tcPr>
            <w:tcW w:w="714" w:type="dxa"/>
            <w:shd w:val="clear" w:color="auto" w:fill="auto"/>
          </w:tcPr>
          <w:p w:rsidR="001F3C18" w:rsidRPr="00C869EE" w:rsidRDefault="001F3C18" w:rsidP="001F3C18">
            <w:pPr>
              <w:pStyle w:val="Tabletext"/>
            </w:pPr>
            <w:r w:rsidRPr="00C869EE">
              <w:t>4</w:t>
            </w:r>
          </w:p>
        </w:tc>
        <w:tc>
          <w:tcPr>
            <w:tcW w:w="4810" w:type="dxa"/>
            <w:shd w:val="clear" w:color="auto" w:fill="auto"/>
          </w:tcPr>
          <w:p w:rsidR="001F3C18" w:rsidRPr="00C869EE" w:rsidRDefault="001F3C18" w:rsidP="003F0606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1998 and 30</w:t>
            </w:r>
            <w:r w:rsidR="00C869EE" w:rsidRPr="00C869EE">
              <w:t> </w:t>
            </w:r>
            <w:r w:rsidRPr="00C869EE">
              <w:t>June 2013</w:t>
            </w:r>
          </w:p>
        </w:tc>
        <w:tc>
          <w:tcPr>
            <w:tcW w:w="2788" w:type="dxa"/>
            <w:shd w:val="clear" w:color="auto" w:fill="auto"/>
          </w:tcPr>
          <w:p w:rsidR="001F3C18" w:rsidRPr="00C869EE" w:rsidRDefault="001F3C18" w:rsidP="001F3C18">
            <w:pPr>
              <w:pStyle w:val="Tabletext"/>
              <w:jc w:val="right"/>
            </w:pPr>
            <w:r w:rsidRPr="00C869EE">
              <w:t>9.0</w:t>
            </w:r>
          </w:p>
        </w:tc>
      </w:tr>
      <w:tr w:rsidR="001F3C18" w:rsidRPr="00C869EE" w:rsidTr="001F3C18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text"/>
            </w:pPr>
            <w:r w:rsidRPr="00C869EE">
              <w:t>5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:rsidR="001F3C18" w:rsidRPr="00C869EE" w:rsidRDefault="001F3C18" w:rsidP="003F0606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2013 and 30</w:t>
            </w:r>
            <w:r w:rsidR="00C869EE" w:rsidRPr="00C869EE">
              <w:t> </w:t>
            </w:r>
            <w:r w:rsidRPr="00C869EE">
              <w:t>June 2014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text"/>
              <w:jc w:val="right"/>
            </w:pPr>
            <w:r w:rsidRPr="00C869EE">
              <w:t>9.25</w:t>
            </w:r>
          </w:p>
        </w:tc>
      </w:tr>
      <w:tr w:rsidR="001F3C18" w:rsidRPr="00C869EE" w:rsidTr="001F3C18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text"/>
            </w:pPr>
            <w:r w:rsidRPr="00C869EE">
              <w:t>6</w:t>
            </w:r>
          </w:p>
        </w:tc>
        <w:tc>
          <w:tcPr>
            <w:tcW w:w="4810" w:type="dxa"/>
            <w:tcBorders>
              <w:bottom w:val="single" w:sz="12" w:space="0" w:color="auto"/>
            </w:tcBorders>
            <w:shd w:val="clear" w:color="auto" w:fill="auto"/>
          </w:tcPr>
          <w:p w:rsidR="001F3C18" w:rsidRPr="00C869EE" w:rsidRDefault="001F3C18" w:rsidP="003F0606">
            <w:pPr>
              <w:pStyle w:val="Tabletext"/>
            </w:pPr>
            <w:r w:rsidRPr="00C869EE">
              <w:t>Between 1</w:t>
            </w:r>
            <w:r w:rsidR="00C869EE" w:rsidRPr="00C869EE">
              <w:t> </w:t>
            </w:r>
            <w:r w:rsidRPr="00C869EE">
              <w:t>July 2014 and 30</w:t>
            </w:r>
            <w:r w:rsidR="00C869EE" w:rsidRPr="00C869EE">
              <w:t> </w:t>
            </w:r>
            <w:r w:rsidRPr="00C869EE">
              <w:t>June 2015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shd w:val="clear" w:color="auto" w:fill="auto"/>
          </w:tcPr>
          <w:p w:rsidR="001F3C18" w:rsidRPr="00C869EE" w:rsidRDefault="001F3C18" w:rsidP="001F3C18">
            <w:pPr>
              <w:pStyle w:val="Tabletext"/>
              <w:jc w:val="right"/>
            </w:pPr>
            <w:r w:rsidRPr="00C869EE">
              <w:t>9.5</w:t>
            </w:r>
          </w:p>
        </w:tc>
      </w:tr>
    </w:tbl>
    <w:p w:rsidR="008422A1" w:rsidRPr="00C869EE" w:rsidRDefault="001F3C18" w:rsidP="001F3C18">
      <w:pPr>
        <w:pStyle w:val="subsection"/>
      </w:pPr>
      <w:r w:rsidRPr="00C869EE">
        <w:lastRenderedPageBreak/>
        <w:tab/>
        <w:t>(2C)</w:t>
      </w:r>
      <w:r w:rsidRPr="00C869EE">
        <w:tab/>
        <w:t xml:space="preserve">For the definition of </w:t>
      </w:r>
      <w:r w:rsidR="00987309" w:rsidRPr="00C869EE">
        <w:rPr>
          <w:b/>
          <w:i/>
        </w:rPr>
        <w:t>p</w:t>
      </w:r>
      <w:r w:rsidRPr="00C869EE">
        <w:rPr>
          <w:b/>
          <w:i/>
        </w:rPr>
        <w:t>ercentage</w:t>
      </w:r>
      <w:r w:rsidRPr="00C869EE">
        <w:t xml:space="preserve"> in </w:t>
      </w:r>
      <w:r w:rsidR="00C869EE" w:rsidRPr="00C869EE">
        <w:t>subclause (</w:t>
      </w:r>
      <w:r w:rsidRPr="00C869EE">
        <w:t xml:space="preserve">2), the percentage </w:t>
      </w:r>
      <w:r w:rsidR="009A6BBE" w:rsidRPr="00C869EE">
        <w:t xml:space="preserve">in respect of all members </w:t>
      </w:r>
      <w:r w:rsidRPr="00C869EE">
        <w:t>for a pay period ending on or after 1</w:t>
      </w:r>
      <w:r w:rsidR="00C869EE" w:rsidRPr="00C869EE">
        <w:t> </w:t>
      </w:r>
      <w:r w:rsidRPr="00C869EE">
        <w:t xml:space="preserve">July 2015 is the </w:t>
      </w:r>
      <w:r w:rsidR="00C2765C" w:rsidRPr="00C869EE">
        <w:t>charge percentage specified in the table in subsection</w:t>
      </w:r>
      <w:r w:rsidR="00C869EE" w:rsidRPr="00C869EE">
        <w:t> </w:t>
      </w:r>
      <w:r w:rsidR="00C2765C" w:rsidRPr="00C869EE">
        <w:t xml:space="preserve">19(2) of the </w:t>
      </w:r>
      <w:r w:rsidR="00C2765C" w:rsidRPr="00C869EE">
        <w:rPr>
          <w:i/>
        </w:rPr>
        <w:t>Superannuation Guarantee (Administration) Act 1992</w:t>
      </w:r>
      <w:r w:rsidR="00C2765C" w:rsidRPr="00C869EE">
        <w:t xml:space="preserve"> for the financial year in which the pay period ends</w:t>
      </w:r>
      <w:r w:rsidR="00433EEB" w:rsidRPr="00C869EE">
        <w:t>.</w:t>
      </w:r>
    </w:p>
    <w:p w:rsidR="00F63578" w:rsidRPr="00C869EE" w:rsidRDefault="00C2765C" w:rsidP="00F63578">
      <w:pPr>
        <w:pStyle w:val="ItemHead"/>
      </w:pPr>
      <w:r w:rsidRPr="00C869EE">
        <w:t>4</w:t>
      </w:r>
      <w:r w:rsidR="00F63578" w:rsidRPr="00C869EE">
        <w:t xml:space="preserve">  Subclause</w:t>
      </w:r>
      <w:r w:rsidR="00C869EE" w:rsidRPr="00C869EE">
        <w:t> </w:t>
      </w:r>
      <w:r w:rsidR="00F63578" w:rsidRPr="00C869EE">
        <w:t xml:space="preserve">8AA(5) (definition of </w:t>
      </w:r>
      <w:r w:rsidR="00F63578" w:rsidRPr="00C869EE">
        <w:rPr>
          <w:i/>
        </w:rPr>
        <w:t>I</w:t>
      </w:r>
      <w:r w:rsidR="00F63578" w:rsidRPr="00C869EE">
        <w:t>)</w:t>
      </w:r>
    </w:p>
    <w:p w:rsidR="00F63578" w:rsidRPr="00C869EE" w:rsidRDefault="00F63578" w:rsidP="00F63578">
      <w:pPr>
        <w:pStyle w:val="Item"/>
      </w:pPr>
      <w:r w:rsidRPr="00C869EE">
        <w:t>Repeal the definition, substitute:</w:t>
      </w:r>
    </w:p>
    <w:p w:rsidR="00F63578" w:rsidRPr="00C869EE" w:rsidRDefault="00F63578" w:rsidP="00F63578">
      <w:pPr>
        <w:pStyle w:val="Definition"/>
      </w:pPr>
      <w:r w:rsidRPr="00C869EE">
        <w:rPr>
          <w:b/>
          <w:i/>
        </w:rPr>
        <w:t xml:space="preserve">I </w:t>
      </w:r>
      <w:r w:rsidRPr="00C869EE">
        <w:t>is:</w:t>
      </w:r>
    </w:p>
    <w:p w:rsidR="00F63578" w:rsidRPr="00C869EE" w:rsidRDefault="00F63578" w:rsidP="00F63578">
      <w:pPr>
        <w:pStyle w:val="paragraph"/>
      </w:pPr>
      <w:r w:rsidRPr="00C869EE">
        <w:tab/>
        <w:t>(a)</w:t>
      </w:r>
      <w:r w:rsidRPr="00C869EE">
        <w:tab/>
        <w:t xml:space="preserve">if the pay period </w:t>
      </w:r>
      <w:r w:rsidR="008422A1" w:rsidRPr="00C869EE">
        <w:t>end</w:t>
      </w:r>
      <w:r w:rsidRPr="00C869EE">
        <w:t>s on or before 31</w:t>
      </w:r>
      <w:r w:rsidR="00C869EE" w:rsidRPr="00C869EE">
        <w:t> </w:t>
      </w:r>
      <w:r w:rsidRPr="00C869EE">
        <w:t xml:space="preserve">December 2014—the factor specified in the Schedule for the calendar year in which the pay period </w:t>
      </w:r>
      <w:r w:rsidR="008422A1" w:rsidRPr="00C869EE">
        <w:t>end</w:t>
      </w:r>
      <w:r w:rsidRPr="00C869EE">
        <w:t xml:space="preserve">s; </w:t>
      </w:r>
      <w:r w:rsidR="00813AB4" w:rsidRPr="00C869EE">
        <w:t>or</w:t>
      </w:r>
    </w:p>
    <w:p w:rsidR="00F63578" w:rsidRPr="00C869EE" w:rsidRDefault="00F63578" w:rsidP="00813AB4">
      <w:pPr>
        <w:pStyle w:val="paragraph"/>
      </w:pPr>
      <w:r w:rsidRPr="00C869EE">
        <w:tab/>
        <w:t>(b)</w:t>
      </w:r>
      <w:r w:rsidRPr="00C869EE">
        <w:tab/>
        <w:t xml:space="preserve">if the pay period </w:t>
      </w:r>
      <w:r w:rsidR="008422A1" w:rsidRPr="00C869EE">
        <w:t>ends</w:t>
      </w:r>
      <w:r w:rsidRPr="00C869EE">
        <w:t xml:space="preserve"> on or after 1</w:t>
      </w:r>
      <w:r w:rsidR="00C869EE" w:rsidRPr="00C869EE">
        <w:t> </w:t>
      </w:r>
      <w:r w:rsidRPr="00C869EE">
        <w:t xml:space="preserve">January 2015—the annual interest rate for the calendar year in which the pay period </w:t>
      </w:r>
      <w:r w:rsidR="008422A1" w:rsidRPr="00C869EE">
        <w:t>end</w:t>
      </w:r>
      <w:r w:rsidRPr="00C869EE">
        <w:t>s, divided by 100.</w:t>
      </w:r>
    </w:p>
    <w:p w:rsidR="00813AB4" w:rsidRPr="00C869EE" w:rsidRDefault="00813AB4" w:rsidP="00813AB4">
      <w:pPr>
        <w:pStyle w:val="notetext"/>
      </w:pPr>
      <w:r w:rsidRPr="00C869EE">
        <w:t>Note:</w:t>
      </w:r>
      <w:r w:rsidRPr="00C869EE">
        <w:tab/>
      </w:r>
      <w:r w:rsidRPr="00C869EE">
        <w:rPr>
          <w:b/>
          <w:i/>
        </w:rPr>
        <w:t>Annual interest rate</w:t>
      </w:r>
      <w:r w:rsidRPr="00C869EE">
        <w:t xml:space="preserve"> is defined in subclause</w:t>
      </w:r>
      <w:r w:rsidR="00C869EE" w:rsidRPr="00C869EE">
        <w:t> </w:t>
      </w:r>
      <w:r w:rsidRPr="00C869EE">
        <w:t>3(1).</w:t>
      </w:r>
    </w:p>
    <w:p w:rsidR="00396E2A" w:rsidRPr="00C869EE" w:rsidRDefault="00C2765C" w:rsidP="00396E2A">
      <w:pPr>
        <w:pStyle w:val="ItemHead"/>
      </w:pPr>
      <w:r w:rsidRPr="00C869EE">
        <w:t>5</w:t>
      </w:r>
      <w:r w:rsidR="00396E2A" w:rsidRPr="00C869EE">
        <w:t xml:space="preserve">  Subclause</w:t>
      </w:r>
      <w:r w:rsidR="00C869EE" w:rsidRPr="00C869EE">
        <w:t> </w:t>
      </w:r>
      <w:r w:rsidR="00396E2A" w:rsidRPr="00C869EE">
        <w:t xml:space="preserve">8AA(6) (definition of </w:t>
      </w:r>
      <w:r w:rsidR="00396E2A" w:rsidRPr="00C869EE">
        <w:rPr>
          <w:i/>
        </w:rPr>
        <w:t>I</w:t>
      </w:r>
      <w:r w:rsidR="00396E2A" w:rsidRPr="00C869EE">
        <w:t>)</w:t>
      </w:r>
    </w:p>
    <w:p w:rsidR="00396E2A" w:rsidRPr="00C869EE" w:rsidRDefault="00396E2A" w:rsidP="00396E2A">
      <w:pPr>
        <w:pStyle w:val="Item"/>
      </w:pPr>
      <w:r w:rsidRPr="00C869EE">
        <w:t>Repeal the definition, substitute:</w:t>
      </w:r>
    </w:p>
    <w:p w:rsidR="00396E2A" w:rsidRPr="00C869EE" w:rsidRDefault="00396E2A" w:rsidP="00396E2A">
      <w:pPr>
        <w:pStyle w:val="Definition"/>
      </w:pPr>
      <w:r w:rsidRPr="00C869EE">
        <w:rPr>
          <w:b/>
          <w:i/>
        </w:rPr>
        <w:t xml:space="preserve">I </w:t>
      </w:r>
      <w:r w:rsidRPr="00C869EE">
        <w:t>is:</w:t>
      </w:r>
    </w:p>
    <w:p w:rsidR="00396E2A" w:rsidRPr="00C869EE" w:rsidRDefault="00396E2A" w:rsidP="00396E2A">
      <w:pPr>
        <w:pStyle w:val="paragraph"/>
      </w:pPr>
      <w:r w:rsidRPr="00C869EE">
        <w:tab/>
        <w:t>(a)</w:t>
      </w:r>
      <w:r w:rsidRPr="00C869EE">
        <w:tab/>
        <w:t xml:space="preserve">if the pay period </w:t>
      </w:r>
      <w:r w:rsidR="00813AB4" w:rsidRPr="00C869EE">
        <w:t>end</w:t>
      </w:r>
      <w:r w:rsidRPr="00C869EE">
        <w:t>s on or before 31</w:t>
      </w:r>
      <w:r w:rsidR="00C869EE" w:rsidRPr="00C869EE">
        <w:t> </w:t>
      </w:r>
      <w:r w:rsidRPr="00C869EE">
        <w:t xml:space="preserve">December 2014—the factor specified in the Schedule for the calendar year in which the pay period concludes; </w:t>
      </w:r>
      <w:r w:rsidR="00813AB4" w:rsidRPr="00C869EE">
        <w:t>or</w:t>
      </w:r>
    </w:p>
    <w:p w:rsidR="00396E2A" w:rsidRPr="00C869EE" w:rsidRDefault="00396E2A" w:rsidP="00396E2A">
      <w:pPr>
        <w:pStyle w:val="paragraph"/>
      </w:pPr>
      <w:r w:rsidRPr="00C869EE">
        <w:tab/>
        <w:t>(b)</w:t>
      </w:r>
      <w:r w:rsidRPr="00C869EE">
        <w:tab/>
        <w:t xml:space="preserve">if the pay period </w:t>
      </w:r>
      <w:r w:rsidR="00813AB4" w:rsidRPr="00C869EE">
        <w:t>end</w:t>
      </w:r>
      <w:r w:rsidRPr="00C869EE">
        <w:t>s on or after 1</w:t>
      </w:r>
      <w:r w:rsidR="00C869EE" w:rsidRPr="00C869EE">
        <w:t> </w:t>
      </w:r>
      <w:r w:rsidRPr="00C869EE">
        <w:t>January 2015—the annual interest rate for the calendar year in which the pay period concludes, divided by 100.</w:t>
      </w:r>
    </w:p>
    <w:p w:rsidR="00813AB4" w:rsidRPr="00C869EE" w:rsidRDefault="00813AB4" w:rsidP="00813AB4">
      <w:pPr>
        <w:pStyle w:val="notetext"/>
      </w:pPr>
      <w:r w:rsidRPr="00C869EE">
        <w:t>Note:</w:t>
      </w:r>
      <w:r w:rsidRPr="00C869EE">
        <w:tab/>
      </w:r>
      <w:r w:rsidRPr="00C869EE">
        <w:rPr>
          <w:b/>
          <w:i/>
        </w:rPr>
        <w:t>Annual interest rate</w:t>
      </w:r>
      <w:r w:rsidRPr="00C869EE">
        <w:t xml:space="preserve"> is defined in subclause</w:t>
      </w:r>
      <w:r w:rsidR="00C869EE" w:rsidRPr="00C869EE">
        <w:t> </w:t>
      </w:r>
      <w:r w:rsidRPr="00C869EE">
        <w:t>3(1).</w:t>
      </w:r>
    </w:p>
    <w:p w:rsidR="00396E2A" w:rsidRPr="00C869EE" w:rsidRDefault="00C2765C" w:rsidP="00396E2A">
      <w:pPr>
        <w:pStyle w:val="ItemHead"/>
      </w:pPr>
      <w:r w:rsidRPr="00C869EE">
        <w:t>6</w:t>
      </w:r>
      <w:r w:rsidR="00396E2A" w:rsidRPr="00C869EE">
        <w:t xml:space="preserve">  Subclause</w:t>
      </w:r>
      <w:r w:rsidR="00C869EE" w:rsidRPr="00C869EE">
        <w:t> </w:t>
      </w:r>
      <w:r w:rsidR="00396E2A" w:rsidRPr="00C869EE">
        <w:t>8C(1)</w:t>
      </w:r>
    </w:p>
    <w:p w:rsidR="00396E2A" w:rsidRPr="00C869EE" w:rsidRDefault="00396E2A" w:rsidP="00396E2A">
      <w:pPr>
        <w:pStyle w:val="Item"/>
      </w:pPr>
      <w:r w:rsidRPr="00C869EE">
        <w:t>Omit all the words after “relevant period,”, substitute “</w:t>
      </w:r>
      <w:r w:rsidR="00813AB4" w:rsidRPr="00C869EE">
        <w:t xml:space="preserve">at </w:t>
      </w:r>
      <w:r w:rsidRPr="00C869EE">
        <w:t>the annual interest rate for the calendar year in which the relevant period ends”.</w:t>
      </w:r>
    </w:p>
    <w:p w:rsidR="00813AB4" w:rsidRPr="00C869EE" w:rsidRDefault="00813AB4" w:rsidP="00396D79">
      <w:pPr>
        <w:pStyle w:val="ItemHead"/>
      </w:pPr>
      <w:r w:rsidRPr="00C869EE">
        <w:t>7  At the end of subclause</w:t>
      </w:r>
      <w:r w:rsidR="00C869EE" w:rsidRPr="00C869EE">
        <w:t> </w:t>
      </w:r>
      <w:r w:rsidRPr="00C869EE">
        <w:t>8C(1)</w:t>
      </w:r>
    </w:p>
    <w:p w:rsidR="00813AB4" w:rsidRPr="00C869EE" w:rsidRDefault="00813AB4" w:rsidP="00813AB4">
      <w:pPr>
        <w:pStyle w:val="Item"/>
      </w:pPr>
      <w:r w:rsidRPr="00C869EE">
        <w:t>Add:</w:t>
      </w:r>
    </w:p>
    <w:p w:rsidR="00813AB4" w:rsidRPr="00C869EE" w:rsidRDefault="00813AB4" w:rsidP="00813AB4">
      <w:pPr>
        <w:pStyle w:val="notetext"/>
      </w:pPr>
      <w:r w:rsidRPr="00C869EE">
        <w:t>Note:</w:t>
      </w:r>
      <w:r w:rsidRPr="00C869EE">
        <w:tab/>
      </w:r>
      <w:r w:rsidRPr="00C869EE">
        <w:rPr>
          <w:b/>
          <w:i/>
        </w:rPr>
        <w:t>Annual interest rate</w:t>
      </w:r>
      <w:r w:rsidRPr="00C869EE">
        <w:t xml:space="preserve"> is defined in subclause</w:t>
      </w:r>
      <w:r w:rsidR="00C869EE" w:rsidRPr="00C869EE">
        <w:t> </w:t>
      </w:r>
      <w:r w:rsidRPr="00C869EE">
        <w:t>3(1).</w:t>
      </w:r>
    </w:p>
    <w:p w:rsidR="00396D79" w:rsidRPr="00C869EE" w:rsidRDefault="00813AB4" w:rsidP="00396D79">
      <w:pPr>
        <w:pStyle w:val="ItemHead"/>
      </w:pPr>
      <w:r w:rsidRPr="00C869EE">
        <w:t>8</w:t>
      </w:r>
      <w:r w:rsidR="00396D79" w:rsidRPr="00C869EE">
        <w:t xml:space="preserve">  Schedule (note to </w:t>
      </w:r>
      <w:r w:rsidR="002B5CB4" w:rsidRPr="00C869EE">
        <w:t xml:space="preserve">Schedule </w:t>
      </w:r>
      <w:r w:rsidR="00396D79" w:rsidRPr="00C869EE">
        <w:t>heading)</w:t>
      </w:r>
    </w:p>
    <w:p w:rsidR="00396D79" w:rsidRPr="00C869EE" w:rsidRDefault="00396D79" w:rsidP="00396D79">
      <w:pPr>
        <w:pStyle w:val="Item"/>
      </w:pPr>
      <w:r w:rsidRPr="00C869EE">
        <w:t>Repeal the note, substitute:</w:t>
      </w:r>
    </w:p>
    <w:p w:rsidR="00396D79" w:rsidRPr="00C869EE" w:rsidRDefault="00396D79" w:rsidP="002B5CB4">
      <w:pPr>
        <w:pStyle w:val="notemargin"/>
      </w:pPr>
      <w:r w:rsidRPr="00C869EE">
        <w:t>Note:</w:t>
      </w:r>
      <w:r w:rsidRPr="00C869EE">
        <w:tab/>
        <w:t>See clauses</w:t>
      </w:r>
      <w:r w:rsidR="00C869EE" w:rsidRPr="00C869EE">
        <w:t> </w:t>
      </w:r>
      <w:r w:rsidRPr="00C869EE">
        <w:t>8A and 8AA.</w:t>
      </w:r>
    </w:p>
    <w:sectPr w:rsidR="00396D79" w:rsidRPr="00C869EE" w:rsidSect="00B038B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2B" w:rsidRDefault="00AA782B" w:rsidP="0048364F">
      <w:pPr>
        <w:spacing w:line="240" w:lineRule="auto"/>
      </w:pPr>
      <w:r>
        <w:separator/>
      </w:r>
    </w:p>
  </w:endnote>
  <w:endnote w:type="continuationSeparator" w:id="0">
    <w:p w:rsidR="00AA782B" w:rsidRDefault="00AA78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038B6" w:rsidRDefault="0048364F" w:rsidP="00B038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038B6">
      <w:rPr>
        <w:i/>
        <w:sz w:val="18"/>
      </w:rPr>
      <w:t xml:space="preserve"> </w:t>
    </w:r>
    <w:r w:rsidR="00B038B6" w:rsidRPr="00B038B6">
      <w:rPr>
        <w:i/>
        <w:sz w:val="18"/>
      </w:rPr>
      <w:t>OPC60953 -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B038B6" w:rsidP="00B038B6">
    <w:r w:rsidRPr="00B038B6">
      <w:rPr>
        <w:rFonts w:cs="Times New Roman"/>
        <w:i/>
        <w:sz w:val="18"/>
      </w:rPr>
      <w:t>OPC60953 -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B038B6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B038B6" w:rsidTr="00C869E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B038B6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038B6">
            <w:rPr>
              <w:rFonts w:cs="Times New Roman"/>
              <w:i/>
              <w:sz w:val="18"/>
            </w:rPr>
            <w:fldChar w:fldCharType="begin"/>
          </w:r>
          <w:r w:rsidRPr="00B038B6">
            <w:rPr>
              <w:rFonts w:cs="Times New Roman"/>
              <w:i/>
              <w:sz w:val="18"/>
            </w:rPr>
            <w:instrText xml:space="preserve"> PAGE </w:instrText>
          </w:r>
          <w:r w:rsidRPr="00B038B6">
            <w:rPr>
              <w:rFonts w:cs="Times New Roman"/>
              <w:i/>
              <w:sz w:val="18"/>
            </w:rPr>
            <w:fldChar w:fldCharType="separate"/>
          </w:r>
          <w:r w:rsidR="004F7FA5">
            <w:rPr>
              <w:rFonts w:cs="Times New Roman"/>
              <w:i/>
              <w:noProof/>
              <w:sz w:val="18"/>
            </w:rPr>
            <w:t>ii</w:t>
          </w:r>
          <w:r w:rsidRPr="00B038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B038B6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038B6">
            <w:rPr>
              <w:rFonts w:cs="Times New Roman"/>
              <w:i/>
              <w:sz w:val="18"/>
            </w:rPr>
            <w:fldChar w:fldCharType="begin"/>
          </w:r>
          <w:r w:rsidRPr="00B038B6">
            <w:rPr>
              <w:rFonts w:cs="Times New Roman"/>
              <w:i/>
              <w:sz w:val="18"/>
            </w:rPr>
            <w:instrText xml:space="preserve"> DOCPROPERTY ShortT </w:instrText>
          </w:r>
          <w:r w:rsidRPr="00B038B6">
            <w:rPr>
              <w:rFonts w:cs="Times New Roman"/>
              <w:i/>
              <w:sz w:val="18"/>
            </w:rPr>
            <w:fldChar w:fldCharType="separate"/>
          </w:r>
          <w:r w:rsidR="004F7FA5">
            <w:rPr>
              <w:rFonts w:cs="Times New Roman"/>
              <w:i/>
              <w:sz w:val="18"/>
            </w:rPr>
            <w:t>Defence Force (Superannuation) (Productivity Benefit) Amendment (Interest Factor and Other Measures) Determination 2015</w:t>
          </w:r>
          <w:r w:rsidRPr="00B038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B038B6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B038B6" w:rsidRDefault="00B038B6" w:rsidP="00B038B6">
    <w:pPr>
      <w:rPr>
        <w:rFonts w:cs="Times New Roman"/>
        <w:i/>
        <w:sz w:val="18"/>
      </w:rPr>
    </w:pPr>
    <w:r w:rsidRPr="00B038B6">
      <w:rPr>
        <w:rFonts w:cs="Times New Roman"/>
        <w:i/>
        <w:sz w:val="18"/>
      </w:rPr>
      <w:t>OPC60953 -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C869E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FA5">
            <w:rPr>
              <w:i/>
              <w:sz w:val="18"/>
            </w:rPr>
            <w:t>Defence Force (Superannuation) (Productivity Benefit) Amendment (Interest Factor and Other Measures)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7FA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B038B6" w:rsidP="00B038B6">
    <w:pPr>
      <w:rPr>
        <w:i/>
        <w:sz w:val="18"/>
      </w:rPr>
    </w:pPr>
    <w:r w:rsidRPr="00B038B6">
      <w:rPr>
        <w:rFonts w:cs="Times New Roman"/>
        <w:i/>
        <w:sz w:val="18"/>
      </w:rPr>
      <w:t>OPC60953 -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B038B6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B038B6" w:rsidTr="00C869E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B038B6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B038B6">
            <w:rPr>
              <w:rFonts w:cs="Times New Roman"/>
              <w:i/>
              <w:sz w:val="18"/>
            </w:rPr>
            <w:fldChar w:fldCharType="begin"/>
          </w:r>
          <w:r w:rsidRPr="00B038B6">
            <w:rPr>
              <w:rFonts w:cs="Times New Roman"/>
              <w:i/>
              <w:sz w:val="18"/>
            </w:rPr>
            <w:instrText xml:space="preserve"> PAGE </w:instrText>
          </w:r>
          <w:r w:rsidRPr="00B038B6">
            <w:rPr>
              <w:rFonts w:cs="Times New Roman"/>
              <w:i/>
              <w:sz w:val="18"/>
            </w:rPr>
            <w:fldChar w:fldCharType="separate"/>
          </w:r>
          <w:r w:rsidR="004F7FA5">
            <w:rPr>
              <w:rFonts w:cs="Times New Roman"/>
              <w:i/>
              <w:noProof/>
              <w:sz w:val="18"/>
            </w:rPr>
            <w:t>2</w:t>
          </w:r>
          <w:r w:rsidRPr="00B038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B038B6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038B6">
            <w:rPr>
              <w:rFonts w:cs="Times New Roman"/>
              <w:i/>
              <w:sz w:val="18"/>
            </w:rPr>
            <w:fldChar w:fldCharType="begin"/>
          </w:r>
          <w:r w:rsidRPr="00B038B6">
            <w:rPr>
              <w:rFonts w:cs="Times New Roman"/>
              <w:i/>
              <w:sz w:val="18"/>
            </w:rPr>
            <w:instrText xml:space="preserve"> DOCPROPERTY ShortT </w:instrText>
          </w:r>
          <w:r w:rsidRPr="00B038B6">
            <w:rPr>
              <w:rFonts w:cs="Times New Roman"/>
              <w:i/>
              <w:sz w:val="18"/>
            </w:rPr>
            <w:fldChar w:fldCharType="separate"/>
          </w:r>
          <w:r w:rsidR="004F7FA5">
            <w:rPr>
              <w:rFonts w:cs="Times New Roman"/>
              <w:i/>
              <w:sz w:val="18"/>
            </w:rPr>
            <w:t>Defence Force (Superannuation) (Productivity Benefit) Amendment (Interest Factor and Other Measures) Determination 2015</w:t>
          </w:r>
          <w:r w:rsidRPr="00B038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B038B6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B038B6" w:rsidRDefault="00B038B6" w:rsidP="00B038B6">
    <w:pPr>
      <w:rPr>
        <w:rFonts w:cs="Times New Roman"/>
        <w:i/>
        <w:sz w:val="18"/>
      </w:rPr>
    </w:pPr>
    <w:r w:rsidRPr="00B038B6">
      <w:rPr>
        <w:rFonts w:cs="Times New Roman"/>
        <w:i/>
        <w:sz w:val="18"/>
      </w:rPr>
      <w:t>OPC60953 -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FA5">
            <w:rPr>
              <w:i/>
              <w:sz w:val="18"/>
            </w:rPr>
            <w:t>Defence Force (Superannuation) (Productivity Benefit) Amendment (Interest Factor and Other Measures)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7FA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B038B6" w:rsidP="00B038B6">
    <w:pPr>
      <w:rPr>
        <w:i/>
        <w:sz w:val="18"/>
      </w:rPr>
    </w:pPr>
    <w:r w:rsidRPr="00B038B6">
      <w:rPr>
        <w:rFonts w:cs="Times New Roman"/>
        <w:i/>
        <w:sz w:val="18"/>
      </w:rPr>
      <w:t>OPC60953 -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7FA5">
            <w:rPr>
              <w:i/>
              <w:sz w:val="18"/>
            </w:rPr>
            <w:t>Defence Force (Superannuation) (Productivity Benefit) Amendment (Interest Factor and Other Measures)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7FA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2B" w:rsidRDefault="00AA782B" w:rsidP="0048364F">
      <w:pPr>
        <w:spacing w:line="240" w:lineRule="auto"/>
      </w:pPr>
      <w:r>
        <w:separator/>
      </w:r>
    </w:p>
  </w:footnote>
  <w:footnote w:type="continuationSeparator" w:id="0">
    <w:p w:rsidR="00AA782B" w:rsidRDefault="00AA78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F7FA5">
      <w:rPr>
        <w:b/>
        <w:sz w:val="20"/>
      </w:rPr>
      <w:fldChar w:fldCharType="separate"/>
    </w:r>
    <w:r w:rsidR="004F7FA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F7FA5">
      <w:rPr>
        <w:sz w:val="20"/>
      </w:rPr>
      <w:fldChar w:fldCharType="separate"/>
    </w:r>
    <w:r w:rsidR="004F7FA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2B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745C"/>
    <w:rsid w:val="00117277"/>
    <w:rsid w:val="00156856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3C18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B5CB4"/>
    <w:rsid w:val="002C152A"/>
    <w:rsid w:val="002D043A"/>
    <w:rsid w:val="002F3282"/>
    <w:rsid w:val="002F71EC"/>
    <w:rsid w:val="0031713F"/>
    <w:rsid w:val="00332E0D"/>
    <w:rsid w:val="003415D3"/>
    <w:rsid w:val="00346335"/>
    <w:rsid w:val="00352B0F"/>
    <w:rsid w:val="003561B0"/>
    <w:rsid w:val="00396D79"/>
    <w:rsid w:val="00396E2A"/>
    <w:rsid w:val="003A15AC"/>
    <w:rsid w:val="003A34B0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3EEB"/>
    <w:rsid w:val="0044291A"/>
    <w:rsid w:val="00460499"/>
    <w:rsid w:val="00474835"/>
    <w:rsid w:val="004819C7"/>
    <w:rsid w:val="0048364F"/>
    <w:rsid w:val="004850ED"/>
    <w:rsid w:val="00490F2E"/>
    <w:rsid w:val="00496F97"/>
    <w:rsid w:val="004A53EA"/>
    <w:rsid w:val="004D0476"/>
    <w:rsid w:val="004F1FAC"/>
    <w:rsid w:val="004F676E"/>
    <w:rsid w:val="004F7FA5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1E36"/>
    <w:rsid w:val="00581211"/>
    <w:rsid w:val="00584811"/>
    <w:rsid w:val="00593AA6"/>
    <w:rsid w:val="00594161"/>
    <w:rsid w:val="00594749"/>
    <w:rsid w:val="005A482B"/>
    <w:rsid w:val="005A58A6"/>
    <w:rsid w:val="005B4067"/>
    <w:rsid w:val="005C3F41"/>
    <w:rsid w:val="005D1045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251D"/>
    <w:rsid w:val="00655D6A"/>
    <w:rsid w:val="00656DE9"/>
    <w:rsid w:val="00677CC2"/>
    <w:rsid w:val="00685F42"/>
    <w:rsid w:val="006866A1"/>
    <w:rsid w:val="0069207B"/>
    <w:rsid w:val="006A4309"/>
    <w:rsid w:val="006A63A0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6F2C"/>
    <w:rsid w:val="00757400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66F"/>
    <w:rsid w:val="007F7947"/>
    <w:rsid w:val="00812F45"/>
    <w:rsid w:val="00813AB4"/>
    <w:rsid w:val="008312C5"/>
    <w:rsid w:val="0084172C"/>
    <w:rsid w:val="008422A1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61A47"/>
    <w:rsid w:val="00976A63"/>
    <w:rsid w:val="00981358"/>
    <w:rsid w:val="00983419"/>
    <w:rsid w:val="00987309"/>
    <w:rsid w:val="009A6BBE"/>
    <w:rsid w:val="009C3431"/>
    <w:rsid w:val="009C5989"/>
    <w:rsid w:val="009D08DA"/>
    <w:rsid w:val="009D1866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A782B"/>
    <w:rsid w:val="00AD3467"/>
    <w:rsid w:val="00AD5641"/>
    <w:rsid w:val="00AE0F9B"/>
    <w:rsid w:val="00AF4DEC"/>
    <w:rsid w:val="00AF55FF"/>
    <w:rsid w:val="00B032D8"/>
    <w:rsid w:val="00B038B6"/>
    <w:rsid w:val="00B33B3C"/>
    <w:rsid w:val="00B40D74"/>
    <w:rsid w:val="00B52663"/>
    <w:rsid w:val="00B56DCB"/>
    <w:rsid w:val="00B770D2"/>
    <w:rsid w:val="00B8667B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765C"/>
    <w:rsid w:val="00C42BF8"/>
    <w:rsid w:val="00C460AE"/>
    <w:rsid w:val="00C50043"/>
    <w:rsid w:val="00C50A0F"/>
    <w:rsid w:val="00C7573B"/>
    <w:rsid w:val="00C76CF3"/>
    <w:rsid w:val="00C85192"/>
    <w:rsid w:val="00C869EE"/>
    <w:rsid w:val="00CA7844"/>
    <w:rsid w:val="00CB58EF"/>
    <w:rsid w:val="00CE7D64"/>
    <w:rsid w:val="00CF0BB2"/>
    <w:rsid w:val="00D13441"/>
    <w:rsid w:val="00D243A3"/>
    <w:rsid w:val="00D3200B"/>
    <w:rsid w:val="00D33440"/>
    <w:rsid w:val="00D33835"/>
    <w:rsid w:val="00D43C06"/>
    <w:rsid w:val="00D52EFE"/>
    <w:rsid w:val="00D56A0D"/>
    <w:rsid w:val="00D63EF6"/>
    <w:rsid w:val="00D65D81"/>
    <w:rsid w:val="00D66518"/>
    <w:rsid w:val="00D70DFB"/>
    <w:rsid w:val="00D71EEA"/>
    <w:rsid w:val="00D735CD"/>
    <w:rsid w:val="00D766DF"/>
    <w:rsid w:val="00D95891"/>
    <w:rsid w:val="00DB5CB4"/>
    <w:rsid w:val="00DE149E"/>
    <w:rsid w:val="00DF2227"/>
    <w:rsid w:val="00E05704"/>
    <w:rsid w:val="00E12F1A"/>
    <w:rsid w:val="00E21CFB"/>
    <w:rsid w:val="00E22935"/>
    <w:rsid w:val="00E4299B"/>
    <w:rsid w:val="00E54292"/>
    <w:rsid w:val="00E60191"/>
    <w:rsid w:val="00E74DC7"/>
    <w:rsid w:val="00E87699"/>
    <w:rsid w:val="00E92E27"/>
    <w:rsid w:val="00E9586B"/>
    <w:rsid w:val="00E967BD"/>
    <w:rsid w:val="00E97334"/>
    <w:rsid w:val="00EA51D3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3578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69E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69EE"/>
  </w:style>
  <w:style w:type="paragraph" w:customStyle="1" w:styleId="OPCParaBase">
    <w:name w:val="OPCParaBase"/>
    <w:qFormat/>
    <w:rsid w:val="00C869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69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69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69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69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69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869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69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69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69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69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69EE"/>
  </w:style>
  <w:style w:type="paragraph" w:customStyle="1" w:styleId="Blocks">
    <w:name w:val="Blocks"/>
    <w:aliases w:val="bb"/>
    <w:basedOn w:val="OPCParaBase"/>
    <w:qFormat/>
    <w:rsid w:val="00C869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69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69EE"/>
    <w:rPr>
      <w:i/>
    </w:rPr>
  </w:style>
  <w:style w:type="paragraph" w:customStyle="1" w:styleId="BoxList">
    <w:name w:val="BoxList"/>
    <w:aliases w:val="bl"/>
    <w:basedOn w:val="BoxText"/>
    <w:qFormat/>
    <w:rsid w:val="00C869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69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69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69EE"/>
    <w:pPr>
      <w:ind w:left="1985" w:hanging="851"/>
    </w:pPr>
  </w:style>
  <w:style w:type="character" w:customStyle="1" w:styleId="CharAmPartNo">
    <w:name w:val="CharAmPartNo"/>
    <w:basedOn w:val="OPCCharBase"/>
    <w:qFormat/>
    <w:rsid w:val="00C869EE"/>
  </w:style>
  <w:style w:type="character" w:customStyle="1" w:styleId="CharAmPartText">
    <w:name w:val="CharAmPartText"/>
    <w:basedOn w:val="OPCCharBase"/>
    <w:qFormat/>
    <w:rsid w:val="00C869EE"/>
  </w:style>
  <w:style w:type="character" w:customStyle="1" w:styleId="CharAmSchNo">
    <w:name w:val="CharAmSchNo"/>
    <w:basedOn w:val="OPCCharBase"/>
    <w:qFormat/>
    <w:rsid w:val="00C869EE"/>
  </w:style>
  <w:style w:type="character" w:customStyle="1" w:styleId="CharAmSchText">
    <w:name w:val="CharAmSchText"/>
    <w:basedOn w:val="OPCCharBase"/>
    <w:qFormat/>
    <w:rsid w:val="00C869EE"/>
  </w:style>
  <w:style w:type="character" w:customStyle="1" w:styleId="CharBoldItalic">
    <w:name w:val="CharBoldItalic"/>
    <w:basedOn w:val="OPCCharBase"/>
    <w:uiPriority w:val="1"/>
    <w:qFormat/>
    <w:rsid w:val="00C869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69EE"/>
  </w:style>
  <w:style w:type="character" w:customStyle="1" w:styleId="CharChapText">
    <w:name w:val="CharChapText"/>
    <w:basedOn w:val="OPCCharBase"/>
    <w:uiPriority w:val="1"/>
    <w:qFormat/>
    <w:rsid w:val="00C869EE"/>
  </w:style>
  <w:style w:type="character" w:customStyle="1" w:styleId="CharDivNo">
    <w:name w:val="CharDivNo"/>
    <w:basedOn w:val="OPCCharBase"/>
    <w:uiPriority w:val="1"/>
    <w:qFormat/>
    <w:rsid w:val="00C869EE"/>
  </w:style>
  <w:style w:type="character" w:customStyle="1" w:styleId="CharDivText">
    <w:name w:val="CharDivText"/>
    <w:basedOn w:val="OPCCharBase"/>
    <w:uiPriority w:val="1"/>
    <w:qFormat/>
    <w:rsid w:val="00C869EE"/>
  </w:style>
  <w:style w:type="character" w:customStyle="1" w:styleId="CharItalic">
    <w:name w:val="CharItalic"/>
    <w:basedOn w:val="OPCCharBase"/>
    <w:uiPriority w:val="1"/>
    <w:qFormat/>
    <w:rsid w:val="00C869EE"/>
    <w:rPr>
      <w:i/>
    </w:rPr>
  </w:style>
  <w:style w:type="character" w:customStyle="1" w:styleId="CharPartNo">
    <w:name w:val="CharPartNo"/>
    <w:basedOn w:val="OPCCharBase"/>
    <w:uiPriority w:val="1"/>
    <w:qFormat/>
    <w:rsid w:val="00C869EE"/>
  </w:style>
  <w:style w:type="character" w:customStyle="1" w:styleId="CharPartText">
    <w:name w:val="CharPartText"/>
    <w:basedOn w:val="OPCCharBase"/>
    <w:uiPriority w:val="1"/>
    <w:qFormat/>
    <w:rsid w:val="00C869EE"/>
  </w:style>
  <w:style w:type="character" w:customStyle="1" w:styleId="CharSectno">
    <w:name w:val="CharSectno"/>
    <w:basedOn w:val="OPCCharBase"/>
    <w:qFormat/>
    <w:rsid w:val="00C869EE"/>
  </w:style>
  <w:style w:type="character" w:customStyle="1" w:styleId="CharSubdNo">
    <w:name w:val="CharSubdNo"/>
    <w:basedOn w:val="OPCCharBase"/>
    <w:uiPriority w:val="1"/>
    <w:qFormat/>
    <w:rsid w:val="00C869EE"/>
  </w:style>
  <w:style w:type="character" w:customStyle="1" w:styleId="CharSubdText">
    <w:name w:val="CharSubdText"/>
    <w:basedOn w:val="OPCCharBase"/>
    <w:uiPriority w:val="1"/>
    <w:qFormat/>
    <w:rsid w:val="00C869EE"/>
  </w:style>
  <w:style w:type="paragraph" w:customStyle="1" w:styleId="CTA--">
    <w:name w:val="CTA --"/>
    <w:basedOn w:val="OPCParaBase"/>
    <w:next w:val="Normal"/>
    <w:rsid w:val="00C869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69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69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69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69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69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69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69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69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69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69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69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69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69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869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69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869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69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69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69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69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69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69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69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69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69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69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69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69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69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69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69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69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69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69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869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69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69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69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69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69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69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69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69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69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69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69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69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69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69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69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69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69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69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869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869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869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869E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869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869E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869E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869E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869E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869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69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69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69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69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69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69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69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869EE"/>
    <w:rPr>
      <w:sz w:val="16"/>
    </w:rPr>
  </w:style>
  <w:style w:type="table" w:customStyle="1" w:styleId="CFlag">
    <w:name w:val="CFlag"/>
    <w:basedOn w:val="TableNormal"/>
    <w:uiPriority w:val="99"/>
    <w:rsid w:val="00C869E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869E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869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69E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69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69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69E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869EE"/>
    <w:pPr>
      <w:spacing w:before="120"/>
    </w:pPr>
  </w:style>
  <w:style w:type="paragraph" w:customStyle="1" w:styleId="CompiledActNo">
    <w:name w:val="CompiledActNo"/>
    <w:basedOn w:val="OPCParaBase"/>
    <w:next w:val="Normal"/>
    <w:rsid w:val="00C869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869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69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869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69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869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69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869E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869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869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69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69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69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69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69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869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69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69EE"/>
  </w:style>
  <w:style w:type="character" w:customStyle="1" w:styleId="CharSubPartNoCASA">
    <w:name w:val="CharSubPartNo(CASA)"/>
    <w:basedOn w:val="OPCCharBase"/>
    <w:uiPriority w:val="1"/>
    <w:rsid w:val="00C869EE"/>
  </w:style>
  <w:style w:type="paragraph" w:customStyle="1" w:styleId="ENoteTTIndentHeadingSub">
    <w:name w:val="ENoteTTIndentHeadingSub"/>
    <w:aliases w:val="enTTHis"/>
    <w:basedOn w:val="OPCParaBase"/>
    <w:rsid w:val="00C869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69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69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69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869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69EE"/>
    <w:rPr>
      <w:sz w:val="22"/>
    </w:rPr>
  </w:style>
  <w:style w:type="paragraph" w:customStyle="1" w:styleId="SOTextNote">
    <w:name w:val="SO TextNote"/>
    <w:aliases w:val="sont"/>
    <w:basedOn w:val="SOText"/>
    <w:qFormat/>
    <w:rsid w:val="00C869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69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69EE"/>
    <w:rPr>
      <w:sz w:val="22"/>
    </w:rPr>
  </w:style>
  <w:style w:type="paragraph" w:customStyle="1" w:styleId="FileName">
    <w:name w:val="FileName"/>
    <w:basedOn w:val="Normal"/>
    <w:rsid w:val="00C869EE"/>
  </w:style>
  <w:style w:type="paragraph" w:customStyle="1" w:styleId="TableHeading">
    <w:name w:val="TableHeading"/>
    <w:aliases w:val="th"/>
    <w:basedOn w:val="OPCParaBase"/>
    <w:next w:val="Tabletext"/>
    <w:rsid w:val="00C869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69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69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69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69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69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69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69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69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69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69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69E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69EE"/>
  </w:style>
  <w:style w:type="paragraph" w:customStyle="1" w:styleId="OPCParaBase">
    <w:name w:val="OPCParaBase"/>
    <w:qFormat/>
    <w:rsid w:val="00C869E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69E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69E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69E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69E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69E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869E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69E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69E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69E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69E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69EE"/>
  </w:style>
  <w:style w:type="paragraph" w:customStyle="1" w:styleId="Blocks">
    <w:name w:val="Blocks"/>
    <w:aliases w:val="bb"/>
    <w:basedOn w:val="OPCParaBase"/>
    <w:qFormat/>
    <w:rsid w:val="00C869E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69E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69EE"/>
    <w:rPr>
      <w:i/>
    </w:rPr>
  </w:style>
  <w:style w:type="paragraph" w:customStyle="1" w:styleId="BoxList">
    <w:name w:val="BoxList"/>
    <w:aliases w:val="bl"/>
    <w:basedOn w:val="BoxText"/>
    <w:qFormat/>
    <w:rsid w:val="00C869E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69E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69E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69EE"/>
    <w:pPr>
      <w:ind w:left="1985" w:hanging="851"/>
    </w:pPr>
  </w:style>
  <w:style w:type="character" w:customStyle="1" w:styleId="CharAmPartNo">
    <w:name w:val="CharAmPartNo"/>
    <w:basedOn w:val="OPCCharBase"/>
    <w:qFormat/>
    <w:rsid w:val="00C869EE"/>
  </w:style>
  <w:style w:type="character" w:customStyle="1" w:styleId="CharAmPartText">
    <w:name w:val="CharAmPartText"/>
    <w:basedOn w:val="OPCCharBase"/>
    <w:qFormat/>
    <w:rsid w:val="00C869EE"/>
  </w:style>
  <w:style w:type="character" w:customStyle="1" w:styleId="CharAmSchNo">
    <w:name w:val="CharAmSchNo"/>
    <w:basedOn w:val="OPCCharBase"/>
    <w:qFormat/>
    <w:rsid w:val="00C869EE"/>
  </w:style>
  <w:style w:type="character" w:customStyle="1" w:styleId="CharAmSchText">
    <w:name w:val="CharAmSchText"/>
    <w:basedOn w:val="OPCCharBase"/>
    <w:qFormat/>
    <w:rsid w:val="00C869EE"/>
  </w:style>
  <w:style w:type="character" w:customStyle="1" w:styleId="CharBoldItalic">
    <w:name w:val="CharBoldItalic"/>
    <w:basedOn w:val="OPCCharBase"/>
    <w:uiPriority w:val="1"/>
    <w:qFormat/>
    <w:rsid w:val="00C869E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69EE"/>
  </w:style>
  <w:style w:type="character" w:customStyle="1" w:styleId="CharChapText">
    <w:name w:val="CharChapText"/>
    <w:basedOn w:val="OPCCharBase"/>
    <w:uiPriority w:val="1"/>
    <w:qFormat/>
    <w:rsid w:val="00C869EE"/>
  </w:style>
  <w:style w:type="character" w:customStyle="1" w:styleId="CharDivNo">
    <w:name w:val="CharDivNo"/>
    <w:basedOn w:val="OPCCharBase"/>
    <w:uiPriority w:val="1"/>
    <w:qFormat/>
    <w:rsid w:val="00C869EE"/>
  </w:style>
  <w:style w:type="character" w:customStyle="1" w:styleId="CharDivText">
    <w:name w:val="CharDivText"/>
    <w:basedOn w:val="OPCCharBase"/>
    <w:uiPriority w:val="1"/>
    <w:qFormat/>
    <w:rsid w:val="00C869EE"/>
  </w:style>
  <w:style w:type="character" w:customStyle="1" w:styleId="CharItalic">
    <w:name w:val="CharItalic"/>
    <w:basedOn w:val="OPCCharBase"/>
    <w:uiPriority w:val="1"/>
    <w:qFormat/>
    <w:rsid w:val="00C869EE"/>
    <w:rPr>
      <w:i/>
    </w:rPr>
  </w:style>
  <w:style w:type="character" w:customStyle="1" w:styleId="CharPartNo">
    <w:name w:val="CharPartNo"/>
    <w:basedOn w:val="OPCCharBase"/>
    <w:uiPriority w:val="1"/>
    <w:qFormat/>
    <w:rsid w:val="00C869EE"/>
  </w:style>
  <w:style w:type="character" w:customStyle="1" w:styleId="CharPartText">
    <w:name w:val="CharPartText"/>
    <w:basedOn w:val="OPCCharBase"/>
    <w:uiPriority w:val="1"/>
    <w:qFormat/>
    <w:rsid w:val="00C869EE"/>
  </w:style>
  <w:style w:type="character" w:customStyle="1" w:styleId="CharSectno">
    <w:name w:val="CharSectno"/>
    <w:basedOn w:val="OPCCharBase"/>
    <w:qFormat/>
    <w:rsid w:val="00C869EE"/>
  </w:style>
  <w:style w:type="character" w:customStyle="1" w:styleId="CharSubdNo">
    <w:name w:val="CharSubdNo"/>
    <w:basedOn w:val="OPCCharBase"/>
    <w:uiPriority w:val="1"/>
    <w:qFormat/>
    <w:rsid w:val="00C869EE"/>
  </w:style>
  <w:style w:type="character" w:customStyle="1" w:styleId="CharSubdText">
    <w:name w:val="CharSubdText"/>
    <w:basedOn w:val="OPCCharBase"/>
    <w:uiPriority w:val="1"/>
    <w:qFormat/>
    <w:rsid w:val="00C869EE"/>
  </w:style>
  <w:style w:type="paragraph" w:customStyle="1" w:styleId="CTA--">
    <w:name w:val="CTA --"/>
    <w:basedOn w:val="OPCParaBase"/>
    <w:next w:val="Normal"/>
    <w:rsid w:val="00C869E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69E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69E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69E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69E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69E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69E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69E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69E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69E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69E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69E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69E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69E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869E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69E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869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69E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69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69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69E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69E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69E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69E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69E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69E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69E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69E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69E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69E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69E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69E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69E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69E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69E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869E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69E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69E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69E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69E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69E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69E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69E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69E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69E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69E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69E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69E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69E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69E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69E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69E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69E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69E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869E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869E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869E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869E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869E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869E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869E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869E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869E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869E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69E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69E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69E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69E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69E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69E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69E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869EE"/>
    <w:rPr>
      <w:sz w:val="16"/>
    </w:rPr>
  </w:style>
  <w:style w:type="table" w:customStyle="1" w:styleId="CFlag">
    <w:name w:val="CFlag"/>
    <w:basedOn w:val="TableNormal"/>
    <w:uiPriority w:val="99"/>
    <w:rsid w:val="00C869E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9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9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869E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869E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69E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69E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69E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69E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869EE"/>
    <w:pPr>
      <w:spacing w:before="120"/>
    </w:pPr>
  </w:style>
  <w:style w:type="paragraph" w:customStyle="1" w:styleId="CompiledActNo">
    <w:name w:val="CompiledActNo"/>
    <w:basedOn w:val="OPCParaBase"/>
    <w:next w:val="Normal"/>
    <w:rsid w:val="00C869E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869E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69E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869E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69E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869E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69E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869E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869E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869E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69E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69E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69E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69E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69E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869E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69E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69EE"/>
  </w:style>
  <w:style w:type="character" w:customStyle="1" w:styleId="CharSubPartNoCASA">
    <w:name w:val="CharSubPartNo(CASA)"/>
    <w:basedOn w:val="OPCCharBase"/>
    <w:uiPriority w:val="1"/>
    <w:rsid w:val="00C869EE"/>
  </w:style>
  <w:style w:type="paragraph" w:customStyle="1" w:styleId="ENoteTTIndentHeadingSub">
    <w:name w:val="ENoteTTIndentHeadingSub"/>
    <w:aliases w:val="enTTHis"/>
    <w:basedOn w:val="OPCParaBase"/>
    <w:rsid w:val="00C869E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69E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69E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69E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869E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69EE"/>
    <w:rPr>
      <w:sz w:val="22"/>
    </w:rPr>
  </w:style>
  <w:style w:type="paragraph" w:customStyle="1" w:styleId="SOTextNote">
    <w:name w:val="SO TextNote"/>
    <w:aliases w:val="sont"/>
    <w:basedOn w:val="SOText"/>
    <w:qFormat/>
    <w:rsid w:val="00C869E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69E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69EE"/>
    <w:rPr>
      <w:sz w:val="22"/>
    </w:rPr>
  </w:style>
  <w:style w:type="paragraph" w:customStyle="1" w:styleId="FileName">
    <w:name w:val="FileName"/>
    <w:basedOn w:val="Normal"/>
    <w:rsid w:val="00C869EE"/>
  </w:style>
  <w:style w:type="paragraph" w:customStyle="1" w:styleId="TableHeading">
    <w:name w:val="TableHeading"/>
    <w:aliases w:val="th"/>
    <w:basedOn w:val="OPCParaBase"/>
    <w:next w:val="Tabletext"/>
    <w:rsid w:val="00C869E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69E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69E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69E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69E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69E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69E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69E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69E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69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69E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69E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798</Words>
  <Characters>3883</Characters>
  <Application>Microsoft Office Word</Application>
  <DocSecurity>0</DocSecurity>
  <PresentationFormat/>
  <Lines>143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2015-01-09T00:31:00Z</cp:lastPrinted>
  <dcterms:created xsi:type="dcterms:W3CDTF">2015-05-07T05:47:00Z</dcterms:created>
  <dcterms:modified xsi:type="dcterms:W3CDTF">2015-05-07T05:47:00Z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Force (Superannuation) (Productivity Benefit) Amendment (Interest Factor and Other Measures) Determination 2015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OPC60953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subsection 52(1) of the Defence Act 1903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23 April 2015</vt:lpwstr>
  </property>
</Properties>
</file>