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F4" w:rsidRDefault="006922B7">
      <w:pPr>
        <w:pStyle w:val="sop"/>
        <w:spacing w:before="0" w:after="0"/>
        <w:ind w:left="0"/>
        <w:rPr>
          <w:rFonts w:ascii="Arial" w:hAnsi="Arial"/>
        </w:rPr>
      </w:pPr>
      <w:bookmarkStart w:id="0" w:name="_GoBack"/>
      <w:bookmarkEnd w:id="0"/>
      <w:r>
        <w:rPr>
          <w:noProof/>
          <w:lang w:val="en-AU" w:eastAsia="en-AU"/>
        </w:rPr>
        <w:drawing>
          <wp:inline distT="0" distB="0" distL="0" distR="0">
            <wp:extent cx="1752600" cy="93726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937260"/>
                    </a:xfrm>
                    <a:prstGeom prst="rect">
                      <a:avLst/>
                    </a:prstGeom>
                    <a:noFill/>
                    <a:ln>
                      <a:noFill/>
                    </a:ln>
                  </pic:spPr>
                </pic:pic>
              </a:graphicData>
            </a:graphic>
          </wp:inline>
        </w:drawing>
      </w:r>
    </w:p>
    <w:p w:rsidR="00AB4EF4" w:rsidRDefault="00AB4EF4">
      <w:pPr>
        <w:pStyle w:val="sop"/>
        <w:ind w:left="0"/>
        <w:rPr>
          <w:rFonts w:ascii="Arial" w:hAnsi="Arial"/>
        </w:rPr>
      </w:pPr>
    </w:p>
    <w:p w:rsidR="00AB4EF4" w:rsidRDefault="00AB4EF4">
      <w:pPr>
        <w:ind w:left="0"/>
        <w:jc w:val="center"/>
        <w:outlineLvl w:val="0"/>
        <w:rPr>
          <w:rFonts w:ascii="Arial" w:hAnsi="Arial"/>
          <w:sz w:val="40"/>
        </w:rPr>
      </w:pPr>
      <w:r>
        <w:rPr>
          <w:rFonts w:ascii="Arial" w:hAnsi="Arial"/>
          <w:sz w:val="40"/>
        </w:rPr>
        <w:t>Statement of Principles</w:t>
      </w:r>
    </w:p>
    <w:p w:rsidR="00AB4EF4" w:rsidRDefault="00AB4EF4">
      <w:pPr>
        <w:ind w:left="0"/>
        <w:jc w:val="center"/>
        <w:outlineLvl w:val="0"/>
        <w:rPr>
          <w:rFonts w:ascii="Arial" w:hAnsi="Arial"/>
          <w:sz w:val="28"/>
        </w:rPr>
      </w:pPr>
      <w:r>
        <w:rPr>
          <w:rFonts w:ascii="Arial" w:hAnsi="Arial"/>
          <w:sz w:val="28"/>
        </w:rPr>
        <w:t>concerning</w:t>
      </w:r>
    </w:p>
    <w:p w:rsidR="00AB4EF4" w:rsidRDefault="00AB4EF4">
      <w:pPr>
        <w:ind w:left="0"/>
        <w:jc w:val="center"/>
        <w:rPr>
          <w:rFonts w:ascii="Arial" w:hAnsi="Arial"/>
          <w:sz w:val="28"/>
        </w:rPr>
      </w:pPr>
    </w:p>
    <w:p w:rsidR="00AB4EF4" w:rsidRDefault="0014517C">
      <w:pPr>
        <w:ind w:left="0"/>
        <w:jc w:val="center"/>
        <w:outlineLvl w:val="0"/>
        <w:rPr>
          <w:rFonts w:ascii="Arial" w:hAnsi="Arial"/>
          <w:b/>
          <w:sz w:val="40"/>
        </w:rPr>
      </w:pPr>
      <w:r>
        <w:rPr>
          <w:rFonts w:ascii="Arial" w:hAnsi="Arial"/>
          <w:b/>
          <w:sz w:val="40"/>
        </w:rPr>
        <w:t>GASTRIC ULCER AND DUODENAL ULCER</w:t>
      </w:r>
    </w:p>
    <w:p w:rsidR="00AB4EF4" w:rsidRDefault="00AB4EF4">
      <w:pPr>
        <w:spacing w:before="240"/>
        <w:ind w:left="0"/>
        <w:jc w:val="center"/>
        <w:outlineLvl w:val="0"/>
        <w:rPr>
          <w:rFonts w:ascii="Arial" w:hAnsi="Arial"/>
          <w:b/>
          <w:sz w:val="40"/>
        </w:rPr>
      </w:pPr>
      <w:r>
        <w:rPr>
          <w:rFonts w:ascii="Arial" w:hAnsi="Arial"/>
          <w:b/>
          <w:sz w:val="40"/>
        </w:rPr>
        <w:t xml:space="preserve">No. </w:t>
      </w:r>
      <w:r w:rsidR="000B2783">
        <w:rPr>
          <w:rFonts w:ascii="Arial" w:hAnsi="Arial"/>
          <w:b/>
          <w:sz w:val="40"/>
        </w:rPr>
        <w:t>61</w:t>
      </w:r>
      <w:r>
        <w:rPr>
          <w:rFonts w:ascii="Arial" w:hAnsi="Arial"/>
          <w:b/>
          <w:sz w:val="40"/>
        </w:rPr>
        <w:t xml:space="preserve"> of </w:t>
      </w:r>
      <w:r w:rsidR="0014517C">
        <w:rPr>
          <w:rFonts w:ascii="Arial" w:hAnsi="Arial"/>
          <w:b/>
          <w:sz w:val="40"/>
        </w:rPr>
        <w:t>2015</w:t>
      </w:r>
    </w:p>
    <w:p w:rsidR="00AB4EF4" w:rsidRDefault="00AB4EF4">
      <w:pPr>
        <w:ind w:left="0"/>
        <w:jc w:val="center"/>
        <w:rPr>
          <w:rFonts w:ascii="Arial" w:hAnsi="Arial"/>
          <w:b/>
          <w:sz w:val="24"/>
        </w:rPr>
      </w:pPr>
    </w:p>
    <w:p w:rsidR="00AB4EF4" w:rsidRDefault="00AB4EF4">
      <w:pPr>
        <w:ind w:left="0"/>
        <w:jc w:val="center"/>
        <w:rPr>
          <w:rFonts w:ascii="Arial" w:hAnsi="Arial"/>
          <w:sz w:val="28"/>
        </w:rPr>
      </w:pPr>
      <w:r>
        <w:rPr>
          <w:rFonts w:ascii="Arial" w:hAnsi="Arial"/>
          <w:sz w:val="28"/>
        </w:rPr>
        <w:t>for the purposes of the</w:t>
      </w:r>
    </w:p>
    <w:p w:rsidR="00AB4EF4" w:rsidRDefault="00AB4EF4" w:rsidP="0014517C">
      <w:pPr>
        <w:tabs>
          <w:tab w:val="left" w:pos="5232"/>
        </w:tabs>
        <w:ind w:left="0"/>
        <w:jc w:val="center"/>
        <w:rPr>
          <w:rFonts w:ascii="Arial" w:hAnsi="Arial"/>
          <w:b/>
          <w:sz w:val="24"/>
        </w:rPr>
      </w:pPr>
    </w:p>
    <w:p w:rsidR="00AB4EF4" w:rsidRDefault="00AB4EF4">
      <w:pPr>
        <w:ind w:left="0"/>
        <w:jc w:val="center"/>
        <w:outlineLvl w:val="0"/>
        <w:rPr>
          <w:rFonts w:ascii="Arial" w:hAnsi="Arial"/>
          <w:i/>
          <w:sz w:val="32"/>
        </w:rPr>
      </w:pPr>
      <w:r>
        <w:rPr>
          <w:rFonts w:ascii="Arial" w:hAnsi="Arial"/>
          <w:i/>
          <w:sz w:val="32"/>
        </w:rPr>
        <w:t>Veterans’ Entitlements Act 1986</w:t>
      </w:r>
    </w:p>
    <w:p w:rsidR="00AB4EF4" w:rsidRDefault="00AB4EF4">
      <w:pPr>
        <w:ind w:left="0"/>
        <w:jc w:val="center"/>
        <w:rPr>
          <w:rFonts w:ascii="Arial" w:hAnsi="Arial"/>
          <w:sz w:val="28"/>
        </w:rPr>
      </w:pPr>
      <w:r>
        <w:rPr>
          <w:rFonts w:ascii="Arial" w:hAnsi="Arial"/>
          <w:sz w:val="28"/>
        </w:rPr>
        <w:t>and</w:t>
      </w:r>
    </w:p>
    <w:p w:rsidR="00AB4EF4" w:rsidRDefault="00AB4EF4">
      <w:pPr>
        <w:ind w:left="0"/>
        <w:jc w:val="center"/>
        <w:rPr>
          <w:rFonts w:ascii="Arial" w:hAnsi="Arial"/>
          <w:sz w:val="32"/>
        </w:rPr>
      </w:pPr>
      <w:r>
        <w:rPr>
          <w:rFonts w:ascii="Arial" w:hAnsi="Arial"/>
          <w:i/>
          <w:sz w:val="32"/>
        </w:rPr>
        <w:t>Military Rehabilitation and Compensation Act 2004</w:t>
      </w:r>
    </w:p>
    <w:p w:rsidR="00AB4EF4" w:rsidRDefault="00AB4EF4">
      <w:pPr>
        <w:pStyle w:val="clauseheading"/>
      </w:pPr>
      <w:r>
        <w:t>Title</w:t>
      </w:r>
    </w:p>
    <w:p w:rsidR="00AB4EF4" w:rsidRDefault="00AB4EF4">
      <w:pPr>
        <w:ind w:hanging="720"/>
        <w:rPr>
          <w:sz w:val="24"/>
          <w:szCs w:val="24"/>
        </w:rPr>
      </w:pPr>
      <w:r>
        <w:rPr>
          <w:b/>
          <w:sz w:val="24"/>
          <w:szCs w:val="24"/>
        </w:rPr>
        <w:t>1.</w:t>
      </w:r>
      <w:r>
        <w:rPr>
          <w:sz w:val="24"/>
          <w:szCs w:val="24"/>
        </w:rPr>
        <w:tab/>
        <w:t xml:space="preserve">This Instrument may be cited as Statement of Principles concerning </w:t>
      </w:r>
      <w:r w:rsidR="0014517C">
        <w:rPr>
          <w:sz w:val="24"/>
          <w:szCs w:val="24"/>
        </w:rPr>
        <w:t>gastric ulcer and duodenal ulcer</w:t>
      </w:r>
      <w:r>
        <w:rPr>
          <w:sz w:val="24"/>
          <w:szCs w:val="24"/>
        </w:rPr>
        <w:t xml:space="preserve"> No. </w:t>
      </w:r>
      <w:r w:rsidR="000B2783">
        <w:rPr>
          <w:sz w:val="24"/>
          <w:szCs w:val="24"/>
        </w:rPr>
        <w:t>61</w:t>
      </w:r>
      <w:r>
        <w:rPr>
          <w:sz w:val="24"/>
          <w:szCs w:val="24"/>
        </w:rPr>
        <w:t xml:space="preserve"> of </w:t>
      </w:r>
      <w:r w:rsidR="0014517C">
        <w:rPr>
          <w:sz w:val="24"/>
          <w:szCs w:val="24"/>
        </w:rPr>
        <w:t>2015</w:t>
      </w:r>
      <w:r>
        <w:rPr>
          <w:sz w:val="24"/>
          <w:szCs w:val="24"/>
        </w:rPr>
        <w:t>.</w:t>
      </w:r>
    </w:p>
    <w:p w:rsidR="00AB4EF4" w:rsidRDefault="00AB4EF4">
      <w:pPr>
        <w:pStyle w:val="clauseheading"/>
      </w:pPr>
      <w:r>
        <w:t>Determination</w:t>
      </w:r>
    </w:p>
    <w:p w:rsidR="00AB4EF4" w:rsidRDefault="00AB4EF4">
      <w:pPr>
        <w:ind w:hanging="720"/>
        <w:rPr>
          <w:sz w:val="24"/>
          <w:szCs w:val="24"/>
        </w:rPr>
      </w:pPr>
      <w:r>
        <w:rPr>
          <w:b/>
          <w:sz w:val="24"/>
          <w:szCs w:val="24"/>
        </w:rPr>
        <w:t>2.</w:t>
      </w:r>
      <w:r>
        <w:rPr>
          <w:sz w:val="24"/>
          <w:szCs w:val="24"/>
        </w:rPr>
        <w:tab/>
        <w:t xml:space="preserve">The Repatriation Medical Authority under subsection </w:t>
      </w:r>
      <w:r>
        <w:rPr>
          <w:b/>
          <w:sz w:val="24"/>
          <w:szCs w:val="24"/>
        </w:rPr>
        <w:t>196B(2)</w:t>
      </w:r>
      <w:r>
        <w:rPr>
          <w:sz w:val="24"/>
          <w:szCs w:val="24"/>
        </w:rPr>
        <w:t xml:space="preserve"> and </w:t>
      </w:r>
      <w:r>
        <w:rPr>
          <w:b/>
          <w:sz w:val="24"/>
          <w:szCs w:val="24"/>
        </w:rPr>
        <w:t xml:space="preserve">(8) </w:t>
      </w:r>
      <w:r>
        <w:rPr>
          <w:sz w:val="24"/>
          <w:szCs w:val="24"/>
        </w:rPr>
        <w:t xml:space="preserve">of the </w:t>
      </w:r>
      <w:r>
        <w:rPr>
          <w:i/>
          <w:sz w:val="24"/>
          <w:szCs w:val="24"/>
        </w:rPr>
        <w:t>Veterans’ Entitlements Act 1986</w:t>
      </w:r>
      <w:r>
        <w:rPr>
          <w:sz w:val="24"/>
          <w:szCs w:val="24"/>
        </w:rPr>
        <w:t xml:space="preserve"> (the VEA):</w:t>
      </w:r>
    </w:p>
    <w:p w:rsidR="00AB4EF4" w:rsidRDefault="00AB4EF4">
      <w:pPr>
        <w:pStyle w:val="BodyTextIndent"/>
        <w:spacing w:before="120"/>
        <w:rPr>
          <w:sz w:val="24"/>
          <w:szCs w:val="24"/>
        </w:rPr>
      </w:pPr>
      <w:r>
        <w:rPr>
          <w:sz w:val="24"/>
          <w:szCs w:val="24"/>
        </w:rPr>
        <w:t>(a)</w:t>
      </w:r>
      <w:r>
        <w:rPr>
          <w:sz w:val="24"/>
          <w:szCs w:val="24"/>
        </w:rPr>
        <w:tab/>
        <w:t xml:space="preserve">revokes Instrument No. </w:t>
      </w:r>
      <w:r w:rsidR="00CD08FE">
        <w:rPr>
          <w:sz w:val="24"/>
          <w:szCs w:val="24"/>
        </w:rPr>
        <w:t>57</w:t>
      </w:r>
      <w:r>
        <w:rPr>
          <w:sz w:val="24"/>
          <w:szCs w:val="24"/>
        </w:rPr>
        <w:t xml:space="preserve"> of </w:t>
      </w:r>
      <w:r w:rsidR="00CD08FE">
        <w:rPr>
          <w:sz w:val="24"/>
          <w:szCs w:val="24"/>
        </w:rPr>
        <w:t>2006</w:t>
      </w:r>
      <w:r>
        <w:rPr>
          <w:sz w:val="24"/>
          <w:szCs w:val="24"/>
        </w:rPr>
        <w:t xml:space="preserve"> concerning </w:t>
      </w:r>
      <w:r w:rsidR="0014517C">
        <w:rPr>
          <w:sz w:val="24"/>
          <w:szCs w:val="24"/>
        </w:rPr>
        <w:t>gastric ulcer and duodenal ulcer</w:t>
      </w:r>
      <w:r>
        <w:rPr>
          <w:sz w:val="24"/>
          <w:szCs w:val="24"/>
        </w:rPr>
        <w:t>; and</w:t>
      </w:r>
    </w:p>
    <w:p w:rsidR="00AB4EF4" w:rsidRDefault="00AB4EF4">
      <w:pPr>
        <w:pStyle w:val="BodyTextIndent"/>
        <w:spacing w:before="120"/>
        <w:rPr>
          <w:sz w:val="24"/>
          <w:szCs w:val="24"/>
        </w:rPr>
      </w:pPr>
      <w:r>
        <w:rPr>
          <w:sz w:val="24"/>
          <w:szCs w:val="24"/>
        </w:rPr>
        <w:t>(b)</w:t>
      </w:r>
      <w:r>
        <w:rPr>
          <w:sz w:val="24"/>
          <w:szCs w:val="24"/>
        </w:rPr>
        <w:tab/>
        <w:t>determines in its place this Statement of Principles.</w:t>
      </w:r>
    </w:p>
    <w:p w:rsidR="00AB4EF4" w:rsidRDefault="00AB4EF4">
      <w:pPr>
        <w:pStyle w:val="clauseheading"/>
      </w:pPr>
      <w:r>
        <w:t>Kind of injury, disease or death</w:t>
      </w:r>
    </w:p>
    <w:p w:rsidR="00AB4EF4" w:rsidRDefault="00AB4EF4">
      <w:pPr>
        <w:tabs>
          <w:tab w:val="left" w:pos="709"/>
        </w:tabs>
        <w:spacing w:after="120" w:line="240" w:lineRule="auto"/>
        <w:ind w:left="1440" w:hanging="1440"/>
        <w:rPr>
          <w:sz w:val="24"/>
          <w:szCs w:val="24"/>
        </w:rPr>
      </w:pPr>
      <w:r>
        <w:rPr>
          <w:b/>
          <w:sz w:val="24"/>
          <w:szCs w:val="24"/>
        </w:rPr>
        <w:t>3.</w:t>
      </w:r>
      <w:r>
        <w:rPr>
          <w:sz w:val="24"/>
          <w:szCs w:val="24"/>
        </w:rPr>
        <w:tab/>
        <w:t>(a)</w:t>
      </w:r>
      <w:r>
        <w:rPr>
          <w:sz w:val="24"/>
          <w:szCs w:val="24"/>
        </w:rPr>
        <w:tab/>
        <w:t xml:space="preserve">This Statement of Principles is about </w:t>
      </w:r>
      <w:r w:rsidR="0014517C">
        <w:rPr>
          <w:b/>
          <w:sz w:val="24"/>
          <w:szCs w:val="24"/>
        </w:rPr>
        <w:t>gastric ulcer and duodenal ulcer</w:t>
      </w:r>
      <w:r>
        <w:rPr>
          <w:b/>
          <w:sz w:val="24"/>
          <w:szCs w:val="24"/>
        </w:rPr>
        <w:t xml:space="preserve"> </w:t>
      </w:r>
      <w:r>
        <w:rPr>
          <w:sz w:val="24"/>
          <w:szCs w:val="24"/>
        </w:rPr>
        <w:t xml:space="preserve">and </w:t>
      </w:r>
      <w:r>
        <w:rPr>
          <w:b/>
          <w:sz w:val="24"/>
          <w:szCs w:val="24"/>
        </w:rPr>
        <w:t xml:space="preserve">death from </w:t>
      </w:r>
      <w:r w:rsidR="0014517C">
        <w:rPr>
          <w:b/>
          <w:sz w:val="24"/>
          <w:szCs w:val="24"/>
        </w:rPr>
        <w:t>gastric ulcer and duodenal ulcer</w:t>
      </w:r>
      <w:r>
        <w:rPr>
          <w:sz w:val="24"/>
          <w:szCs w:val="24"/>
        </w:rPr>
        <w:t>.</w:t>
      </w:r>
    </w:p>
    <w:p w:rsidR="00CD08FE" w:rsidRDefault="00AB4EF4" w:rsidP="0014517C">
      <w:pPr>
        <w:numPr>
          <w:ilvl w:val="0"/>
          <w:numId w:val="2"/>
        </w:numPr>
        <w:spacing w:after="120" w:line="240" w:lineRule="auto"/>
        <w:rPr>
          <w:sz w:val="24"/>
          <w:szCs w:val="24"/>
        </w:rPr>
      </w:pPr>
      <w:r w:rsidRPr="00CD08FE">
        <w:rPr>
          <w:sz w:val="24"/>
          <w:szCs w:val="24"/>
        </w:rPr>
        <w:t>For the purposes of this Statement of Principles</w:t>
      </w:r>
      <w:r w:rsidR="00CD08FE">
        <w:rPr>
          <w:sz w:val="24"/>
          <w:szCs w:val="24"/>
        </w:rPr>
        <w:t>:</w:t>
      </w:r>
      <w:r w:rsidRPr="00CD08FE">
        <w:rPr>
          <w:sz w:val="24"/>
          <w:szCs w:val="24"/>
        </w:rPr>
        <w:t xml:space="preserve"> </w:t>
      </w:r>
    </w:p>
    <w:p w:rsidR="0014517C" w:rsidRPr="00CD08FE" w:rsidRDefault="00AB4EF4" w:rsidP="00CD08FE">
      <w:pPr>
        <w:spacing w:after="120" w:line="240" w:lineRule="auto"/>
        <w:ind w:left="1429"/>
        <w:rPr>
          <w:sz w:val="24"/>
          <w:szCs w:val="24"/>
        </w:rPr>
      </w:pPr>
      <w:r w:rsidRPr="00CD08FE">
        <w:rPr>
          <w:b/>
          <w:sz w:val="24"/>
          <w:szCs w:val="24"/>
        </w:rPr>
        <w:t>"</w:t>
      </w:r>
      <w:r w:rsidR="0014517C" w:rsidRPr="00CD08FE">
        <w:rPr>
          <w:b/>
          <w:sz w:val="24"/>
          <w:szCs w:val="24"/>
        </w:rPr>
        <w:t xml:space="preserve">gastric ulcer" </w:t>
      </w:r>
      <w:r w:rsidR="0014517C" w:rsidRPr="00CD08FE">
        <w:rPr>
          <w:sz w:val="24"/>
          <w:szCs w:val="24"/>
        </w:rPr>
        <w:t xml:space="preserve">means a non-malignant circumscribed break in the mucosal surface of the stomach, with a diameter of three millimetres or greater, and which extends through the </w:t>
      </w:r>
      <w:proofErr w:type="spellStart"/>
      <w:r w:rsidR="0014517C" w:rsidRPr="00CD08FE">
        <w:rPr>
          <w:sz w:val="24"/>
          <w:szCs w:val="24"/>
        </w:rPr>
        <w:t>muscularis</w:t>
      </w:r>
      <w:proofErr w:type="spellEnd"/>
      <w:r w:rsidR="0014517C" w:rsidRPr="00CD08FE">
        <w:rPr>
          <w:sz w:val="24"/>
          <w:szCs w:val="24"/>
        </w:rPr>
        <w:t xml:space="preserve"> mucosa into the submucosa; and</w:t>
      </w:r>
    </w:p>
    <w:p w:rsidR="0014517C" w:rsidRPr="00CD08FE" w:rsidRDefault="0014517C" w:rsidP="00CD08FE">
      <w:pPr>
        <w:autoSpaceDE w:val="0"/>
        <w:autoSpaceDN w:val="0"/>
        <w:adjustRightInd w:val="0"/>
        <w:spacing w:after="120"/>
        <w:ind w:left="1429"/>
        <w:rPr>
          <w:sz w:val="24"/>
          <w:szCs w:val="24"/>
        </w:rPr>
      </w:pPr>
      <w:r w:rsidRPr="00CD08FE">
        <w:rPr>
          <w:b/>
          <w:sz w:val="24"/>
          <w:szCs w:val="24"/>
        </w:rPr>
        <w:t>"duodenal ulcer"</w:t>
      </w:r>
      <w:r w:rsidRPr="00CD08FE">
        <w:rPr>
          <w:sz w:val="24"/>
          <w:szCs w:val="24"/>
        </w:rPr>
        <w:t xml:space="preserve"> means a non-malignant circumscribed break in the mucosal surface of the duodenum, with a diameter of three millimetres </w:t>
      </w:r>
      <w:r w:rsidRPr="00CD08FE">
        <w:rPr>
          <w:sz w:val="24"/>
          <w:szCs w:val="24"/>
        </w:rPr>
        <w:lastRenderedPageBreak/>
        <w:t xml:space="preserve">or greater, and which extends through the </w:t>
      </w:r>
      <w:proofErr w:type="spellStart"/>
      <w:r w:rsidRPr="00CD08FE">
        <w:rPr>
          <w:sz w:val="24"/>
          <w:szCs w:val="24"/>
        </w:rPr>
        <w:t>muscularis</w:t>
      </w:r>
      <w:proofErr w:type="spellEnd"/>
      <w:r w:rsidRPr="00CD08FE">
        <w:rPr>
          <w:sz w:val="24"/>
          <w:szCs w:val="24"/>
        </w:rPr>
        <w:t xml:space="preserve"> mucosa into the submucosa.</w:t>
      </w:r>
    </w:p>
    <w:p w:rsidR="0014517C" w:rsidRPr="00CD08FE" w:rsidRDefault="0014517C" w:rsidP="00CD08FE">
      <w:pPr>
        <w:autoSpaceDE w:val="0"/>
        <w:autoSpaceDN w:val="0"/>
        <w:adjustRightInd w:val="0"/>
        <w:spacing w:after="120"/>
        <w:ind w:left="1429"/>
        <w:rPr>
          <w:sz w:val="24"/>
          <w:szCs w:val="24"/>
        </w:rPr>
      </w:pPr>
      <w:r w:rsidRPr="00CD08FE">
        <w:rPr>
          <w:sz w:val="24"/>
          <w:szCs w:val="24"/>
        </w:rPr>
        <w:t xml:space="preserve">This definition excludes acute haemorrhagic gastritis, </w:t>
      </w:r>
      <w:proofErr w:type="spellStart"/>
      <w:r w:rsidRPr="00CD08FE">
        <w:rPr>
          <w:sz w:val="24"/>
          <w:szCs w:val="24"/>
        </w:rPr>
        <w:t>subepithelial</w:t>
      </w:r>
      <w:proofErr w:type="spellEnd"/>
      <w:r w:rsidRPr="00CD08FE">
        <w:rPr>
          <w:sz w:val="24"/>
          <w:szCs w:val="24"/>
        </w:rPr>
        <w:t xml:space="preserve"> haemorrhages, and acute superficial mucosal erosions of the stomach and duodenum. </w:t>
      </w:r>
      <w:r w:rsidR="00457044">
        <w:rPr>
          <w:sz w:val="24"/>
          <w:szCs w:val="24"/>
        </w:rPr>
        <w:t xml:space="preserve"> </w:t>
      </w:r>
      <w:r w:rsidRPr="00CD08FE">
        <w:rPr>
          <w:sz w:val="24"/>
          <w:szCs w:val="24"/>
        </w:rPr>
        <w:t xml:space="preserve">This definition also excludes ulcer associated with diseases of the gastric or duodenal mucosa such as Crohn's disease, sarcoidosis, amyloidosis, systemic </w:t>
      </w:r>
      <w:proofErr w:type="spellStart"/>
      <w:r w:rsidRPr="00CD08FE">
        <w:rPr>
          <w:sz w:val="24"/>
          <w:szCs w:val="24"/>
        </w:rPr>
        <w:t>mastocytosis</w:t>
      </w:r>
      <w:proofErr w:type="spellEnd"/>
      <w:r w:rsidRPr="00CD08FE">
        <w:rPr>
          <w:sz w:val="24"/>
          <w:szCs w:val="24"/>
        </w:rPr>
        <w:t xml:space="preserve">, eosinophilic gastroenteritis or associated with </w:t>
      </w:r>
      <w:proofErr w:type="spellStart"/>
      <w:r w:rsidRPr="00CD08FE">
        <w:rPr>
          <w:sz w:val="24"/>
          <w:szCs w:val="24"/>
        </w:rPr>
        <w:t>uraemic</w:t>
      </w:r>
      <w:proofErr w:type="spellEnd"/>
      <w:r w:rsidRPr="00CD08FE">
        <w:rPr>
          <w:sz w:val="24"/>
          <w:szCs w:val="24"/>
        </w:rPr>
        <w:t xml:space="preserve"> gastritis</w:t>
      </w:r>
      <w:r w:rsidR="00CD08FE">
        <w:rPr>
          <w:sz w:val="24"/>
          <w:szCs w:val="24"/>
        </w:rPr>
        <w:t>.</w:t>
      </w:r>
    </w:p>
    <w:p w:rsidR="00AB4EF4" w:rsidRPr="00B95F15" w:rsidRDefault="0014517C">
      <w:pPr>
        <w:numPr>
          <w:ilvl w:val="0"/>
          <w:numId w:val="2"/>
        </w:numPr>
        <w:spacing w:after="120" w:line="240" w:lineRule="auto"/>
        <w:rPr>
          <w:sz w:val="24"/>
          <w:szCs w:val="24"/>
        </w:rPr>
      </w:pPr>
      <w:r>
        <w:rPr>
          <w:sz w:val="24"/>
          <w:szCs w:val="24"/>
        </w:rPr>
        <w:t>Gastric ulcer and duodenal ulcer</w:t>
      </w:r>
      <w:r w:rsidR="00AB4EF4">
        <w:rPr>
          <w:sz w:val="24"/>
          <w:szCs w:val="24"/>
        </w:rPr>
        <w:t xml:space="preserve"> attracts ICD-10-AM </w:t>
      </w:r>
      <w:r w:rsidR="00AB4EF4" w:rsidRPr="00B95F15">
        <w:rPr>
          <w:sz w:val="24"/>
          <w:szCs w:val="24"/>
        </w:rPr>
        <w:t xml:space="preserve">code </w:t>
      </w:r>
      <w:r w:rsidR="00B95F15" w:rsidRPr="00B95F15">
        <w:rPr>
          <w:sz w:val="24"/>
          <w:szCs w:val="24"/>
        </w:rPr>
        <w:t>K25, K26, K27 or K28.</w:t>
      </w:r>
    </w:p>
    <w:p w:rsidR="00AB4EF4" w:rsidRDefault="00AB4EF4">
      <w:pPr>
        <w:numPr>
          <w:ilvl w:val="0"/>
          <w:numId w:val="6"/>
        </w:numPr>
        <w:spacing w:line="240" w:lineRule="auto"/>
        <w:rPr>
          <w:sz w:val="24"/>
          <w:szCs w:val="24"/>
        </w:rPr>
      </w:pPr>
      <w:r>
        <w:rPr>
          <w:sz w:val="24"/>
          <w:szCs w:val="24"/>
        </w:rPr>
        <w:t xml:space="preserve">In the application of this Statement of Principles, the definition of </w:t>
      </w:r>
      <w:r>
        <w:rPr>
          <w:b/>
          <w:sz w:val="24"/>
          <w:szCs w:val="24"/>
        </w:rPr>
        <w:t>"</w:t>
      </w:r>
      <w:r w:rsidR="0014517C">
        <w:rPr>
          <w:b/>
          <w:sz w:val="24"/>
          <w:szCs w:val="24"/>
        </w:rPr>
        <w:t>gastric ulcer and duodenal ulcer</w:t>
      </w:r>
      <w:r>
        <w:rPr>
          <w:b/>
          <w:sz w:val="24"/>
          <w:szCs w:val="24"/>
        </w:rPr>
        <w:t xml:space="preserve">" </w:t>
      </w:r>
      <w:r>
        <w:rPr>
          <w:sz w:val="24"/>
          <w:szCs w:val="24"/>
        </w:rPr>
        <w:t>is that given at paragraph 3(b) above.</w:t>
      </w:r>
    </w:p>
    <w:p w:rsidR="00AB4EF4" w:rsidRDefault="00AB4EF4">
      <w:pPr>
        <w:pStyle w:val="clauseheading"/>
      </w:pPr>
      <w:r>
        <w:t>Basis for determining the factors</w:t>
      </w:r>
    </w:p>
    <w:p w:rsidR="00AB4EF4" w:rsidRDefault="00AB4EF4">
      <w:pPr>
        <w:ind w:hanging="720"/>
        <w:rPr>
          <w:sz w:val="24"/>
          <w:szCs w:val="24"/>
        </w:rPr>
      </w:pPr>
      <w:r>
        <w:rPr>
          <w:b/>
          <w:sz w:val="24"/>
          <w:szCs w:val="24"/>
        </w:rPr>
        <w:t>4.</w:t>
      </w:r>
      <w:r>
        <w:rPr>
          <w:sz w:val="24"/>
          <w:szCs w:val="24"/>
        </w:rPr>
        <w:tab/>
        <w:t xml:space="preserve">The Repatriation Medical Authority is of the view that there is sound medical-scientific evidence that indicates that </w:t>
      </w:r>
      <w:r w:rsidR="0014517C">
        <w:rPr>
          <w:b/>
          <w:sz w:val="24"/>
          <w:szCs w:val="24"/>
        </w:rPr>
        <w:t xml:space="preserve">gastric ulcer </w:t>
      </w:r>
      <w:r w:rsidR="00AB16E5">
        <w:rPr>
          <w:b/>
          <w:sz w:val="24"/>
          <w:szCs w:val="24"/>
        </w:rPr>
        <w:t>or</w:t>
      </w:r>
      <w:r w:rsidR="0014517C">
        <w:rPr>
          <w:b/>
          <w:sz w:val="24"/>
          <w:szCs w:val="24"/>
        </w:rPr>
        <w:t xml:space="preserve"> duodenal ulcer</w:t>
      </w:r>
      <w:r>
        <w:rPr>
          <w:b/>
          <w:sz w:val="24"/>
          <w:szCs w:val="24"/>
        </w:rPr>
        <w:t xml:space="preserve"> </w:t>
      </w:r>
      <w:r>
        <w:rPr>
          <w:sz w:val="24"/>
          <w:szCs w:val="24"/>
        </w:rPr>
        <w:t>and</w:t>
      </w:r>
      <w:r>
        <w:rPr>
          <w:b/>
          <w:sz w:val="24"/>
          <w:szCs w:val="24"/>
        </w:rPr>
        <w:t xml:space="preserve"> death from </w:t>
      </w:r>
      <w:r w:rsidR="0014517C">
        <w:rPr>
          <w:b/>
          <w:sz w:val="24"/>
          <w:szCs w:val="24"/>
        </w:rPr>
        <w:t xml:space="preserve">gastric ulcer </w:t>
      </w:r>
      <w:r w:rsidR="00AB16E5">
        <w:rPr>
          <w:b/>
          <w:sz w:val="24"/>
          <w:szCs w:val="24"/>
        </w:rPr>
        <w:t>or</w:t>
      </w:r>
      <w:r w:rsidR="0014517C">
        <w:rPr>
          <w:b/>
          <w:sz w:val="24"/>
          <w:szCs w:val="24"/>
        </w:rPr>
        <w:t xml:space="preserve"> duodenal ulcer</w:t>
      </w:r>
      <w:r>
        <w:rPr>
          <w:b/>
          <w:sz w:val="24"/>
          <w:szCs w:val="24"/>
        </w:rPr>
        <w:t xml:space="preserve"> </w:t>
      </w:r>
      <w:r>
        <w:rPr>
          <w:sz w:val="24"/>
          <w:szCs w:val="24"/>
        </w:rPr>
        <w:t xml:space="preserve">can be related to relevant service rendered by veterans, members of Peacekeeping Forces, or members of the Forces under the VEA, or members under the </w:t>
      </w:r>
      <w:r>
        <w:rPr>
          <w:i/>
          <w:sz w:val="24"/>
          <w:szCs w:val="24"/>
        </w:rPr>
        <w:t>Military Rehabilitation and Compensation Act 2004</w:t>
      </w:r>
      <w:r>
        <w:rPr>
          <w:sz w:val="24"/>
          <w:szCs w:val="24"/>
        </w:rPr>
        <w:t xml:space="preserve"> (the MRCA).</w:t>
      </w:r>
    </w:p>
    <w:p w:rsidR="00AB4EF4" w:rsidRDefault="00AB4EF4">
      <w:pPr>
        <w:pStyle w:val="clauseheading"/>
      </w:pPr>
      <w:r>
        <w:t>Factors that must be related to service</w:t>
      </w:r>
    </w:p>
    <w:p w:rsidR="00AB4EF4" w:rsidRDefault="00AB4EF4">
      <w:pPr>
        <w:ind w:hanging="720"/>
        <w:rPr>
          <w:sz w:val="24"/>
          <w:szCs w:val="24"/>
        </w:rPr>
      </w:pPr>
      <w:r>
        <w:rPr>
          <w:b/>
          <w:sz w:val="24"/>
          <w:szCs w:val="24"/>
        </w:rPr>
        <w:t>5.</w:t>
      </w:r>
      <w:r>
        <w:rPr>
          <w:sz w:val="24"/>
          <w:szCs w:val="24"/>
        </w:rPr>
        <w:tab/>
        <w:t>Subject to clause 7, at least one of the factors set out in clause 6 must be related to the relevant service rendered by the person.</w:t>
      </w:r>
    </w:p>
    <w:p w:rsidR="00AB4EF4" w:rsidRDefault="00AB4EF4">
      <w:pPr>
        <w:pStyle w:val="clauseheading"/>
      </w:pPr>
      <w:r>
        <w:t>Factors</w:t>
      </w:r>
    </w:p>
    <w:p w:rsidR="00AB4EF4" w:rsidRDefault="00AB4EF4">
      <w:pPr>
        <w:spacing w:after="120" w:line="240" w:lineRule="auto"/>
        <w:ind w:hanging="720"/>
        <w:rPr>
          <w:sz w:val="24"/>
          <w:szCs w:val="24"/>
        </w:rPr>
      </w:pPr>
      <w:r>
        <w:rPr>
          <w:b/>
          <w:sz w:val="24"/>
          <w:szCs w:val="24"/>
        </w:rPr>
        <w:t>6.</w:t>
      </w:r>
      <w:r>
        <w:rPr>
          <w:sz w:val="24"/>
          <w:szCs w:val="24"/>
        </w:rPr>
        <w:tab/>
        <w:t xml:space="preserve">The factor that must as a minimum exist before it can be said that a reasonable hypothesis has been raised connecting </w:t>
      </w:r>
      <w:r w:rsidR="0014517C">
        <w:rPr>
          <w:b/>
          <w:sz w:val="24"/>
          <w:szCs w:val="24"/>
        </w:rPr>
        <w:t xml:space="preserve">gastric ulcer </w:t>
      </w:r>
      <w:r w:rsidR="00AB16E5">
        <w:rPr>
          <w:b/>
          <w:sz w:val="24"/>
          <w:szCs w:val="24"/>
        </w:rPr>
        <w:t>or</w:t>
      </w:r>
      <w:r w:rsidR="0014517C">
        <w:rPr>
          <w:b/>
          <w:sz w:val="24"/>
          <w:szCs w:val="24"/>
        </w:rPr>
        <w:t xml:space="preserve"> duodenal ulcer</w:t>
      </w:r>
      <w:r>
        <w:rPr>
          <w:b/>
          <w:sz w:val="24"/>
          <w:szCs w:val="24"/>
        </w:rPr>
        <w:t xml:space="preserve"> </w:t>
      </w:r>
      <w:r>
        <w:rPr>
          <w:sz w:val="24"/>
          <w:szCs w:val="24"/>
        </w:rPr>
        <w:t>or</w:t>
      </w:r>
      <w:r>
        <w:rPr>
          <w:b/>
          <w:sz w:val="24"/>
          <w:szCs w:val="24"/>
        </w:rPr>
        <w:t xml:space="preserve"> death from </w:t>
      </w:r>
      <w:r w:rsidR="0014517C">
        <w:rPr>
          <w:b/>
          <w:sz w:val="24"/>
          <w:szCs w:val="24"/>
        </w:rPr>
        <w:t xml:space="preserve">gastric ulcer </w:t>
      </w:r>
      <w:r w:rsidR="00AB16E5">
        <w:rPr>
          <w:b/>
          <w:sz w:val="24"/>
          <w:szCs w:val="24"/>
        </w:rPr>
        <w:t>or</w:t>
      </w:r>
      <w:r w:rsidR="0014517C">
        <w:rPr>
          <w:b/>
          <w:sz w:val="24"/>
          <w:szCs w:val="24"/>
        </w:rPr>
        <w:t xml:space="preserve"> duodenal ulcer</w:t>
      </w:r>
      <w:r>
        <w:rPr>
          <w:b/>
          <w:sz w:val="24"/>
          <w:szCs w:val="24"/>
        </w:rPr>
        <w:t xml:space="preserve"> </w:t>
      </w:r>
      <w:r>
        <w:rPr>
          <w:sz w:val="24"/>
          <w:szCs w:val="24"/>
        </w:rPr>
        <w:t>with the circumstances of a person’s relevant service is:</w:t>
      </w:r>
    </w:p>
    <w:p w:rsidR="00AB4EF4" w:rsidRPr="00B901CC" w:rsidRDefault="002F0BF2" w:rsidP="00457044">
      <w:pPr>
        <w:numPr>
          <w:ilvl w:val="0"/>
          <w:numId w:val="4"/>
        </w:numPr>
        <w:spacing w:after="120" w:line="240" w:lineRule="auto"/>
        <w:rPr>
          <w:sz w:val="24"/>
          <w:szCs w:val="24"/>
          <w:lang w:val="en-US"/>
        </w:rPr>
      </w:pPr>
      <w:r w:rsidRPr="00B901CC">
        <w:rPr>
          <w:sz w:val="24"/>
          <w:szCs w:val="24"/>
        </w:rPr>
        <w:t xml:space="preserve">being a prisoner of war before the clinical </w:t>
      </w:r>
      <w:r w:rsidR="00B901CC" w:rsidRPr="00B901CC">
        <w:rPr>
          <w:sz w:val="24"/>
          <w:szCs w:val="24"/>
        </w:rPr>
        <w:t>onset</w:t>
      </w:r>
      <w:r w:rsidRPr="00B901CC">
        <w:rPr>
          <w:sz w:val="24"/>
          <w:szCs w:val="24"/>
        </w:rPr>
        <w:t xml:space="preserve"> of gastric ulcer or duodenal ulcer; or</w:t>
      </w:r>
    </w:p>
    <w:p w:rsidR="00AB4EF4" w:rsidRPr="00B901CC" w:rsidRDefault="002F0BF2" w:rsidP="00457044">
      <w:pPr>
        <w:numPr>
          <w:ilvl w:val="0"/>
          <w:numId w:val="4"/>
        </w:numPr>
        <w:spacing w:after="120" w:line="240" w:lineRule="auto"/>
        <w:rPr>
          <w:sz w:val="24"/>
          <w:szCs w:val="24"/>
        </w:rPr>
      </w:pPr>
      <w:r w:rsidRPr="00B901CC">
        <w:rPr>
          <w:sz w:val="24"/>
          <w:szCs w:val="24"/>
        </w:rPr>
        <w:t xml:space="preserve">having </w:t>
      </w:r>
      <w:r w:rsidRPr="00B901CC">
        <w:rPr>
          <w:i/>
          <w:iCs/>
          <w:sz w:val="24"/>
          <w:szCs w:val="24"/>
        </w:rPr>
        <w:t xml:space="preserve">Helicobacter pylori </w:t>
      </w:r>
      <w:r w:rsidRPr="00B901CC">
        <w:rPr>
          <w:sz w:val="24"/>
          <w:szCs w:val="24"/>
        </w:rPr>
        <w:t xml:space="preserve">infection of the stomach or duodenum at the time of the clinical </w:t>
      </w:r>
      <w:r w:rsidR="00B901CC" w:rsidRPr="00B901CC">
        <w:rPr>
          <w:sz w:val="24"/>
          <w:szCs w:val="24"/>
        </w:rPr>
        <w:t>onset</w:t>
      </w:r>
      <w:r w:rsidRPr="00B901CC">
        <w:rPr>
          <w:sz w:val="24"/>
          <w:szCs w:val="24"/>
        </w:rPr>
        <w:t xml:space="preserve"> of gastric ulcer or duodenal ulcer; or</w:t>
      </w:r>
    </w:p>
    <w:p w:rsidR="002F0BF2" w:rsidRPr="00B901CC" w:rsidRDefault="002F0BF2" w:rsidP="00457044">
      <w:pPr>
        <w:numPr>
          <w:ilvl w:val="0"/>
          <w:numId w:val="4"/>
        </w:numPr>
        <w:autoSpaceDE w:val="0"/>
        <w:autoSpaceDN w:val="0"/>
        <w:adjustRightInd w:val="0"/>
        <w:spacing w:after="60" w:line="240" w:lineRule="auto"/>
        <w:rPr>
          <w:sz w:val="24"/>
          <w:szCs w:val="24"/>
        </w:rPr>
      </w:pPr>
      <w:r w:rsidRPr="00B901CC">
        <w:rPr>
          <w:sz w:val="24"/>
          <w:szCs w:val="24"/>
        </w:rPr>
        <w:t>smoking at least one half of a pack</w:t>
      </w:r>
      <w:r w:rsidR="00457044">
        <w:rPr>
          <w:sz w:val="24"/>
          <w:szCs w:val="24"/>
        </w:rPr>
        <w:t>-</w:t>
      </w:r>
      <w:r w:rsidRPr="00B901CC">
        <w:rPr>
          <w:sz w:val="24"/>
          <w:szCs w:val="24"/>
        </w:rPr>
        <w:t xml:space="preserve">year of cigarettes, or the equivalent thereof in other tobacco products, before the clinical </w:t>
      </w:r>
      <w:r w:rsidR="00B901CC" w:rsidRPr="00B901CC">
        <w:rPr>
          <w:sz w:val="24"/>
          <w:szCs w:val="24"/>
        </w:rPr>
        <w:t>onset</w:t>
      </w:r>
      <w:r w:rsidRPr="00B901CC">
        <w:rPr>
          <w:sz w:val="24"/>
          <w:szCs w:val="24"/>
        </w:rPr>
        <w:t xml:space="preserve"> of gastric ulcer or duodenal ulcer, and</w:t>
      </w:r>
      <w:r w:rsidR="00457044">
        <w:rPr>
          <w:sz w:val="24"/>
          <w:szCs w:val="24"/>
        </w:rPr>
        <w:t>:</w:t>
      </w:r>
      <w:r w:rsidRPr="00B901CC">
        <w:rPr>
          <w:sz w:val="24"/>
          <w:szCs w:val="24"/>
        </w:rPr>
        <w:t xml:space="preserve"> </w:t>
      </w:r>
    </w:p>
    <w:p w:rsidR="002F0BF2" w:rsidRPr="00B901CC" w:rsidRDefault="002F0BF2" w:rsidP="00457044">
      <w:pPr>
        <w:pStyle w:val="ListParagraph"/>
        <w:numPr>
          <w:ilvl w:val="1"/>
          <w:numId w:val="17"/>
        </w:numPr>
        <w:autoSpaceDE w:val="0"/>
        <w:autoSpaceDN w:val="0"/>
        <w:adjustRightInd w:val="0"/>
        <w:spacing w:after="60" w:line="240" w:lineRule="auto"/>
        <w:ind w:left="2127" w:hanging="709"/>
        <w:contextualSpacing w:val="0"/>
        <w:rPr>
          <w:sz w:val="24"/>
          <w:szCs w:val="24"/>
        </w:rPr>
      </w:pPr>
      <w:r w:rsidRPr="00B901CC">
        <w:rPr>
          <w:sz w:val="24"/>
          <w:szCs w:val="24"/>
        </w:rPr>
        <w:t xml:space="preserve">smoking commenced at least six months before the clinical </w:t>
      </w:r>
      <w:r w:rsidR="00B901CC" w:rsidRPr="00B901CC">
        <w:rPr>
          <w:sz w:val="24"/>
          <w:szCs w:val="24"/>
        </w:rPr>
        <w:t>onset</w:t>
      </w:r>
      <w:r w:rsidRPr="00B901CC">
        <w:rPr>
          <w:sz w:val="24"/>
          <w:szCs w:val="24"/>
        </w:rPr>
        <w:t xml:space="preserve"> of gastric ulcer or duodenal ulcer</w:t>
      </w:r>
      <w:r w:rsidR="00457044">
        <w:rPr>
          <w:sz w:val="24"/>
          <w:szCs w:val="24"/>
        </w:rPr>
        <w:t>;</w:t>
      </w:r>
      <w:r w:rsidRPr="00B901CC">
        <w:rPr>
          <w:sz w:val="24"/>
          <w:szCs w:val="24"/>
        </w:rPr>
        <w:t xml:space="preserve"> and</w:t>
      </w:r>
    </w:p>
    <w:p w:rsidR="002F0BF2" w:rsidRPr="00B901CC" w:rsidRDefault="002F0BF2" w:rsidP="00457044">
      <w:pPr>
        <w:pStyle w:val="ListParagraph"/>
        <w:numPr>
          <w:ilvl w:val="1"/>
          <w:numId w:val="17"/>
        </w:numPr>
        <w:autoSpaceDE w:val="0"/>
        <w:autoSpaceDN w:val="0"/>
        <w:adjustRightInd w:val="0"/>
        <w:spacing w:after="120" w:line="240" w:lineRule="auto"/>
        <w:ind w:left="2127" w:hanging="709"/>
        <w:rPr>
          <w:sz w:val="24"/>
          <w:szCs w:val="24"/>
        </w:rPr>
      </w:pPr>
      <w:r w:rsidRPr="00B901CC">
        <w:rPr>
          <w:sz w:val="24"/>
          <w:szCs w:val="24"/>
        </w:rPr>
        <w:t xml:space="preserve">where smoking has ceased, the clinical </w:t>
      </w:r>
      <w:r w:rsidR="00B901CC" w:rsidRPr="00B901CC">
        <w:rPr>
          <w:sz w:val="24"/>
          <w:szCs w:val="24"/>
        </w:rPr>
        <w:t>onset</w:t>
      </w:r>
      <w:r w:rsidRPr="00B901CC">
        <w:rPr>
          <w:sz w:val="24"/>
          <w:szCs w:val="24"/>
        </w:rPr>
        <w:t xml:space="preserve"> of gastric ulcer or duodenal ulcer has occurred within one year of cessation; or</w:t>
      </w:r>
    </w:p>
    <w:p w:rsidR="00AB4EF4" w:rsidRPr="00B901CC" w:rsidRDefault="00066F83" w:rsidP="00457044">
      <w:pPr>
        <w:numPr>
          <w:ilvl w:val="0"/>
          <w:numId w:val="4"/>
        </w:numPr>
        <w:spacing w:after="120" w:line="240" w:lineRule="auto"/>
        <w:rPr>
          <w:snapToGrid w:val="0"/>
          <w:sz w:val="24"/>
          <w:szCs w:val="24"/>
        </w:rPr>
      </w:pPr>
      <w:r w:rsidRPr="00B901CC">
        <w:rPr>
          <w:sz w:val="24"/>
          <w:szCs w:val="24"/>
        </w:rPr>
        <w:t xml:space="preserve">having a gastrin-secreting tumour at the time of the clinical </w:t>
      </w:r>
      <w:r w:rsidR="00B901CC" w:rsidRPr="00B901CC">
        <w:rPr>
          <w:sz w:val="24"/>
          <w:szCs w:val="24"/>
        </w:rPr>
        <w:t>onset</w:t>
      </w:r>
      <w:r w:rsidRPr="00B901CC">
        <w:rPr>
          <w:sz w:val="24"/>
          <w:szCs w:val="24"/>
        </w:rPr>
        <w:t xml:space="preserve"> of gastric ulcer or duodenal ulcer; or</w:t>
      </w:r>
    </w:p>
    <w:p w:rsidR="00733E4C" w:rsidRPr="00B901CC" w:rsidRDefault="00733E4C" w:rsidP="00733E4C">
      <w:pPr>
        <w:numPr>
          <w:ilvl w:val="0"/>
          <w:numId w:val="4"/>
        </w:numPr>
        <w:spacing w:after="120" w:line="240" w:lineRule="auto"/>
        <w:rPr>
          <w:sz w:val="24"/>
          <w:szCs w:val="24"/>
        </w:rPr>
      </w:pPr>
      <w:r w:rsidRPr="00B901CC">
        <w:rPr>
          <w:sz w:val="24"/>
          <w:szCs w:val="24"/>
        </w:rPr>
        <w:lastRenderedPageBreak/>
        <w:t xml:space="preserve">having a critical illness or injury within the 30 days before the clinical </w:t>
      </w:r>
      <w:r w:rsidR="00B901CC" w:rsidRPr="00B901CC">
        <w:rPr>
          <w:sz w:val="24"/>
          <w:szCs w:val="24"/>
        </w:rPr>
        <w:t>onset</w:t>
      </w:r>
      <w:r w:rsidRPr="00B901CC">
        <w:rPr>
          <w:sz w:val="24"/>
          <w:szCs w:val="24"/>
        </w:rPr>
        <w:t xml:space="preserve"> of gastric ulcer or duodenal ulcer; or</w:t>
      </w:r>
    </w:p>
    <w:p w:rsidR="00733E4C" w:rsidRPr="00B901CC" w:rsidRDefault="00733E4C" w:rsidP="00733E4C">
      <w:pPr>
        <w:numPr>
          <w:ilvl w:val="0"/>
          <w:numId w:val="4"/>
        </w:numPr>
        <w:spacing w:after="120" w:line="240" w:lineRule="auto"/>
        <w:rPr>
          <w:sz w:val="24"/>
          <w:szCs w:val="24"/>
          <w:lang w:val="en-US"/>
        </w:rPr>
      </w:pPr>
      <w:r w:rsidRPr="00B901CC">
        <w:rPr>
          <w:sz w:val="24"/>
          <w:szCs w:val="24"/>
        </w:rPr>
        <w:t>being treated with a non-topical non</w:t>
      </w:r>
      <w:r w:rsidR="00FE05DF">
        <w:rPr>
          <w:sz w:val="24"/>
          <w:szCs w:val="24"/>
        </w:rPr>
        <w:t>-</w:t>
      </w:r>
      <w:r w:rsidRPr="00B901CC">
        <w:rPr>
          <w:sz w:val="24"/>
          <w:szCs w:val="24"/>
        </w:rPr>
        <w:t xml:space="preserve">steroidal anti-inflammatory drug, including aspirin, at least every other day during a continuous period of at least eight days, within the three months before the clinical </w:t>
      </w:r>
      <w:r w:rsidR="00B901CC" w:rsidRPr="00B901CC">
        <w:rPr>
          <w:sz w:val="24"/>
          <w:szCs w:val="24"/>
        </w:rPr>
        <w:t>onset</w:t>
      </w:r>
      <w:r w:rsidRPr="00B901CC">
        <w:rPr>
          <w:sz w:val="24"/>
          <w:szCs w:val="24"/>
        </w:rPr>
        <w:t xml:space="preserve"> of gastric ulcer or duodenal ulcer; or</w:t>
      </w:r>
    </w:p>
    <w:p w:rsidR="00AB4EF4" w:rsidRPr="00B901CC" w:rsidRDefault="00066F83">
      <w:pPr>
        <w:numPr>
          <w:ilvl w:val="0"/>
          <w:numId w:val="4"/>
        </w:numPr>
        <w:spacing w:after="120" w:line="240" w:lineRule="auto"/>
        <w:rPr>
          <w:sz w:val="24"/>
          <w:szCs w:val="24"/>
        </w:rPr>
      </w:pPr>
      <w:r w:rsidRPr="00B901CC">
        <w:rPr>
          <w:sz w:val="24"/>
          <w:szCs w:val="24"/>
        </w:rPr>
        <w:t xml:space="preserve">being treated with an immunosuppressive drug within the three months before the clinical </w:t>
      </w:r>
      <w:r w:rsidR="00B901CC" w:rsidRPr="00B901CC">
        <w:rPr>
          <w:sz w:val="24"/>
          <w:szCs w:val="24"/>
        </w:rPr>
        <w:t>onset</w:t>
      </w:r>
      <w:r w:rsidRPr="00B901CC">
        <w:rPr>
          <w:sz w:val="24"/>
          <w:szCs w:val="24"/>
        </w:rPr>
        <w:t xml:space="preserve"> of gastric ulcer or duodenal ulcer; or</w:t>
      </w:r>
      <w:r w:rsidR="00733E4C" w:rsidRPr="00B901CC">
        <w:rPr>
          <w:sz w:val="24"/>
          <w:szCs w:val="24"/>
        </w:rPr>
        <w:t xml:space="preserve">  </w:t>
      </w:r>
    </w:p>
    <w:p w:rsidR="00066F83" w:rsidRPr="00B901CC" w:rsidRDefault="0054401B">
      <w:pPr>
        <w:numPr>
          <w:ilvl w:val="0"/>
          <w:numId w:val="4"/>
        </w:numPr>
        <w:spacing w:after="120" w:line="240" w:lineRule="auto"/>
        <w:rPr>
          <w:sz w:val="24"/>
          <w:szCs w:val="24"/>
        </w:rPr>
      </w:pPr>
      <w:r w:rsidRPr="00B901CC">
        <w:rPr>
          <w:sz w:val="24"/>
          <w:szCs w:val="24"/>
          <w:lang w:val="en-US"/>
        </w:rPr>
        <w:t>being treated with a drug or a drug from a class of drugs from Specified List 1 within the seven days before the clinical onset of gastric ulcer or duodenal ulcer; or</w:t>
      </w:r>
    </w:p>
    <w:p w:rsidR="0054401B" w:rsidRPr="00B901CC" w:rsidRDefault="0054401B">
      <w:pPr>
        <w:numPr>
          <w:ilvl w:val="0"/>
          <w:numId w:val="4"/>
        </w:numPr>
        <w:spacing w:after="120" w:line="240" w:lineRule="auto"/>
        <w:rPr>
          <w:sz w:val="24"/>
          <w:szCs w:val="24"/>
        </w:rPr>
      </w:pPr>
      <w:r w:rsidRPr="00B901CC">
        <w:rPr>
          <w:sz w:val="24"/>
          <w:szCs w:val="24"/>
        </w:rPr>
        <w:t>being treated with a drug or a drug from a class of drugs from Specified List 2 for at least two weeks, within the three months before the clinical onset of gastric ulcer or duodenal ulcer; or</w:t>
      </w:r>
    </w:p>
    <w:p w:rsidR="0054401B" w:rsidRPr="00B901CC" w:rsidRDefault="0054401B" w:rsidP="0054401B">
      <w:pPr>
        <w:numPr>
          <w:ilvl w:val="0"/>
          <w:numId w:val="4"/>
        </w:numPr>
        <w:spacing w:after="120" w:line="240" w:lineRule="auto"/>
        <w:rPr>
          <w:sz w:val="24"/>
          <w:szCs w:val="24"/>
          <w:lang w:val="en-US"/>
        </w:rPr>
      </w:pPr>
      <w:r w:rsidRPr="00B901CC">
        <w:rPr>
          <w:sz w:val="24"/>
          <w:szCs w:val="24"/>
          <w:lang w:val="en-US"/>
        </w:rPr>
        <w:t>having a specified infection of the gastric or duodenal mucosa at the time of the clinical onset of gastric ulcer or duodenal ulcer; or</w:t>
      </w:r>
    </w:p>
    <w:p w:rsidR="002A0DE4" w:rsidRPr="00B901CC" w:rsidRDefault="002A0DE4" w:rsidP="002A0DE4">
      <w:pPr>
        <w:numPr>
          <w:ilvl w:val="0"/>
          <w:numId w:val="4"/>
        </w:numPr>
        <w:spacing w:after="120" w:line="240" w:lineRule="auto"/>
        <w:rPr>
          <w:sz w:val="24"/>
          <w:szCs w:val="24"/>
        </w:rPr>
      </w:pPr>
      <w:r w:rsidRPr="00B901CC">
        <w:rPr>
          <w:sz w:val="24"/>
          <w:szCs w:val="24"/>
        </w:rPr>
        <w:t xml:space="preserve">undergoing a course of therapeutic radiation for cancer, where the stomach or duodenum was in the field of radiation, within the one year before the clinical </w:t>
      </w:r>
      <w:r w:rsidR="00B901CC" w:rsidRPr="00B901CC">
        <w:rPr>
          <w:sz w:val="24"/>
          <w:szCs w:val="24"/>
        </w:rPr>
        <w:t>onset</w:t>
      </w:r>
      <w:r w:rsidRPr="00B901CC">
        <w:rPr>
          <w:sz w:val="24"/>
          <w:szCs w:val="24"/>
        </w:rPr>
        <w:t xml:space="preserve"> of gastric ulcer or duodenal ulcer; or</w:t>
      </w:r>
    </w:p>
    <w:p w:rsidR="002A0DE4" w:rsidRPr="00B901CC" w:rsidRDefault="002A0DE4" w:rsidP="00457044">
      <w:pPr>
        <w:numPr>
          <w:ilvl w:val="0"/>
          <w:numId w:val="4"/>
        </w:numPr>
        <w:spacing w:after="120" w:line="240" w:lineRule="auto"/>
        <w:rPr>
          <w:sz w:val="24"/>
          <w:szCs w:val="24"/>
        </w:rPr>
      </w:pPr>
      <w:r w:rsidRPr="00B901CC">
        <w:rPr>
          <w:sz w:val="24"/>
          <w:szCs w:val="24"/>
        </w:rPr>
        <w:t xml:space="preserve">having received a cumulative equivalent dose of at least ten </w:t>
      </w:r>
      <w:proofErr w:type="spellStart"/>
      <w:r w:rsidRPr="00B901CC">
        <w:rPr>
          <w:sz w:val="24"/>
          <w:szCs w:val="24"/>
        </w:rPr>
        <w:t>sieverts</w:t>
      </w:r>
      <w:proofErr w:type="spellEnd"/>
      <w:r w:rsidRPr="00B901CC">
        <w:rPr>
          <w:sz w:val="24"/>
          <w:szCs w:val="24"/>
        </w:rPr>
        <w:t xml:space="preserve"> of ionising radiation to the stomach or duodenum within the one year before the clinical </w:t>
      </w:r>
      <w:r w:rsidR="00B901CC" w:rsidRPr="00B901CC">
        <w:rPr>
          <w:sz w:val="24"/>
          <w:szCs w:val="24"/>
        </w:rPr>
        <w:t>onset</w:t>
      </w:r>
      <w:r w:rsidRPr="00B901CC">
        <w:rPr>
          <w:sz w:val="24"/>
          <w:szCs w:val="24"/>
        </w:rPr>
        <w:t xml:space="preserve"> of gastric ulcer or duodenal ulcer; or</w:t>
      </w:r>
    </w:p>
    <w:p w:rsidR="002A0DE4" w:rsidRPr="00B901CC" w:rsidRDefault="002A0DE4" w:rsidP="00457044">
      <w:pPr>
        <w:numPr>
          <w:ilvl w:val="0"/>
          <w:numId w:val="4"/>
        </w:numPr>
        <w:spacing w:after="120" w:line="240" w:lineRule="auto"/>
        <w:rPr>
          <w:sz w:val="24"/>
          <w:szCs w:val="24"/>
        </w:rPr>
      </w:pPr>
      <w:r w:rsidRPr="00B901CC">
        <w:rPr>
          <w:sz w:val="24"/>
          <w:szCs w:val="24"/>
        </w:rPr>
        <w:t xml:space="preserve">having received </w:t>
      </w:r>
      <w:r w:rsidRPr="00B901CC">
        <w:rPr>
          <w:sz w:val="24"/>
          <w:szCs w:val="24"/>
          <w:vertAlign w:val="superscript"/>
        </w:rPr>
        <w:t>90</w:t>
      </w:r>
      <w:r w:rsidRPr="00B901CC">
        <w:rPr>
          <w:sz w:val="24"/>
          <w:szCs w:val="24"/>
        </w:rPr>
        <w:t>Yttrium microspheres as therapy for primary and metastatic liver tumours, within the one year before the clinical onset of gastric ulcer or duodenal ulcer; or</w:t>
      </w:r>
    </w:p>
    <w:p w:rsidR="002A0DE4" w:rsidRPr="00B901CC" w:rsidRDefault="002A0DE4" w:rsidP="00457044">
      <w:pPr>
        <w:pStyle w:val="ListParagraph"/>
        <w:numPr>
          <w:ilvl w:val="0"/>
          <w:numId w:val="4"/>
        </w:numPr>
        <w:spacing w:after="60"/>
        <w:contextualSpacing w:val="0"/>
        <w:rPr>
          <w:sz w:val="24"/>
          <w:szCs w:val="24"/>
        </w:rPr>
      </w:pPr>
      <w:r w:rsidRPr="00B901CC">
        <w:rPr>
          <w:sz w:val="24"/>
          <w:szCs w:val="24"/>
        </w:rPr>
        <w:t>for gastric ulcer only</w:t>
      </w:r>
      <w:r w:rsidR="00733E4C" w:rsidRPr="00B901CC">
        <w:rPr>
          <w:sz w:val="24"/>
          <w:szCs w:val="24"/>
        </w:rPr>
        <w:t>:</w:t>
      </w:r>
    </w:p>
    <w:p w:rsidR="002A0DE4" w:rsidRPr="00B901CC" w:rsidRDefault="002A0DE4" w:rsidP="00457044">
      <w:pPr>
        <w:pStyle w:val="ListParagraph"/>
        <w:numPr>
          <w:ilvl w:val="1"/>
          <w:numId w:val="23"/>
        </w:numPr>
        <w:autoSpaceDE w:val="0"/>
        <w:autoSpaceDN w:val="0"/>
        <w:adjustRightInd w:val="0"/>
        <w:spacing w:after="60" w:line="240" w:lineRule="auto"/>
        <w:ind w:left="2127" w:hanging="709"/>
        <w:contextualSpacing w:val="0"/>
        <w:rPr>
          <w:sz w:val="24"/>
          <w:szCs w:val="24"/>
        </w:rPr>
      </w:pPr>
      <w:r w:rsidRPr="00B901CC">
        <w:rPr>
          <w:sz w:val="24"/>
          <w:szCs w:val="24"/>
        </w:rPr>
        <w:t xml:space="preserve">having partial gastrectomy within the five years before the clinical </w:t>
      </w:r>
      <w:r w:rsidR="00B901CC" w:rsidRPr="00B901CC">
        <w:rPr>
          <w:sz w:val="24"/>
          <w:szCs w:val="24"/>
        </w:rPr>
        <w:t>onset</w:t>
      </w:r>
      <w:r w:rsidRPr="00B901CC">
        <w:rPr>
          <w:sz w:val="24"/>
          <w:szCs w:val="24"/>
        </w:rPr>
        <w:t xml:space="preserve"> of gastric ulcer, where the ulcer occurs at the site of the surgical anastomosis; or </w:t>
      </w:r>
    </w:p>
    <w:p w:rsidR="002A0DE4" w:rsidRPr="00B901CC" w:rsidRDefault="002A0DE4" w:rsidP="00457044">
      <w:pPr>
        <w:pStyle w:val="ListParagraph"/>
        <w:numPr>
          <w:ilvl w:val="1"/>
          <w:numId w:val="23"/>
        </w:numPr>
        <w:autoSpaceDE w:val="0"/>
        <w:autoSpaceDN w:val="0"/>
        <w:adjustRightInd w:val="0"/>
        <w:spacing w:after="120" w:line="240" w:lineRule="auto"/>
        <w:ind w:left="2127" w:hanging="709"/>
        <w:contextualSpacing w:val="0"/>
        <w:rPr>
          <w:sz w:val="24"/>
          <w:szCs w:val="24"/>
        </w:rPr>
      </w:pPr>
      <w:r w:rsidRPr="00B901CC">
        <w:rPr>
          <w:sz w:val="24"/>
          <w:szCs w:val="24"/>
        </w:rPr>
        <w:t xml:space="preserve">having endoscopic mucosal resection or endoscopic sub-mucosal dissection of the gastric mucosa at the time of the clinical </w:t>
      </w:r>
      <w:r w:rsidR="00B901CC" w:rsidRPr="00B901CC">
        <w:rPr>
          <w:sz w:val="24"/>
          <w:szCs w:val="24"/>
        </w:rPr>
        <w:t>onset</w:t>
      </w:r>
      <w:r w:rsidRPr="00B901CC">
        <w:rPr>
          <w:sz w:val="24"/>
          <w:szCs w:val="24"/>
        </w:rPr>
        <w:t xml:space="preserve"> of gastric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having contact with a nasogastric tube or other foreign body at the site of the ulcer at the time of the clinical </w:t>
      </w:r>
      <w:r w:rsidR="00B901CC" w:rsidRPr="00B901CC">
        <w:rPr>
          <w:sz w:val="24"/>
          <w:szCs w:val="24"/>
        </w:rPr>
        <w:t>onset</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experiencing a category 1A stressor within the three months before the clinical </w:t>
      </w:r>
      <w:r w:rsidR="00B901CC" w:rsidRPr="00B901CC">
        <w:rPr>
          <w:sz w:val="24"/>
          <w:szCs w:val="24"/>
        </w:rPr>
        <w:t>onset</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experiencing a category 1B stressor within the three months before the clinical </w:t>
      </w:r>
      <w:r w:rsidR="00B901CC" w:rsidRPr="00B901CC">
        <w:rPr>
          <w:sz w:val="24"/>
          <w:szCs w:val="24"/>
        </w:rPr>
        <w:t>onset</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having posttraumatic stress disorder within the three months before the clinical </w:t>
      </w:r>
      <w:r w:rsidR="00B901CC" w:rsidRPr="00B901CC">
        <w:rPr>
          <w:sz w:val="24"/>
          <w:szCs w:val="24"/>
        </w:rPr>
        <w:t>onset</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lang w:val="en-US"/>
        </w:rPr>
        <w:t xml:space="preserve">having a clinically significant disorder of mental health as specified at the time of the clinical </w:t>
      </w:r>
      <w:r w:rsidR="00B901CC" w:rsidRPr="00B901CC">
        <w:rPr>
          <w:sz w:val="24"/>
          <w:szCs w:val="24"/>
          <w:lang w:val="en-US"/>
        </w:rPr>
        <w:t>onset</w:t>
      </w:r>
      <w:r w:rsidRPr="00B901CC">
        <w:rPr>
          <w:sz w:val="24"/>
          <w:szCs w:val="24"/>
          <w:lang w:val="en-US"/>
        </w:rPr>
        <w:t xml:space="preserve"> of </w:t>
      </w:r>
      <w:r w:rsidRPr="00B901CC">
        <w:rPr>
          <w:sz w:val="24"/>
          <w:szCs w:val="24"/>
        </w:rPr>
        <w:t xml:space="preserve">gastric ulcer or duodenal ulcer; or </w:t>
      </w:r>
    </w:p>
    <w:p w:rsidR="002A0DE4" w:rsidRPr="00B901CC" w:rsidRDefault="00733E4C" w:rsidP="00457044">
      <w:pPr>
        <w:numPr>
          <w:ilvl w:val="0"/>
          <w:numId w:val="4"/>
        </w:numPr>
        <w:spacing w:after="120" w:line="240" w:lineRule="auto"/>
        <w:rPr>
          <w:sz w:val="24"/>
          <w:szCs w:val="24"/>
        </w:rPr>
      </w:pPr>
      <w:r w:rsidRPr="00B901CC">
        <w:rPr>
          <w:sz w:val="24"/>
          <w:szCs w:val="24"/>
          <w:lang w:val="en-US"/>
        </w:rPr>
        <w:lastRenderedPageBreak/>
        <w:t xml:space="preserve">having cirrhosis of the liver </w:t>
      </w:r>
      <w:r w:rsidRPr="00B901CC">
        <w:rPr>
          <w:sz w:val="24"/>
          <w:szCs w:val="24"/>
        </w:rPr>
        <w:t xml:space="preserve">at the time of the clinical </w:t>
      </w:r>
      <w:r w:rsidR="00B901CC" w:rsidRPr="00B901CC">
        <w:rPr>
          <w:sz w:val="24"/>
          <w:szCs w:val="24"/>
        </w:rPr>
        <w:t>onset</w:t>
      </w:r>
      <w:r w:rsidRPr="00B901CC">
        <w:rPr>
          <w:sz w:val="24"/>
          <w:szCs w:val="24"/>
        </w:rPr>
        <w:t xml:space="preserve"> of gastric ulcer or duodenal ulcer; or </w:t>
      </w:r>
    </w:p>
    <w:p w:rsidR="00733E4C" w:rsidRPr="00B901CC" w:rsidRDefault="00733E4C" w:rsidP="00457044">
      <w:pPr>
        <w:numPr>
          <w:ilvl w:val="0"/>
          <w:numId w:val="4"/>
        </w:numPr>
        <w:spacing w:after="120" w:line="240" w:lineRule="auto"/>
        <w:rPr>
          <w:sz w:val="24"/>
          <w:szCs w:val="24"/>
          <w:lang w:val="en-US"/>
        </w:rPr>
      </w:pPr>
      <w:r w:rsidRPr="00B901CC">
        <w:rPr>
          <w:sz w:val="24"/>
          <w:szCs w:val="24"/>
        </w:rPr>
        <w:t xml:space="preserve">being a prisoner of war before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spacing w:after="120" w:line="240" w:lineRule="auto"/>
        <w:rPr>
          <w:sz w:val="24"/>
          <w:szCs w:val="24"/>
        </w:rPr>
      </w:pPr>
      <w:r w:rsidRPr="00B901CC">
        <w:rPr>
          <w:sz w:val="24"/>
          <w:szCs w:val="24"/>
        </w:rPr>
        <w:t xml:space="preserve">having </w:t>
      </w:r>
      <w:r w:rsidRPr="00B901CC">
        <w:rPr>
          <w:i/>
          <w:iCs/>
          <w:sz w:val="24"/>
          <w:szCs w:val="24"/>
        </w:rPr>
        <w:t xml:space="preserve">Helicobacter pylori </w:t>
      </w:r>
      <w:r w:rsidRPr="00B901CC">
        <w:rPr>
          <w:sz w:val="24"/>
          <w:szCs w:val="24"/>
        </w:rPr>
        <w:t xml:space="preserve">infection of the stomach or duodenum at the time of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autoSpaceDE w:val="0"/>
        <w:autoSpaceDN w:val="0"/>
        <w:adjustRightInd w:val="0"/>
        <w:spacing w:after="60" w:line="240" w:lineRule="auto"/>
        <w:rPr>
          <w:sz w:val="24"/>
          <w:szCs w:val="24"/>
        </w:rPr>
      </w:pPr>
      <w:r w:rsidRPr="00B901CC">
        <w:rPr>
          <w:sz w:val="24"/>
          <w:szCs w:val="24"/>
        </w:rPr>
        <w:t>smoking at least one half of a pack</w:t>
      </w:r>
      <w:r w:rsidR="00457044">
        <w:rPr>
          <w:sz w:val="24"/>
          <w:szCs w:val="24"/>
        </w:rPr>
        <w:t>-</w:t>
      </w:r>
      <w:r w:rsidRPr="00B901CC">
        <w:rPr>
          <w:sz w:val="24"/>
          <w:szCs w:val="24"/>
        </w:rPr>
        <w:t xml:space="preserve">year of cigarettes, or the equivalent thereof in other tobacco products, before the clinical </w:t>
      </w:r>
      <w:r w:rsidR="00B901CC" w:rsidRPr="00B901CC">
        <w:rPr>
          <w:sz w:val="24"/>
          <w:szCs w:val="24"/>
        </w:rPr>
        <w:t>worsening</w:t>
      </w:r>
      <w:r w:rsidRPr="00B901CC">
        <w:rPr>
          <w:sz w:val="24"/>
          <w:szCs w:val="24"/>
        </w:rPr>
        <w:t xml:space="preserve"> of gastric ulcer or duodenal ulcer</w:t>
      </w:r>
      <w:r w:rsidR="00FE05DF">
        <w:rPr>
          <w:sz w:val="24"/>
          <w:szCs w:val="24"/>
        </w:rPr>
        <w:t>;</w:t>
      </w:r>
      <w:r w:rsidRPr="00B901CC">
        <w:rPr>
          <w:sz w:val="24"/>
          <w:szCs w:val="24"/>
        </w:rPr>
        <w:t xml:space="preserve"> and</w:t>
      </w:r>
      <w:r w:rsidR="00457044">
        <w:rPr>
          <w:sz w:val="24"/>
          <w:szCs w:val="24"/>
        </w:rPr>
        <w:t>:</w:t>
      </w:r>
      <w:r w:rsidRPr="00B901CC">
        <w:rPr>
          <w:sz w:val="24"/>
          <w:szCs w:val="24"/>
        </w:rPr>
        <w:t xml:space="preserve"> </w:t>
      </w:r>
    </w:p>
    <w:p w:rsidR="00733E4C" w:rsidRPr="00B901CC" w:rsidRDefault="00733E4C" w:rsidP="00457044">
      <w:pPr>
        <w:pStyle w:val="ListParagraph"/>
        <w:numPr>
          <w:ilvl w:val="1"/>
          <w:numId w:val="26"/>
        </w:numPr>
        <w:autoSpaceDE w:val="0"/>
        <w:autoSpaceDN w:val="0"/>
        <w:adjustRightInd w:val="0"/>
        <w:spacing w:after="60" w:line="240" w:lineRule="auto"/>
        <w:ind w:left="2127" w:hanging="709"/>
        <w:contextualSpacing w:val="0"/>
        <w:rPr>
          <w:sz w:val="24"/>
          <w:szCs w:val="24"/>
        </w:rPr>
      </w:pPr>
      <w:r w:rsidRPr="00B901CC">
        <w:rPr>
          <w:sz w:val="24"/>
          <w:szCs w:val="24"/>
        </w:rPr>
        <w:t xml:space="preserve">smoking commenced at least six months before the clinical </w:t>
      </w:r>
      <w:r w:rsidR="00B901CC" w:rsidRPr="00B901CC">
        <w:rPr>
          <w:sz w:val="24"/>
          <w:szCs w:val="24"/>
        </w:rPr>
        <w:t>worsening</w:t>
      </w:r>
      <w:r w:rsidRPr="00B901CC">
        <w:rPr>
          <w:sz w:val="24"/>
          <w:szCs w:val="24"/>
        </w:rPr>
        <w:t xml:space="preserve"> of gastric ulcer or duodenal ulcer</w:t>
      </w:r>
      <w:r w:rsidR="00FE05DF">
        <w:rPr>
          <w:sz w:val="24"/>
          <w:szCs w:val="24"/>
        </w:rPr>
        <w:t>;</w:t>
      </w:r>
      <w:r w:rsidRPr="00B901CC">
        <w:rPr>
          <w:sz w:val="24"/>
          <w:szCs w:val="24"/>
        </w:rPr>
        <w:t xml:space="preserve"> and</w:t>
      </w:r>
    </w:p>
    <w:p w:rsidR="00733E4C" w:rsidRPr="00B901CC" w:rsidRDefault="00733E4C" w:rsidP="00457044">
      <w:pPr>
        <w:pStyle w:val="ListParagraph"/>
        <w:numPr>
          <w:ilvl w:val="1"/>
          <w:numId w:val="26"/>
        </w:numPr>
        <w:autoSpaceDE w:val="0"/>
        <w:autoSpaceDN w:val="0"/>
        <w:adjustRightInd w:val="0"/>
        <w:spacing w:after="120" w:line="240" w:lineRule="auto"/>
        <w:ind w:left="2127" w:hanging="709"/>
        <w:rPr>
          <w:sz w:val="24"/>
          <w:szCs w:val="24"/>
        </w:rPr>
      </w:pPr>
      <w:r w:rsidRPr="00B901CC">
        <w:rPr>
          <w:sz w:val="24"/>
          <w:szCs w:val="24"/>
        </w:rPr>
        <w:t xml:space="preserve">where smoking has ceased, the clinical </w:t>
      </w:r>
      <w:r w:rsidR="00B901CC" w:rsidRPr="00B901CC">
        <w:rPr>
          <w:sz w:val="24"/>
          <w:szCs w:val="24"/>
        </w:rPr>
        <w:t>worsening</w:t>
      </w:r>
      <w:r w:rsidRPr="00B901CC">
        <w:rPr>
          <w:sz w:val="24"/>
          <w:szCs w:val="24"/>
        </w:rPr>
        <w:t xml:space="preserve"> of gastric ulcer or duodenal ulcer has occurred within one year of cessation; or</w:t>
      </w:r>
    </w:p>
    <w:p w:rsidR="00733E4C" w:rsidRPr="00B901CC" w:rsidRDefault="00733E4C" w:rsidP="00457044">
      <w:pPr>
        <w:numPr>
          <w:ilvl w:val="0"/>
          <w:numId w:val="4"/>
        </w:numPr>
        <w:spacing w:after="120" w:line="240" w:lineRule="auto"/>
        <w:rPr>
          <w:snapToGrid w:val="0"/>
          <w:sz w:val="24"/>
          <w:szCs w:val="24"/>
        </w:rPr>
      </w:pPr>
      <w:r w:rsidRPr="00B901CC">
        <w:rPr>
          <w:sz w:val="24"/>
          <w:szCs w:val="24"/>
        </w:rPr>
        <w:t xml:space="preserve">having a gastrin-secreting tumour at the time of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spacing w:after="120" w:line="240" w:lineRule="auto"/>
        <w:rPr>
          <w:sz w:val="24"/>
          <w:szCs w:val="24"/>
        </w:rPr>
      </w:pPr>
      <w:r w:rsidRPr="00B901CC">
        <w:rPr>
          <w:sz w:val="24"/>
          <w:szCs w:val="24"/>
        </w:rPr>
        <w:t xml:space="preserve">having a critical illness or injury within the 30 days before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spacing w:after="120" w:line="240" w:lineRule="auto"/>
        <w:rPr>
          <w:sz w:val="24"/>
          <w:szCs w:val="24"/>
          <w:lang w:val="en-US"/>
        </w:rPr>
      </w:pPr>
      <w:r w:rsidRPr="00B901CC">
        <w:rPr>
          <w:sz w:val="24"/>
          <w:szCs w:val="24"/>
        </w:rPr>
        <w:t>being treated with a non-topical non</w:t>
      </w:r>
      <w:r w:rsidR="00020A12">
        <w:rPr>
          <w:sz w:val="24"/>
          <w:szCs w:val="24"/>
        </w:rPr>
        <w:t>-</w:t>
      </w:r>
      <w:r w:rsidRPr="00B901CC">
        <w:rPr>
          <w:sz w:val="24"/>
          <w:szCs w:val="24"/>
        </w:rPr>
        <w:t xml:space="preserve">steroidal anti-inflammatory drug, including aspirin, at least every other day during a continuous period of at least eight days, within the three months before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spacing w:after="120" w:line="240" w:lineRule="auto"/>
        <w:rPr>
          <w:sz w:val="24"/>
          <w:szCs w:val="24"/>
        </w:rPr>
      </w:pPr>
      <w:r w:rsidRPr="00B901CC">
        <w:rPr>
          <w:sz w:val="24"/>
          <w:szCs w:val="24"/>
        </w:rPr>
        <w:t xml:space="preserve">being treated with an immunosuppressive drug within the three months before the clinical </w:t>
      </w:r>
      <w:r w:rsidR="00B901CC" w:rsidRPr="00B901CC">
        <w:rPr>
          <w:sz w:val="24"/>
          <w:szCs w:val="24"/>
        </w:rPr>
        <w:t>worsening</w:t>
      </w:r>
      <w:r w:rsidRPr="00B901CC">
        <w:rPr>
          <w:sz w:val="24"/>
          <w:szCs w:val="24"/>
        </w:rPr>
        <w:t xml:space="preserve"> of gastric ulcer or duodenal ulcer; or  </w:t>
      </w:r>
    </w:p>
    <w:p w:rsidR="00733E4C" w:rsidRPr="00B901CC" w:rsidRDefault="00733E4C" w:rsidP="00457044">
      <w:pPr>
        <w:numPr>
          <w:ilvl w:val="0"/>
          <w:numId w:val="4"/>
        </w:numPr>
        <w:spacing w:after="120" w:line="240" w:lineRule="auto"/>
        <w:rPr>
          <w:sz w:val="24"/>
          <w:szCs w:val="24"/>
        </w:rPr>
      </w:pPr>
      <w:r w:rsidRPr="00B901CC">
        <w:rPr>
          <w:sz w:val="24"/>
          <w:szCs w:val="24"/>
          <w:lang w:val="en-US"/>
        </w:rPr>
        <w:t>being treated with a drug or a drug from a class of drugs from Specified List 1 within the seven days before the clinical worsening of gastric ulcer or duodenal ulcer; or</w:t>
      </w:r>
    </w:p>
    <w:p w:rsidR="00733E4C" w:rsidRPr="00B901CC" w:rsidRDefault="00733E4C" w:rsidP="00457044">
      <w:pPr>
        <w:numPr>
          <w:ilvl w:val="0"/>
          <w:numId w:val="4"/>
        </w:numPr>
        <w:spacing w:after="120" w:line="240" w:lineRule="auto"/>
        <w:rPr>
          <w:sz w:val="24"/>
          <w:szCs w:val="24"/>
          <w:lang w:val="en-US"/>
        </w:rPr>
      </w:pPr>
      <w:r w:rsidRPr="00B901CC">
        <w:rPr>
          <w:sz w:val="24"/>
          <w:szCs w:val="24"/>
        </w:rPr>
        <w:t>being treated with a drug or a drug from a class of drugs from Specified List 3 for at least two weeks, within the three months before the clinical worsening of gastric ulcer or duodenal ulcer; or</w:t>
      </w:r>
      <w:r w:rsidRPr="00B901CC">
        <w:rPr>
          <w:sz w:val="24"/>
          <w:szCs w:val="24"/>
          <w:lang w:val="en-US"/>
        </w:rPr>
        <w:t xml:space="preserve"> </w:t>
      </w:r>
    </w:p>
    <w:p w:rsidR="00733E4C" w:rsidRPr="00B901CC" w:rsidRDefault="00733E4C" w:rsidP="00733E4C">
      <w:pPr>
        <w:numPr>
          <w:ilvl w:val="0"/>
          <w:numId w:val="4"/>
        </w:numPr>
        <w:spacing w:after="120" w:line="240" w:lineRule="auto"/>
        <w:rPr>
          <w:sz w:val="24"/>
          <w:szCs w:val="24"/>
          <w:lang w:val="en-US"/>
        </w:rPr>
      </w:pPr>
      <w:r w:rsidRPr="00B901CC">
        <w:rPr>
          <w:sz w:val="24"/>
          <w:szCs w:val="24"/>
          <w:lang w:val="en-US"/>
        </w:rPr>
        <w:t xml:space="preserve">having a specified infection of the gastric or duodenal mucosa at the time of the </w:t>
      </w:r>
      <w:r w:rsidR="00A03380">
        <w:rPr>
          <w:sz w:val="24"/>
          <w:szCs w:val="24"/>
          <w:lang w:val="en-US"/>
        </w:rPr>
        <w:t>clinical worsen</w:t>
      </w:r>
      <w:r w:rsidRPr="00B901CC">
        <w:rPr>
          <w:sz w:val="24"/>
          <w:szCs w:val="24"/>
          <w:lang w:val="en-US"/>
        </w:rPr>
        <w:t>ing of gastric ulcer or duodenal ulcer; or</w:t>
      </w:r>
    </w:p>
    <w:p w:rsidR="00733E4C" w:rsidRPr="00B901CC" w:rsidRDefault="00733E4C" w:rsidP="00733E4C">
      <w:pPr>
        <w:numPr>
          <w:ilvl w:val="0"/>
          <w:numId w:val="4"/>
        </w:numPr>
        <w:spacing w:after="120" w:line="240" w:lineRule="auto"/>
        <w:rPr>
          <w:sz w:val="24"/>
          <w:szCs w:val="24"/>
        </w:rPr>
      </w:pPr>
      <w:r w:rsidRPr="00B901CC">
        <w:rPr>
          <w:sz w:val="24"/>
          <w:szCs w:val="24"/>
        </w:rPr>
        <w:t xml:space="preserve">undergoing a course of therapeutic radiation for cancer, where the stomach or duodenum was in the field of radiation, within the one year before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733E4C">
      <w:pPr>
        <w:numPr>
          <w:ilvl w:val="0"/>
          <w:numId w:val="4"/>
        </w:numPr>
        <w:spacing w:after="120" w:line="240" w:lineRule="auto"/>
        <w:rPr>
          <w:sz w:val="24"/>
          <w:szCs w:val="24"/>
        </w:rPr>
      </w:pPr>
      <w:r w:rsidRPr="00B901CC">
        <w:rPr>
          <w:sz w:val="24"/>
          <w:szCs w:val="24"/>
        </w:rPr>
        <w:t xml:space="preserve">having received a cumulative equivalent dose of at least ten </w:t>
      </w:r>
      <w:proofErr w:type="spellStart"/>
      <w:r w:rsidRPr="00B901CC">
        <w:rPr>
          <w:sz w:val="24"/>
          <w:szCs w:val="24"/>
        </w:rPr>
        <w:t>sieverts</w:t>
      </w:r>
      <w:proofErr w:type="spellEnd"/>
      <w:r w:rsidRPr="00B901CC">
        <w:rPr>
          <w:sz w:val="24"/>
          <w:szCs w:val="24"/>
        </w:rPr>
        <w:t xml:space="preserve"> of ionising radiation to the stomach or duodenum within the one year before the clinical </w:t>
      </w:r>
      <w:r w:rsidR="00B901CC" w:rsidRPr="00B901CC">
        <w:rPr>
          <w:sz w:val="24"/>
          <w:szCs w:val="24"/>
        </w:rPr>
        <w:t>worsening</w:t>
      </w:r>
      <w:r w:rsidRPr="00B901CC">
        <w:rPr>
          <w:sz w:val="24"/>
          <w:szCs w:val="24"/>
        </w:rPr>
        <w:t xml:space="preserve"> of gastric ulcer or duodenal ulcer; or</w:t>
      </w:r>
    </w:p>
    <w:p w:rsidR="00733E4C" w:rsidRPr="00B901CC" w:rsidRDefault="00733E4C" w:rsidP="00457044">
      <w:pPr>
        <w:numPr>
          <w:ilvl w:val="0"/>
          <w:numId w:val="4"/>
        </w:numPr>
        <w:spacing w:after="120" w:line="240" w:lineRule="auto"/>
        <w:rPr>
          <w:sz w:val="24"/>
          <w:szCs w:val="24"/>
        </w:rPr>
      </w:pPr>
      <w:r w:rsidRPr="00B901CC">
        <w:rPr>
          <w:sz w:val="24"/>
          <w:szCs w:val="24"/>
        </w:rPr>
        <w:t xml:space="preserve">having received </w:t>
      </w:r>
      <w:r w:rsidRPr="00B901CC">
        <w:rPr>
          <w:sz w:val="24"/>
          <w:szCs w:val="24"/>
          <w:vertAlign w:val="superscript"/>
        </w:rPr>
        <w:t>90</w:t>
      </w:r>
      <w:r w:rsidRPr="00B901CC">
        <w:rPr>
          <w:sz w:val="24"/>
          <w:szCs w:val="24"/>
        </w:rPr>
        <w:t>Yttrium microspheres as therapy for primary and metastatic liver tumours, within the one year</w:t>
      </w:r>
      <w:r w:rsidR="00A03380">
        <w:rPr>
          <w:sz w:val="24"/>
          <w:szCs w:val="24"/>
        </w:rPr>
        <w:t xml:space="preserve"> before the clinical</w:t>
      </w:r>
      <w:r w:rsidRPr="00B901CC">
        <w:rPr>
          <w:sz w:val="24"/>
          <w:szCs w:val="24"/>
        </w:rPr>
        <w:t xml:space="preserve"> worsening of gastric ulcer or duodenal ulcer; or</w:t>
      </w:r>
    </w:p>
    <w:p w:rsidR="00733E4C" w:rsidRPr="00B901CC" w:rsidRDefault="00733E4C" w:rsidP="00457044">
      <w:pPr>
        <w:pStyle w:val="ListParagraph"/>
        <w:keepNext/>
        <w:numPr>
          <w:ilvl w:val="0"/>
          <w:numId w:val="4"/>
        </w:numPr>
        <w:spacing w:after="60"/>
        <w:contextualSpacing w:val="0"/>
        <w:rPr>
          <w:sz w:val="24"/>
          <w:szCs w:val="24"/>
        </w:rPr>
      </w:pPr>
      <w:r w:rsidRPr="00B901CC">
        <w:rPr>
          <w:sz w:val="24"/>
          <w:szCs w:val="24"/>
        </w:rPr>
        <w:lastRenderedPageBreak/>
        <w:t>for gastric ulcer only:</w:t>
      </w:r>
    </w:p>
    <w:p w:rsidR="00733E4C" w:rsidRPr="00B901CC" w:rsidRDefault="00733E4C" w:rsidP="00457044">
      <w:pPr>
        <w:pStyle w:val="ListParagraph"/>
        <w:numPr>
          <w:ilvl w:val="1"/>
          <w:numId w:val="27"/>
        </w:numPr>
        <w:autoSpaceDE w:val="0"/>
        <w:autoSpaceDN w:val="0"/>
        <w:adjustRightInd w:val="0"/>
        <w:spacing w:after="60" w:line="240" w:lineRule="auto"/>
        <w:ind w:left="2127" w:hanging="709"/>
        <w:contextualSpacing w:val="0"/>
        <w:rPr>
          <w:sz w:val="24"/>
          <w:szCs w:val="24"/>
        </w:rPr>
      </w:pPr>
      <w:r w:rsidRPr="00B901CC">
        <w:rPr>
          <w:sz w:val="24"/>
          <w:szCs w:val="24"/>
        </w:rPr>
        <w:t xml:space="preserve">having partial gastrectomy within the five years before the clinical </w:t>
      </w:r>
      <w:r w:rsidR="00B901CC" w:rsidRPr="00B901CC">
        <w:rPr>
          <w:sz w:val="24"/>
          <w:szCs w:val="24"/>
        </w:rPr>
        <w:t>worsening</w:t>
      </w:r>
      <w:r w:rsidRPr="00B901CC">
        <w:rPr>
          <w:sz w:val="24"/>
          <w:szCs w:val="24"/>
        </w:rPr>
        <w:t xml:space="preserve"> of gastric ulcer, where the ulcer occurs at the site of the surgical anastomosis; or </w:t>
      </w:r>
    </w:p>
    <w:p w:rsidR="00733E4C" w:rsidRPr="00B901CC" w:rsidRDefault="00733E4C" w:rsidP="00457044">
      <w:pPr>
        <w:pStyle w:val="ListParagraph"/>
        <w:numPr>
          <w:ilvl w:val="1"/>
          <w:numId w:val="27"/>
        </w:numPr>
        <w:autoSpaceDE w:val="0"/>
        <w:autoSpaceDN w:val="0"/>
        <w:adjustRightInd w:val="0"/>
        <w:spacing w:after="120" w:line="240" w:lineRule="auto"/>
        <w:ind w:left="2127" w:hanging="709"/>
        <w:contextualSpacing w:val="0"/>
        <w:rPr>
          <w:sz w:val="24"/>
          <w:szCs w:val="24"/>
        </w:rPr>
      </w:pPr>
      <w:r w:rsidRPr="00B901CC">
        <w:rPr>
          <w:sz w:val="24"/>
          <w:szCs w:val="24"/>
        </w:rPr>
        <w:t xml:space="preserve">having endoscopic mucosal resection or endoscopic sub-mucosal dissection of the gastric mucosa at the time of the clinical </w:t>
      </w:r>
      <w:r w:rsidR="00B901CC" w:rsidRPr="00B901CC">
        <w:rPr>
          <w:sz w:val="24"/>
          <w:szCs w:val="24"/>
        </w:rPr>
        <w:t>worsening</w:t>
      </w:r>
      <w:r w:rsidRPr="00B901CC">
        <w:rPr>
          <w:sz w:val="24"/>
          <w:szCs w:val="24"/>
        </w:rPr>
        <w:t xml:space="preserve"> of gastric ulcer; or </w:t>
      </w:r>
    </w:p>
    <w:p w:rsidR="00733E4C" w:rsidRPr="00B901CC" w:rsidRDefault="00733E4C" w:rsidP="00457044">
      <w:pPr>
        <w:numPr>
          <w:ilvl w:val="0"/>
          <w:numId w:val="4"/>
        </w:numPr>
        <w:spacing w:after="120" w:line="240" w:lineRule="auto"/>
        <w:rPr>
          <w:sz w:val="24"/>
          <w:szCs w:val="24"/>
        </w:rPr>
      </w:pPr>
      <w:r w:rsidRPr="00B901CC">
        <w:rPr>
          <w:sz w:val="24"/>
          <w:szCs w:val="24"/>
        </w:rPr>
        <w:t xml:space="preserve">having contact with a nasogastric tube or other foreign body at the site of the ulcer at the time of the clinical </w:t>
      </w:r>
      <w:r w:rsidR="00B901CC" w:rsidRPr="00B901CC">
        <w:rPr>
          <w:sz w:val="24"/>
          <w:szCs w:val="24"/>
        </w:rPr>
        <w:t>worsening</w:t>
      </w:r>
      <w:r w:rsidRPr="00B901CC">
        <w:rPr>
          <w:sz w:val="24"/>
          <w:szCs w:val="24"/>
        </w:rPr>
        <w:t xml:space="preserve"> of gastric ulcer or duodenal ulcer; or </w:t>
      </w:r>
    </w:p>
    <w:p w:rsidR="00733E4C" w:rsidRPr="00B901CC" w:rsidRDefault="00733E4C" w:rsidP="00457044">
      <w:pPr>
        <w:numPr>
          <w:ilvl w:val="0"/>
          <w:numId w:val="4"/>
        </w:numPr>
        <w:spacing w:after="120" w:line="240" w:lineRule="auto"/>
        <w:rPr>
          <w:sz w:val="24"/>
          <w:szCs w:val="24"/>
        </w:rPr>
      </w:pPr>
      <w:r w:rsidRPr="00B901CC">
        <w:rPr>
          <w:sz w:val="24"/>
          <w:szCs w:val="24"/>
        </w:rPr>
        <w:t xml:space="preserve">experiencing a category 1A stressor within the three months before the clinical </w:t>
      </w:r>
      <w:r w:rsidR="00B901CC" w:rsidRPr="00B901CC">
        <w:rPr>
          <w:sz w:val="24"/>
          <w:szCs w:val="24"/>
        </w:rPr>
        <w:t>worsening</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experiencing a category 1B stressor within the three months before the clinical </w:t>
      </w:r>
      <w:r w:rsidR="00B901CC" w:rsidRPr="00B901CC">
        <w:rPr>
          <w:sz w:val="24"/>
          <w:szCs w:val="24"/>
        </w:rPr>
        <w:t>worsening</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rPr>
        <w:t xml:space="preserve">having posttraumatic stress disorder within the three months before the clinical </w:t>
      </w:r>
      <w:r w:rsidR="00B901CC" w:rsidRPr="00B901CC">
        <w:rPr>
          <w:sz w:val="24"/>
          <w:szCs w:val="24"/>
        </w:rPr>
        <w:t>worsening</w:t>
      </w:r>
      <w:r w:rsidRPr="00B901CC">
        <w:rPr>
          <w:sz w:val="24"/>
          <w:szCs w:val="24"/>
        </w:rPr>
        <w:t xml:space="preserve"> of 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lang w:val="en-US"/>
        </w:rPr>
        <w:t xml:space="preserve">having a clinically significant disorder of mental health as specified at the time of the clinical </w:t>
      </w:r>
      <w:r w:rsidR="00B901CC" w:rsidRPr="00B901CC">
        <w:rPr>
          <w:sz w:val="24"/>
          <w:szCs w:val="24"/>
          <w:lang w:val="en-US"/>
        </w:rPr>
        <w:t>worsening</w:t>
      </w:r>
      <w:r w:rsidRPr="00B901CC">
        <w:rPr>
          <w:sz w:val="24"/>
          <w:szCs w:val="24"/>
          <w:lang w:val="en-US"/>
        </w:rPr>
        <w:t xml:space="preserve"> of </w:t>
      </w:r>
      <w:r w:rsidRPr="00B901CC">
        <w:rPr>
          <w:sz w:val="24"/>
          <w:szCs w:val="24"/>
        </w:rPr>
        <w:t xml:space="preserve">gastric ulcer or duodenal ulcer; or </w:t>
      </w:r>
    </w:p>
    <w:p w:rsidR="00733E4C" w:rsidRPr="00B901CC" w:rsidRDefault="00733E4C" w:rsidP="00733E4C">
      <w:pPr>
        <w:numPr>
          <w:ilvl w:val="0"/>
          <w:numId w:val="4"/>
        </w:numPr>
        <w:spacing w:after="120" w:line="240" w:lineRule="auto"/>
        <w:rPr>
          <w:sz w:val="24"/>
          <w:szCs w:val="24"/>
        </w:rPr>
      </w:pPr>
      <w:r w:rsidRPr="00B901CC">
        <w:rPr>
          <w:sz w:val="24"/>
          <w:szCs w:val="24"/>
          <w:lang w:val="en-US"/>
        </w:rPr>
        <w:t xml:space="preserve">having cirrhosis of the liver </w:t>
      </w:r>
      <w:r w:rsidRPr="00B901CC">
        <w:rPr>
          <w:sz w:val="24"/>
          <w:szCs w:val="24"/>
        </w:rPr>
        <w:t xml:space="preserve">at the time of the clinical </w:t>
      </w:r>
      <w:r w:rsidR="00B901CC" w:rsidRPr="00B901CC">
        <w:rPr>
          <w:sz w:val="24"/>
          <w:szCs w:val="24"/>
        </w:rPr>
        <w:t>worsening</w:t>
      </w:r>
      <w:r w:rsidRPr="00B901CC">
        <w:rPr>
          <w:sz w:val="24"/>
          <w:szCs w:val="24"/>
        </w:rPr>
        <w:t xml:space="preserve"> of gastric ulcer or duodenal ulcer; or </w:t>
      </w:r>
    </w:p>
    <w:p w:rsidR="00AB4EF4" w:rsidRPr="00B901CC" w:rsidRDefault="00AB4EF4">
      <w:pPr>
        <w:numPr>
          <w:ilvl w:val="0"/>
          <w:numId w:val="4"/>
        </w:numPr>
        <w:spacing w:line="240" w:lineRule="auto"/>
        <w:rPr>
          <w:sz w:val="24"/>
          <w:szCs w:val="24"/>
        </w:rPr>
      </w:pPr>
      <w:r w:rsidRPr="00B901CC">
        <w:rPr>
          <w:sz w:val="24"/>
          <w:szCs w:val="24"/>
        </w:rPr>
        <w:t xml:space="preserve">inability to obtain appropriate clinical management for </w:t>
      </w:r>
      <w:r w:rsidR="0014517C" w:rsidRPr="00B901CC">
        <w:rPr>
          <w:sz w:val="24"/>
          <w:szCs w:val="24"/>
        </w:rPr>
        <w:t xml:space="preserve">gastric ulcer </w:t>
      </w:r>
      <w:r w:rsidR="00AB16E5">
        <w:rPr>
          <w:sz w:val="24"/>
          <w:szCs w:val="24"/>
        </w:rPr>
        <w:t>or</w:t>
      </w:r>
      <w:r w:rsidR="0014517C" w:rsidRPr="00B901CC">
        <w:rPr>
          <w:sz w:val="24"/>
          <w:szCs w:val="24"/>
        </w:rPr>
        <w:t xml:space="preserve"> duodenal ulcer</w:t>
      </w:r>
      <w:r w:rsidRPr="00B901CC">
        <w:rPr>
          <w:sz w:val="24"/>
          <w:szCs w:val="24"/>
        </w:rPr>
        <w:t>.</w:t>
      </w:r>
    </w:p>
    <w:p w:rsidR="00AB4EF4" w:rsidRDefault="00AB4EF4">
      <w:pPr>
        <w:pStyle w:val="clauseheading"/>
      </w:pPr>
      <w:r>
        <w:t>Factors that apply only to material contribution or aggravation</w:t>
      </w:r>
    </w:p>
    <w:p w:rsidR="00AB4EF4" w:rsidRDefault="00AB4EF4">
      <w:pPr>
        <w:ind w:hanging="720"/>
        <w:rPr>
          <w:sz w:val="24"/>
          <w:szCs w:val="24"/>
        </w:rPr>
      </w:pPr>
      <w:r>
        <w:rPr>
          <w:b/>
          <w:sz w:val="24"/>
          <w:szCs w:val="24"/>
        </w:rPr>
        <w:t>7.</w:t>
      </w:r>
      <w:r>
        <w:rPr>
          <w:sz w:val="24"/>
          <w:szCs w:val="24"/>
        </w:rPr>
        <w:tab/>
        <w:t xml:space="preserve">Paragraphs </w:t>
      </w:r>
      <w:r>
        <w:rPr>
          <w:b/>
          <w:sz w:val="24"/>
          <w:szCs w:val="24"/>
        </w:rPr>
        <w:t>6(</w:t>
      </w:r>
      <w:r w:rsidR="00B901CC">
        <w:rPr>
          <w:b/>
          <w:sz w:val="24"/>
          <w:szCs w:val="24"/>
        </w:rPr>
        <w:t>u</w:t>
      </w:r>
      <w:r>
        <w:rPr>
          <w:b/>
          <w:sz w:val="24"/>
          <w:szCs w:val="24"/>
        </w:rPr>
        <w:t>)</w:t>
      </w:r>
      <w:r w:rsidR="00B901CC">
        <w:rPr>
          <w:b/>
          <w:sz w:val="24"/>
          <w:szCs w:val="24"/>
        </w:rPr>
        <w:t xml:space="preserve"> to 6(</w:t>
      </w:r>
      <w:proofErr w:type="spellStart"/>
      <w:r w:rsidR="00B901CC">
        <w:rPr>
          <w:b/>
          <w:sz w:val="24"/>
          <w:szCs w:val="24"/>
        </w:rPr>
        <w:t>oo</w:t>
      </w:r>
      <w:proofErr w:type="spellEnd"/>
      <w:r w:rsidR="00B901CC">
        <w:rPr>
          <w:b/>
          <w:sz w:val="24"/>
          <w:szCs w:val="24"/>
        </w:rPr>
        <w:t>)</w:t>
      </w:r>
      <w:r>
        <w:rPr>
          <w:b/>
          <w:sz w:val="24"/>
          <w:szCs w:val="24"/>
        </w:rPr>
        <w:t xml:space="preserve"> </w:t>
      </w:r>
      <w:r>
        <w:rPr>
          <w:sz w:val="24"/>
          <w:szCs w:val="24"/>
        </w:rPr>
        <w:t xml:space="preserve">applies only to material contribution to, or aggravation of, </w:t>
      </w:r>
      <w:r w:rsidR="0014517C">
        <w:rPr>
          <w:sz w:val="24"/>
          <w:szCs w:val="24"/>
        </w:rPr>
        <w:t xml:space="preserve">gastric ulcer </w:t>
      </w:r>
      <w:r w:rsidR="00AB16E5">
        <w:rPr>
          <w:sz w:val="24"/>
          <w:szCs w:val="24"/>
        </w:rPr>
        <w:t>or</w:t>
      </w:r>
      <w:r w:rsidR="0014517C">
        <w:rPr>
          <w:sz w:val="24"/>
          <w:szCs w:val="24"/>
        </w:rPr>
        <w:t xml:space="preserve"> duodenal ulcer</w:t>
      </w:r>
      <w:r>
        <w:rPr>
          <w:sz w:val="24"/>
          <w:szCs w:val="24"/>
        </w:rPr>
        <w:t xml:space="preserve"> where the person’s </w:t>
      </w:r>
      <w:r w:rsidR="0014517C">
        <w:rPr>
          <w:sz w:val="24"/>
          <w:szCs w:val="24"/>
        </w:rPr>
        <w:t xml:space="preserve">gastric ulcer </w:t>
      </w:r>
      <w:r w:rsidR="00AB16E5">
        <w:rPr>
          <w:sz w:val="24"/>
          <w:szCs w:val="24"/>
        </w:rPr>
        <w:t>or</w:t>
      </w:r>
      <w:r w:rsidR="0014517C">
        <w:rPr>
          <w:sz w:val="24"/>
          <w:szCs w:val="24"/>
        </w:rPr>
        <w:t xml:space="preserve"> duodenal ulcer</w:t>
      </w:r>
      <w:r>
        <w:rPr>
          <w:sz w:val="24"/>
          <w:szCs w:val="24"/>
        </w:rPr>
        <w:t xml:space="preserve"> was suffered or contracted before or during (but not arising out of) the person’s relevant service.</w:t>
      </w:r>
    </w:p>
    <w:p w:rsidR="00AB4EF4" w:rsidRDefault="00AB4EF4">
      <w:pPr>
        <w:pStyle w:val="clauseheading"/>
      </w:pPr>
      <w:r>
        <w:t>Inclusion of Statements of Principles</w:t>
      </w:r>
    </w:p>
    <w:p w:rsidR="00AB4EF4" w:rsidRDefault="00AB4EF4">
      <w:pPr>
        <w:ind w:hanging="720"/>
        <w:rPr>
          <w:sz w:val="24"/>
          <w:szCs w:val="24"/>
        </w:rPr>
      </w:pPr>
      <w:r>
        <w:rPr>
          <w:b/>
          <w:sz w:val="24"/>
          <w:szCs w:val="24"/>
        </w:rPr>
        <w:t>8.</w:t>
      </w:r>
      <w:r>
        <w:rPr>
          <w:sz w:val="24"/>
          <w:szCs w:val="24"/>
        </w:rPr>
        <w:tab/>
        <w:t>In this Statement of Principles if a relevant factor applies and that factor includes an injury or disease in respect of which there is a Statement of Principles then the factors in that last mentioned Statement of Principles apply in accordance with the terms of that Statement of Principles as in force from time to time.</w:t>
      </w:r>
    </w:p>
    <w:p w:rsidR="00AB4EF4" w:rsidRDefault="00AB4EF4">
      <w:pPr>
        <w:pStyle w:val="clauseheading"/>
      </w:pPr>
      <w:r>
        <w:t>Other definitions</w:t>
      </w:r>
    </w:p>
    <w:p w:rsidR="00AB4EF4" w:rsidRDefault="00AB4EF4">
      <w:pPr>
        <w:spacing w:after="120" w:line="240" w:lineRule="auto"/>
        <w:ind w:left="0"/>
        <w:rPr>
          <w:sz w:val="24"/>
          <w:szCs w:val="24"/>
        </w:rPr>
      </w:pPr>
      <w:r>
        <w:rPr>
          <w:b/>
          <w:sz w:val="24"/>
          <w:szCs w:val="24"/>
        </w:rPr>
        <w:t>9.</w:t>
      </w:r>
      <w:r>
        <w:rPr>
          <w:sz w:val="24"/>
          <w:szCs w:val="24"/>
        </w:rPr>
        <w:tab/>
        <w:t>For the purposes of this Statement of Principles:</w:t>
      </w:r>
    </w:p>
    <w:p w:rsidR="00B901CC" w:rsidRDefault="00B901CC" w:rsidP="00B901CC">
      <w:pPr>
        <w:tabs>
          <w:tab w:val="num" w:pos="851"/>
        </w:tabs>
        <w:spacing w:after="60"/>
        <w:rPr>
          <w:sz w:val="24"/>
          <w:szCs w:val="24"/>
        </w:rPr>
      </w:pPr>
      <w:r>
        <w:rPr>
          <w:b/>
          <w:sz w:val="24"/>
          <w:szCs w:val="24"/>
        </w:rPr>
        <w:t>"a category 1A stressor"</w:t>
      </w:r>
      <w:r>
        <w:rPr>
          <w:sz w:val="24"/>
          <w:szCs w:val="24"/>
        </w:rPr>
        <w:t xml:space="preserve"> means one of the following severe traumatic events:</w:t>
      </w:r>
    </w:p>
    <w:p w:rsidR="00B901CC" w:rsidRDefault="00B901CC" w:rsidP="00B901CC">
      <w:pPr>
        <w:numPr>
          <w:ilvl w:val="0"/>
          <w:numId w:val="24"/>
        </w:numPr>
        <w:spacing w:line="240" w:lineRule="auto"/>
        <w:rPr>
          <w:sz w:val="24"/>
          <w:szCs w:val="24"/>
        </w:rPr>
      </w:pPr>
      <w:r>
        <w:rPr>
          <w:snapToGrid w:val="0"/>
          <w:sz w:val="24"/>
          <w:szCs w:val="24"/>
        </w:rPr>
        <w:t>experiencing a life-threatening event;</w:t>
      </w:r>
    </w:p>
    <w:p w:rsidR="00B901CC" w:rsidRDefault="00B901CC" w:rsidP="00B901CC">
      <w:pPr>
        <w:numPr>
          <w:ilvl w:val="0"/>
          <w:numId w:val="24"/>
        </w:numPr>
        <w:spacing w:line="240" w:lineRule="auto"/>
        <w:rPr>
          <w:sz w:val="24"/>
          <w:szCs w:val="24"/>
        </w:rPr>
      </w:pPr>
      <w:r>
        <w:rPr>
          <w:snapToGrid w:val="0"/>
          <w:sz w:val="24"/>
          <w:szCs w:val="24"/>
        </w:rPr>
        <w:t xml:space="preserve">being subject to a </w:t>
      </w:r>
      <w:r>
        <w:rPr>
          <w:sz w:val="24"/>
          <w:szCs w:val="24"/>
        </w:rPr>
        <w:t>serious physical attack or assault including rape and sexual molestation; or</w:t>
      </w:r>
    </w:p>
    <w:p w:rsidR="00B901CC" w:rsidRDefault="00B901CC" w:rsidP="00B901CC">
      <w:pPr>
        <w:numPr>
          <w:ilvl w:val="0"/>
          <w:numId w:val="24"/>
        </w:numPr>
        <w:spacing w:after="120" w:line="240" w:lineRule="auto"/>
        <w:rPr>
          <w:sz w:val="24"/>
          <w:szCs w:val="24"/>
          <w:lang w:val="en-US"/>
        </w:rPr>
      </w:pPr>
      <w:r>
        <w:rPr>
          <w:sz w:val="24"/>
          <w:szCs w:val="24"/>
        </w:rPr>
        <w:t>being threatened with a weapon, being held captive, being kidnapped, or being tortured;</w:t>
      </w:r>
    </w:p>
    <w:p w:rsidR="00B901CC" w:rsidRDefault="00B901CC" w:rsidP="00A03380">
      <w:pPr>
        <w:keepNext/>
        <w:tabs>
          <w:tab w:val="num" w:pos="851"/>
        </w:tabs>
        <w:spacing w:after="60"/>
        <w:rPr>
          <w:sz w:val="24"/>
          <w:szCs w:val="24"/>
        </w:rPr>
      </w:pPr>
      <w:r>
        <w:rPr>
          <w:b/>
          <w:sz w:val="24"/>
          <w:szCs w:val="24"/>
        </w:rPr>
        <w:lastRenderedPageBreak/>
        <w:t>"a category 1B stressor"</w:t>
      </w:r>
      <w:r>
        <w:rPr>
          <w:sz w:val="24"/>
          <w:szCs w:val="24"/>
        </w:rPr>
        <w:t xml:space="preserve"> means one of the following severe traumatic events:</w:t>
      </w:r>
    </w:p>
    <w:p w:rsidR="00B901CC" w:rsidRDefault="00B901CC" w:rsidP="00B901CC">
      <w:pPr>
        <w:numPr>
          <w:ilvl w:val="0"/>
          <w:numId w:val="25"/>
        </w:numPr>
        <w:spacing w:line="240" w:lineRule="auto"/>
        <w:rPr>
          <w:sz w:val="24"/>
          <w:szCs w:val="24"/>
        </w:rPr>
      </w:pPr>
      <w:r>
        <w:rPr>
          <w:sz w:val="24"/>
          <w:szCs w:val="24"/>
        </w:rPr>
        <w:t>being an eyewitness to a person being killed or critically injured;</w:t>
      </w:r>
    </w:p>
    <w:p w:rsidR="00B901CC" w:rsidRDefault="00B901CC" w:rsidP="00B901CC">
      <w:pPr>
        <w:numPr>
          <w:ilvl w:val="0"/>
          <w:numId w:val="25"/>
        </w:numPr>
        <w:spacing w:line="240" w:lineRule="auto"/>
        <w:rPr>
          <w:sz w:val="24"/>
          <w:szCs w:val="24"/>
        </w:rPr>
      </w:pPr>
      <w:r>
        <w:rPr>
          <w:sz w:val="24"/>
          <w:szCs w:val="24"/>
        </w:rPr>
        <w:t>viewing corpses or critically injured casualties as an eyewitness;</w:t>
      </w:r>
    </w:p>
    <w:p w:rsidR="00B901CC" w:rsidRDefault="00B901CC" w:rsidP="00B901CC">
      <w:pPr>
        <w:numPr>
          <w:ilvl w:val="0"/>
          <w:numId w:val="25"/>
        </w:numPr>
        <w:spacing w:line="240" w:lineRule="auto"/>
        <w:rPr>
          <w:sz w:val="24"/>
          <w:szCs w:val="24"/>
        </w:rPr>
      </w:pPr>
      <w:r>
        <w:rPr>
          <w:sz w:val="24"/>
          <w:szCs w:val="24"/>
        </w:rPr>
        <w:t xml:space="preserve">being an eyewitness to atrocities inflicted on another person or persons; </w:t>
      </w:r>
    </w:p>
    <w:p w:rsidR="00B901CC" w:rsidRDefault="00B901CC" w:rsidP="00B901CC">
      <w:pPr>
        <w:numPr>
          <w:ilvl w:val="0"/>
          <w:numId w:val="25"/>
        </w:numPr>
        <w:spacing w:line="240" w:lineRule="auto"/>
        <w:rPr>
          <w:sz w:val="24"/>
          <w:szCs w:val="24"/>
        </w:rPr>
      </w:pPr>
      <w:r>
        <w:rPr>
          <w:sz w:val="24"/>
          <w:szCs w:val="24"/>
        </w:rPr>
        <w:t>killing or maiming a person; or</w:t>
      </w:r>
    </w:p>
    <w:p w:rsidR="00B901CC" w:rsidRDefault="00B901CC" w:rsidP="00B901CC">
      <w:pPr>
        <w:numPr>
          <w:ilvl w:val="0"/>
          <w:numId w:val="25"/>
        </w:numPr>
        <w:spacing w:after="120" w:line="240" w:lineRule="auto"/>
        <w:rPr>
          <w:sz w:val="24"/>
          <w:szCs w:val="24"/>
        </w:rPr>
      </w:pPr>
      <w:r>
        <w:rPr>
          <w:sz w:val="24"/>
          <w:szCs w:val="24"/>
        </w:rPr>
        <w:t>being an eyewitness to or participating in, the clearance of critically injured casualties;</w:t>
      </w:r>
    </w:p>
    <w:p w:rsidR="002A0DE4" w:rsidRPr="00B901CC" w:rsidRDefault="002A0DE4" w:rsidP="002A0DE4">
      <w:pPr>
        <w:tabs>
          <w:tab w:val="num" w:pos="851"/>
        </w:tabs>
        <w:spacing w:after="60"/>
        <w:rPr>
          <w:sz w:val="24"/>
          <w:szCs w:val="24"/>
        </w:rPr>
      </w:pPr>
      <w:r w:rsidRPr="00B901CC">
        <w:rPr>
          <w:b/>
          <w:bCs/>
          <w:sz w:val="24"/>
          <w:szCs w:val="24"/>
        </w:rPr>
        <w:t xml:space="preserve">"a clinically significant disorder of mental health as specified" </w:t>
      </w:r>
      <w:r w:rsidRPr="00B901CC">
        <w:rPr>
          <w:sz w:val="24"/>
          <w:szCs w:val="24"/>
        </w:rPr>
        <w:t>means one of the following conditions, which is of sufficient severity to warrant ongoing management, which may involve regular visits (for example, at least monthly) to a psychiatrist, counsellor or general practitioner:</w:t>
      </w:r>
    </w:p>
    <w:p w:rsidR="002A0DE4" w:rsidRPr="00B901CC" w:rsidRDefault="002A0DE4" w:rsidP="002A0DE4">
      <w:pPr>
        <w:numPr>
          <w:ilvl w:val="0"/>
          <w:numId w:val="22"/>
        </w:numPr>
        <w:rPr>
          <w:sz w:val="24"/>
          <w:szCs w:val="24"/>
        </w:rPr>
      </w:pPr>
      <w:r w:rsidRPr="00B901CC">
        <w:rPr>
          <w:sz w:val="24"/>
          <w:szCs w:val="24"/>
        </w:rPr>
        <w:t xml:space="preserve">an obsessive compulsive disorder; </w:t>
      </w:r>
    </w:p>
    <w:p w:rsidR="002A0DE4" w:rsidRPr="00B901CC" w:rsidRDefault="002A0DE4" w:rsidP="002A0DE4">
      <w:pPr>
        <w:numPr>
          <w:ilvl w:val="0"/>
          <w:numId w:val="22"/>
        </w:numPr>
        <w:rPr>
          <w:sz w:val="24"/>
          <w:szCs w:val="24"/>
        </w:rPr>
      </w:pPr>
      <w:r w:rsidRPr="00B901CC">
        <w:rPr>
          <w:sz w:val="24"/>
          <w:szCs w:val="24"/>
        </w:rPr>
        <w:t>anxiety disorder; or</w:t>
      </w:r>
    </w:p>
    <w:p w:rsidR="002A0DE4" w:rsidRPr="00B901CC" w:rsidRDefault="002A0DE4" w:rsidP="00B901CC">
      <w:pPr>
        <w:numPr>
          <w:ilvl w:val="0"/>
          <w:numId w:val="22"/>
        </w:numPr>
        <w:spacing w:after="120"/>
        <w:rPr>
          <w:sz w:val="24"/>
          <w:szCs w:val="24"/>
        </w:rPr>
      </w:pPr>
      <w:r w:rsidRPr="00B901CC">
        <w:rPr>
          <w:sz w:val="24"/>
          <w:szCs w:val="24"/>
        </w:rPr>
        <w:t>panic disorder;</w:t>
      </w:r>
    </w:p>
    <w:p w:rsidR="00FE05DF" w:rsidRPr="00FE05DF" w:rsidRDefault="00FE05DF" w:rsidP="00FE05DF">
      <w:pPr>
        <w:autoSpaceDE w:val="0"/>
        <w:autoSpaceDN w:val="0"/>
        <w:adjustRightInd w:val="0"/>
        <w:spacing w:after="120"/>
        <w:rPr>
          <w:sz w:val="24"/>
          <w:szCs w:val="24"/>
        </w:rPr>
      </w:pPr>
      <w:r w:rsidRPr="00FE05DF">
        <w:rPr>
          <w:b/>
          <w:bCs/>
          <w:sz w:val="24"/>
          <w:szCs w:val="24"/>
        </w:rPr>
        <w:t xml:space="preserve">"a critical illness or injury" </w:t>
      </w:r>
      <w:r w:rsidRPr="00FE05DF">
        <w:rPr>
          <w:sz w:val="24"/>
          <w:szCs w:val="24"/>
        </w:rPr>
        <w:t>means any physical injury or illness requiring mechanical ventilation support or admission to an intensive care unit, or which causes septicaemia, adult respiratory distress syndrome, acute renal tubular necrosis, disseminated intravascular coagulation or multiple organ failure;</w:t>
      </w:r>
    </w:p>
    <w:p w:rsidR="0054401B" w:rsidRPr="00B901CC" w:rsidRDefault="0054401B" w:rsidP="00007019">
      <w:pPr>
        <w:spacing w:after="60"/>
        <w:rPr>
          <w:sz w:val="24"/>
          <w:szCs w:val="24"/>
          <w:lang w:val="en-US"/>
        </w:rPr>
      </w:pPr>
      <w:r w:rsidRPr="00B901CC">
        <w:rPr>
          <w:b/>
          <w:sz w:val="24"/>
          <w:szCs w:val="24"/>
          <w:lang w:val="en-US"/>
        </w:rPr>
        <w:t>"a drug or a drug from a</w:t>
      </w:r>
      <w:r w:rsidR="00300569">
        <w:rPr>
          <w:b/>
          <w:sz w:val="24"/>
          <w:szCs w:val="24"/>
          <w:lang w:val="en-US"/>
        </w:rPr>
        <w:t xml:space="preserve"> class of drugs from Specified L</w:t>
      </w:r>
      <w:r w:rsidRPr="00B901CC">
        <w:rPr>
          <w:b/>
          <w:sz w:val="24"/>
          <w:szCs w:val="24"/>
          <w:lang w:val="en-US"/>
        </w:rPr>
        <w:t xml:space="preserve">ist 1" </w:t>
      </w:r>
      <w:r w:rsidRPr="00B901CC">
        <w:rPr>
          <w:sz w:val="24"/>
          <w:szCs w:val="24"/>
          <w:lang w:val="en-US"/>
        </w:rPr>
        <w:t>means one of the following:</w:t>
      </w:r>
    </w:p>
    <w:p w:rsidR="0054401B" w:rsidRPr="00B901CC" w:rsidRDefault="0054401B" w:rsidP="00B901CC">
      <w:pPr>
        <w:numPr>
          <w:ilvl w:val="0"/>
          <w:numId w:val="18"/>
        </w:numPr>
        <w:tabs>
          <w:tab w:val="clear" w:pos="1361"/>
          <w:tab w:val="num" w:pos="1418"/>
        </w:tabs>
        <w:spacing w:line="240" w:lineRule="auto"/>
        <w:ind w:left="1418" w:hanging="698"/>
        <w:jc w:val="left"/>
        <w:rPr>
          <w:sz w:val="24"/>
          <w:szCs w:val="24"/>
          <w:lang w:val="en-US"/>
        </w:rPr>
      </w:pPr>
      <w:r w:rsidRPr="00B901CC">
        <w:rPr>
          <w:sz w:val="24"/>
          <w:szCs w:val="24"/>
          <w:lang w:val="en-US"/>
        </w:rPr>
        <w:t xml:space="preserve">bisphosphonate, including alendronate; </w:t>
      </w:r>
    </w:p>
    <w:p w:rsidR="0054401B" w:rsidRPr="00B901CC" w:rsidRDefault="0054401B" w:rsidP="0054401B">
      <w:pPr>
        <w:numPr>
          <w:ilvl w:val="0"/>
          <w:numId w:val="18"/>
        </w:numPr>
        <w:spacing w:line="240" w:lineRule="auto"/>
        <w:jc w:val="left"/>
        <w:rPr>
          <w:sz w:val="24"/>
          <w:szCs w:val="24"/>
          <w:lang w:val="en-US"/>
        </w:rPr>
      </w:pPr>
      <w:r w:rsidRPr="00B901CC">
        <w:rPr>
          <w:sz w:val="24"/>
          <w:szCs w:val="24"/>
          <w:lang w:val="en-US"/>
        </w:rPr>
        <w:t xml:space="preserve">chemotherapeutic agents delivered by hepatic arterial infusion; </w:t>
      </w:r>
      <w:r w:rsidR="00007019">
        <w:rPr>
          <w:sz w:val="24"/>
          <w:szCs w:val="24"/>
          <w:lang w:val="en-US"/>
        </w:rPr>
        <w:t>or</w:t>
      </w:r>
    </w:p>
    <w:p w:rsidR="0054401B" w:rsidRPr="00B901CC" w:rsidRDefault="0054401B" w:rsidP="00007019">
      <w:pPr>
        <w:numPr>
          <w:ilvl w:val="0"/>
          <w:numId w:val="18"/>
        </w:numPr>
        <w:spacing w:after="120" w:line="240" w:lineRule="auto"/>
        <w:jc w:val="left"/>
        <w:rPr>
          <w:sz w:val="24"/>
          <w:szCs w:val="24"/>
          <w:lang w:val="en-US"/>
        </w:rPr>
      </w:pPr>
      <w:r w:rsidRPr="00B901CC">
        <w:rPr>
          <w:sz w:val="24"/>
          <w:szCs w:val="24"/>
          <w:lang w:val="en-US"/>
        </w:rPr>
        <w:t>potassium chloride tablet (enteric coated or wax formulation)</w:t>
      </w:r>
      <w:r w:rsidR="00007019">
        <w:rPr>
          <w:sz w:val="24"/>
          <w:szCs w:val="24"/>
          <w:lang w:val="en-US"/>
        </w:rPr>
        <w:t>;</w:t>
      </w:r>
    </w:p>
    <w:p w:rsidR="0054401B" w:rsidRPr="00B901CC" w:rsidRDefault="0054401B" w:rsidP="00007019">
      <w:pPr>
        <w:autoSpaceDE w:val="0"/>
        <w:autoSpaceDN w:val="0"/>
        <w:adjustRightInd w:val="0"/>
        <w:spacing w:after="60"/>
        <w:rPr>
          <w:sz w:val="24"/>
          <w:szCs w:val="24"/>
        </w:rPr>
      </w:pPr>
      <w:r w:rsidRPr="00B901CC">
        <w:rPr>
          <w:b/>
          <w:bCs/>
          <w:sz w:val="24"/>
          <w:szCs w:val="24"/>
        </w:rPr>
        <w:t xml:space="preserve">"a drug or a drug from a class of drugs from Specified </w:t>
      </w:r>
      <w:r w:rsidR="00300569">
        <w:rPr>
          <w:b/>
          <w:bCs/>
          <w:sz w:val="24"/>
          <w:szCs w:val="24"/>
        </w:rPr>
        <w:t>L</w:t>
      </w:r>
      <w:r w:rsidRPr="00B901CC">
        <w:rPr>
          <w:b/>
          <w:bCs/>
          <w:sz w:val="24"/>
          <w:szCs w:val="24"/>
        </w:rPr>
        <w:t xml:space="preserve">ist 2" </w:t>
      </w:r>
      <w:r w:rsidRPr="00B901CC">
        <w:rPr>
          <w:sz w:val="24"/>
          <w:szCs w:val="24"/>
        </w:rPr>
        <w:t>means one of the following:</w:t>
      </w:r>
    </w:p>
    <w:p w:rsidR="0054401B" w:rsidRPr="00B901CC" w:rsidRDefault="0054401B" w:rsidP="00007019">
      <w:pPr>
        <w:numPr>
          <w:ilvl w:val="0"/>
          <w:numId w:val="19"/>
        </w:numPr>
        <w:tabs>
          <w:tab w:val="clear" w:pos="1282"/>
        </w:tabs>
        <w:autoSpaceDE w:val="0"/>
        <w:autoSpaceDN w:val="0"/>
        <w:adjustRightInd w:val="0"/>
        <w:spacing w:line="240" w:lineRule="auto"/>
        <w:ind w:left="1418" w:hanging="709"/>
        <w:jc w:val="left"/>
        <w:rPr>
          <w:sz w:val="24"/>
          <w:szCs w:val="24"/>
        </w:rPr>
      </w:pPr>
      <w:proofErr w:type="spellStart"/>
      <w:r w:rsidRPr="00B901CC">
        <w:rPr>
          <w:sz w:val="24"/>
          <w:szCs w:val="24"/>
        </w:rPr>
        <w:t>clopidogrel</w:t>
      </w:r>
      <w:proofErr w:type="spellEnd"/>
      <w:r w:rsidRPr="00B901CC">
        <w:rPr>
          <w:sz w:val="24"/>
          <w:szCs w:val="24"/>
        </w:rPr>
        <w:t xml:space="preserve">; </w:t>
      </w:r>
    </w:p>
    <w:p w:rsidR="0054401B" w:rsidRPr="00B901CC" w:rsidRDefault="0054401B" w:rsidP="00007019">
      <w:pPr>
        <w:numPr>
          <w:ilvl w:val="0"/>
          <w:numId w:val="19"/>
        </w:numPr>
        <w:tabs>
          <w:tab w:val="clear" w:pos="1282"/>
        </w:tabs>
        <w:autoSpaceDE w:val="0"/>
        <w:autoSpaceDN w:val="0"/>
        <w:adjustRightInd w:val="0"/>
        <w:spacing w:line="240" w:lineRule="auto"/>
        <w:ind w:left="1418" w:hanging="709"/>
        <w:jc w:val="left"/>
        <w:rPr>
          <w:sz w:val="24"/>
          <w:szCs w:val="24"/>
        </w:rPr>
      </w:pPr>
      <w:r w:rsidRPr="00B901CC">
        <w:rPr>
          <w:sz w:val="24"/>
          <w:szCs w:val="24"/>
        </w:rPr>
        <w:t>corticosteroids, excluding topical or inhaled;</w:t>
      </w:r>
    </w:p>
    <w:p w:rsidR="0054401B" w:rsidRPr="00B901CC" w:rsidRDefault="0054401B" w:rsidP="00007019">
      <w:pPr>
        <w:numPr>
          <w:ilvl w:val="0"/>
          <w:numId w:val="19"/>
        </w:numPr>
        <w:tabs>
          <w:tab w:val="clear" w:pos="1282"/>
        </w:tabs>
        <w:autoSpaceDE w:val="0"/>
        <w:autoSpaceDN w:val="0"/>
        <w:adjustRightInd w:val="0"/>
        <w:spacing w:line="240" w:lineRule="auto"/>
        <w:ind w:left="1418" w:hanging="709"/>
        <w:jc w:val="left"/>
        <w:rPr>
          <w:sz w:val="24"/>
          <w:szCs w:val="24"/>
        </w:rPr>
      </w:pPr>
      <w:proofErr w:type="spellStart"/>
      <w:r w:rsidRPr="00B901CC">
        <w:rPr>
          <w:sz w:val="24"/>
          <w:szCs w:val="24"/>
        </w:rPr>
        <w:t>paracetamol</w:t>
      </w:r>
      <w:proofErr w:type="spellEnd"/>
      <w:r w:rsidRPr="00B901CC">
        <w:rPr>
          <w:sz w:val="24"/>
          <w:szCs w:val="24"/>
        </w:rPr>
        <w:t xml:space="preserve"> of more than 2 grams daily; or</w:t>
      </w:r>
    </w:p>
    <w:p w:rsidR="0054401B" w:rsidRPr="00B901CC" w:rsidRDefault="0054401B" w:rsidP="00007019">
      <w:pPr>
        <w:numPr>
          <w:ilvl w:val="0"/>
          <w:numId w:val="19"/>
        </w:numPr>
        <w:tabs>
          <w:tab w:val="clear" w:pos="1282"/>
        </w:tabs>
        <w:autoSpaceDE w:val="0"/>
        <w:autoSpaceDN w:val="0"/>
        <w:adjustRightInd w:val="0"/>
        <w:spacing w:after="120" w:line="240" w:lineRule="auto"/>
        <w:ind w:left="1418" w:hanging="709"/>
        <w:jc w:val="left"/>
        <w:rPr>
          <w:sz w:val="24"/>
          <w:szCs w:val="24"/>
        </w:rPr>
      </w:pPr>
      <w:r w:rsidRPr="00B901CC">
        <w:rPr>
          <w:sz w:val="24"/>
          <w:szCs w:val="24"/>
        </w:rPr>
        <w:t xml:space="preserve">selective serotonin re-uptake inhibitors; </w:t>
      </w:r>
    </w:p>
    <w:p w:rsidR="0054401B" w:rsidRPr="00B901CC" w:rsidRDefault="0054401B" w:rsidP="00007019">
      <w:pPr>
        <w:autoSpaceDE w:val="0"/>
        <w:autoSpaceDN w:val="0"/>
        <w:adjustRightInd w:val="0"/>
        <w:spacing w:after="60"/>
        <w:rPr>
          <w:sz w:val="24"/>
          <w:szCs w:val="24"/>
        </w:rPr>
      </w:pPr>
      <w:r w:rsidRPr="00B901CC">
        <w:rPr>
          <w:b/>
          <w:bCs/>
          <w:sz w:val="24"/>
          <w:szCs w:val="24"/>
        </w:rPr>
        <w:t xml:space="preserve">"a drug or a drug from a class of drugs from Specified </w:t>
      </w:r>
      <w:r w:rsidR="00300569">
        <w:rPr>
          <w:b/>
          <w:bCs/>
          <w:sz w:val="24"/>
          <w:szCs w:val="24"/>
        </w:rPr>
        <w:t>L</w:t>
      </w:r>
      <w:r w:rsidRPr="00B901CC">
        <w:rPr>
          <w:b/>
          <w:bCs/>
          <w:sz w:val="24"/>
          <w:szCs w:val="24"/>
        </w:rPr>
        <w:t xml:space="preserve">ist 3" </w:t>
      </w:r>
      <w:r w:rsidRPr="00B901CC">
        <w:rPr>
          <w:sz w:val="24"/>
          <w:szCs w:val="24"/>
        </w:rPr>
        <w:t>means one of the following:</w:t>
      </w:r>
    </w:p>
    <w:p w:rsidR="0054401B" w:rsidRPr="00007019" w:rsidRDefault="0054401B" w:rsidP="00007019">
      <w:pPr>
        <w:numPr>
          <w:ilvl w:val="0"/>
          <w:numId w:val="20"/>
        </w:numPr>
        <w:tabs>
          <w:tab w:val="clear" w:pos="1361"/>
          <w:tab w:val="num" w:pos="1418"/>
        </w:tabs>
        <w:autoSpaceDE w:val="0"/>
        <w:autoSpaceDN w:val="0"/>
        <w:adjustRightInd w:val="0"/>
        <w:spacing w:line="240" w:lineRule="auto"/>
        <w:ind w:left="1418" w:hanging="709"/>
        <w:jc w:val="left"/>
        <w:rPr>
          <w:sz w:val="24"/>
          <w:szCs w:val="24"/>
        </w:rPr>
      </w:pPr>
      <w:r w:rsidRPr="00007019">
        <w:rPr>
          <w:sz w:val="24"/>
          <w:szCs w:val="24"/>
        </w:rPr>
        <w:t>anticoagulants;</w:t>
      </w:r>
    </w:p>
    <w:p w:rsidR="0054401B" w:rsidRPr="00007019" w:rsidRDefault="0054401B" w:rsidP="00007019">
      <w:pPr>
        <w:numPr>
          <w:ilvl w:val="0"/>
          <w:numId w:val="20"/>
        </w:numPr>
        <w:tabs>
          <w:tab w:val="clear" w:pos="1361"/>
          <w:tab w:val="num" w:pos="1418"/>
        </w:tabs>
        <w:autoSpaceDE w:val="0"/>
        <w:autoSpaceDN w:val="0"/>
        <w:adjustRightInd w:val="0"/>
        <w:spacing w:line="240" w:lineRule="auto"/>
        <w:ind w:left="1418" w:hanging="709"/>
        <w:jc w:val="left"/>
        <w:rPr>
          <w:sz w:val="24"/>
          <w:szCs w:val="24"/>
        </w:rPr>
      </w:pPr>
      <w:proofErr w:type="spellStart"/>
      <w:r w:rsidRPr="00007019">
        <w:rPr>
          <w:sz w:val="24"/>
          <w:szCs w:val="24"/>
        </w:rPr>
        <w:t>clopidogrel</w:t>
      </w:r>
      <w:proofErr w:type="spellEnd"/>
      <w:r w:rsidRPr="00007019">
        <w:rPr>
          <w:sz w:val="24"/>
          <w:szCs w:val="24"/>
        </w:rPr>
        <w:t>;</w:t>
      </w:r>
    </w:p>
    <w:p w:rsidR="0054401B" w:rsidRPr="00007019" w:rsidRDefault="0054401B" w:rsidP="00007019">
      <w:pPr>
        <w:numPr>
          <w:ilvl w:val="0"/>
          <w:numId w:val="20"/>
        </w:numPr>
        <w:tabs>
          <w:tab w:val="clear" w:pos="1361"/>
          <w:tab w:val="num" w:pos="1418"/>
        </w:tabs>
        <w:autoSpaceDE w:val="0"/>
        <w:autoSpaceDN w:val="0"/>
        <w:adjustRightInd w:val="0"/>
        <w:spacing w:line="240" w:lineRule="auto"/>
        <w:ind w:left="1418" w:hanging="709"/>
        <w:jc w:val="left"/>
        <w:rPr>
          <w:sz w:val="24"/>
          <w:szCs w:val="24"/>
        </w:rPr>
      </w:pPr>
      <w:r w:rsidRPr="00007019">
        <w:rPr>
          <w:sz w:val="24"/>
          <w:szCs w:val="24"/>
        </w:rPr>
        <w:t xml:space="preserve">corticosteroids, excluding topical or inhaled; </w:t>
      </w:r>
    </w:p>
    <w:p w:rsidR="0054401B" w:rsidRPr="00007019" w:rsidRDefault="0054401B" w:rsidP="00007019">
      <w:pPr>
        <w:numPr>
          <w:ilvl w:val="0"/>
          <w:numId w:val="20"/>
        </w:numPr>
        <w:tabs>
          <w:tab w:val="clear" w:pos="1361"/>
          <w:tab w:val="num" w:pos="1418"/>
        </w:tabs>
        <w:autoSpaceDE w:val="0"/>
        <w:autoSpaceDN w:val="0"/>
        <w:adjustRightInd w:val="0"/>
        <w:spacing w:line="240" w:lineRule="auto"/>
        <w:ind w:left="1418" w:hanging="709"/>
        <w:jc w:val="left"/>
        <w:rPr>
          <w:sz w:val="24"/>
          <w:szCs w:val="24"/>
        </w:rPr>
      </w:pPr>
      <w:proofErr w:type="spellStart"/>
      <w:r w:rsidRPr="00007019">
        <w:rPr>
          <w:sz w:val="24"/>
          <w:szCs w:val="24"/>
        </w:rPr>
        <w:t>paracetamol</w:t>
      </w:r>
      <w:proofErr w:type="spellEnd"/>
      <w:r w:rsidRPr="00007019">
        <w:rPr>
          <w:sz w:val="24"/>
          <w:szCs w:val="24"/>
        </w:rPr>
        <w:t xml:space="preserve"> of more than 2 grams daily;</w:t>
      </w:r>
    </w:p>
    <w:p w:rsidR="0054401B" w:rsidRPr="00007019" w:rsidRDefault="0054401B" w:rsidP="00007019">
      <w:pPr>
        <w:numPr>
          <w:ilvl w:val="0"/>
          <w:numId w:val="20"/>
        </w:numPr>
        <w:tabs>
          <w:tab w:val="clear" w:pos="1361"/>
          <w:tab w:val="num" w:pos="1418"/>
        </w:tabs>
        <w:autoSpaceDE w:val="0"/>
        <w:autoSpaceDN w:val="0"/>
        <w:adjustRightInd w:val="0"/>
        <w:spacing w:line="240" w:lineRule="auto"/>
        <w:ind w:left="1418" w:hanging="709"/>
        <w:jc w:val="left"/>
        <w:rPr>
          <w:sz w:val="24"/>
          <w:szCs w:val="24"/>
        </w:rPr>
      </w:pPr>
      <w:r w:rsidRPr="00007019">
        <w:rPr>
          <w:sz w:val="24"/>
          <w:szCs w:val="24"/>
        </w:rPr>
        <w:t>selective serotonin re-uptake inhibitors; or</w:t>
      </w:r>
    </w:p>
    <w:p w:rsidR="0054401B" w:rsidRPr="00007019" w:rsidRDefault="0054401B" w:rsidP="00007019">
      <w:pPr>
        <w:numPr>
          <w:ilvl w:val="0"/>
          <w:numId w:val="20"/>
        </w:numPr>
        <w:tabs>
          <w:tab w:val="clear" w:pos="1361"/>
          <w:tab w:val="num" w:pos="1418"/>
        </w:tabs>
        <w:autoSpaceDE w:val="0"/>
        <w:autoSpaceDN w:val="0"/>
        <w:adjustRightInd w:val="0"/>
        <w:spacing w:after="120" w:line="240" w:lineRule="auto"/>
        <w:ind w:left="1418" w:hanging="709"/>
        <w:jc w:val="left"/>
        <w:rPr>
          <w:sz w:val="24"/>
          <w:szCs w:val="24"/>
          <w:lang w:val="en-US"/>
        </w:rPr>
      </w:pPr>
      <w:r w:rsidRPr="00007019">
        <w:rPr>
          <w:sz w:val="24"/>
          <w:szCs w:val="24"/>
        </w:rPr>
        <w:t>spironolactone</w:t>
      </w:r>
      <w:r w:rsidR="00007019">
        <w:rPr>
          <w:sz w:val="24"/>
          <w:szCs w:val="24"/>
        </w:rPr>
        <w:t>;</w:t>
      </w:r>
      <w:r w:rsidRPr="00007019">
        <w:rPr>
          <w:sz w:val="24"/>
          <w:szCs w:val="24"/>
        </w:rPr>
        <w:t xml:space="preserve"> </w:t>
      </w:r>
    </w:p>
    <w:p w:rsidR="002A0DE4" w:rsidRPr="00B901CC" w:rsidRDefault="002A0DE4" w:rsidP="00007019">
      <w:pPr>
        <w:spacing w:after="60"/>
        <w:rPr>
          <w:b/>
          <w:sz w:val="24"/>
          <w:szCs w:val="24"/>
          <w:lang w:val="en-US"/>
        </w:rPr>
      </w:pPr>
      <w:r w:rsidRPr="00B901CC">
        <w:rPr>
          <w:b/>
          <w:sz w:val="24"/>
          <w:szCs w:val="24"/>
          <w:lang w:val="en-US"/>
        </w:rPr>
        <w:t>"a specified infection"</w:t>
      </w:r>
      <w:r w:rsidRPr="00B901CC">
        <w:rPr>
          <w:sz w:val="24"/>
          <w:szCs w:val="24"/>
          <w:lang w:val="en-US"/>
        </w:rPr>
        <w:t xml:space="preserve"> means:  </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proofErr w:type="spellStart"/>
      <w:r w:rsidRPr="00B901CC">
        <w:rPr>
          <w:i/>
          <w:sz w:val="24"/>
          <w:szCs w:val="24"/>
          <w:lang w:val="en-US"/>
        </w:rPr>
        <w:t>Anisakis</w:t>
      </w:r>
      <w:proofErr w:type="spellEnd"/>
      <w:r w:rsidRPr="00B901CC">
        <w:rPr>
          <w:i/>
          <w:sz w:val="24"/>
          <w:szCs w:val="24"/>
          <w:lang w:val="en-US"/>
        </w:rPr>
        <w:t xml:space="preserve"> simplex</w:t>
      </w:r>
      <w:r w:rsidRPr="00B901CC">
        <w:rPr>
          <w:sz w:val="24"/>
          <w:szCs w:val="24"/>
          <w:lang w:val="en-US"/>
        </w:rPr>
        <w:t xml:space="preserve"> infection (</w:t>
      </w:r>
      <w:proofErr w:type="spellStart"/>
      <w:r w:rsidRPr="00B901CC">
        <w:rPr>
          <w:sz w:val="24"/>
          <w:szCs w:val="24"/>
          <w:lang w:val="en-US"/>
        </w:rPr>
        <w:t>anisakiasis</w:t>
      </w:r>
      <w:proofErr w:type="spellEnd"/>
      <w:r w:rsidRPr="00B901CC">
        <w:rPr>
          <w:sz w:val="24"/>
          <w:szCs w:val="24"/>
          <w:lang w:val="en-US"/>
        </w:rPr>
        <w:t>);</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r w:rsidRPr="00B901CC">
        <w:rPr>
          <w:sz w:val="24"/>
          <w:szCs w:val="24"/>
          <w:lang w:val="en-US"/>
        </w:rPr>
        <w:t>cytomegalovirus infection;</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r w:rsidRPr="00B901CC">
        <w:rPr>
          <w:sz w:val="24"/>
          <w:szCs w:val="24"/>
          <w:lang w:val="en-US"/>
        </w:rPr>
        <w:t>herpes simplex virus infection;</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r w:rsidRPr="00B901CC">
        <w:rPr>
          <w:sz w:val="24"/>
          <w:szCs w:val="24"/>
          <w:lang w:val="en-US"/>
        </w:rPr>
        <w:t>fungal infection;</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r w:rsidRPr="00B901CC">
        <w:rPr>
          <w:i/>
          <w:sz w:val="24"/>
          <w:szCs w:val="24"/>
          <w:lang w:val="en-US"/>
        </w:rPr>
        <w:t xml:space="preserve">Helicobacter </w:t>
      </w:r>
      <w:proofErr w:type="spellStart"/>
      <w:r w:rsidRPr="00B901CC">
        <w:rPr>
          <w:i/>
          <w:sz w:val="24"/>
          <w:szCs w:val="24"/>
          <w:lang w:val="en-US"/>
        </w:rPr>
        <w:t>heilmannii</w:t>
      </w:r>
      <w:proofErr w:type="spellEnd"/>
      <w:r w:rsidRPr="00B901CC">
        <w:rPr>
          <w:sz w:val="24"/>
          <w:szCs w:val="24"/>
          <w:lang w:val="en-US"/>
        </w:rPr>
        <w:t xml:space="preserve"> infection; </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r w:rsidRPr="00B901CC">
        <w:rPr>
          <w:sz w:val="24"/>
          <w:szCs w:val="24"/>
          <w:lang w:val="en-US"/>
        </w:rPr>
        <w:t>Mycobacterial infection (</w:t>
      </w:r>
      <w:r w:rsidRPr="00B901CC">
        <w:rPr>
          <w:i/>
          <w:sz w:val="24"/>
          <w:szCs w:val="24"/>
          <w:lang w:val="en-US"/>
        </w:rPr>
        <w:t>Mycobacterium tuberculosis</w:t>
      </w:r>
      <w:r w:rsidRPr="00B901CC">
        <w:rPr>
          <w:sz w:val="24"/>
          <w:szCs w:val="24"/>
          <w:lang w:val="en-US"/>
        </w:rPr>
        <w:t xml:space="preserve">, </w:t>
      </w:r>
      <w:r w:rsidRPr="00B901CC">
        <w:rPr>
          <w:i/>
          <w:sz w:val="24"/>
          <w:szCs w:val="24"/>
          <w:lang w:val="en-US"/>
        </w:rPr>
        <w:t xml:space="preserve">Mycobacterium </w:t>
      </w:r>
      <w:proofErr w:type="spellStart"/>
      <w:r w:rsidRPr="00B901CC">
        <w:rPr>
          <w:i/>
          <w:sz w:val="24"/>
          <w:szCs w:val="24"/>
          <w:lang w:val="en-US"/>
        </w:rPr>
        <w:t>avium</w:t>
      </w:r>
      <w:proofErr w:type="spellEnd"/>
      <w:r w:rsidRPr="00B901CC">
        <w:rPr>
          <w:i/>
          <w:sz w:val="24"/>
          <w:szCs w:val="24"/>
          <w:lang w:val="en-US"/>
        </w:rPr>
        <w:t xml:space="preserve"> </w:t>
      </w:r>
      <w:proofErr w:type="spellStart"/>
      <w:r w:rsidRPr="00B901CC">
        <w:rPr>
          <w:i/>
          <w:sz w:val="24"/>
          <w:szCs w:val="24"/>
          <w:lang w:val="en-US"/>
        </w:rPr>
        <w:t>intracellulare</w:t>
      </w:r>
      <w:proofErr w:type="spellEnd"/>
      <w:r w:rsidRPr="00B901CC">
        <w:rPr>
          <w:sz w:val="24"/>
          <w:szCs w:val="24"/>
          <w:lang w:val="en-US"/>
        </w:rPr>
        <w:t>);</w:t>
      </w:r>
    </w:p>
    <w:p w:rsidR="002A0DE4" w:rsidRPr="00B901CC" w:rsidRDefault="002A0DE4" w:rsidP="00007019">
      <w:pPr>
        <w:numPr>
          <w:ilvl w:val="0"/>
          <w:numId w:val="21"/>
        </w:numPr>
        <w:tabs>
          <w:tab w:val="num" w:pos="1418"/>
        </w:tabs>
        <w:spacing w:line="240" w:lineRule="auto"/>
        <w:ind w:left="1418" w:hanging="709"/>
        <w:jc w:val="left"/>
        <w:rPr>
          <w:sz w:val="24"/>
          <w:szCs w:val="24"/>
          <w:lang w:val="en-US"/>
        </w:rPr>
      </w:pPr>
      <w:proofErr w:type="spellStart"/>
      <w:r w:rsidRPr="00B901CC">
        <w:rPr>
          <w:i/>
          <w:sz w:val="24"/>
          <w:szCs w:val="24"/>
          <w:lang w:val="en-US"/>
        </w:rPr>
        <w:lastRenderedPageBreak/>
        <w:t>Strongyloides</w:t>
      </w:r>
      <w:proofErr w:type="spellEnd"/>
      <w:r w:rsidRPr="00B901CC">
        <w:rPr>
          <w:i/>
          <w:sz w:val="24"/>
          <w:szCs w:val="24"/>
          <w:lang w:val="en-US"/>
        </w:rPr>
        <w:t xml:space="preserve"> </w:t>
      </w:r>
      <w:proofErr w:type="spellStart"/>
      <w:r w:rsidRPr="00B901CC">
        <w:rPr>
          <w:i/>
          <w:sz w:val="24"/>
          <w:szCs w:val="24"/>
          <w:lang w:val="en-US"/>
        </w:rPr>
        <w:t>stercoralis</w:t>
      </w:r>
      <w:proofErr w:type="spellEnd"/>
      <w:r w:rsidRPr="00B901CC">
        <w:rPr>
          <w:sz w:val="24"/>
          <w:szCs w:val="24"/>
          <w:lang w:val="en-US"/>
        </w:rPr>
        <w:t xml:space="preserve"> infection (</w:t>
      </w:r>
      <w:proofErr w:type="spellStart"/>
      <w:r w:rsidRPr="00B901CC">
        <w:rPr>
          <w:sz w:val="24"/>
          <w:szCs w:val="24"/>
          <w:lang w:val="en-US"/>
        </w:rPr>
        <w:t>strongyloidiasis</w:t>
      </w:r>
      <w:proofErr w:type="spellEnd"/>
      <w:r w:rsidRPr="00B901CC">
        <w:rPr>
          <w:sz w:val="24"/>
          <w:szCs w:val="24"/>
          <w:lang w:val="en-US"/>
        </w:rPr>
        <w:t xml:space="preserve">); or </w:t>
      </w:r>
    </w:p>
    <w:p w:rsidR="002A0DE4" w:rsidRPr="00B901CC" w:rsidRDefault="002A0DE4" w:rsidP="00007019">
      <w:pPr>
        <w:numPr>
          <w:ilvl w:val="0"/>
          <w:numId w:val="21"/>
        </w:numPr>
        <w:tabs>
          <w:tab w:val="num" w:pos="1418"/>
        </w:tabs>
        <w:spacing w:after="120" w:line="240" w:lineRule="auto"/>
        <w:ind w:left="1418" w:hanging="709"/>
        <w:jc w:val="left"/>
        <w:rPr>
          <w:b/>
          <w:sz w:val="24"/>
          <w:szCs w:val="24"/>
        </w:rPr>
      </w:pPr>
      <w:proofErr w:type="spellStart"/>
      <w:r w:rsidRPr="00B901CC">
        <w:rPr>
          <w:i/>
          <w:sz w:val="24"/>
          <w:szCs w:val="24"/>
          <w:lang w:val="en-US"/>
        </w:rPr>
        <w:t>Treponema</w:t>
      </w:r>
      <w:proofErr w:type="spellEnd"/>
      <w:r w:rsidRPr="00B901CC">
        <w:rPr>
          <w:i/>
          <w:sz w:val="24"/>
          <w:szCs w:val="24"/>
          <w:lang w:val="en-US"/>
        </w:rPr>
        <w:t xml:space="preserve"> </w:t>
      </w:r>
      <w:proofErr w:type="spellStart"/>
      <w:r w:rsidRPr="00B901CC">
        <w:rPr>
          <w:i/>
          <w:sz w:val="24"/>
          <w:szCs w:val="24"/>
          <w:lang w:val="en-US"/>
        </w:rPr>
        <w:t>pallidum</w:t>
      </w:r>
      <w:proofErr w:type="spellEnd"/>
      <w:r w:rsidRPr="00B901CC">
        <w:rPr>
          <w:sz w:val="24"/>
          <w:szCs w:val="24"/>
          <w:lang w:val="en-US"/>
        </w:rPr>
        <w:t xml:space="preserve"> infection (syphilis)</w:t>
      </w:r>
      <w:r w:rsidR="00007019">
        <w:rPr>
          <w:sz w:val="24"/>
          <w:szCs w:val="24"/>
          <w:lang w:val="en-US"/>
        </w:rPr>
        <w:t>;</w:t>
      </w:r>
    </w:p>
    <w:p w:rsidR="00B901CC" w:rsidRDefault="00B901CC" w:rsidP="00B901CC">
      <w:pPr>
        <w:autoSpaceDE w:val="0"/>
        <w:autoSpaceDN w:val="0"/>
        <w:adjustRightInd w:val="0"/>
        <w:spacing w:after="120"/>
        <w:rPr>
          <w:b/>
          <w:sz w:val="24"/>
          <w:szCs w:val="24"/>
        </w:rPr>
      </w:pPr>
      <w:r>
        <w:rPr>
          <w:b/>
          <w:bCs/>
          <w:sz w:val="24"/>
          <w:szCs w:val="24"/>
        </w:rPr>
        <w:t xml:space="preserve">"an eyewitness" </w:t>
      </w:r>
      <w:r>
        <w:rPr>
          <w:sz w:val="24"/>
          <w:szCs w:val="24"/>
        </w:rPr>
        <w:t>means a person who observes an incident first hand and can give direct evidence of it.  This excludes a person exposed only to media coverage of the incident;</w:t>
      </w:r>
    </w:p>
    <w:p w:rsidR="00066F83" w:rsidRPr="00B901CC" w:rsidRDefault="00066F83" w:rsidP="00066F83">
      <w:pPr>
        <w:autoSpaceDE w:val="0"/>
        <w:autoSpaceDN w:val="0"/>
        <w:adjustRightInd w:val="0"/>
        <w:spacing w:after="120"/>
        <w:rPr>
          <w:sz w:val="24"/>
          <w:szCs w:val="24"/>
        </w:rPr>
      </w:pPr>
      <w:r w:rsidRPr="00B901CC">
        <w:rPr>
          <w:b/>
          <w:sz w:val="24"/>
          <w:szCs w:val="24"/>
        </w:rPr>
        <w:t>"being treated with an immunosuppressive drug"</w:t>
      </w:r>
      <w:r w:rsidRPr="00B901CC">
        <w:rPr>
          <w:sz w:val="24"/>
          <w:szCs w:val="24"/>
        </w:rPr>
        <w:t xml:space="preserve"> means being treated with a drug or an agent which results in significant suppression of immune responses.</w:t>
      </w:r>
      <w:r w:rsidR="00457044">
        <w:rPr>
          <w:sz w:val="24"/>
          <w:szCs w:val="24"/>
        </w:rPr>
        <w:t xml:space="preserve"> </w:t>
      </w:r>
      <w:r w:rsidRPr="00B901CC">
        <w:rPr>
          <w:sz w:val="24"/>
          <w:szCs w:val="24"/>
        </w:rPr>
        <w:t xml:space="preserve"> This definition includes corticosteroids other than inhaled or topical corticosteroids, drugs used to prevent transplant rejection, tumour necrosis factor-α inhibitors and chemotherapeutic agents used for the treatment of cancer; </w:t>
      </w:r>
    </w:p>
    <w:p w:rsidR="002A0DE4" w:rsidRPr="00B901CC" w:rsidRDefault="002A0DE4" w:rsidP="002A0DE4">
      <w:pPr>
        <w:autoSpaceDE w:val="0"/>
        <w:autoSpaceDN w:val="0"/>
        <w:adjustRightInd w:val="0"/>
        <w:spacing w:after="120" w:line="240" w:lineRule="auto"/>
        <w:rPr>
          <w:sz w:val="24"/>
          <w:szCs w:val="24"/>
          <w:lang w:val="en-US"/>
        </w:rPr>
      </w:pPr>
      <w:r w:rsidRPr="00B901CC">
        <w:rPr>
          <w:b/>
          <w:sz w:val="24"/>
          <w:szCs w:val="24"/>
          <w:lang w:val="en-US"/>
        </w:rPr>
        <w:t>"cumulative equivalent dose"</w:t>
      </w:r>
      <w:r w:rsidRPr="00B901CC">
        <w:rPr>
          <w:sz w:val="24"/>
          <w:szCs w:val="24"/>
          <w:lang w:val="en-US"/>
        </w:rPr>
        <w:t xml:space="preserve"> means the total dose of </w:t>
      </w:r>
      <w:proofErr w:type="spellStart"/>
      <w:r w:rsidRPr="00B901CC">
        <w:rPr>
          <w:sz w:val="24"/>
          <w:szCs w:val="24"/>
          <w:lang w:val="en-US"/>
        </w:rPr>
        <w:t>ionising</w:t>
      </w:r>
      <w:proofErr w:type="spellEnd"/>
      <w:r w:rsidRPr="00B901CC">
        <w:rPr>
          <w:sz w:val="24"/>
          <w:szCs w:val="24"/>
          <w:lang w:val="en-US"/>
        </w:rPr>
        <w:t xml:space="preserve"> radiation received by the particular organ or tissue.  The formula used to calculate the cumulative equivalent dose allows doses from multiple types of </w:t>
      </w:r>
      <w:proofErr w:type="spellStart"/>
      <w:r w:rsidRPr="00B901CC">
        <w:rPr>
          <w:sz w:val="24"/>
          <w:szCs w:val="24"/>
          <w:lang w:val="en-US"/>
        </w:rPr>
        <w:t>ionising</w:t>
      </w:r>
      <w:proofErr w:type="spellEnd"/>
      <w:r w:rsidRPr="00B901CC">
        <w:rPr>
          <w:sz w:val="24"/>
          <w:szCs w:val="24"/>
          <w:lang w:val="en-US"/>
        </w:rPr>
        <w:t xml:space="preserve"> radiation to be combined, by accounting for their differing biological effect.  The unit of equivalent dose is the </w:t>
      </w:r>
      <w:proofErr w:type="spellStart"/>
      <w:r w:rsidRPr="00B901CC">
        <w:rPr>
          <w:sz w:val="24"/>
          <w:szCs w:val="24"/>
          <w:lang w:val="en-US"/>
        </w:rPr>
        <w:t>sievert</w:t>
      </w:r>
      <w:proofErr w:type="spellEnd"/>
      <w:r w:rsidRPr="00B901CC">
        <w:rPr>
          <w:sz w:val="24"/>
          <w:szCs w:val="24"/>
          <w:lang w:val="en-US"/>
        </w:rPr>
        <w: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p>
    <w:p w:rsidR="00AB4EF4" w:rsidRPr="00B901CC" w:rsidRDefault="00AB4EF4">
      <w:pPr>
        <w:tabs>
          <w:tab w:val="num" w:pos="709"/>
        </w:tabs>
        <w:spacing w:after="120" w:line="240" w:lineRule="auto"/>
        <w:ind w:left="709"/>
        <w:rPr>
          <w:sz w:val="24"/>
          <w:szCs w:val="24"/>
        </w:rPr>
      </w:pPr>
      <w:r w:rsidRPr="00B901CC">
        <w:rPr>
          <w:b/>
          <w:sz w:val="24"/>
          <w:szCs w:val="24"/>
        </w:rPr>
        <w:t xml:space="preserve">"death from </w:t>
      </w:r>
      <w:r w:rsidR="0014517C" w:rsidRPr="00B901CC">
        <w:rPr>
          <w:b/>
          <w:sz w:val="24"/>
          <w:szCs w:val="24"/>
        </w:rPr>
        <w:t xml:space="preserve">gastric ulcer </w:t>
      </w:r>
      <w:r w:rsidR="00AB16E5">
        <w:rPr>
          <w:b/>
          <w:sz w:val="24"/>
          <w:szCs w:val="24"/>
        </w:rPr>
        <w:t>or</w:t>
      </w:r>
      <w:r w:rsidR="0014517C" w:rsidRPr="00B901CC">
        <w:rPr>
          <w:b/>
          <w:sz w:val="24"/>
          <w:szCs w:val="24"/>
        </w:rPr>
        <w:t xml:space="preserve"> duodenal ulcer</w:t>
      </w:r>
      <w:r w:rsidRPr="00B901CC">
        <w:rPr>
          <w:b/>
          <w:sz w:val="24"/>
          <w:szCs w:val="24"/>
        </w:rPr>
        <w:t xml:space="preserve">" </w:t>
      </w:r>
      <w:r w:rsidRPr="00B901CC">
        <w:rPr>
          <w:sz w:val="24"/>
          <w:szCs w:val="24"/>
        </w:rPr>
        <w:t xml:space="preserve">in relation to a person includes death from a terminal event or condition that was contributed to by the person’s </w:t>
      </w:r>
      <w:r w:rsidR="0014517C" w:rsidRPr="00B901CC">
        <w:rPr>
          <w:sz w:val="24"/>
          <w:szCs w:val="24"/>
        </w:rPr>
        <w:t xml:space="preserve">gastric ulcer </w:t>
      </w:r>
      <w:r w:rsidR="00AB16E5">
        <w:rPr>
          <w:sz w:val="24"/>
          <w:szCs w:val="24"/>
        </w:rPr>
        <w:t>or</w:t>
      </w:r>
      <w:r w:rsidR="0014517C" w:rsidRPr="00B901CC">
        <w:rPr>
          <w:sz w:val="24"/>
          <w:szCs w:val="24"/>
        </w:rPr>
        <w:t xml:space="preserve"> duodenal ulcer</w:t>
      </w:r>
      <w:r w:rsidRPr="00B901CC">
        <w:rPr>
          <w:sz w:val="24"/>
          <w:szCs w:val="24"/>
        </w:rPr>
        <w:t>;</w:t>
      </w:r>
    </w:p>
    <w:p w:rsidR="00AB4EF4" w:rsidRPr="00B901CC" w:rsidRDefault="00AB4EF4">
      <w:pPr>
        <w:tabs>
          <w:tab w:val="num" w:pos="709"/>
        </w:tabs>
        <w:spacing w:after="120" w:line="240" w:lineRule="auto"/>
        <w:ind w:left="709"/>
        <w:rPr>
          <w:sz w:val="24"/>
          <w:szCs w:val="24"/>
        </w:rPr>
      </w:pPr>
      <w:r w:rsidRPr="00B901CC">
        <w:rPr>
          <w:b/>
          <w:sz w:val="24"/>
          <w:szCs w:val="24"/>
        </w:rPr>
        <w:t>"ICD-10-AM code"</w:t>
      </w:r>
      <w:r w:rsidRPr="00B901CC">
        <w:rPr>
          <w:sz w:val="24"/>
          <w:szCs w:val="24"/>
        </w:rPr>
        <w:t xml:space="preserve"> means a number assigned to a particular kind of injury or disease in The International Statistical Classification of Diseases and Related Health Problems, 10th Revision, Australian Modification (ICD-10-AM), Eighth Edition, effective date of 1 July 2013, copyrighted by the Independent Hospital Pricing Authority, and having ISBN 978-1-74128-213-9;</w:t>
      </w:r>
    </w:p>
    <w:p w:rsidR="00A03380" w:rsidRPr="00B901CC" w:rsidRDefault="00A03380" w:rsidP="00A03380">
      <w:pPr>
        <w:autoSpaceDE w:val="0"/>
        <w:autoSpaceDN w:val="0"/>
        <w:adjustRightInd w:val="0"/>
        <w:spacing w:after="120" w:line="240" w:lineRule="auto"/>
        <w:rPr>
          <w:sz w:val="24"/>
          <w:szCs w:val="24"/>
          <w:lang w:val="en-US"/>
        </w:rPr>
      </w:pPr>
      <w:r w:rsidRPr="00A03380">
        <w:rPr>
          <w:b/>
          <w:sz w:val="24"/>
          <w:szCs w:val="24"/>
        </w:rPr>
        <w:t>"</w:t>
      </w:r>
      <w:r w:rsidRPr="00B901CC">
        <w:rPr>
          <w:b/>
          <w:sz w:val="24"/>
          <w:szCs w:val="24"/>
        </w:rPr>
        <w:t>pack-year of cigarettes, or the equivalent thereof in other tobacco products"</w:t>
      </w:r>
      <w:r w:rsidRPr="00B901CC">
        <w:rPr>
          <w:sz w:val="24"/>
          <w:szCs w:val="24"/>
        </w:rPr>
        <w:t xml:space="preserve"> means a calculation of consumption where one pack-year of cigarettes equals twenty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products mean cigarettes, pipe tobacco or cigars, smoked alone or in any combination;</w:t>
      </w:r>
    </w:p>
    <w:p w:rsidR="00AB4EF4" w:rsidRPr="00B901CC" w:rsidRDefault="00AB4EF4">
      <w:pPr>
        <w:tabs>
          <w:tab w:val="num" w:pos="709"/>
        </w:tabs>
        <w:spacing w:after="60" w:line="240" w:lineRule="auto"/>
        <w:ind w:left="709"/>
        <w:rPr>
          <w:sz w:val="24"/>
          <w:szCs w:val="24"/>
        </w:rPr>
      </w:pPr>
      <w:r w:rsidRPr="00B901CC">
        <w:rPr>
          <w:b/>
          <w:sz w:val="24"/>
          <w:szCs w:val="24"/>
        </w:rPr>
        <w:t>"relevant service"</w:t>
      </w:r>
      <w:r w:rsidRPr="00B901CC">
        <w:rPr>
          <w:sz w:val="24"/>
          <w:szCs w:val="24"/>
        </w:rPr>
        <w:t xml:space="preserve"> means:</w:t>
      </w:r>
    </w:p>
    <w:p w:rsidR="00AB4EF4" w:rsidRPr="00B901CC" w:rsidRDefault="00AB4EF4">
      <w:pPr>
        <w:numPr>
          <w:ilvl w:val="0"/>
          <w:numId w:val="3"/>
        </w:numPr>
        <w:tabs>
          <w:tab w:val="clear" w:pos="1440"/>
        </w:tabs>
        <w:spacing w:line="240" w:lineRule="auto"/>
        <w:ind w:left="1418"/>
        <w:rPr>
          <w:sz w:val="24"/>
          <w:szCs w:val="24"/>
        </w:rPr>
      </w:pPr>
      <w:r w:rsidRPr="00B901CC">
        <w:rPr>
          <w:sz w:val="24"/>
          <w:szCs w:val="24"/>
        </w:rPr>
        <w:t xml:space="preserve">operational service under the VEA; </w:t>
      </w:r>
    </w:p>
    <w:p w:rsidR="00AB4EF4" w:rsidRPr="00B901CC" w:rsidRDefault="00AB4EF4">
      <w:pPr>
        <w:numPr>
          <w:ilvl w:val="0"/>
          <w:numId w:val="3"/>
        </w:numPr>
        <w:tabs>
          <w:tab w:val="clear" w:pos="1440"/>
        </w:tabs>
        <w:spacing w:line="240" w:lineRule="auto"/>
        <w:ind w:left="1418"/>
        <w:rPr>
          <w:sz w:val="24"/>
          <w:szCs w:val="24"/>
        </w:rPr>
      </w:pPr>
      <w:r w:rsidRPr="00B901CC">
        <w:rPr>
          <w:sz w:val="24"/>
          <w:szCs w:val="24"/>
        </w:rPr>
        <w:t xml:space="preserve">peacekeeping service under the VEA; </w:t>
      </w:r>
    </w:p>
    <w:p w:rsidR="00AB4EF4" w:rsidRPr="00B901CC" w:rsidRDefault="00AB4EF4">
      <w:pPr>
        <w:numPr>
          <w:ilvl w:val="0"/>
          <w:numId w:val="3"/>
        </w:numPr>
        <w:tabs>
          <w:tab w:val="clear" w:pos="1440"/>
        </w:tabs>
        <w:spacing w:line="240" w:lineRule="auto"/>
        <w:ind w:left="1418"/>
        <w:rPr>
          <w:sz w:val="24"/>
          <w:szCs w:val="24"/>
        </w:rPr>
      </w:pPr>
      <w:r w:rsidRPr="00B901CC">
        <w:rPr>
          <w:sz w:val="24"/>
          <w:szCs w:val="24"/>
        </w:rPr>
        <w:t xml:space="preserve">hazardous service under the VEA; </w:t>
      </w:r>
    </w:p>
    <w:p w:rsidR="00AB4EF4" w:rsidRPr="00B901CC" w:rsidRDefault="00AB4EF4">
      <w:pPr>
        <w:numPr>
          <w:ilvl w:val="0"/>
          <w:numId w:val="3"/>
        </w:numPr>
        <w:tabs>
          <w:tab w:val="clear" w:pos="1440"/>
        </w:tabs>
        <w:spacing w:line="240" w:lineRule="auto"/>
        <w:ind w:left="1418"/>
        <w:rPr>
          <w:sz w:val="24"/>
          <w:szCs w:val="24"/>
        </w:rPr>
      </w:pPr>
      <w:r w:rsidRPr="00B901CC">
        <w:rPr>
          <w:sz w:val="24"/>
          <w:szCs w:val="24"/>
        </w:rPr>
        <w:t>British nuclear test defence service under the VEA;</w:t>
      </w:r>
    </w:p>
    <w:p w:rsidR="00AB4EF4" w:rsidRPr="00B901CC" w:rsidRDefault="00AB4EF4">
      <w:pPr>
        <w:numPr>
          <w:ilvl w:val="0"/>
          <w:numId w:val="3"/>
        </w:numPr>
        <w:tabs>
          <w:tab w:val="clear" w:pos="1440"/>
        </w:tabs>
        <w:spacing w:line="240" w:lineRule="auto"/>
        <w:ind w:left="1418"/>
        <w:rPr>
          <w:sz w:val="24"/>
          <w:szCs w:val="24"/>
        </w:rPr>
      </w:pPr>
      <w:r w:rsidRPr="00B901CC">
        <w:rPr>
          <w:sz w:val="24"/>
          <w:szCs w:val="24"/>
        </w:rPr>
        <w:t>warlike service under the MRCA; or</w:t>
      </w:r>
    </w:p>
    <w:p w:rsidR="00AB4EF4" w:rsidRPr="00B901CC" w:rsidRDefault="00AB4EF4">
      <w:pPr>
        <w:numPr>
          <w:ilvl w:val="0"/>
          <w:numId w:val="3"/>
        </w:numPr>
        <w:tabs>
          <w:tab w:val="clear" w:pos="1440"/>
        </w:tabs>
        <w:spacing w:after="120" w:line="240" w:lineRule="auto"/>
        <w:ind w:left="1417"/>
        <w:rPr>
          <w:sz w:val="24"/>
          <w:szCs w:val="24"/>
        </w:rPr>
      </w:pPr>
      <w:r w:rsidRPr="00B901CC">
        <w:rPr>
          <w:sz w:val="24"/>
          <w:szCs w:val="24"/>
        </w:rPr>
        <w:t>non-warlike service under the MRCA;</w:t>
      </w:r>
    </w:p>
    <w:p w:rsidR="00AB4EF4" w:rsidRPr="00B901CC" w:rsidRDefault="00AB4EF4">
      <w:pPr>
        <w:tabs>
          <w:tab w:val="num" w:pos="709"/>
        </w:tabs>
        <w:spacing w:after="60" w:line="240" w:lineRule="auto"/>
        <w:ind w:left="709"/>
        <w:rPr>
          <w:sz w:val="24"/>
          <w:szCs w:val="24"/>
        </w:rPr>
      </w:pPr>
      <w:r w:rsidRPr="00B901CC">
        <w:rPr>
          <w:b/>
          <w:sz w:val="24"/>
          <w:szCs w:val="24"/>
        </w:rPr>
        <w:t xml:space="preserve">"terminal event" </w:t>
      </w:r>
      <w:r w:rsidRPr="00B901CC">
        <w:rPr>
          <w:sz w:val="24"/>
          <w:szCs w:val="24"/>
        </w:rPr>
        <w:t>means the proximate or ultimate cause of death and includes:</w:t>
      </w:r>
    </w:p>
    <w:p w:rsidR="00AB4EF4" w:rsidRPr="00B901CC" w:rsidRDefault="00AB4EF4">
      <w:pPr>
        <w:numPr>
          <w:ilvl w:val="0"/>
          <w:numId w:val="14"/>
        </w:numPr>
        <w:tabs>
          <w:tab w:val="clear" w:pos="1440"/>
        </w:tabs>
        <w:spacing w:line="240" w:lineRule="auto"/>
        <w:ind w:left="1418" w:hanging="698"/>
        <w:rPr>
          <w:sz w:val="24"/>
          <w:szCs w:val="24"/>
        </w:rPr>
      </w:pPr>
      <w:r w:rsidRPr="00B901CC">
        <w:rPr>
          <w:sz w:val="24"/>
          <w:szCs w:val="24"/>
        </w:rPr>
        <w:t>pneumonia;</w:t>
      </w:r>
    </w:p>
    <w:p w:rsidR="00AB4EF4" w:rsidRPr="00B901CC" w:rsidRDefault="00AB4EF4">
      <w:pPr>
        <w:numPr>
          <w:ilvl w:val="0"/>
          <w:numId w:val="14"/>
        </w:numPr>
        <w:tabs>
          <w:tab w:val="clear" w:pos="1440"/>
        </w:tabs>
        <w:spacing w:line="240" w:lineRule="auto"/>
        <w:ind w:left="1418" w:hanging="698"/>
        <w:rPr>
          <w:sz w:val="24"/>
          <w:szCs w:val="24"/>
        </w:rPr>
      </w:pPr>
      <w:r w:rsidRPr="00B901CC">
        <w:rPr>
          <w:sz w:val="24"/>
          <w:szCs w:val="24"/>
        </w:rPr>
        <w:lastRenderedPageBreak/>
        <w:t>respiratory failure;</w:t>
      </w:r>
    </w:p>
    <w:p w:rsidR="00AB4EF4" w:rsidRPr="00B901CC" w:rsidRDefault="00AB4EF4">
      <w:pPr>
        <w:numPr>
          <w:ilvl w:val="0"/>
          <w:numId w:val="14"/>
        </w:numPr>
        <w:tabs>
          <w:tab w:val="clear" w:pos="1440"/>
        </w:tabs>
        <w:spacing w:line="240" w:lineRule="auto"/>
        <w:ind w:left="1418" w:hanging="698"/>
        <w:rPr>
          <w:sz w:val="24"/>
          <w:szCs w:val="24"/>
        </w:rPr>
      </w:pPr>
      <w:r w:rsidRPr="00B901CC">
        <w:rPr>
          <w:sz w:val="24"/>
          <w:szCs w:val="24"/>
        </w:rPr>
        <w:t>cardiac arrest;</w:t>
      </w:r>
    </w:p>
    <w:p w:rsidR="00AB4EF4" w:rsidRPr="00B901CC" w:rsidRDefault="00AB4EF4">
      <w:pPr>
        <w:numPr>
          <w:ilvl w:val="0"/>
          <w:numId w:val="14"/>
        </w:numPr>
        <w:tabs>
          <w:tab w:val="clear" w:pos="1440"/>
        </w:tabs>
        <w:spacing w:line="240" w:lineRule="auto"/>
        <w:ind w:left="1418" w:hanging="698"/>
        <w:rPr>
          <w:sz w:val="24"/>
          <w:szCs w:val="24"/>
        </w:rPr>
      </w:pPr>
      <w:r w:rsidRPr="00B901CC">
        <w:rPr>
          <w:sz w:val="24"/>
          <w:szCs w:val="24"/>
        </w:rPr>
        <w:t>circulatory failure; or</w:t>
      </w:r>
    </w:p>
    <w:p w:rsidR="00AB4EF4" w:rsidRPr="00B901CC" w:rsidRDefault="00AB4EF4">
      <w:pPr>
        <w:numPr>
          <w:ilvl w:val="0"/>
          <w:numId w:val="14"/>
        </w:numPr>
        <w:tabs>
          <w:tab w:val="clear" w:pos="1440"/>
        </w:tabs>
        <w:spacing w:line="240" w:lineRule="auto"/>
        <w:ind w:left="1418" w:hanging="698"/>
        <w:rPr>
          <w:sz w:val="24"/>
          <w:szCs w:val="24"/>
        </w:rPr>
      </w:pPr>
      <w:r w:rsidRPr="00B901CC">
        <w:rPr>
          <w:sz w:val="24"/>
          <w:szCs w:val="24"/>
        </w:rPr>
        <w:t>cessation of brain function.</w:t>
      </w:r>
    </w:p>
    <w:p w:rsidR="00AB4EF4" w:rsidRDefault="00AB4EF4">
      <w:pPr>
        <w:pStyle w:val="clauseheading"/>
      </w:pPr>
      <w:r>
        <w:t>Application</w:t>
      </w:r>
    </w:p>
    <w:p w:rsidR="00AB4EF4" w:rsidRDefault="00AB4EF4">
      <w:pPr>
        <w:spacing w:line="240" w:lineRule="auto"/>
        <w:ind w:hanging="720"/>
        <w:rPr>
          <w:sz w:val="24"/>
          <w:szCs w:val="24"/>
        </w:rPr>
      </w:pPr>
      <w:r>
        <w:rPr>
          <w:b/>
          <w:sz w:val="24"/>
          <w:szCs w:val="24"/>
        </w:rPr>
        <w:t>10.</w:t>
      </w:r>
      <w:r>
        <w:rPr>
          <w:sz w:val="24"/>
          <w:szCs w:val="24"/>
        </w:rPr>
        <w:tab/>
        <w:t>This Instrument applies to all matters to which section 120A of the VEA or section 338 of the MRCA applies.</w:t>
      </w:r>
    </w:p>
    <w:p w:rsidR="004242E0" w:rsidRDefault="004242E0" w:rsidP="004242E0">
      <w:pPr>
        <w:pStyle w:val="clauseheading"/>
      </w:pPr>
      <w:r>
        <w:t>Date of effect</w:t>
      </w:r>
    </w:p>
    <w:p w:rsidR="004242E0" w:rsidRDefault="004242E0" w:rsidP="004242E0">
      <w:pPr>
        <w:spacing w:line="240" w:lineRule="auto"/>
        <w:ind w:hanging="720"/>
        <w:rPr>
          <w:sz w:val="24"/>
          <w:szCs w:val="24"/>
        </w:rPr>
      </w:pPr>
      <w:r>
        <w:rPr>
          <w:b/>
          <w:sz w:val="24"/>
          <w:szCs w:val="24"/>
        </w:rPr>
        <w:t>11.</w:t>
      </w:r>
      <w:r>
        <w:rPr>
          <w:sz w:val="24"/>
          <w:szCs w:val="24"/>
        </w:rPr>
        <w:tab/>
        <w:t>This Instrument takes effect from 1 June 2015.</w:t>
      </w:r>
    </w:p>
    <w:p w:rsidR="00F138A5" w:rsidRDefault="00F138A5" w:rsidP="00F138A5">
      <w:pPr>
        <w:spacing w:before="240" w:after="120" w:line="240" w:lineRule="auto"/>
        <w:ind w:left="0"/>
        <w:rPr>
          <w:sz w:val="24"/>
          <w:szCs w:val="24"/>
        </w:rPr>
      </w:pPr>
      <w:r>
        <w:rPr>
          <w:noProof/>
          <w:lang w:val="en-AU" w:eastAsia="en-AU"/>
        </w:rPr>
        <w:drawing>
          <wp:anchor distT="0" distB="0" distL="114300" distR="114300" simplePos="0" relativeHeight="251659264" behindDoc="1" locked="0" layoutInCell="1" allowOverlap="1" wp14:anchorId="13039620" wp14:editId="0BA2F3F7">
            <wp:simplePos x="0" y="0"/>
            <wp:positionH relativeFrom="column">
              <wp:posOffset>2770505</wp:posOffset>
            </wp:positionH>
            <wp:positionV relativeFrom="paragraph">
              <wp:posOffset>517525</wp:posOffset>
            </wp:positionV>
            <wp:extent cx="2466975" cy="533400"/>
            <wp:effectExtent l="0" t="0" r="9525" b="0"/>
            <wp:wrapTight wrapText="bothSides">
              <wp:wrapPolygon edited="0">
                <wp:start x="0" y="0"/>
                <wp:lineTo x="0" y="20829"/>
                <wp:lineTo x="21517" y="20829"/>
                <wp:lineTo x="215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r>
        <w:rPr>
          <w:sz w:val="24"/>
          <w:szCs w:val="24"/>
        </w:rPr>
        <w:t xml:space="preserve">Dated this   </w:t>
      </w:r>
      <w:r>
        <w:rPr>
          <w:rFonts w:ascii="Brush Script MT" w:hAnsi="Brush Script MT"/>
          <w:sz w:val="44"/>
          <w:szCs w:val="44"/>
        </w:rPr>
        <w:t>first</w:t>
      </w:r>
      <w:r>
        <w:rPr>
          <w:sz w:val="24"/>
          <w:szCs w:val="24"/>
        </w:rPr>
        <w:t xml:space="preserve">   day of   </w:t>
      </w:r>
      <w:r>
        <w:rPr>
          <w:rFonts w:ascii="Brush Script MT" w:hAnsi="Brush Script MT"/>
          <w:sz w:val="44"/>
          <w:szCs w:val="44"/>
        </w:rPr>
        <w:t>May</w:t>
      </w:r>
      <w:r>
        <w:rPr>
          <w:sz w:val="24"/>
          <w:szCs w:val="24"/>
        </w:rPr>
        <w:t xml:space="preserve">   2015</w:t>
      </w:r>
    </w:p>
    <w:p w:rsidR="00F138A5" w:rsidRDefault="00F138A5" w:rsidP="00F138A5">
      <w:pPr>
        <w:spacing w:line="240" w:lineRule="auto"/>
        <w:ind w:hanging="720"/>
        <w:rPr>
          <w:sz w:val="24"/>
          <w:szCs w:val="24"/>
        </w:rPr>
      </w:pPr>
      <w:r>
        <w:rPr>
          <w:sz w:val="24"/>
          <w:szCs w:val="24"/>
        </w:rPr>
        <w:t>The Common Seal of the</w:t>
      </w:r>
      <w:r>
        <w:rPr>
          <w:sz w:val="24"/>
          <w:szCs w:val="24"/>
        </w:rPr>
        <w:tab/>
      </w:r>
      <w:r>
        <w:rPr>
          <w:sz w:val="24"/>
          <w:szCs w:val="24"/>
        </w:rPr>
        <w:tab/>
        <w:t>)</w:t>
      </w:r>
    </w:p>
    <w:p w:rsidR="00F138A5" w:rsidRDefault="00F138A5" w:rsidP="00F138A5">
      <w:pPr>
        <w:spacing w:line="240" w:lineRule="auto"/>
        <w:ind w:hanging="720"/>
        <w:rPr>
          <w:sz w:val="24"/>
          <w:szCs w:val="24"/>
        </w:rPr>
      </w:pPr>
      <w:r>
        <w:rPr>
          <w:sz w:val="24"/>
          <w:szCs w:val="24"/>
        </w:rPr>
        <w:t>Repatriation Medical Authority</w:t>
      </w:r>
      <w:r>
        <w:rPr>
          <w:sz w:val="24"/>
          <w:szCs w:val="24"/>
        </w:rPr>
        <w:tab/>
        <w:t>)</w:t>
      </w:r>
    </w:p>
    <w:p w:rsidR="00F138A5" w:rsidRDefault="00F138A5" w:rsidP="00F138A5">
      <w:pPr>
        <w:spacing w:line="240" w:lineRule="auto"/>
        <w:ind w:hanging="720"/>
        <w:rPr>
          <w:sz w:val="24"/>
          <w:szCs w:val="24"/>
        </w:rPr>
      </w:pPr>
      <w:r>
        <w:rPr>
          <w:sz w:val="24"/>
          <w:szCs w:val="24"/>
        </w:rPr>
        <w:t>was affixed at the direction of:</w:t>
      </w:r>
      <w:r>
        <w:rPr>
          <w:sz w:val="24"/>
          <w:szCs w:val="24"/>
        </w:rPr>
        <w:tab/>
        <w:t>)</w:t>
      </w:r>
    </w:p>
    <w:p w:rsidR="00F138A5" w:rsidRDefault="00F138A5" w:rsidP="00F138A5">
      <w:pPr>
        <w:spacing w:before="120" w:line="240" w:lineRule="auto"/>
        <w:ind w:left="3600"/>
        <w:outlineLvl w:val="0"/>
        <w:rPr>
          <w:sz w:val="24"/>
          <w:szCs w:val="24"/>
        </w:rPr>
      </w:pPr>
      <w:r>
        <w:rPr>
          <w:sz w:val="24"/>
          <w:szCs w:val="24"/>
        </w:rPr>
        <w:t>PROFESSOR NICHOLAS SAUNDERS AO</w:t>
      </w:r>
    </w:p>
    <w:p w:rsidR="00F138A5" w:rsidRDefault="00F138A5" w:rsidP="00F138A5">
      <w:pPr>
        <w:spacing w:before="60" w:line="240" w:lineRule="auto"/>
        <w:ind w:left="5041"/>
        <w:outlineLvl w:val="0"/>
        <w:rPr>
          <w:sz w:val="24"/>
          <w:szCs w:val="24"/>
        </w:rPr>
      </w:pPr>
      <w:r>
        <w:rPr>
          <w:sz w:val="24"/>
          <w:szCs w:val="24"/>
        </w:rPr>
        <w:t>CHAIRPERSON</w:t>
      </w:r>
    </w:p>
    <w:p w:rsidR="00AB4EF4" w:rsidRDefault="00AB4EF4" w:rsidP="00F138A5">
      <w:pPr>
        <w:spacing w:before="240" w:after="120" w:line="240" w:lineRule="auto"/>
        <w:ind w:left="0"/>
        <w:rPr>
          <w:sz w:val="24"/>
          <w:szCs w:val="24"/>
        </w:rPr>
      </w:pPr>
    </w:p>
    <w:sectPr w:rsidR="00AB4EF4">
      <w:headerReference w:type="default" r:id="rId11"/>
      <w:footerReference w:type="default" r:id="rId12"/>
      <w:pgSz w:w="11907" w:h="16834" w:code="9"/>
      <w:pgMar w:top="1440" w:right="1797" w:bottom="1440" w:left="1797"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569" w:rsidRDefault="00300569">
      <w:r>
        <w:separator/>
      </w:r>
    </w:p>
  </w:endnote>
  <w:endnote w:type="continuationSeparator" w:id="0">
    <w:p w:rsidR="00300569" w:rsidRDefault="0030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Arial (W1)">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569" w:rsidRDefault="00300569">
    <w:pPr>
      <w:pStyle w:val="Footer"/>
      <w:ind w:left="0"/>
      <w:jc w:val="left"/>
      <w:rPr>
        <w:rFonts w:ascii="Arial" w:hAnsi="Arial"/>
        <w:b w:val="0"/>
      </w:rPr>
    </w:pPr>
    <w:r>
      <w:rPr>
        <w:rFonts w:ascii="Arial" w:hAnsi="Arial"/>
        <w:b w:val="0"/>
        <w:snapToGrid w:val="0"/>
      </w:rPr>
      <w:t xml:space="preserve">Page </w:t>
    </w:r>
    <w:r>
      <w:rPr>
        <w:rFonts w:ascii="Arial" w:hAnsi="Arial"/>
        <w:b w:val="0"/>
        <w:snapToGrid w:val="0"/>
      </w:rPr>
      <w:fldChar w:fldCharType="begin"/>
    </w:r>
    <w:r>
      <w:rPr>
        <w:rFonts w:ascii="Arial" w:hAnsi="Arial"/>
        <w:b w:val="0"/>
        <w:snapToGrid w:val="0"/>
      </w:rPr>
      <w:instrText xml:space="preserve"> PAGE </w:instrText>
    </w:r>
    <w:r>
      <w:rPr>
        <w:rFonts w:ascii="Arial" w:hAnsi="Arial"/>
        <w:b w:val="0"/>
        <w:snapToGrid w:val="0"/>
      </w:rPr>
      <w:fldChar w:fldCharType="separate"/>
    </w:r>
    <w:r w:rsidR="00E57B3F">
      <w:rPr>
        <w:rFonts w:ascii="Arial" w:hAnsi="Arial"/>
        <w:b w:val="0"/>
        <w:noProof/>
        <w:snapToGrid w:val="0"/>
      </w:rPr>
      <w:t>1</w:t>
    </w:r>
    <w:r>
      <w:rPr>
        <w:rFonts w:ascii="Arial" w:hAnsi="Arial"/>
        <w:b w:val="0"/>
        <w:snapToGrid w:val="0"/>
      </w:rPr>
      <w:fldChar w:fldCharType="end"/>
    </w:r>
    <w:r>
      <w:rPr>
        <w:rFonts w:ascii="Arial" w:hAnsi="Arial"/>
        <w:b w:val="0"/>
        <w:snapToGrid w:val="0"/>
      </w:rPr>
      <w:t xml:space="preserve"> of </w:t>
    </w:r>
    <w:r>
      <w:rPr>
        <w:rStyle w:val="PageNumber"/>
        <w:rFonts w:ascii="Arial" w:hAnsi="Arial"/>
        <w:b w:val="0"/>
      </w:rPr>
      <w:fldChar w:fldCharType="begin"/>
    </w:r>
    <w:r>
      <w:rPr>
        <w:rStyle w:val="PageNumber"/>
        <w:rFonts w:ascii="Arial" w:hAnsi="Arial"/>
        <w:b w:val="0"/>
      </w:rPr>
      <w:instrText xml:space="preserve"> NUMPAGES </w:instrText>
    </w:r>
    <w:r>
      <w:rPr>
        <w:rStyle w:val="PageNumber"/>
        <w:rFonts w:ascii="Arial" w:hAnsi="Arial"/>
        <w:b w:val="0"/>
      </w:rPr>
      <w:fldChar w:fldCharType="separate"/>
    </w:r>
    <w:r w:rsidR="00E57B3F">
      <w:rPr>
        <w:rStyle w:val="PageNumber"/>
        <w:rFonts w:ascii="Arial" w:hAnsi="Arial"/>
        <w:b w:val="0"/>
        <w:noProof/>
      </w:rPr>
      <w:t>8</w:t>
    </w:r>
    <w:r>
      <w:rPr>
        <w:rStyle w:val="PageNumber"/>
        <w:rFonts w:ascii="Arial" w:hAnsi="Arial"/>
        <w:b w:val="0"/>
      </w:rPr>
      <w:fldChar w:fldCharType="end"/>
    </w:r>
    <w:r>
      <w:rPr>
        <w:rFonts w:ascii="Arial" w:hAnsi="Arial"/>
        <w:b w:val="0"/>
      </w:rPr>
      <w:t xml:space="preserve"> of Instrument No. </w:t>
    </w:r>
    <w:r w:rsidR="000B2783">
      <w:rPr>
        <w:rFonts w:ascii="Arial" w:hAnsi="Arial"/>
        <w:b w:val="0"/>
      </w:rPr>
      <w:t>61</w:t>
    </w:r>
    <w:r>
      <w:rPr>
        <w:rFonts w:ascii="Arial" w:hAnsi="Arial"/>
        <w:b w:val="0"/>
      </w:rPr>
      <w:t xml:space="preserve"> of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569" w:rsidRDefault="00300569">
      <w:r>
        <w:separator/>
      </w:r>
    </w:p>
  </w:footnote>
  <w:footnote w:type="continuationSeparator" w:id="0">
    <w:p w:rsidR="00300569" w:rsidRDefault="0030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569" w:rsidRDefault="00300569">
    <w:pPr>
      <w:pStyle w:val="Header"/>
      <w:jc w:val="center"/>
    </w:pPr>
  </w:p>
  <w:p w:rsidR="00300569" w:rsidRDefault="003005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B06"/>
    <w:multiLevelType w:val="hybridMultilevel"/>
    <w:tmpl w:val="CF4661AA"/>
    <w:lvl w:ilvl="0" w:tplc="66BA6B5E">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DA93D46"/>
    <w:multiLevelType w:val="multilevel"/>
    <w:tmpl w:val="D842000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4BA55CD"/>
    <w:multiLevelType w:val="hybridMultilevel"/>
    <w:tmpl w:val="AC5E2B62"/>
    <w:lvl w:ilvl="0" w:tplc="4EAA65BC">
      <w:start w:val="1"/>
      <w:numFmt w:val="lowerLetter"/>
      <w:lvlText w:val="(%1)"/>
      <w:lvlJc w:val="left"/>
      <w:pPr>
        <w:tabs>
          <w:tab w:val="num" w:pos="1361"/>
        </w:tabs>
        <w:ind w:left="1361" w:hanging="641"/>
      </w:pPr>
      <w:rPr>
        <w:rFonts w:hint="default"/>
      </w:rPr>
    </w:lvl>
    <w:lvl w:ilvl="1" w:tplc="0C090019" w:tentative="1">
      <w:start w:val="1"/>
      <w:numFmt w:val="lowerLetter"/>
      <w:lvlText w:val="%2."/>
      <w:lvlJc w:val="left"/>
      <w:pPr>
        <w:tabs>
          <w:tab w:val="num" w:pos="-918"/>
        </w:tabs>
        <w:ind w:left="-918" w:hanging="360"/>
      </w:pPr>
    </w:lvl>
    <w:lvl w:ilvl="2" w:tplc="0C09001B" w:tentative="1">
      <w:start w:val="1"/>
      <w:numFmt w:val="lowerRoman"/>
      <w:lvlText w:val="%3."/>
      <w:lvlJc w:val="right"/>
      <w:pPr>
        <w:tabs>
          <w:tab w:val="num" w:pos="-198"/>
        </w:tabs>
        <w:ind w:left="-198" w:hanging="180"/>
      </w:pPr>
    </w:lvl>
    <w:lvl w:ilvl="3" w:tplc="0C09000F" w:tentative="1">
      <w:start w:val="1"/>
      <w:numFmt w:val="decimal"/>
      <w:lvlText w:val="%4."/>
      <w:lvlJc w:val="left"/>
      <w:pPr>
        <w:tabs>
          <w:tab w:val="num" w:pos="522"/>
        </w:tabs>
        <w:ind w:left="522" w:hanging="360"/>
      </w:pPr>
    </w:lvl>
    <w:lvl w:ilvl="4" w:tplc="0C090019" w:tentative="1">
      <w:start w:val="1"/>
      <w:numFmt w:val="lowerLetter"/>
      <w:lvlText w:val="%5."/>
      <w:lvlJc w:val="left"/>
      <w:pPr>
        <w:tabs>
          <w:tab w:val="num" w:pos="1242"/>
        </w:tabs>
        <w:ind w:left="1242" w:hanging="360"/>
      </w:pPr>
    </w:lvl>
    <w:lvl w:ilvl="5" w:tplc="0C09001B" w:tentative="1">
      <w:start w:val="1"/>
      <w:numFmt w:val="lowerRoman"/>
      <w:lvlText w:val="%6."/>
      <w:lvlJc w:val="right"/>
      <w:pPr>
        <w:tabs>
          <w:tab w:val="num" w:pos="1962"/>
        </w:tabs>
        <w:ind w:left="1962" w:hanging="180"/>
      </w:pPr>
    </w:lvl>
    <w:lvl w:ilvl="6" w:tplc="0C09000F" w:tentative="1">
      <w:start w:val="1"/>
      <w:numFmt w:val="decimal"/>
      <w:lvlText w:val="%7."/>
      <w:lvlJc w:val="left"/>
      <w:pPr>
        <w:tabs>
          <w:tab w:val="num" w:pos="2682"/>
        </w:tabs>
        <w:ind w:left="2682" w:hanging="360"/>
      </w:pPr>
    </w:lvl>
    <w:lvl w:ilvl="7" w:tplc="0C090019" w:tentative="1">
      <w:start w:val="1"/>
      <w:numFmt w:val="lowerLetter"/>
      <w:lvlText w:val="%8."/>
      <w:lvlJc w:val="left"/>
      <w:pPr>
        <w:tabs>
          <w:tab w:val="num" w:pos="3402"/>
        </w:tabs>
        <w:ind w:left="3402" w:hanging="360"/>
      </w:pPr>
    </w:lvl>
    <w:lvl w:ilvl="8" w:tplc="0C09001B" w:tentative="1">
      <w:start w:val="1"/>
      <w:numFmt w:val="lowerRoman"/>
      <w:lvlText w:val="%9."/>
      <w:lvlJc w:val="right"/>
      <w:pPr>
        <w:tabs>
          <w:tab w:val="num" w:pos="4122"/>
        </w:tabs>
        <w:ind w:left="4122" w:hanging="180"/>
      </w:pPr>
    </w:lvl>
  </w:abstractNum>
  <w:abstractNum w:abstractNumId="3">
    <w:nsid w:val="17930EC9"/>
    <w:multiLevelType w:val="hybridMultilevel"/>
    <w:tmpl w:val="BEB23070"/>
    <w:lvl w:ilvl="0" w:tplc="43FA4576">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A404A06"/>
    <w:multiLevelType w:val="hybridMultilevel"/>
    <w:tmpl w:val="F610584A"/>
    <w:lvl w:ilvl="0" w:tplc="544A35C6">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
    <w:nsid w:val="1BEE229A"/>
    <w:multiLevelType w:val="hybridMultilevel"/>
    <w:tmpl w:val="406E40EE"/>
    <w:lvl w:ilvl="0" w:tplc="2E5ABF46">
      <w:start w:val="1"/>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
    <w:nsid w:val="1DA73D9A"/>
    <w:multiLevelType w:val="multilevel"/>
    <w:tmpl w:val="6082C39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1451893"/>
    <w:multiLevelType w:val="singleLevel"/>
    <w:tmpl w:val="EECED2E6"/>
    <w:lvl w:ilvl="0">
      <w:start w:val="5"/>
      <w:numFmt w:val="lowerLetter"/>
      <w:lvlText w:val="(%1)"/>
      <w:lvlJc w:val="left"/>
      <w:pPr>
        <w:tabs>
          <w:tab w:val="num" w:pos="1440"/>
        </w:tabs>
        <w:ind w:left="1440" w:hanging="720"/>
      </w:pPr>
      <w:rPr>
        <w:rFonts w:hint="default"/>
      </w:rPr>
    </w:lvl>
  </w:abstractNum>
  <w:abstractNum w:abstractNumId="8">
    <w:nsid w:val="231B7506"/>
    <w:multiLevelType w:val="hybridMultilevel"/>
    <w:tmpl w:val="91F8526A"/>
    <w:lvl w:ilvl="0" w:tplc="4EAA65BC">
      <w:start w:val="1"/>
      <w:numFmt w:val="lowerLetter"/>
      <w:lvlText w:val="(%1)"/>
      <w:lvlJc w:val="left"/>
      <w:pPr>
        <w:tabs>
          <w:tab w:val="num" w:pos="641"/>
        </w:tabs>
        <w:ind w:left="641" w:hanging="641"/>
      </w:pPr>
      <w:rPr>
        <w:rFonts w:hint="default"/>
      </w:rPr>
    </w:lvl>
    <w:lvl w:ilvl="1" w:tplc="0C090019" w:tentative="1">
      <w:start w:val="1"/>
      <w:numFmt w:val="lowerLetter"/>
      <w:lvlText w:val="%2."/>
      <w:lvlJc w:val="left"/>
      <w:pPr>
        <w:tabs>
          <w:tab w:val="num" w:pos="-1638"/>
        </w:tabs>
        <w:ind w:left="-1638" w:hanging="360"/>
      </w:pPr>
    </w:lvl>
    <w:lvl w:ilvl="2" w:tplc="0C09001B" w:tentative="1">
      <w:start w:val="1"/>
      <w:numFmt w:val="lowerRoman"/>
      <w:lvlText w:val="%3."/>
      <w:lvlJc w:val="right"/>
      <w:pPr>
        <w:tabs>
          <w:tab w:val="num" w:pos="-918"/>
        </w:tabs>
        <w:ind w:left="-918" w:hanging="180"/>
      </w:pPr>
    </w:lvl>
    <w:lvl w:ilvl="3" w:tplc="0C09000F" w:tentative="1">
      <w:start w:val="1"/>
      <w:numFmt w:val="decimal"/>
      <w:lvlText w:val="%4."/>
      <w:lvlJc w:val="left"/>
      <w:pPr>
        <w:tabs>
          <w:tab w:val="num" w:pos="-198"/>
        </w:tabs>
        <w:ind w:left="-198" w:hanging="360"/>
      </w:pPr>
    </w:lvl>
    <w:lvl w:ilvl="4" w:tplc="0C090019" w:tentative="1">
      <w:start w:val="1"/>
      <w:numFmt w:val="lowerLetter"/>
      <w:lvlText w:val="%5."/>
      <w:lvlJc w:val="left"/>
      <w:pPr>
        <w:tabs>
          <w:tab w:val="num" w:pos="522"/>
        </w:tabs>
        <w:ind w:left="522" w:hanging="360"/>
      </w:pPr>
    </w:lvl>
    <w:lvl w:ilvl="5" w:tplc="0C09001B" w:tentative="1">
      <w:start w:val="1"/>
      <w:numFmt w:val="lowerRoman"/>
      <w:lvlText w:val="%6."/>
      <w:lvlJc w:val="right"/>
      <w:pPr>
        <w:tabs>
          <w:tab w:val="num" w:pos="1242"/>
        </w:tabs>
        <w:ind w:left="1242" w:hanging="180"/>
      </w:pPr>
    </w:lvl>
    <w:lvl w:ilvl="6" w:tplc="0C09000F" w:tentative="1">
      <w:start w:val="1"/>
      <w:numFmt w:val="decimal"/>
      <w:lvlText w:val="%7."/>
      <w:lvlJc w:val="left"/>
      <w:pPr>
        <w:tabs>
          <w:tab w:val="num" w:pos="1962"/>
        </w:tabs>
        <w:ind w:left="1962" w:hanging="360"/>
      </w:pPr>
    </w:lvl>
    <w:lvl w:ilvl="7" w:tplc="0C090019" w:tentative="1">
      <w:start w:val="1"/>
      <w:numFmt w:val="lowerLetter"/>
      <w:lvlText w:val="%8."/>
      <w:lvlJc w:val="left"/>
      <w:pPr>
        <w:tabs>
          <w:tab w:val="num" w:pos="2682"/>
        </w:tabs>
        <w:ind w:left="2682" w:hanging="360"/>
      </w:pPr>
    </w:lvl>
    <w:lvl w:ilvl="8" w:tplc="0C09001B" w:tentative="1">
      <w:start w:val="1"/>
      <w:numFmt w:val="lowerRoman"/>
      <w:lvlText w:val="%9."/>
      <w:lvlJc w:val="right"/>
      <w:pPr>
        <w:tabs>
          <w:tab w:val="num" w:pos="3402"/>
        </w:tabs>
        <w:ind w:left="3402" w:hanging="180"/>
      </w:pPr>
    </w:lvl>
  </w:abstractNum>
  <w:abstractNum w:abstractNumId="9">
    <w:nsid w:val="2E6106DC"/>
    <w:multiLevelType w:val="hybridMultilevel"/>
    <w:tmpl w:val="BADC0AE4"/>
    <w:lvl w:ilvl="0" w:tplc="4EAA65BC">
      <w:start w:val="1"/>
      <w:numFmt w:val="lowerLetter"/>
      <w:lvlText w:val="(%1)"/>
      <w:lvlJc w:val="left"/>
      <w:pPr>
        <w:tabs>
          <w:tab w:val="num" w:pos="1361"/>
        </w:tabs>
        <w:ind w:left="1361" w:hanging="641"/>
      </w:pPr>
      <w:rPr>
        <w:rFonts w:hint="default"/>
      </w:rPr>
    </w:lvl>
    <w:lvl w:ilvl="1" w:tplc="0C090019" w:tentative="1">
      <w:start w:val="1"/>
      <w:numFmt w:val="lowerLetter"/>
      <w:lvlText w:val="%2."/>
      <w:lvlJc w:val="left"/>
      <w:pPr>
        <w:tabs>
          <w:tab w:val="num" w:pos="-918"/>
        </w:tabs>
        <w:ind w:left="-918" w:hanging="360"/>
      </w:pPr>
    </w:lvl>
    <w:lvl w:ilvl="2" w:tplc="0C09001B" w:tentative="1">
      <w:start w:val="1"/>
      <w:numFmt w:val="lowerRoman"/>
      <w:lvlText w:val="%3."/>
      <w:lvlJc w:val="right"/>
      <w:pPr>
        <w:tabs>
          <w:tab w:val="num" w:pos="-198"/>
        </w:tabs>
        <w:ind w:left="-198" w:hanging="180"/>
      </w:pPr>
    </w:lvl>
    <w:lvl w:ilvl="3" w:tplc="0C09000F" w:tentative="1">
      <w:start w:val="1"/>
      <w:numFmt w:val="decimal"/>
      <w:lvlText w:val="%4."/>
      <w:lvlJc w:val="left"/>
      <w:pPr>
        <w:tabs>
          <w:tab w:val="num" w:pos="522"/>
        </w:tabs>
        <w:ind w:left="522" w:hanging="360"/>
      </w:pPr>
    </w:lvl>
    <w:lvl w:ilvl="4" w:tplc="0C090019" w:tentative="1">
      <w:start w:val="1"/>
      <w:numFmt w:val="lowerLetter"/>
      <w:lvlText w:val="%5."/>
      <w:lvlJc w:val="left"/>
      <w:pPr>
        <w:tabs>
          <w:tab w:val="num" w:pos="1242"/>
        </w:tabs>
        <w:ind w:left="1242" w:hanging="360"/>
      </w:pPr>
    </w:lvl>
    <w:lvl w:ilvl="5" w:tplc="0C09001B" w:tentative="1">
      <w:start w:val="1"/>
      <w:numFmt w:val="lowerRoman"/>
      <w:lvlText w:val="%6."/>
      <w:lvlJc w:val="right"/>
      <w:pPr>
        <w:tabs>
          <w:tab w:val="num" w:pos="1962"/>
        </w:tabs>
        <w:ind w:left="1962" w:hanging="180"/>
      </w:pPr>
    </w:lvl>
    <w:lvl w:ilvl="6" w:tplc="0C09000F" w:tentative="1">
      <w:start w:val="1"/>
      <w:numFmt w:val="decimal"/>
      <w:lvlText w:val="%7."/>
      <w:lvlJc w:val="left"/>
      <w:pPr>
        <w:tabs>
          <w:tab w:val="num" w:pos="2682"/>
        </w:tabs>
        <w:ind w:left="2682" w:hanging="360"/>
      </w:pPr>
    </w:lvl>
    <w:lvl w:ilvl="7" w:tplc="0C090019" w:tentative="1">
      <w:start w:val="1"/>
      <w:numFmt w:val="lowerLetter"/>
      <w:lvlText w:val="%8."/>
      <w:lvlJc w:val="left"/>
      <w:pPr>
        <w:tabs>
          <w:tab w:val="num" w:pos="3402"/>
        </w:tabs>
        <w:ind w:left="3402" w:hanging="360"/>
      </w:pPr>
    </w:lvl>
    <w:lvl w:ilvl="8" w:tplc="0C09001B" w:tentative="1">
      <w:start w:val="1"/>
      <w:numFmt w:val="lowerRoman"/>
      <w:lvlText w:val="%9."/>
      <w:lvlJc w:val="right"/>
      <w:pPr>
        <w:tabs>
          <w:tab w:val="num" w:pos="4122"/>
        </w:tabs>
        <w:ind w:left="4122" w:hanging="180"/>
      </w:pPr>
    </w:lvl>
  </w:abstractNum>
  <w:abstractNum w:abstractNumId="10">
    <w:nsid w:val="329252F4"/>
    <w:multiLevelType w:val="singleLevel"/>
    <w:tmpl w:val="37D443E0"/>
    <w:lvl w:ilvl="0">
      <w:start w:val="9"/>
      <w:numFmt w:val="decimal"/>
      <w:lvlText w:val="%1."/>
      <w:lvlJc w:val="left"/>
      <w:pPr>
        <w:tabs>
          <w:tab w:val="num" w:pos="720"/>
        </w:tabs>
        <w:ind w:left="720" w:hanging="720"/>
      </w:pPr>
      <w:rPr>
        <w:rFonts w:hint="default"/>
        <w:b/>
      </w:rPr>
    </w:lvl>
  </w:abstractNum>
  <w:abstractNum w:abstractNumId="11">
    <w:nsid w:val="3B072FC8"/>
    <w:multiLevelType w:val="hybridMultilevel"/>
    <w:tmpl w:val="384E78F6"/>
    <w:lvl w:ilvl="0" w:tplc="F634DBB4">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2">
    <w:nsid w:val="40B817B4"/>
    <w:multiLevelType w:val="multilevel"/>
    <w:tmpl w:val="6B643E98"/>
    <w:lvl w:ilvl="0">
      <w:start w:val="1"/>
      <w:numFmt w:val="lowerLetter"/>
      <w:lvlText w:val="(%1)"/>
      <w:lvlJc w:val="left"/>
      <w:pPr>
        <w:tabs>
          <w:tab w:val="num" w:pos="1440"/>
        </w:tabs>
        <w:ind w:left="144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564508D"/>
    <w:multiLevelType w:val="hybridMultilevel"/>
    <w:tmpl w:val="50B497A8"/>
    <w:lvl w:ilvl="0" w:tplc="A0AED5C4">
      <w:start w:val="1"/>
      <w:numFmt w:val="lowerLetter"/>
      <w:lvlText w:val="(%1)"/>
      <w:lvlJc w:val="left"/>
      <w:pPr>
        <w:tabs>
          <w:tab w:val="num" w:pos="1492"/>
        </w:tabs>
        <w:ind w:left="1492" w:hanging="641"/>
      </w:pPr>
      <w:rPr>
        <w:rFonts w:hint="default"/>
        <w:b w:val="0"/>
      </w:rPr>
    </w:lvl>
    <w:lvl w:ilvl="1" w:tplc="0C090019" w:tentative="1">
      <w:start w:val="1"/>
      <w:numFmt w:val="lowerLetter"/>
      <w:lvlText w:val="%2."/>
      <w:lvlJc w:val="left"/>
      <w:pPr>
        <w:tabs>
          <w:tab w:val="num" w:pos="-1638"/>
        </w:tabs>
        <w:ind w:left="-1638" w:hanging="360"/>
      </w:pPr>
    </w:lvl>
    <w:lvl w:ilvl="2" w:tplc="0C09001B" w:tentative="1">
      <w:start w:val="1"/>
      <w:numFmt w:val="lowerRoman"/>
      <w:lvlText w:val="%3."/>
      <w:lvlJc w:val="right"/>
      <w:pPr>
        <w:tabs>
          <w:tab w:val="num" w:pos="-918"/>
        </w:tabs>
        <w:ind w:left="-918" w:hanging="180"/>
      </w:pPr>
    </w:lvl>
    <w:lvl w:ilvl="3" w:tplc="0C09000F" w:tentative="1">
      <w:start w:val="1"/>
      <w:numFmt w:val="decimal"/>
      <w:lvlText w:val="%4."/>
      <w:lvlJc w:val="left"/>
      <w:pPr>
        <w:tabs>
          <w:tab w:val="num" w:pos="-198"/>
        </w:tabs>
        <w:ind w:left="-198" w:hanging="360"/>
      </w:pPr>
    </w:lvl>
    <w:lvl w:ilvl="4" w:tplc="0C090019" w:tentative="1">
      <w:start w:val="1"/>
      <w:numFmt w:val="lowerLetter"/>
      <w:lvlText w:val="%5."/>
      <w:lvlJc w:val="left"/>
      <w:pPr>
        <w:tabs>
          <w:tab w:val="num" w:pos="522"/>
        </w:tabs>
        <w:ind w:left="522" w:hanging="360"/>
      </w:pPr>
    </w:lvl>
    <w:lvl w:ilvl="5" w:tplc="0C09001B" w:tentative="1">
      <w:start w:val="1"/>
      <w:numFmt w:val="lowerRoman"/>
      <w:lvlText w:val="%6."/>
      <w:lvlJc w:val="right"/>
      <w:pPr>
        <w:tabs>
          <w:tab w:val="num" w:pos="1242"/>
        </w:tabs>
        <w:ind w:left="1242" w:hanging="180"/>
      </w:pPr>
    </w:lvl>
    <w:lvl w:ilvl="6" w:tplc="0C09000F" w:tentative="1">
      <w:start w:val="1"/>
      <w:numFmt w:val="decimal"/>
      <w:lvlText w:val="%7."/>
      <w:lvlJc w:val="left"/>
      <w:pPr>
        <w:tabs>
          <w:tab w:val="num" w:pos="1962"/>
        </w:tabs>
        <w:ind w:left="1962" w:hanging="360"/>
      </w:pPr>
    </w:lvl>
    <w:lvl w:ilvl="7" w:tplc="0C090019" w:tentative="1">
      <w:start w:val="1"/>
      <w:numFmt w:val="lowerLetter"/>
      <w:lvlText w:val="%8."/>
      <w:lvlJc w:val="left"/>
      <w:pPr>
        <w:tabs>
          <w:tab w:val="num" w:pos="2682"/>
        </w:tabs>
        <w:ind w:left="2682" w:hanging="360"/>
      </w:pPr>
    </w:lvl>
    <w:lvl w:ilvl="8" w:tplc="0C09001B" w:tentative="1">
      <w:start w:val="1"/>
      <w:numFmt w:val="lowerRoman"/>
      <w:lvlText w:val="%9."/>
      <w:lvlJc w:val="right"/>
      <w:pPr>
        <w:tabs>
          <w:tab w:val="num" w:pos="3402"/>
        </w:tabs>
        <w:ind w:left="3402" w:hanging="180"/>
      </w:pPr>
    </w:lvl>
  </w:abstractNum>
  <w:abstractNum w:abstractNumId="14">
    <w:nsid w:val="490E6070"/>
    <w:multiLevelType w:val="singleLevel"/>
    <w:tmpl w:val="544A35C6"/>
    <w:lvl w:ilvl="0">
      <w:start w:val="1"/>
      <w:numFmt w:val="lowerLetter"/>
      <w:lvlText w:val="(%1)"/>
      <w:lvlJc w:val="left"/>
      <w:pPr>
        <w:tabs>
          <w:tab w:val="num" w:pos="1440"/>
        </w:tabs>
        <w:ind w:left="1440" w:hanging="720"/>
      </w:pPr>
      <w:rPr>
        <w:rFonts w:hint="default"/>
      </w:rPr>
    </w:lvl>
  </w:abstractNum>
  <w:abstractNum w:abstractNumId="15">
    <w:nsid w:val="4BFE1A39"/>
    <w:multiLevelType w:val="multilevel"/>
    <w:tmpl w:val="C4D4B37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C7568DE"/>
    <w:multiLevelType w:val="singleLevel"/>
    <w:tmpl w:val="0128C5AC"/>
    <w:lvl w:ilvl="0">
      <w:start w:val="2"/>
      <w:numFmt w:val="lowerLetter"/>
      <w:lvlText w:val="(%1)"/>
      <w:lvlJc w:val="left"/>
      <w:pPr>
        <w:tabs>
          <w:tab w:val="num" w:pos="1429"/>
        </w:tabs>
        <w:ind w:left="1429" w:hanging="720"/>
      </w:pPr>
      <w:rPr>
        <w:rFonts w:hint="default"/>
        <w:sz w:val="24"/>
        <w:szCs w:val="24"/>
      </w:rPr>
    </w:lvl>
  </w:abstractNum>
  <w:abstractNum w:abstractNumId="17">
    <w:nsid w:val="4ED17128"/>
    <w:multiLevelType w:val="singleLevel"/>
    <w:tmpl w:val="DA7C8A0A"/>
    <w:lvl w:ilvl="0">
      <w:start w:val="1"/>
      <w:numFmt w:val="lowerLetter"/>
      <w:lvlText w:val="(%1)"/>
      <w:lvlJc w:val="left"/>
      <w:pPr>
        <w:tabs>
          <w:tab w:val="num" w:pos="1440"/>
        </w:tabs>
        <w:ind w:left="1440" w:hanging="720"/>
      </w:pPr>
      <w:rPr>
        <w:rFonts w:ascii="Times New Roman" w:hAnsi="Times New Roman" w:hint="default"/>
        <w:b w:val="0"/>
        <w:i w:val="0"/>
        <w:sz w:val="24"/>
      </w:rPr>
    </w:lvl>
  </w:abstractNum>
  <w:abstractNum w:abstractNumId="18">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6E43176"/>
    <w:multiLevelType w:val="hybridMultilevel"/>
    <w:tmpl w:val="6B643E98"/>
    <w:lvl w:ilvl="0" w:tplc="980C9870">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74958E3"/>
    <w:multiLevelType w:val="hybridMultilevel"/>
    <w:tmpl w:val="607ABEBE"/>
    <w:lvl w:ilvl="0" w:tplc="15E8E932">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tabs>
          <w:tab w:val="num" w:pos="1451"/>
        </w:tabs>
        <w:ind w:left="1451" w:hanging="360"/>
      </w:pPr>
    </w:lvl>
    <w:lvl w:ilvl="2" w:tplc="0C09001B" w:tentative="1">
      <w:start w:val="1"/>
      <w:numFmt w:val="lowerRoman"/>
      <w:lvlText w:val="%3."/>
      <w:lvlJc w:val="right"/>
      <w:pPr>
        <w:tabs>
          <w:tab w:val="num" w:pos="2171"/>
        </w:tabs>
        <w:ind w:left="2171" w:hanging="180"/>
      </w:pPr>
    </w:lvl>
    <w:lvl w:ilvl="3" w:tplc="0C09000F" w:tentative="1">
      <w:start w:val="1"/>
      <w:numFmt w:val="decimal"/>
      <w:lvlText w:val="%4."/>
      <w:lvlJc w:val="left"/>
      <w:pPr>
        <w:tabs>
          <w:tab w:val="num" w:pos="2891"/>
        </w:tabs>
        <w:ind w:left="2891" w:hanging="360"/>
      </w:pPr>
    </w:lvl>
    <w:lvl w:ilvl="4" w:tplc="0C090019" w:tentative="1">
      <w:start w:val="1"/>
      <w:numFmt w:val="lowerLetter"/>
      <w:lvlText w:val="%5."/>
      <w:lvlJc w:val="left"/>
      <w:pPr>
        <w:tabs>
          <w:tab w:val="num" w:pos="3611"/>
        </w:tabs>
        <w:ind w:left="3611" w:hanging="360"/>
      </w:pPr>
    </w:lvl>
    <w:lvl w:ilvl="5" w:tplc="0C09001B" w:tentative="1">
      <w:start w:val="1"/>
      <w:numFmt w:val="lowerRoman"/>
      <w:lvlText w:val="%6."/>
      <w:lvlJc w:val="right"/>
      <w:pPr>
        <w:tabs>
          <w:tab w:val="num" w:pos="4331"/>
        </w:tabs>
        <w:ind w:left="4331" w:hanging="180"/>
      </w:pPr>
    </w:lvl>
    <w:lvl w:ilvl="6" w:tplc="0C09000F" w:tentative="1">
      <w:start w:val="1"/>
      <w:numFmt w:val="decimal"/>
      <w:lvlText w:val="%7."/>
      <w:lvlJc w:val="left"/>
      <w:pPr>
        <w:tabs>
          <w:tab w:val="num" w:pos="5051"/>
        </w:tabs>
        <w:ind w:left="5051" w:hanging="360"/>
      </w:pPr>
    </w:lvl>
    <w:lvl w:ilvl="7" w:tplc="0C090019" w:tentative="1">
      <w:start w:val="1"/>
      <w:numFmt w:val="lowerLetter"/>
      <w:lvlText w:val="%8."/>
      <w:lvlJc w:val="left"/>
      <w:pPr>
        <w:tabs>
          <w:tab w:val="num" w:pos="5771"/>
        </w:tabs>
        <w:ind w:left="5771" w:hanging="360"/>
      </w:pPr>
    </w:lvl>
    <w:lvl w:ilvl="8" w:tplc="0C09001B" w:tentative="1">
      <w:start w:val="1"/>
      <w:numFmt w:val="lowerRoman"/>
      <w:lvlText w:val="%9."/>
      <w:lvlJc w:val="right"/>
      <w:pPr>
        <w:tabs>
          <w:tab w:val="num" w:pos="6491"/>
        </w:tabs>
        <w:ind w:left="6491" w:hanging="180"/>
      </w:pPr>
    </w:lvl>
  </w:abstractNum>
  <w:abstractNum w:abstractNumId="21">
    <w:nsid w:val="59CE009D"/>
    <w:multiLevelType w:val="singleLevel"/>
    <w:tmpl w:val="271E281A"/>
    <w:lvl w:ilvl="0">
      <w:start w:val="1"/>
      <w:numFmt w:val="decimal"/>
      <w:lvlText w:val="%1."/>
      <w:lvlJc w:val="left"/>
      <w:pPr>
        <w:tabs>
          <w:tab w:val="num" w:pos="720"/>
        </w:tabs>
        <w:ind w:left="720" w:hanging="720"/>
      </w:pPr>
      <w:rPr>
        <w:rFonts w:hint="default"/>
        <w:b/>
      </w:rPr>
    </w:lvl>
  </w:abstractNum>
  <w:abstractNum w:abstractNumId="22">
    <w:nsid w:val="5AEC65BF"/>
    <w:multiLevelType w:val="hybridMultilevel"/>
    <w:tmpl w:val="5C4ADA9A"/>
    <w:lvl w:ilvl="0" w:tplc="23ACE506">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6F5D1ED5"/>
    <w:multiLevelType w:val="hybridMultilevel"/>
    <w:tmpl w:val="2F54EF76"/>
    <w:lvl w:ilvl="0" w:tplc="4EAA65BC">
      <w:start w:val="1"/>
      <w:numFmt w:val="lowerLetter"/>
      <w:lvlText w:val="(%1)"/>
      <w:lvlJc w:val="left"/>
      <w:pPr>
        <w:tabs>
          <w:tab w:val="num" w:pos="1282"/>
        </w:tabs>
        <w:ind w:left="1282" w:hanging="641"/>
      </w:pPr>
      <w:rPr>
        <w:rFonts w:hint="default"/>
      </w:rPr>
    </w:lvl>
    <w:lvl w:ilvl="1" w:tplc="0C090019" w:tentative="1">
      <w:start w:val="1"/>
      <w:numFmt w:val="lowerLetter"/>
      <w:lvlText w:val="%2."/>
      <w:lvlJc w:val="left"/>
      <w:pPr>
        <w:tabs>
          <w:tab w:val="num" w:pos="-997"/>
        </w:tabs>
        <w:ind w:left="-997" w:hanging="360"/>
      </w:pPr>
    </w:lvl>
    <w:lvl w:ilvl="2" w:tplc="0C09001B" w:tentative="1">
      <w:start w:val="1"/>
      <w:numFmt w:val="lowerRoman"/>
      <w:lvlText w:val="%3."/>
      <w:lvlJc w:val="right"/>
      <w:pPr>
        <w:tabs>
          <w:tab w:val="num" w:pos="-277"/>
        </w:tabs>
        <w:ind w:left="-277" w:hanging="180"/>
      </w:pPr>
    </w:lvl>
    <w:lvl w:ilvl="3" w:tplc="0C09000F" w:tentative="1">
      <w:start w:val="1"/>
      <w:numFmt w:val="decimal"/>
      <w:lvlText w:val="%4."/>
      <w:lvlJc w:val="left"/>
      <w:pPr>
        <w:tabs>
          <w:tab w:val="num" w:pos="443"/>
        </w:tabs>
        <w:ind w:left="443" w:hanging="360"/>
      </w:pPr>
    </w:lvl>
    <w:lvl w:ilvl="4" w:tplc="0C090019" w:tentative="1">
      <w:start w:val="1"/>
      <w:numFmt w:val="lowerLetter"/>
      <w:lvlText w:val="%5."/>
      <w:lvlJc w:val="left"/>
      <w:pPr>
        <w:tabs>
          <w:tab w:val="num" w:pos="1163"/>
        </w:tabs>
        <w:ind w:left="1163" w:hanging="360"/>
      </w:pPr>
    </w:lvl>
    <w:lvl w:ilvl="5" w:tplc="0C09001B" w:tentative="1">
      <w:start w:val="1"/>
      <w:numFmt w:val="lowerRoman"/>
      <w:lvlText w:val="%6."/>
      <w:lvlJc w:val="right"/>
      <w:pPr>
        <w:tabs>
          <w:tab w:val="num" w:pos="1883"/>
        </w:tabs>
        <w:ind w:left="1883" w:hanging="180"/>
      </w:pPr>
    </w:lvl>
    <w:lvl w:ilvl="6" w:tplc="0C09000F" w:tentative="1">
      <w:start w:val="1"/>
      <w:numFmt w:val="decimal"/>
      <w:lvlText w:val="%7."/>
      <w:lvlJc w:val="left"/>
      <w:pPr>
        <w:tabs>
          <w:tab w:val="num" w:pos="2603"/>
        </w:tabs>
        <w:ind w:left="2603" w:hanging="360"/>
      </w:pPr>
    </w:lvl>
    <w:lvl w:ilvl="7" w:tplc="0C090019" w:tentative="1">
      <w:start w:val="1"/>
      <w:numFmt w:val="lowerLetter"/>
      <w:lvlText w:val="%8."/>
      <w:lvlJc w:val="left"/>
      <w:pPr>
        <w:tabs>
          <w:tab w:val="num" w:pos="3323"/>
        </w:tabs>
        <w:ind w:left="3323" w:hanging="360"/>
      </w:pPr>
    </w:lvl>
    <w:lvl w:ilvl="8" w:tplc="0C09001B" w:tentative="1">
      <w:start w:val="1"/>
      <w:numFmt w:val="lowerRoman"/>
      <w:lvlText w:val="%9."/>
      <w:lvlJc w:val="right"/>
      <w:pPr>
        <w:tabs>
          <w:tab w:val="num" w:pos="4043"/>
        </w:tabs>
        <w:ind w:left="4043" w:hanging="180"/>
      </w:pPr>
    </w:lvl>
  </w:abstractNum>
  <w:abstractNum w:abstractNumId="24">
    <w:nsid w:val="71941A2E"/>
    <w:multiLevelType w:val="multilevel"/>
    <w:tmpl w:val="7F6A9F9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703052B"/>
    <w:multiLevelType w:val="multilevel"/>
    <w:tmpl w:val="BEB23070"/>
    <w:lvl w:ilvl="0">
      <w:start w:val="1"/>
      <w:numFmt w:val="lowerLetter"/>
      <w:lvlText w:val="(%1)"/>
      <w:lvlJc w:val="left"/>
      <w:pPr>
        <w:tabs>
          <w:tab w:val="num" w:pos="1440"/>
        </w:tabs>
        <w:ind w:left="144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502709"/>
    <w:multiLevelType w:val="singleLevel"/>
    <w:tmpl w:val="E3C80D3A"/>
    <w:lvl w:ilvl="0">
      <w:start w:val="4"/>
      <w:numFmt w:val="lowerLetter"/>
      <w:lvlText w:val="(%1)"/>
      <w:lvlJc w:val="left"/>
      <w:pPr>
        <w:tabs>
          <w:tab w:val="num" w:pos="1429"/>
        </w:tabs>
        <w:ind w:left="1429" w:hanging="720"/>
      </w:pPr>
      <w:rPr>
        <w:sz w:val="24"/>
        <w:szCs w:val="24"/>
      </w:rPr>
    </w:lvl>
  </w:abstractNum>
  <w:num w:numId="1">
    <w:abstractNumId w:val="10"/>
  </w:num>
  <w:num w:numId="2">
    <w:abstractNumId w:val="16"/>
  </w:num>
  <w:num w:numId="3">
    <w:abstractNumId w:val="14"/>
  </w:num>
  <w:num w:numId="4">
    <w:abstractNumId w:val="17"/>
  </w:num>
  <w:num w:numId="5">
    <w:abstractNumId w:val="7"/>
  </w:num>
  <w:num w:numId="6">
    <w:abstractNumId w:val="26"/>
  </w:num>
  <w:num w:numId="7">
    <w:abstractNumId w:val="21"/>
  </w:num>
  <w:num w:numId="8">
    <w:abstractNumId w:val="3"/>
  </w:num>
  <w:num w:numId="9">
    <w:abstractNumId w:val="19"/>
  </w:num>
  <w:num w:numId="10">
    <w:abstractNumId w:val="12"/>
  </w:num>
  <w:num w:numId="11">
    <w:abstractNumId w:val="0"/>
  </w:num>
  <w:num w:numId="12">
    <w:abstractNumId w:val="25"/>
  </w:num>
  <w:num w:numId="13">
    <w:abstractNumId w:val="22"/>
  </w:num>
  <w:num w:numId="14">
    <w:abstractNumId w:val="18"/>
  </w:num>
  <w:num w:numId="15">
    <w:abstractNumId w:val="8"/>
  </w:num>
  <w:num w:numId="16">
    <w:abstractNumId w:val="5"/>
  </w:num>
  <w:num w:numId="17">
    <w:abstractNumId w:val="24"/>
  </w:num>
  <w:num w:numId="18">
    <w:abstractNumId w:val="9"/>
  </w:num>
  <w:num w:numId="19">
    <w:abstractNumId w:val="23"/>
  </w:num>
  <w:num w:numId="20">
    <w:abstractNumId w:val="2"/>
  </w:num>
  <w:num w:numId="21">
    <w:abstractNumId w:val="13"/>
  </w:num>
  <w:num w:numId="22">
    <w:abstractNumId w:val="4"/>
  </w:num>
  <w:num w:numId="23">
    <w:abstractNumId w:val="6"/>
  </w:num>
  <w:num w:numId="24">
    <w:abstractNumId w:val="20"/>
  </w:num>
  <w:num w:numId="25">
    <w:abstractNumId w:val="11"/>
  </w:num>
  <w:num w:numId="26">
    <w:abstractNumId w:val="1"/>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FractionalCharacterWidth/>
  <w:hideGrammaticalErrors/>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ED"/>
    <w:rsid w:val="00007019"/>
    <w:rsid w:val="00020A12"/>
    <w:rsid w:val="00066F83"/>
    <w:rsid w:val="000B2783"/>
    <w:rsid w:val="00117A40"/>
    <w:rsid w:val="001340F1"/>
    <w:rsid w:val="0014517C"/>
    <w:rsid w:val="0016490C"/>
    <w:rsid w:val="001B3C9D"/>
    <w:rsid w:val="002A0DE4"/>
    <w:rsid w:val="002F0BF2"/>
    <w:rsid w:val="00300569"/>
    <w:rsid w:val="003E5456"/>
    <w:rsid w:val="004242E0"/>
    <w:rsid w:val="00457044"/>
    <w:rsid w:val="00474FE6"/>
    <w:rsid w:val="004D6662"/>
    <w:rsid w:val="0054401B"/>
    <w:rsid w:val="00671DED"/>
    <w:rsid w:val="006922B7"/>
    <w:rsid w:val="00733E4C"/>
    <w:rsid w:val="00A03380"/>
    <w:rsid w:val="00A86130"/>
    <w:rsid w:val="00AB16E5"/>
    <w:rsid w:val="00AB4EF4"/>
    <w:rsid w:val="00B901CC"/>
    <w:rsid w:val="00B95F15"/>
    <w:rsid w:val="00CD08FE"/>
    <w:rsid w:val="00E57B3F"/>
    <w:rsid w:val="00F138A5"/>
    <w:rsid w:val="00FD0F60"/>
    <w:rsid w:val="00FE0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eastAsia="en-US"/>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autoRedefine/>
    <w:pPr>
      <w:keepNext/>
      <w:spacing w:before="240" w:after="120" w:line="240" w:lineRule="auto"/>
      <w:ind w:left="0"/>
      <w:outlineLvl w:val="0"/>
    </w:pPr>
    <w:rPr>
      <w:b/>
      <w:bCs/>
      <w:sz w:val="24"/>
      <w:szCs w:val="24"/>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customStyle="1" w:styleId="Styleclauseheading12pt">
    <w:name w:val="Style clause heading + 12 pt"/>
    <w:basedOn w:val="clauseheading"/>
    <w:autoRedefine/>
    <w:rPr>
      <w:bCs w:val="0"/>
    </w:rPr>
  </w:style>
  <w:style w:type="paragraph" w:styleId="ListParagraph">
    <w:name w:val="List Paragraph"/>
    <w:basedOn w:val="Normal"/>
    <w:uiPriority w:val="34"/>
    <w:qFormat/>
    <w:rsid w:val="002F0BF2"/>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atLeast"/>
      <w:ind w:left="720"/>
      <w:jc w:val="both"/>
    </w:pPr>
    <w:rPr>
      <w:rFonts w:ascii="Times New Roman" w:hAnsi="Times New Roman"/>
      <w:sz w:val="26"/>
      <w:lang w:val="en-GB" w:eastAsia="en-US"/>
    </w:rPr>
  </w:style>
  <w:style w:type="paragraph" w:styleId="Heading1">
    <w:name w:val="heading 1"/>
    <w:basedOn w:val="Normal"/>
    <w:next w:val="Normal"/>
    <w:qFormat/>
    <w:pPr>
      <w:spacing w:before="240" w:after="240"/>
      <w:outlineLvl w:val="0"/>
    </w:pPr>
    <w:rPr>
      <w:rFonts w:ascii="Arial (W1)" w:hAnsi="Arial (W1)"/>
      <w:b/>
      <w:sz w:val="28"/>
    </w:rPr>
  </w:style>
  <w:style w:type="paragraph" w:styleId="Heading2">
    <w:name w:val="heading 2"/>
    <w:basedOn w:val="Normal"/>
    <w:next w:val="Normal"/>
    <w:qFormat/>
    <w:pPr>
      <w:spacing w:before="120" w:after="120"/>
      <w:outlineLvl w:val="1"/>
    </w:pPr>
    <w:rPr>
      <w:rFonts w:ascii="Arial (W1)" w:hAnsi="Arial (W1)"/>
      <w:b/>
    </w:rPr>
  </w:style>
  <w:style w:type="paragraph" w:styleId="Heading3">
    <w:name w:val="heading 3"/>
    <w:basedOn w:val="Normal"/>
    <w:next w:val="NormalIndent"/>
    <w:qFormat/>
    <w:pPr>
      <w:outlineLvl w:val="2"/>
    </w:pPr>
    <w:rPr>
      <w:b/>
    </w:rPr>
  </w:style>
  <w:style w:type="paragraph" w:styleId="Heading4">
    <w:name w:val="heading 4"/>
    <w:basedOn w:val="Normal"/>
    <w:next w:val="NormalIndent"/>
    <w:qFormat/>
    <w:pPr>
      <w:ind w:left="360"/>
      <w:outlineLvl w:val="3"/>
    </w:pPr>
    <w:rPr>
      <w:rFonts w:ascii="Times New (W1)" w:hAnsi="Times New (W1)"/>
      <w:sz w:val="24"/>
      <w:u w:val="single"/>
    </w:rPr>
  </w:style>
  <w:style w:type="paragraph" w:styleId="Heading5">
    <w:name w:val="heading 5"/>
    <w:basedOn w:val="Normal"/>
    <w:next w:val="NormalIndent"/>
    <w:qFormat/>
    <w:pPr>
      <w:outlineLvl w:val="4"/>
    </w:pPr>
    <w:rPr>
      <w:rFonts w:ascii="Times New (W1)" w:hAnsi="Times New (W1)"/>
      <w:b/>
      <w:sz w:val="20"/>
    </w:rPr>
  </w:style>
  <w:style w:type="paragraph" w:styleId="Heading6">
    <w:name w:val="heading 6"/>
    <w:basedOn w:val="Normal"/>
    <w:next w:val="NormalIndent"/>
    <w:qFormat/>
    <w:pPr>
      <w:outlineLvl w:val="5"/>
    </w:pPr>
    <w:rPr>
      <w:rFonts w:ascii="Times New (W1)" w:hAnsi="Times New (W1)"/>
      <w:sz w:val="20"/>
      <w:u w:val="single"/>
    </w:rPr>
  </w:style>
  <w:style w:type="paragraph" w:styleId="Heading7">
    <w:name w:val="heading 7"/>
    <w:basedOn w:val="Normal"/>
    <w:next w:val="NormalIndent"/>
    <w:qFormat/>
    <w:pPr>
      <w:outlineLvl w:val="6"/>
    </w:pPr>
    <w:rPr>
      <w:rFonts w:ascii="Times New (W1)" w:hAnsi="Times New (W1)"/>
      <w:i/>
      <w:sz w:val="20"/>
    </w:rPr>
  </w:style>
  <w:style w:type="paragraph" w:styleId="Heading8">
    <w:name w:val="heading 8"/>
    <w:basedOn w:val="Normal"/>
    <w:next w:val="NormalIndent"/>
    <w:qFormat/>
    <w:pPr>
      <w:outlineLvl w:val="7"/>
    </w:pPr>
    <w:rPr>
      <w:rFonts w:ascii="Times New (W1)" w:hAnsi="Times New (W1)"/>
      <w:i/>
      <w:sz w:val="20"/>
    </w:rPr>
  </w:style>
  <w:style w:type="paragraph" w:styleId="Heading9">
    <w:name w:val="heading 9"/>
    <w:basedOn w:val="Normal"/>
    <w:next w:val="NormalIndent"/>
    <w:qFormat/>
    <w:pPr>
      <w:outlineLvl w:val="8"/>
    </w:pPr>
    <w:rPr>
      <w:rFonts w:ascii="Times New (W1)" w:hAnsi="Times New (W1)"/>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Footer">
    <w:name w:val="footer"/>
    <w:basedOn w:val="Normal"/>
    <w:pPr>
      <w:tabs>
        <w:tab w:val="center" w:pos="4252"/>
        <w:tab w:val="right" w:pos="8504"/>
      </w:tabs>
      <w:spacing w:before="120" w:line="240" w:lineRule="auto"/>
    </w:pPr>
    <w:rPr>
      <w:b/>
      <w:sz w:val="16"/>
    </w:r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headingshd">
    <w:name w:val="headingshd"/>
    <w:basedOn w:val="Normal"/>
    <w:next w:val="Normal"/>
    <w:pPr>
      <w:pBdr>
        <w:top w:val="single" w:sz="12" w:space="1" w:color="auto" w:shadow="1"/>
        <w:left w:val="single" w:sz="12" w:space="1" w:color="auto" w:shadow="1"/>
        <w:bottom w:val="single" w:sz="12" w:space="1" w:color="auto" w:shadow="1"/>
        <w:right w:val="single" w:sz="12" w:space="1" w:color="auto" w:shadow="1"/>
      </w:pBdr>
      <w:shd w:val="pct10" w:color="auto" w:fill="auto"/>
      <w:spacing w:line="240" w:lineRule="auto"/>
      <w:jc w:val="center"/>
    </w:pPr>
    <w:rPr>
      <w:sz w:val="20"/>
    </w:rPr>
  </w:style>
  <w:style w:type="paragraph" w:customStyle="1" w:styleId="underline">
    <w:name w:val="underline"/>
    <w:basedOn w:val="Normal"/>
    <w:next w:val="Normal"/>
    <w:pPr>
      <w:pBdr>
        <w:bottom w:val="single" w:sz="18" w:space="1" w:color="auto"/>
      </w:pBdr>
      <w:spacing w:line="240" w:lineRule="auto"/>
    </w:pPr>
    <w:rPr>
      <w:rFonts w:ascii="Bookman" w:hAnsi="Bookman"/>
    </w:rPr>
  </w:style>
  <w:style w:type="paragraph" w:customStyle="1" w:styleId="GD">
    <w:name w:val="GD"/>
    <w:basedOn w:val="Normal"/>
    <w:pPr>
      <w:spacing w:line="240" w:lineRule="auto"/>
    </w:pPr>
  </w:style>
  <w:style w:type="paragraph" w:customStyle="1" w:styleId="Draft">
    <w:name w:val="Draft"/>
    <w:basedOn w:val="Normal"/>
    <w:pPr>
      <w:pBdr>
        <w:top w:val="single" w:sz="6" w:space="1" w:color="auto"/>
        <w:left w:val="single" w:sz="6" w:space="1" w:color="auto"/>
        <w:bottom w:val="single" w:sz="6" w:space="1" w:color="auto"/>
        <w:right w:val="single" w:sz="6" w:space="1" w:color="auto"/>
      </w:pBdr>
      <w:shd w:val="pct5" w:color="auto" w:fill="auto"/>
      <w:jc w:val="center"/>
    </w:pPr>
    <w:rPr>
      <w:sz w:val="30"/>
    </w:rPr>
  </w:style>
  <w:style w:type="paragraph" w:customStyle="1" w:styleId="sop">
    <w:name w:val="sop"/>
    <w:basedOn w:val="Normal"/>
    <w:pPr>
      <w:spacing w:before="240" w:after="240"/>
      <w:jc w:val="center"/>
    </w:pPr>
    <w:rPr>
      <w:sz w:val="36"/>
    </w:rPr>
  </w:style>
  <w:style w:type="paragraph" w:customStyle="1" w:styleId="ICD">
    <w:name w:val="ICD"/>
    <w:basedOn w:val="Normal"/>
    <w:pPr>
      <w:spacing w:before="240" w:after="240"/>
      <w:jc w:val="center"/>
    </w:pPr>
    <w:rPr>
      <w:b/>
      <w:caps/>
      <w:sz w:val="30"/>
    </w:rPr>
  </w:style>
  <w:style w:type="paragraph" w:customStyle="1" w:styleId="clauseheading">
    <w:name w:val="clause heading"/>
    <w:basedOn w:val="Normal"/>
    <w:autoRedefine/>
    <w:pPr>
      <w:keepNext/>
      <w:spacing w:before="240" w:after="120" w:line="240" w:lineRule="auto"/>
      <w:ind w:left="0"/>
      <w:outlineLvl w:val="0"/>
    </w:pPr>
    <w:rPr>
      <w:b/>
      <w:bCs/>
      <w:sz w:val="24"/>
      <w:szCs w:val="24"/>
      <w:lang w:val="en-AU"/>
    </w:rPr>
  </w:style>
  <w:style w:type="paragraph" w:styleId="BodyTextIndent">
    <w:name w:val="Body Text Indent"/>
    <w:basedOn w:val="Normal"/>
    <w:pPr>
      <w:ind w:left="1440" w:hanging="720"/>
    </w:pPr>
  </w:style>
  <w:style w:type="paragraph" w:styleId="BodyTextIndent3">
    <w:name w:val="Body Text Indent 3"/>
    <w:basedOn w:val="Normal"/>
    <w:pPr>
      <w:spacing w:line="240" w:lineRule="auto"/>
      <w:jc w:val="left"/>
    </w:pPr>
    <w:rPr>
      <w:i/>
      <w:sz w:val="24"/>
      <w:lang w:val="en-AU"/>
    </w:rPr>
  </w:style>
  <w:style w:type="paragraph" w:styleId="BodyTextIndent2">
    <w:name w:val="Body Text Indent 2"/>
    <w:basedOn w:val="Normal"/>
    <w:pPr>
      <w:ind w:left="1440" w:hanging="720"/>
    </w:pPr>
    <w:rPr>
      <w:i/>
    </w:rPr>
  </w:style>
  <w:style w:type="paragraph" w:customStyle="1" w:styleId="NormalIndent1">
    <w:name w:val="Normal Indent1"/>
    <w:basedOn w:val="Normal"/>
  </w:style>
  <w:style w:type="paragraph" w:customStyle="1" w:styleId="OmniPage7">
    <w:name w:val="OmniPage #7"/>
    <w:basedOn w:val="Normal"/>
    <w:pPr>
      <w:spacing w:line="307" w:lineRule="exact"/>
      <w:ind w:left="58" w:right="197"/>
      <w:jc w:val="left"/>
    </w:pPr>
    <w:rPr>
      <w:noProof/>
      <w:sz w:val="20"/>
    </w:rPr>
  </w:style>
  <w:style w:type="paragraph" w:styleId="BodyText">
    <w:name w:val="Body Text"/>
    <w:basedOn w:val="Normal"/>
    <w:pPr>
      <w:spacing w:line="240" w:lineRule="auto"/>
      <w:ind w:left="0"/>
      <w:jc w:val="left"/>
    </w:pPr>
    <w:rPr>
      <w:sz w:val="24"/>
      <w:lang w:val="en-AU"/>
    </w:rPr>
  </w:style>
  <w:style w:type="character" w:styleId="PageNumber">
    <w:name w:val="page number"/>
    <w:basedOn w:val="DefaultParagraphFont"/>
  </w:style>
  <w:style w:type="paragraph" w:styleId="BodyText2">
    <w:name w:val="Body Text 2"/>
    <w:basedOn w:val="Normal"/>
    <w:pPr>
      <w:spacing w:line="240" w:lineRule="auto"/>
      <w:ind w:left="0" w:right="98"/>
    </w:pPr>
    <w:rPr>
      <w:sz w:val="20"/>
      <w:lang w:val="en-AU"/>
    </w:rPr>
  </w:style>
  <w:style w:type="paragraph" w:styleId="BlockText">
    <w:name w:val="Block Text"/>
    <w:basedOn w:val="Normal"/>
    <w:pPr>
      <w:ind w:left="1440" w:right="98" w:hanging="731"/>
    </w:pPr>
    <w:rPr>
      <w:i/>
    </w:rPr>
  </w:style>
  <w:style w:type="paragraph" w:styleId="BodyText3">
    <w:name w:val="Body Text 3"/>
    <w:basedOn w:val="Normal"/>
    <w:pPr>
      <w:spacing w:line="240" w:lineRule="auto"/>
      <w:ind w:left="0"/>
      <w:jc w:val="left"/>
    </w:pPr>
    <w:rPr>
      <w:b/>
      <w:sz w:val="24"/>
      <w:lang w:val="en-AU"/>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rPr>
  </w:style>
  <w:style w:type="paragraph" w:customStyle="1" w:styleId="Styleclauseheading12pt">
    <w:name w:val="Style clause heading + 12 pt"/>
    <w:basedOn w:val="clauseheading"/>
    <w:autoRedefine/>
    <w:rPr>
      <w:bCs w:val="0"/>
    </w:rPr>
  </w:style>
  <w:style w:type="paragraph" w:styleId="ListParagraph">
    <w:name w:val="List Paragraph"/>
    <w:basedOn w:val="Normal"/>
    <w:uiPriority w:val="34"/>
    <w:qFormat/>
    <w:rsid w:val="002F0BF2"/>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8029-4B0E-4278-9E3E-50A7B3D6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2623</Words>
  <Characters>13679</Characters>
  <Application>Microsoft Office Word</Application>
  <DocSecurity>0</DocSecurity>
  <Lines>113</Lines>
  <Paragraphs>32</Paragraphs>
  <ScaleCrop>false</ScaleCrop>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2015-04-28T00:25:00Z</dcterms:created>
  <dcterms:modified xsi:type="dcterms:W3CDTF">2015-04-28T00:25:00Z</dcterms:modified>
</cp:coreProperties>
</file>