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DB0AA9" w:rsidRDefault="00DA186E" w:rsidP="00B05CF4">
      <w:pPr>
        <w:rPr>
          <w:sz w:val="28"/>
        </w:rPr>
      </w:pPr>
      <w:r w:rsidRPr="00DB0AA9">
        <w:rPr>
          <w:noProof/>
          <w:lang w:eastAsia="en-AU"/>
        </w:rPr>
        <w:drawing>
          <wp:inline distT="0" distB="0" distL="0" distR="0" wp14:anchorId="3FE80B2E" wp14:editId="4401C20C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DB0AA9" w:rsidRDefault="00715914" w:rsidP="00715914">
      <w:pPr>
        <w:rPr>
          <w:sz w:val="19"/>
        </w:rPr>
      </w:pPr>
    </w:p>
    <w:p w:rsidR="0054597A" w:rsidRPr="00DB0AA9" w:rsidRDefault="0054597A" w:rsidP="0054597A">
      <w:pPr>
        <w:pStyle w:val="ShortT"/>
      </w:pPr>
      <w:r w:rsidRPr="00DB0AA9">
        <w:t>Privacy Amendment (2015 Measures No.</w:t>
      </w:r>
      <w:r w:rsidR="00DB0AA9" w:rsidRPr="00DB0AA9">
        <w:t> </w:t>
      </w:r>
      <w:r w:rsidR="001E2C61" w:rsidRPr="00DB0AA9">
        <w:t>2</w:t>
      </w:r>
      <w:r w:rsidRPr="00DB0AA9">
        <w:t>) Regulation</w:t>
      </w:r>
      <w:r w:rsidR="00DB0AA9" w:rsidRPr="00DB0AA9">
        <w:t> </w:t>
      </w:r>
      <w:r w:rsidRPr="00DB0AA9">
        <w:t>2015</w:t>
      </w:r>
    </w:p>
    <w:p w:rsidR="001F6CD4" w:rsidRPr="00DB0AA9" w:rsidRDefault="001F6CD4" w:rsidP="00715914"/>
    <w:p w:rsidR="006F380C" w:rsidRPr="00DB0AA9" w:rsidRDefault="006F380C" w:rsidP="006F380C">
      <w:pPr>
        <w:pStyle w:val="InstNo"/>
      </w:pPr>
      <w:r w:rsidRPr="00DB0AA9">
        <w:t xml:space="preserve">Select Legislative Instrument </w:t>
      </w:r>
      <w:bookmarkStart w:id="0" w:name="BKCheck15B_1"/>
      <w:bookmarkEnd w:id="0"/>
      <w:r w:rsidRPr="00DB0AA9">
        <w:fldChar w:fldCharType="begin"/>
      </w:r>
      <w:r w:rsidRPr="00DB0AA9">
        <w:instrText xml:space="preserve"> DOCPROPERTY  ActNo </w:instrText>
      </w:r>
      <w:r w:rsidRPr="00DB0AA9">
        <w:fldChar w:fldCharType="separate"/>
      </w:r>
      <w:r w:rsidR="00125018">
        <w:t>No. 58, 2015</w:t>
      </w:r>
      <w:r w:rsidRPr="00DB0AA9">
        <w:fldChar w:fldCharType="end"/>
      </w:r>
    </w:p>
    <w:p w:rsidR="006F380C" w:rsidRPr="00DB0AA9" w:rsidRDefault="006F380C" w:rsidP="006F380C"/>
    <w:p w:rsidR="009049A4" w:rsidRPr="00DB0AA9" w:rsidRDefault="009049A4" w:rsidP="009049A4">
      <w:pPr>
        <w:pStyle w:val="SignCoverPageStart"/>
        <w:spacing w:before="240"/>
        <w:rPr>
          <w:szCs w:val="22"/>
        </w:rPr>
      </w:pPr>
      <w:r w:rsidRPr="00DB0AA9">
        <w:rPr>
          <w:szCs w:val="22"/>
        </w:rPr>
        <w:t xml:space="preserve">I, General the Honourable Sir Peter Cosgrove AK MC (Ret’d), </w:t>
      </w:r>
      <w:r w:rsidR="00DB0AA9" w:rsidRPr="00DB0AA9">
        <w:rPr>
          <w:szCs w:val="22"/>
        </w:rPr>
        <w:t>Governor</w:t>
      </w:r>
      <w:r w:rsidR="00DB0AA9">
        <w:rPr>
          <w:szCs w:val="22"/>
        </w:rPr>
        <w:noBreakHyphen/>
      </w:r>
      <w:r w:rsidR="00DB0AA9" w:rsidRPr="00DB0AA9">
        <w:rPr>
          <w:szCs w:val="22"/>
        </w:rPr>
        <w:t>General</w:t>
      </w:r>
      <w:r w:rsidRPr="00DB0AA9">
        <w:rPr>
          <w:szCs w:val="22"/>
        </w:rPr>
        <w:t xml:space="preserve"> of the Commonwealth of Australia, acting with the advice of the Federal Executive Council, make the following regulation.</w:t>
      </w:r>
    </w:p>
    <w:p w:rsidR="009049A4" w:rsidRPr="00DB0AA9" w:rsidRDefault="009049A4" w:rsidP="009049A4">
      <w:pPr>
        <w:keepNext/>
        <w:spacing w:before="720" w:line="240" w:lineRule="atLeast"/>
        <w:ind w:right="397"/>
        <w:jc w:val="both"/>
        <w:rPr>
          <w:szCs w:val="22"/>
        </w:rPr>
      </w:pPr>
      <w:r w:rsidRPr="00DB0AA9">
        <w:rPr>
          <w:szCs w:val="22"/>
        </w:rPr>
        <w:t xml:space="preserve">Dated </w:t>
      </w:r>
      <w:bookmarkStart w:id="1" w:name="BKCheck15B_2"/>
      <w:bookmarkEnd w:id="1"/>
      <w:r w:rsidRPr="00DB0AA9">
        <w:rPr>
          <w:szCs w:val="22"/>
        </w:rPr>
        <w:fldChar w:fldCharType="begin"/>
      </w:r>
      <w:r w:rsidRPr="00DB0AA9">
        <w:rPr>
          <w:szCs w:val="22"/>
        </w:rPr>
        <w:instrText xml:space="preserve"> DOCPROPERTY  DateMade </w:instrText>
      </w:r>
      <w:r w:rsidRPr="00DB0AA9">
        <w:rPr>
          <w:szCs w:val="22"/>
        </w:rPr>
        <w:fldChar w:fldCharType="separate"/>
      </w:r>
      <w:r w:rsidR="00125018">
        <w:rPr>
          <w:szCs w:val="22"/>
        </w:rPr>
        <w:t>30 April 2015</w:t>
      </w:r>
      <w:r w:rsidRPr="00DB0AA9">
        <w:rPr>
          <w:szCs w:val="22"/>
        </w:rPr>
        <w:fldChar w:fldCharType="end"/>
      </w:r>
    </w:p>
    <w:p w:rsidR="009049A4" w:rsidRPr="00DB0AA9" w:rsidRDefault="009049A4" w:rsidP="009049A4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DB0AA9">
        <w:rPr>
          <w:szCs w:val="22"/>
        </w:rPr>
        <w:t>Peter Cosgrove</w:t>
      </w:r>
    </w:p>
    <w:p w:rsidR="009049A4" w:rsidRPr="00DB0AA9" w:rsidRDefault="00DB0AA9" w:rsidP="009049A4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DB0AA9">
        <w:rPr>
          <w:szCs w:val="22"/>
        </w:rPr>
        <w:t>Governor</w:t>
      </w:r>
      <w:r>
        <w:rPr>
          <w:szCs w:val="22"/>
        </w:rPr>
        <w:noBreakHyphen/>
      </w:r>
      <w:r w:rsidRPr="00DB0AA9">
        <w:rPr>
          <w:szCs w:val="22"/>
        </w:rPr>
        <w:t>General</w:t>
      </w:r>
    </w:p>
    <w:p w:rsidR="009049A4" w:rsidRPr="00DB0AA9" w:rsidRDefault="009049A4" w:rsidP="009049A4">
      <w:pPr>
        <w:keepNext/>
        <w:tabs>
          <w:tab w:val="left" w:pos="3402"/>
        </w:tabs>
        <w:spacing w:before="600" w:after="1080" w:line="300" w:lineRule="atLeast"/>
        <w:ind w:right="397"/>
        <w:rPr>
          <w:szCs w:val="22"/>
        </w:rPr>
      </w:pPr>
      <w:r w:rsidRPr="00DB0AA9">
        <w:rPr>
          <w:szCs w:val="22"/>
        </w:rPr>
        <w:t>By His Excellency’s Command</w:t>
      </w:r>
    </w:p>
    <w:p w:rsidR="009049A4" w:rsidRPr="00DB0AA9" w:rsidRDefault="009049A4" w:rsidP="009049A4">
      <w:r w:rsidRPr="00DB0AA9">
        <w:t>George Brandis QC</w:t>
      </w:r>
    </w:p>
    <w:p w:rsidR="009049A4" w:rsidRPr="00DB0AA9" w:rsidRDefault="009049A4" w:rsidP="009049A4">
      <w:pPr>
        <w:pStyle w:val="SignCoverPageEnd"/>
      </w:pPr>
      <w:r w:rsidRPr="00DB0AA9">
        <w:t>Attorney</w:t>
      </w:r>
      <w:r w:rsidR="00DB0AA9">
        <w:noBreakHyphen/>
      </w:r>
      <w:r w:rsidRPr="00DB0AA9">
        <w:t>General</w:t>
      </w:r>
    </w:p>
    <w:p w:rsidR="00715914" w:rsidRPr="00DB0AA9" w:rsidRDefault="00715914" w:rsidP="00715914">
      <w:pPr>
        <w:pStyle w:val="Header"/>
        <w:tabs>
          <w:tab w:val="clear" w:pos="4150"/>
          <w:tab w:val="clear" w:pos="8307"/>
        </w:tabs>
      </w:pPr>
      <w:r w:rsidRPr="00DB0AA9">
        <w:rPr>
          <w:rStyle w:val="CharAmSchNo"/>
        </w:rPr>
        <w:t xml:space="preserve"> </w:t>
      </w:r>
      <w:r w:rsidRPr="00DB0AA9">
        <w:rPr>
          <w:rStyle w:val="CharAmSchText"/>
        </w:rPr>
        <w:t xml:space="preserve"> </w:t>
      </w:r>
    </w:p>
    <w:p w:rsidR="00715914" w:rsidRPr="00DB0AA9" w:rsidRDefault="00715914" w:rsidP="00715914">
      <w:pPr>
        <w:pStyle w:val="Header"/>
        <w:tabs>
          <w:tab w:val="clear" w:pos="4150"/>
          <w:tab w:val="clear" w:pos="8307"/>
        </w:tabs>
      </w:pPr>
      <w:r w:rsidRPr="00DB0AA9">
        <w:rPr>
          <w:rStyle w:val="CharAmPartNo"/>
        </w:rPr>
        <w:t xml:space="preserve"> </w:t>
      </w:r>
      <w:r w:rsidRPr="00DB0AA9">
        <w:rPr>
          <w:rStyle w:val="CharAmPartText"/>
        </w:rPr>
        <w:t xml:space="preserve"> </w:t>
      </w:r>
    </w:p>
    <w:p w:rsidR="00715914" w:rsidRPr="00DB0AA9" w:rsidRDefault="00715914" w:rsidP="00715914">
      <w:pPr>
        <w:sectPr w:rsidR="00715914" w:rsidRPr="00DB0AA9" w:rsidSect="007A1DF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F67BCA" w:rsidRPr="00DB0AA9" w:rsidRDefault="00715914" w:rsidP="009E1FBE">
      <w:pPr>
        <w:rPr>
          <w:sz w:val="36"/>
        </w:rPr>
      </w:pPr>
      <w:r w:rsidRPr="00DB0AA9">
        <w:rPr>
          <w:sz w:val="36"/>
        </w:rPr>
        <w:lastRenderedPageBreak/>
        <w:t>Contents</w:t>
      </w:r>
    </w:p>
    <w:bookmarkStart w:id="2" w:name="BKCheck15B_3"/>
    <w:bookmarkEnd w:id="2"/>
    <w:p w:rsidR="006D3103" w:rsidRPr="00DB0AA9" w:rsidRDefault="006D310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B0AA9">
        <w:fldChar w:fldCharType="begin"/>
      </w:r>
      <w:r w:rsidRPr="00DB0AA9">
        <w:instrText xml:space="preserve"> TOC \o "1-9" </w:instrText>
      </w:r>
      <w:r w:rsidRPr="00DB0AA9">
        <w:fldChar w:fldCharType="separate"/>
      </w:r>
      <w:r w:rsidRPr="00DB0AA9">
        <w:rPr>
          <w:noProof/>
        </w:rPr>
        <w:t>1</w:t>
      </w:r>
      <w:r w:rsidRPr="00DB0AA9">
        <w:rPr>
          <w:noProof/>
        </w:rPr>
        <w:tab/>
        <w:t>Name</w:t>
      </w:r>
      <w:r w:rsidRPr="00DB0AA9">
        <w:rPr>
          <w:noProof/>
        </w:rPr>
        <w:tab/>
      </w:r>
      <w:r w:rsidRPr="00DB0AA9">
        <w:rPr>
          <w:noProof/>
        </w:rPr>
        <w:fldChar w:fldCharType="begin"/>
      </w:r>
      <w:r w:rsidRPr="00DB0AA9">
        <w:rPr>
          <w:noProof/>
        </w:rPr>
        <w:instrText xml:space="preserve"> PAGEREF _Toc414521282 \h </w:instrText>
      </w:r>
      <w:r w:rsidRPr="00DB0AA9">
        <w:rPr>
          <w:noProof/>
        </w:rPr>
      </w:r>
      <w:r w:rsidRPr="00DB0AA9">
        <w:rPr>
          <w:noProof/>
        </w:rPr>
        <w:fldChar w:fldCharType="separate"/>
      </w:r>
      <w:r w:rsidR="00125018">
        <w:rPr>
          <w:noProof/>
        </w:rPr>
        <w:t>1</w:t>
      </w:r>
      <w:r w:rsidRPr="00DB0AA9">
        <w:rPr>
          <w:noProof/>
        </w:rPr>
        <w:fldChar w:fldCharType="end"/>
      </w:r>
    </w:p>
    <w:p w:rsidR="006D3103" w:rsidRPr="00DB0AA9" w:rsidRDefault="006D310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B0AA9">
        <w:rPr>
          <w:noProof/>
        </w:rPr>
        <w:t>2</w:t>
      </w:r>
      <w:r w:rsidRPr="00DB0AA9">
        <w:rPr>
          <w:noProof/>
        </w:rPr>
        <w:tab/>
        <w:t>Commencement</w:t>
      </w:r>
      <w:r w:rsidRPr="00DB0AA9">
        <w:rPr>
          <w:noProof/>
        </w:rPr>
        <w:tab/>
      </w:r>
      <w:r w:rsidRPr="00DB0AA9">
        <w:rPr>
          <w:noProof/>
        </w:rPr>
        <w:fldChar w:fldCharType="begin"/>
      </w:r>
      <w:r w:rsidRPr="00DB0AA9">
        <w:rPr>
          <w:noProof/>
        </w:rPr>
        <w:instrText xml:space="preserve"> PAGEREF _Toc414521283 \h </w:instrText>
      </w:r>
      <w:r w:rsidRPr="00DB0AA9">
        <w:rPr>
          <w:noProof/>
        </w:rPr>
      </w:r>
      <w:r w:rsidRPr="00DB0AA9">
        <w:rPr>
          <w:noProof/>
        </w:rPr>
        <w:fldChar w:fldCharType="separate"/>
      </w:r>
      <w:r w:rsidR="00125018">
        <w:rPr>
          <w:noProof/>
        </w:rPr>
        <w:t>1</w:t>
      </w:r>
      <w:r w:rsidRPr="00DB0AA9">
        <w:rPr>
          <w:noProof/>
        </w:rPr>
        <w:fldChar w:fldCharType="end"/>
      </w:r>
    </w:p>
    <w:p w:rsidR="006D3103" w:rsidRPr="00DB0AA9" w:rsidRDefault="006D310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B0AA9">
        <w:rPr>
          <w:noProof/>
        </w:rPr>
        <w:t>3</w:t>
      </w:r>
      <w:r w:rsidRPr="00DB0AA9">
        <w:rPr>
          <w:noProof/>
        </w:rPr>
        <w:tab/>
        <w:t>Authority</w:t>
      </w:r>
      <w:r w:rsidRPr="00DB0AA9">
        <w:rPr>
          <w:noProof/>
        </w:rPr>
        <w:tab/>
      </w:r>
      <w:r w:rsidRPr="00DB0AA9">
        <w:rPr>
          <w:noProof/>
        </w:rPr>
        <w:fldChar w:fldCharType="begin"/>
      </w:r>
      <w:r w:rsidRPr="00DB0AA9">
        <w:rPr>
          <w:noProof/>
        </w:rPr>
        <w:instrText xml:space="preserve"> PAGEREF _Toc414521284 \h </w:instrText>
      </w:r>
      <w:r w:rsidRPr="00DB0AA9">
        <w:rPr>
          <w:noProof/>
        </w:rPr>
      </w:r>
      <w:r w:rsidRPr="00DB0AA9">
        <w:rPr>
          <w:noProof/>
        </w:rPr>
        <w:fldChar w:fldCharType="separate"/>
      </w:r>
      <w:r w:rsidR="00125018">
        <w:rPr>
          <w:noProof/>
        </w:rPr>
        <w:t>1</w:t>
      </w:r>
      <w:r w:rsidRPr="00DB0AA9">
        <w:rPr>
          <w:noProof/>
        </w:rPr>
        <w:fldChar w:fldCharType="end"/>
      </w:r>
    </w:p>
    <w:p w:rsidR="006D3103" w:rsidRPr="00DB0AA9" w:rsidRDefault="006D310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B0AA9">
        <w:rPr>
          <w:noProof/>
        </w:rPr>
        <w:t>4</w:t>
      </w:r>
      <w:r w:rsidRPr="00DB0AA9">
        <w:rPr>
          <w:noProof/>
        </w:rPr>
        <w:tab/>
        <w:t>Schedules</w:t>
      </w:r>
      <w:r w:rsidRPr="00DB0AA9">
        <w:rPr>
          <w:noProof/>
        </w:rPr>
        <w:tab/>
      </w:r>
      <w:r w:rsidRPr="00DB0AA9">
        <w:rPr>
          <w:noProof/>
        </w:rPr>
        <w:fldChar w:fldCharType="begin"/>
      </w:r>
      <w:r w:rsidRPr="00DB0AA9">
        <w:rPr>
          <w:noProof/>
        </w:rPr>
        <w:instrText xml:space="preserve"> PAGEREF _Toc414521285 \h </w:instrText>
      </w:r>
      <w:r w:rsidRPr="00DB0AA9">
        <w:rPr>
          <w:noProof/>
        </w:rPr>
      </w:r>
      <w:r w:rsidRPr="00DB0AA9">
        <w:rPr>
          <w:noProof/>
        </w:rPr>
        <w:fldChar w:fldCharType="separate"/>
      </w:r>
      <w:r w:rsidR="00125018">
        <w:rPr>
          <w:noProof/>
        </w:rPr>
        <w:t>1</w:t>
      </w:r>
      <w:r w:rsidRPr="00DB0AA9">
        <w:rPr>
          <w:noProof/>
        </w:rPr>
        <w:fldChar w:fldCharType="end"/>
      </w:r>
    </w:p>
    <w:p w:rsidR="006D3103" w:rsidRPr="00DB0AA9" w:rsidRDefault="006D310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DB0AA9">
        <w:rPr>
          <w:noProof/>
        </w:rPr>
        <w:t>Schedule</w:t>
      </w:r>
      <w:r w:rsidR="00DB0AA9" w:rsidRPr="00DB0AA9">
        <w:rPr>
          <w:noProof/>
        </w:rPr>
        <w:t> </w:t>
      </w:r>
      <w:r w:rsidRPr="00DB0AA9">
        <w:rPr>
          <w:noProof/>
        </w:rPr>
        <w:t>1—Amendments</w:t>
      </w:r>
      <w:r w:rsidRPr="00DB0AA9">
        <w:rPr>
          <w:b w:val="0"/>
          <w:noProof/>
          <w:sz w:val="18"/>
        </w:rPr>
        <w:tab/>
      </w:r>
      <w:r w:rsidRPr="00DB0AA9">
        <w:rPr>
          <w:b w:val="0"/>
          <w:noProof/>
          <w:sz w:val="18"/>
        </w:rPr>
        <w:fldChar w:fldCharType="begin"/>
      </w:r>
      <w:r w:rsidRPr="00DB0AA9">
        <w:rPr>
          <w:b w:val="0"/>
          <w:noProof/>
          <w:sz w:val="18"/>
        </w:rPr>
        <w:instrText xml:space="preserve"> PAGEREF _Toc414521286 \h </w:instrText>
      </w:r>
      <w:r w:rsidRPr="00DB0AA9">
        <w:rPr>
          <w:b w:val="0"/>
          <w:noProof/>
          <w:sz w:val="18"/>
        </w:rPr>
      </w:r>
      <w:r w:rsidRPr="00DB0AA9">
        <w:rPr>
          <w:b w:val="0"/>
          <w:noProof/>
          <w:sz w:val="18"/>
        </w:rPr>
        <w:fldChar w:fldCharType="separate"/>
      </w:r>
      <w:r w:rsidR="00125018">
        <w:rPr>
          <w:b w:val="0"/>
          <w:noProof/>
          <w:sz w:val="18"/>
        </w:rPr>
        <w:t>2</w:t>
      </w:r>
      <w:r w:rsidRPr="00DB0AA9">
        <w:rPr>
          <w:b w:val="0"/>
          <w:noProof/>
          <w:sz w:val="18"/>
        </w:rPr>
        <w:fldChar w:fldCharType="end"/>
      </w:r>
    </w:p>
    <w:p w:rsidR="006D3103" w:rsidRPr="00DB0AA9" w:rsidRDefault="006D310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DB0AA9">
        <w:rPr>
          <w:noProof/>
        </w:rPr>
        <w:t>Privacy Regulation</w:t>
      </w:r>
      <w:r w:rsidR="00DB0AA9" w:rsidRPr="00DB0AA9">
        <w:rPr>
          <w:noProof/>
        </w:rPr>
        <w:t> </w:t>
      </w:r>
      <w:r w:rsidRPr="00DB0AA9">
        <w:rPr>
          <w:noProof/>
        </w:rPr>
        <w:t>2013</w:t>
      </w:r>
      <w:r w:rsidRPr="00DB0AA9">
        <w:rPr>
          <w:i w:val="0"/>
          <w:noProof/>
          <w:sz w:val="18"/>
        </w:rPr>
        <w:tab/>
      </w:r>
      <w:r w:rsidRPr="00DB0AA9">
        <w:rPr>
          <w:i w:val="0"/>
          <w:noProof/>
          <w:sz w:val="18"/>
        </w:rPr>
        <w:fldChar w:fldCharType="begin"/>
      </w:r>
      <w:r w:rsidRPr="00DB0AA9">
        <w:rPr>
          <w:i w:val="0"/>
          <w:noProof/>
          <w:sz w:val="18"/>
        </w:rPr>
        <w:instrText xml:space="preserve"> PAGEREF _Toc414521287 \h </w:instrText>
      </w:r>
      <w:r w:rsidRPr="00DB0AA9">
        <w:rPr>
          <w:i w:val="0"/>
          <w:noProof/>
          <w:sz w:val="18"/>
        </w:rPr>
      </w:r>
      <w:r w:rsidRPr="00DB0AA9">
        <w:rPr>
          <w:i w:val="0"/>
          <w:noProof/>
          <w:sz w:val="18"/>
        </w:rPr>
        <w:fldChar w:fldCharType="separate"/>
      </w:r>
      <w:r w:rsidR="00125018">
        <w:rPr>
          <w:i w:val="0"/>
          <w:noProof/>
          <w:sz w:val="18"/>
        </w:rPr>
        <w:t>2</w:t>
      </w:r>
      <w:r w:rsidRPr="00DB0AA9">
        <w:rPr>
          <w:i w:val="0"/>
          <w:noProof/>
          <w:sz w:val="18"/>
        </w:rPr>
        <w:fldChar w:fldCharType="end"/>
      </w:r>
    </w:p>
    <w:p w:rsidR="00670EA1" w:rsidRPr="00DB0AA9" w:rsidRDefault="006D3103" w:rsidP="00715914">
      <w:r w:rsidRPr="00DB0AA9">
        <w:fldChar w:fldCharType="end"/>
      </w:r>
    </w:p>
    <w:p w:rsidR="00670EA1" w:rsidRPr="00DB0AA9" w:rsidRDefault="00670EA1" w:rsidP="00715914">
      <w:pPr>
        <w:sectPr w:rsidR="00670EA1" w:rsidRPr="00DB0AA9" w:rsidSect="007A1DF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6F380C" w:rsidRPr="00DB0AA9" w:rsidRDefault="006F380C" w:rsidP="006F380C">
      <w:pPr>
        <w:pStyle w:val="ActHead5"/>
      </w:pPr>
      <w:bookmarkStart w:id="3" w:name="_Toc414521282"/>
      <w:r w:rsidRPr="00DB0AA9">
        <w:rPr>
          <w:rStyle w:val="CharSectno"/>
        </w:rPr>
        <w:lastRenderedPageBreak/>
        <w:t>1</w:t>
      </w:r>
      <w:r w:rsidRPr="00DB0AA9">
        <w:t xml:space="preserve">  Name</w:t>
      </w:r>
      <w:bookmarkEnd w:id="3"/>
    </w:p>
    <w:p w:rsidR="006F380C" w:rsidRPr="00DB0AA9" w:rsidRDefault="006F380C" w:rsidP="006F380C">
      <w:pPr>
        <w:pStyle w:val="subsection"/>
      </w:pPr>
      <w:r w:rsidRPr="00DB0AA9">
        <w:tab/>
      </w:r>
      <w:r w:rsidRPr="00DB0AA9">
        <w:tab/>
        <w:t xml:space="preserve">This is the </w:t>
      </w:r>
      <w:bookmarkStart w:id="4" w:name="BKCheck15B_4"/>
      <w:bookmarkEnd w:id="4"/>
      <w:r w:rsidRPr="00DB0AA9">
        <w:rPr>
          <w:i/>
        </w:rPr>
        <w:fldChar w:fldCharType="begin"/>
      </w:r>
      <w:r w:rsidRPr="00DB0AA9">
        <w:rPr>
          <w:i/>
        </w:rPr>
        <w:instrText xml:space="preserve"> STYLEREF  ShortT </w:instrText>
      </w:r>
      <w:r w:rsidRPr="00DB0AA9">
        <w:rPr>
          <w:i/>
        </w:rPr>
        <w:fldChar w:fldCharType="separate"/>
      </w:r>
      <w:r w:rsidR="00125018">
        <w:rPr>
          <w:i/>
          <w:noProof/>
        </w:rPr>
        <w:t>Privacy Amendment (2015 Measures No. 2) Regulation 2015</w:t>
      </w:r>
      <w:r w:rsidRPr="00DB0AA9">
        <w:rPr>
          <w:i/>
        </w:rPr>
        <w:fldChar w:fldCharType="end"/>
      </w:r>
      <w:r w:rsidRPr="00DB0AA9">
        <w:t>.</w:t>
      </w:r>
    </w:p>
    <w:p w:rsidR="006F380C" w:rsidRPr="00DB0AA9" w:rsidRDefault="006F380C" w:rsidP="006F380C">
      <w:pPr>
        <w:pStyle w:val="ActHead5"/>
      </w:pPr>
      <w:bookmarkStart w:id="5" w:name="_Toc414521283"/>
      <w:r w:rsidRPr="00DB0AA9">
        <w:rPr>
          <w:rStyle w:val="CharSectno"/>
        </w:rPr>
        <w:t>2</w:t>
      </w:r>
      <w:r w:rsidRPr="00DB0AA9">
        <w:t xml:space="preserve">  Commencement</w:t>
      </w:r>
      <w:bookmarkEnd w:id="5"/>
    </w:p>
    <w:p w:rsidR="006F380C" w:rsidRPr="00DB0AA9" w:rsidRDefault="006F380C" w:rsidP="006F380C">
      <w:pPr>
        <w:pStyle w:val="subsection"/>
      </w:pPr>
      <w:bookmarkStart w:id="6" w:name="_GoBack"/>
      <w:r w:rsidRPr="00DB0AA9">
        <w:tab/>
      </w:r>
      <w:r w:rsidRPr="00DB0AA9">
        <w:tab/>
        <w:t>This instrument commences on the day after it is registered.</w:t>
      </w:r>
      <w:bookmarkEnd w:id="6"/>
    </w:p>
    <w:p w:rsidR="006F380C" w:rsidRPr="00DB0AA9" w:rsidRDefault="006F380C" w:rsidP="006F380C">
      <w:pPr>
        <w:pStyle w:val="ActHead5"/>
      </w:pPr>
      <w:bookmarkStart w:id="7" w:name="_Toc414521284"/>
      <w:r w:rsidRPr="00DB0AA9">
        <w:rPr>
          <w:rStyle w:val="CharSectno"/>
        </w:rPr>
        <w:t>3</w:t>
      </w:r>
      <w:r w:rsidRPr="00DB0AA9">
        <w:t xml:space="preserve">  Authority</w:t>
      </w:r>
      <w:bookmarkEnd w:id="7"/>
    </w:p>
    <w:p w:rsidR="009E1FBE" w:rsidRPr="00DB0AA9" w:rsidRDefault="006F380C" w:rsidP="009E1FBE">
      <w:pPr>
        <w:pStyle w:val="subsection"/>
      </w:pPr>
      <w:r w:rsidRPr="00DB0AA9">
        <w:tab/>
      </w:r>
      <w:r w:rsidRPr="00DB0AA9">
        <w:tab/>
        <w:t xml:space="preserve">This instrument is made under the </w:t>
      </w:r>
      <w:r w:rsidRPr="00DB0AA9">
        <w:rPr>
          <w:i/>
        </w:rPr>
        <w:t>Privacy Act 1988</w:t>
      </w:r>
      <w:r w:rsidR="009E1FBE" w:rsidRPr="00DB0AA9">
        <w:t>.</w:t>
      </w:r>
    </w:p>
    <w:p w:rsidR="006F380C" w:rsidRPr="00DB0AA9" w:rsidRDefault="006F380C" w:rsidP="006F380C">
      <w:pPr>
        <w:pStyle w:val="ActHead5"/>
      </w:pPr>
      <w:bookmarkStart w:id="8" w:name="_Toc414521285"/>
      <w:r w:rsidRPr="00DB0AA9">
        <w:rPr>
          <w:rStyle w:val="CharSectno"/>
        </w:rPr>
        <w:t>4</w:t>
      </w:r>
      <w:r w:rsidRPr="00DB0AA9">
        <w:t xml:space="preserve">  Schedules</w:t>
      </w:r>
      <w:bookmarkEnd w:id="8"/>
    </w:p>
    <w:p w:rsidR="006F380C" w:rsidRPr="00DB0AA9" w:rsidRDefault="006F380C" w:rsidP="006F380C">
      <w:pPr>
        <w:pStyle w:val="subsection"/>
      </w:pPr>
      <w:r w:rsidRPr="00DB0AA9">
        <w:tab/>
      </w:r>
      <w:r w:rsidRPr="00DB0AA9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B126BE" w:rsidRPr="00DB0AA9" w:rsidRDefault="006F380C" w:rsidP="006F380C">
      <w:pPr>
        <w:pStyle w:val="ActHead6"/>
        <w:pageBreakBefore/>
      </w:pPr>
      <w:bookmarkStart w:id="9" w:name="_Toc414521286"/>
      <w:bookmarkStart w:id="10" w:name="opcAmSched"/>
      <w:bookmarkStart w:id="11" w:name="opcCurrentFind"/>
      <w:r w:rsidRPr="00DB0AA9">
        <w:rPr>
          <w:rStyle w:val="CharAmSchNo"/>
        </w:rPr>
        <w:lastRenderedPageBreak/>
        <w:t>Schedule</w:t>
      </w:r>
      <w:r w:rsidR="00DB0AA9" w:rsidRPr="00DB0AA9">
        <w:rPr>
          <w:rStyle w:val="CharAmSchNo"/>
        </w:rPr>
        <w:t> </w:t>
      </w:r>
      <w:r w:rsidRPr="00DB0AA9">
        <w:rPr>
          <w:rStyle w:val="CharAmSchNo"/>
        </w:rPr>
        <w:t>1</w:t>
      </w:r>
      <w:r w:rsidRPr="00DB0AA9">
        <w:t>—</w:t>
      </w:r>
      <w:r w:rsidRPr="00DB0AA9">
        <w:rPr>
          <w:rStyle w:val="CharAmSchText"/>
        </w:rPr>
        <w:t>Amendments</w:t>
      </w:r>
      <w:bookmarkEnd w:id="9"/>
    </w:p>
    <w:bookmarkEnd w:id="10"/>
    <w:bookmarkEnd w:id="11"/>
    <w:p w:rsidR="00B126BE" w:rsidRPr="00DB0AA9" w:rsidRDefault="006F380C" w:rsidP="006F380C">
      <w:pPr>
        <w:pStyle w:val="Header"/>
      </w:pPr>
      <w:r w:rsidRPr="00DB0AA9">
        <w:rPr>
          <w:rStyle w:val="CharAmPartNo"/>
        </w:rPr>
        <w:t xml:space="preserve"> </w:t>
      </w:r>
      <w:r w:rsidRPr="00DB0AA9">
        <w:rPr>
          <w:rStyle w:val="CharAmPartText"/>
        </w:rPr>
        <w:t xml:space="preserve"> </w:t>
      </w:r>
    </w:p>
    <w:p w:rsidR="00B126BE" w:rsidRPr="00DB0AA9" w:rsidRDefault="00B126BE" w:rsidP="00B126BE">
      <w:pPr>
        <w:pStyle w:val="ActHead9"/>
      </w:pPr>
      <w:bookmarkStart w:id="12" w:name="_Toc414521287"/>
      <w:r w:rsidRPr="00DB0AA9">
        <w:t>Privacy Regulation</w:t>
      </w:r>
      <w:r w:rsidR="00DB0AA9" w:rsidRPr="00DB0AA9">
        <w:t> </w:t>
      </w:r>
      <w:r w:rsidRPr="00DB0AA9">
        <w:t>2013</w:t>
      </w:r>
      <w:bookmarkEnd w:id="12"/>
    </w:p>
    <w:p w:rsidR="00801C6A" w:rsidRPr="00DB0AA9" w:rsidRDefault="00DA1D01" w:rsidP="00801C6A">
      <w:pPr>
        <w:pStyle w:val="ItemHead"/>
      </w:pPr>
      <w:r w:rsidRPr="00DB0AA9">
        <w:t>1</w:t>
      </w:r>
      <w:r w:rsidR="00801C6A" w:rsidRPr="00DB0AA9">
        <w:t xml:space="preserve">  Section</w:t>
      </w:r>
      <w:r w:rsidR="00DB0AA9" w:rsidRPr="00DB0AA9">
        <w:t> </w:t>
      </w:r>
      <w:r w:rsidR="00801C6A" w:rsidRPr="00DB0AA9">
        <w:t>5</w:t>
      </w:r>
    </w:p>
    <w:p w:rsidR="00801C6A" w:rsidRPr="00DB0AA9" w:rsidRDefault="00801C6A" w:rsidP="00801C6A">
      <w:pPr>
        <w:pStyle w:val="Item"/>
      </w:pPr>
      <w:r w:rsidRPr="00DB0AA9">
        <w:t>Insert:</w:t>
      </w:r>
    </w:p>
    <w:p w:rsidR="00801C6A" w:rsidRPr="00DB0AA9" w:rsidRDefault="00801C6A" w:rsidP="00DA1D01">
      <w:pPr>
        <w:pStyle w:val="Definition"/>
      </w:pPr>
      <w:r w:rsidRPr="00DB0AA9">
        <w:rPr>
          <w:b/>
          <w:i/>
        </w:rPr>
        <w:t xml:space="preserve">Centrelink Confirmation eServices scheme </w:t>
      </w:r>
      <w:r w:rsidRPr="00DB0AA9">
        <w:t xml:space="preserve">means the </w:t>
      </w:r>
      <w:r w:rsidR="00DA1D01" w:rsidRPr="00DB0AA9">
        <w:t xml:space="preserve">scheme of that name that is </w:t>
      </w:r>
      <w:r w:rsidRPr="00DB0AA9">
        <w:t>administered by the Human Services Department</w:t>
      </w:r>
      <w:r w:rsidR="00DA1D01" w:rsidRPr="00DB0AA9">
        <w:t>.</w:t>
      </w:r>
    </w:p>
    <w:p w:rsidR="00B126BE" w:rsidRPr="00DB0AA9" w:rsidRDefault="00B126BE" w:rsidP="00B126BE">
      <w:pPr>
        <w:pStyle w:val="Definition"/>
        <w:rPr>
          <w:b/>
          <w:i/>
        </w:rPr>
      </w:pPr>
      <w:r w:rsidRPr="00DB0AA9">
        <w:rPr>
          <w:b/>
          <w:i/>
        </w:rPr>
        <w:t xml:space="preserve">DVA unique identification number </w:t>
      </w:r>
      <w:r w:rsidRPr="00DB0AA9">
        <w:t>means</w:t>
      </w:r>
      <w:r w:rsidRPr="00DB0AA9">
        <w:rPr>
          <w:b/>
        </w:rPr>
        <w:t xml:space="preserve"> </w:t>
      </w:r>
      <w:r w:rsidRPr="00DB0AA9">
        <w:t xml:space="preserve">the unique identification number assigned to an individual by the Department administered by the Minister who administers the </w:t>
      </w:r>
      <w:r w:rsidRPr="00DB0AA9">
        <w:rPr>
          <w:i/>
        </w:rPr>
        <w:t>Veterans’ Entitlements Act 1986</w:t>
      </w:r>
      <w:r w:rsidRPr="00DB0AA9">
        <w:t>.</w:t>
      </w:r>
    </w:p>
    <w:p w:rsidR="00C50D95" w:rsidRPr="00DB0AA9" w:rsidRDefault="00C50D95" w:rsidP="00C50D95">
      <w:pPr>
        <w:pStyle w:val="Definition"/>
      </w:pPr>
      <w:r w:rsidRPr="00DB0AA9">
        <w:rPr>
          <w:b/>
          <w:i/>
          <w:lang w:eastAsia="en-US"/>
        </w:rPr>
        <w:t>Human Services Department</w:t>
      </w:r>
      <w:r w:rsidRPr="00DB0AA9">
        <w:t xml:space="preserve"> means the Department administered by the Human Services Minister.</w:t>
      </w:r>
    </w:p>
    <w:p w:rsidR="00C50D95" w:rsidRPr="00DB0AA9" w:rsidRDefault="00C50D95" w:rsidP="00BB1AA4">
      <w:pPr>
        <w:pStyle w:val="Definition"/>
        <w:rPr>
          <w:b/>
          <w:i/>
        </w:rPr>
      </w:pPr>
      <w:r w:rsidRPr="00DB0AA9">
        <w:rPr>
          <w:b/>
          <w:i/>
        </w:rPr>
        <w:t xml:space="preserve">Human Services Minister </w:t>
      </w:r>
      <w:r w:rsidRPr="00DB0AA9">
        <w:t xml:space="preserve">means the Minister administering the </w:t>
      </w:r>
      <w:r w:rsidRPr="00DB0AA9">
        <w:rPr>
          <w:i/>
        </w:rPr>
        <w:t>Human Services (Centrelink) Act 1997</w:t>
      </w:r>
      <w:r w:rsidRPr="00DB0AA9">
        <w:t>.</w:t>
      </w:r>
    </w:p>
    <w:p w:rsidR="009E1FBE" w:rsidRPr="00DB0AA9" w:rsidRDefault="00107300" w:rsidP="009E1FBE">
      <w:pPr>
        <w:pStyle w:val="ItemHead"/>
      </w:pPr>
      <w:r w:rsidRPr="00DB0AA9">
        <w:t>2</w:t>
      </w:r>
      <w:r w:rsidR="009E1FBE" w:rsidRPr="00DB0AA9">
        <w:t xml:space="preserve">  Sections</w:t>
      </w:r>
      <w:r w:rsidR="00DB0AA9" w:rsidRPr="00DB0AA9">
        <w:t> </w:t>
      </w:r>
      <w:r w:rsidR="009E1FBE" w:rsidRPr="00DB0AA9">
        <w:t>17, 18 and 19</w:t>
      </w:r>
    </w:p>
    <w:p w:rsidR="009E1FBE" w:rsidRPr="00DB0AA9" w:rsidRDefault="009E1FBE" w:rsidP="009E1FBE">
      <w:pPr>
        <w:pStyle w:val="Item"/>
      </w:pPr>
      <w:r w:rsidRPr="00DB0AA9">
        <w:t>Repeal the sections, substitute:</w:t>
      </w:r>
    </w:p>
    <w:p w:rsidR="009E1FBE" w:rsidRPr="00DB0AA9" w:rsidRDefault="009E1FBE" w:rsidP="009E1FBE">
      <w:pPr>
        <w:pStyle w:val="ActHead5"/>
      </w:pPr>
      <w:bookmarkStart w:id="13" w:name="_Toc414521288"/>
      <w:r w:rsidRPr="00DB0AA9">
        <w:rPr>
          <w:rStyle w:val="CharSectno"/>
        </w:rPr>
        <w:t>17</w:t>
      </w:r>
      <w:r w:rsidRPr="00DB0AA9">
        <w:t xml:space="preserve">  Exceptions to Australian Privacy Principle</w:t>
      </w:r>
      <w:r w:rsidR="00DB0AA9" w:rsidRPr="00DB0AA9">
        <w:t> </w:t>
      </w:r>
      <w:r w:rsidRPr="00DB0AA9">
        <w:t>9.2—Centrelink Confirmation eServices (customer confirmation and income confirmation)</w:t>
      </w:r>
      <w:bookmarkEnd w:id="13"/>
    </w:p>
    <w:p w:rsidR="009E1FBE" w:rsidRPr="00DB0AA9" w:rsidRDefault="009E1FBE" w:rsidP="009E1FBE">
      <w:pPr>
        <w:pStyle w:val="subsection"/>
      </w:pPr>
      <w:r w:rsidRPr="00DB0AA9">
        <w:tab/>
        <w:t>(1)</w:t>
      </w:r>
      <w:r w:rsidRPr="00DB0AA9">
        <w:tab/>
        <w:t>For subclause</w:t>
      </w:r>
      <w:r w:rsidR="00DB0AA9" w:rsidRPr="00DB0AA9">
        <w:t> </w:t>
      </w:r>
      <w:r w:rsidRPr="00DB0AA9">
        <w:t>9.3 of the Australian Privacy Principles:</w:t>
      </w:r>
    </w:p>
    <w:p w:rsidR="009E1FBE" w:rsidRPr="00DB0AA9" w:rsidRDefault="009E1FBE" w:rsidP="009E1FBE">
      <w:pPr>
        <w:pStyle w:val="paragraph"/>
      </w:pPr>
      <w:r w:rsidRPr="00DB0AA9">
        <w:tab/>
        <w:t>(a)</w:t>
      </w:r>
      <w:r w:rsidRPr="00DB0AA9">
        <w:tab/>
        <w:t>each of the following is a prescribed identifier:</w:t>
      </w:r>
    </w:p>
    <w:p w:rsidR="009E1FBE" w:rsidRPr="00DB0AA9" w:rsidRDefault="009E1FBE" w:rsidP="009E1FBE">
      <w:pPr>
        <w:pStyle w:val="paragraphsub"/>
      </w:pPr>
      <w:r w:rsidRPr="00DB0AA9">
        <w:tab/>
        <w:t>(i)</w:t>
      </w:r>
      <w:r w:rsidRPr="00DB0AA9">
        <w:tab/>
        <w:t>a Customer Reference Number;</w:t>
      </w:r>
    </w:p>
    <w:p w:rsidR="009E1FBE" w:rsidRPr="00DB0AA9" w:rsidRDefault="009E1FBE" w:rsidP="009E1FBE">
      <w:pPr>
        <w:pStyle w:val="paragraphsub"/>
      </w:pPr>
      <w:r w:rsidRPr="00DB0AA9">
        <w:tab/>
        <w:t>(ii)</w:t>
      </w:r>
      <w:r w:rsidRPr="00DB0AA9">
        <w:tab/>
        <w:t>a DVA file number;</w:t>
      </w:r>
    </w:p>
    <w:p w:rsidR="009E1FBE" w:rsidRPr="00DB0AA9" w:rsidRDefault="009E1FBE" w:rsidP="009E1FBE">
      <w:pPr>
        <w:pStyle w:val="paragraphsub"/>
      </w:pPr>
      <w:r w:rsidRPr="00DB0AA9">
        <w:tab/>
        <w:t>(iii)</w:t>
      </w:r>
      <w:r w:rsidRPr="00DB0AA9">
        <w:tab/>
        <w:t>a DVA unique identification number; and</w:t>
      </w:r>
    </w:p>
    <w:p w:rsidR="00425D4F" w:rsidRPr="00DB0AA9" w:rsidRDefault="009E1FBE" w:rsidP="00425D4F">
      <w:pPr>
        <w:pStyle w:val="paragraph"/>
      </w:pPr>
      <w:r w:rsidRPr="00DB0AA9">
        <w:tab/>
      </w:r>
      <w:r w:rsidR="00425D4F" w:rsidRPr="00DB0AA9">
        <w:t>(b)</w:t>
      </w:r>
      <w:r w:rsidR="00425D4F" w:rsidRPr="00DB0AA9">
        <w:tab/>
        <w:t>an organisation is a prescribed organisation if</w:t>
      </w:r>
      <w:r w:rsidR="00861EB1" w:rsidRPr="00DB0AA9">
        <w:t xml:space="preserve"> the organisation</w:t>
      </w:r>
      <w:r w:rsidR="00425D4F" w:rsidRPr="00DB0AA9">
        <w:t>:</w:t>
      </w:r>
    </w:p>
    <w:p w:rsidR="00425D4F" w:rsidRPr="00DB0AA9" w:rsidRDefault="00425D4F" w:rsidP="00425D4F">
      <w:pPr>
        <w:pStyle w:val="paragraphsub"/>
      </w:pPr>
      <w:r w:rsidRPr="00DB0AA9">
        <w:tab/>
        <w:t>(i)</w:t>
      </w:r>
      <w:r w:rsidRPr="00DB0AA9">
        <w:tab/>
      </w:r>
      <w:r w:rsidR="00C571A0" w:rsidRPr="00DB0AA9">
        <w:t xml:space="preserve">is </w:t>
      </w:r>
      <w:r w:rsidR="0080426C" w:rsidRPr="00DB0AA9">
        <w:t xml:space="preserve">a participant in the </w:t>
      </w:r>
      <w:r w:rsidRPr="00DB0AA9">
        <w:t>Centrelink Confirmation eServices</w:t>
      </w:r>
      <w:r w:rsidR="00C571A0" w:rsidRPr="00DB0AA9">
        <w:t xml:space="preserve"> </w:t>
      </w:r>
      <w:r w:rsidR="0080426C" w:rsidRPr="00DB0AA9">
        <w:t>scheme</w:t>
      </w:r>
      <w:r w:rsidRPr="00DB0AA9">
        <w:t>; and</w:t>
      </w:r>
    </w:p>
    <w:p w:rsidR="00425D4F" w:rsidRPr="00DB0AA9" w:rsidRDefault="00425D4F" w:rsidP="00425D4F">
      <w:pPr>
        <w:pStyle w:val="paragraphsub"/>
      </w:pPr>
      <w:r w:rsidRPr="00DB0AA9">
        <w:tab/>
        <w:t>(ii)</w:t>
      </w:r>
      <w:r w:rsidRPr="00DB0AA9">
        <w:tab/>
        <w:t xml:space="preserve">is included in a class of organisations set out in the table in </w:t>
      </w:r>
      <w:r w:rsidR="00DB0AA9" w:rsidRPr="00DB0AA9">
        <w:t>subsection (</w:t>
      </w:r>
      <w:r w:rsidRPr="00DB0AA9">
        <w:t>2); and</w:t>
      </w:r>
    </w:p>
    <w:p w:rsidR="009E1FBE" w:rsidRPr="00DB0AA9" w:rsidRDefault="00425D4F" w:rsidP="009E1FBE">
      <w:pPr>
        <w:pStyle w:val="paragraph"/>
      </w:pPr>
      <w:r w:rsidRPr="00DB0AA9">
        <w:lastRenderedPageBreak/>
        <w:tab/>
      </w:r>
      <w:r w:rsidR="009E1FBE" w:rsidRPr="00DB0AA9">
        <w:t>(</w:t>
      </w:r>
      <w:r w:rsidRPr="00DB0AA9">
        <w:t>c</w:t>
      </w:r>
      <w:r w:rsidR="009E1FBE" w:rsidRPr="00DB0AA9">
        <w:t>)</w:t>
      </w:r>
      <w:r w:rsidR="009E1FBE" w:rsidRPr="00DB0AA9">
        <w:tab/>
        <w:t xml:space="preserve">the prescribed circumstance is that a prescribed organisation uses or discloses an individual’s prescribed identifier, with the individual’s consent, to access </w:t>
      </w:r>
      <w:r w:rsidR="00BB1AA4" w:rsidRPr="00DB0AA9">
        <w:t xml:space="preserve">services provided under the </w:t>
      </w:r>
      <w:r w:rsidR="009E1FBE" w:rsidRPr="00DB0AA9">
        <w:t xml:space="preserve">Centrelink Confirmation eServices </w:t>
      </w:r>
      <w:r w:rsidR="00BB1AA4" w:rsidRPr="00DB0AA9">
        <w:t xml:space="preserve">scheme </w:t>
      </w:r>
      <w:r w:rsidR="009E1FBE" w:rsidRPr="00DB0AA9">
        <w:t>to enquire whether the individual is entitled to receive a concession, service or assistance</w:t>
      </w:r>
      <w:r w:rsidRPr="00DB0AA9">
        <w:t>.</w:t>
      </w:r>
    </w:p>
    <w:p w:rsidR="009E1FBE" w:rsidRPr="00DB0AA9" w:rsidRDefault="00BB1AA4" w:rsidP="00BB1AA4">
      <w:pPr>
        <w:pStyle w:val="subsection"/>
        <w:rPr>
          <w:i/>
        </w:rPr>
      </w:pPr>
      <w:r w:rsidRPr="00DB0AA9">
        <w:tab/>
      </w:r>
      <w:r w:rsidR="009E1FBE" w:rsidRPr="00DB0AA9">
        <w:t>(2)</w:t>
      </w:r>
      <w:r w:rsidR="009E1FBE" w:rsidRPr="00DB0AA9">
        <w:tab/>
        <w:t>The classes of organisations are set out in the following table:</w:t>
      </w:r>
    </w:p>
    <w:p w:rsidR="009E1FBE" w:rsidRPr="00DB0AA9" w:rsidRDefault="009E1FBE" w:rsidP="009E1FBE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6369"/>
      </w:tblGrid>
      <w:tr w:rsidR="009E1FBE" w:rsidRPr="00DB0AA9" w:rsidTr="00F4361C">
        <w:trPr>
          <w:tblHeader/>
        </w:trPr>
        <w:tc>
          <w:tcPr>
            <w:tcW w:w="7083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9E1FBE" w:rsidRPr="00DB0AA9" w:rsidRDefault="009E1FBE" w:rsidP="009B6A78">
            <w:pPr>
              <w:pStyle w:val="TableHeading"/>
            </w:pPr>
            <w:r w:rsidRPr="00DB0AA9">
              <w:t>Classes of organisations that can use or disclose Customer Reference Numbers, DVA File Numbers and DVA unique identification numbers</w:t>
            </w:r>
          </w:p>
        </w:tc>
      </w:tr>
      <w:tr w:rsidR="009E1FBE" w:rsidRPr="00DB0AA9" w:rsidTr="00F4361C">
        <w:trPr>
          <w:tblHeader/>
        </w:trPr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9E1FBE" w:rsidRPr="00DB0AA9" w:rsidRDefault="009E1FBE" w:rsidP="009B6A78">
            <w:pPr>
              <w:pStyle w:val="TableHeading"/>
            </w:pPr>
            <w:r w:rsidRPr="00DB0AA9">
              <w:t>Item</w:t>
            </w:r>
          </w:p>
        </w:tc>
        <w:tc>
          <w:tcPr>
            <w:tcW w:w="636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9E1FBE" w:rsidRPr="00DB0AA9" w:rsidRDefault="009E1FBE" w:rsidP="009B6A78">
            <w:pPr>
              <w:pStyle w:val="TableHeading"/>
            </w:pPr>
            <w:r w:rsidRPr="00DB0AA9">
              <w:t>Class of organisation</w:t>
            </w:r>
          </w:p>
        </w:tc>
      </w:tr>
      <w:tr w:rsidR="009E1FBE" w:rsidRPr="00DB0AA9" w:rsidTr="00F4361C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9E1FBE" w:rsidRPr="00DB0AA9" w:rsidRDefault="009E1FBE" w:rsidP="009B6A78">
            <w:pPr>
              <w:pStyle w:val="Tabletext"/>
            </w:pPr>
            <w:r w:rsidRPr="00DB0AA9">
              <w:t>1</w:t>
            </w:r>
          </w:p>
        </w:tc>
        <w:tc>
          <w:tcPr>
            <w:tcW w:w="6369" w:type="dxa"/>
            <w:tcBorders>
              <w:top w:val="single" w:sz="12" w:space="0" w:color="auto"/>
            </w:tcBorders>
            <w:shd w:val="clear" w:color="auto" w:fill="auto"/>
          </w:tcPr>
          <w:p w:rsidR="009E1FBE" w:rsidRPr="00DB0AA9" w:rsidRDefault="009E1FBE" w:rsidP="009B6A78">
            <w:pPr>
              <w:pStyle w:val="Tabletext"/>
            </w:pPr>
            <w:r w:rsidRPr="00DB0AA9">
              <w:t>Organisations that provide healthcare services or healthcare products, including any of the following:</w:t>
            </w:r>
          </w:p>
          <w:p w:rsidR="009E1FBE" w:rsidRPr="00DB0AA9" w:rsidRDefault="009E1FBE" w:rsidP="009B6A78">
            <w:pPr>
              <w:pStyle w:val="Tablea"/>
            </w:pPr>
            <w:r w:rsidRPr="00DB0AA9">
              <w:t>(a) hospitals;</w:t>
            </w:r>
          </w:p>
          <w:p w:rsidR="009E1FBE" w:rsidRPr="00DB0AA9" w:rsidRDefault="009E1FBE" w:rsidP="009B6A78">
            <w:pPr>
              <w:pStyle w:val="Tablea"/>
            </w:pPr>
            <w:r w:rsidRPr="00DB0AA9">
              <w:t>(b) providers of hearing products and hearing services;</w:t>
            </w:r>
          </w:p>
          <w:p w:rsidR="009E1FBE" w:rsidRPr="00DB0AA9" w:rsidRDefault="009E1FBE" w:rsidP="009B6A78">
            <w:pPr>
              <w:pStyle w:val="Tablea"/>
            </w:pPr>
            <w:r w:rsidRPr="00DB0AA9">
              <w:t>(c) providers of disability support services;</w:t>
            </w:r>
          </w:p>
          <w:p w:rsidR="009E1FBE" w:rsidRPr="00DB0AA9" w:rsidRDefault="009E1FBE" w:rsidP="009B6A78">
            <w:pPr>
              <w:pStyle w:val="Tablea"/>
            </w:pPr>
            <w:r w:rsidRPr="00DB0AA9">
              <w:t>(d) providers of counselling and mental health services;</w:t>
            </w:r>
          </w:p>
          <w:p w:rsidR="009E1FBE" w:rsidRPr="00DB0AA9" w:rsidRDefault="009E1FBE" w:rsidP="009B6A78">
            <w:pPr>
              <w:pStyle w:val="Tablea"/>
            </w:pPr>
            <w:r w:rsidRPr="00DB0AA9">
              <w:t>(e) providers of drug treatment and rehabilitation services.</w:t>
            </w:r>
          </w:p>
        </w:tc>
      </w:tr>
      <w:tr w:rsidR="009E1FBE" w:rsidRPr="00DB0AA9" w:rsidTr="00F4361C">
        <w:tc>
          <w:tcPr>
            <w:tcW w:w="714" w:type="dxa"/>
            <w:shd w:val="clear" w:color="auto" w:fill="auto"/>
          </w:tcPr>
          <w:p w:rsidR="009E1FBE" w:rsidRPr="00DB0AA9" w:rsidRDefault="009E1FBE" w:rsidP="009B6A78">
            <w:pPr>
              <w:pStyle w:val="Tabletext"/>
            </w:pPr>
            <w:r w:rsidRPr="00DB0AA9">
              <w:t>2</w:t>
            </w:r>
          </w:p>
        </w:tc>
        <w:tc>
          <w:tcPr>
            <w:tcW w:w="6369" w:type="dxa"/>
            <w:shd w:val="clear" w:color="auto" w:fill="auto"/>
          </w:tcPr>
          <w:p w:rsidR="009E1FBE" w:rsidRPr="00DB0AA9" w:rsidRDefault="009E1FBE" w:rsidP="009B6A78">
            <w:pPr>
              <w:pStyle w:val="Tabletext"/>
            </w:pPr>
            <w:r w:rsidRPr="00DB0AA9">
              <w:t>Organisations that are education providers, including any of the following:</w:t>
            </w:r>
          </w:p>
          <w:p w:rsidR="009E1FBE" w:rsidRPr="00DB0AA9" w:rsidRDefault="009E1FBE" w:rsidP="009B6A78">
            <w:pPr>
              <w:pStyle w:val="Tablea"/>
            </w:pPr>
            <w:r w:rsidRPr="00DB0AA9">
              <w:t>(a) pre</w:t>
            </w:r>
            <w:r w:rsidR="00DB0AA9">
              <w:noBreakHyphen/>
            </w:r>
            <w:r w:rsidRPr="00DB0AA9">
              <w:t>schools, primary schools and secondary schools;</w:t>
            </w:r>
          </w:p>
          <w:p w:rsidR="009E1FBE" w:rsidRPr="00DB0AA9" w:rsidRDefault="009E1FBE" w:rsidP="009B6A78">
            <w:pPr>
              <w:pStyle w:val="Tablea"/>
            </w:pPr>
            <w:r w:rsidRPr="00DB0AA9">
              <w:t>(b) providers of childcare services;</w:t>
            </w:r>
          </w:p>
          <w:p w:rsidR="009E1FBE" w:rsidRPr="00DB0AA9" w:rsidRDefault="009E1FBE" w:rsidP="009B6A78">
            <w:pPr>
              <w:pStyle w:val="Tablea"/>
            </w:pPr>
            <w:r w:rsidRPr="00DB0AA9">
              <w:t>(c) universities, TAFE, community colleges and other tertiary education providers;</w:t>
            </w:r>
          </w:p>
          <w:p w:rsidR="009E1FBE" w:rsidRPr="00DB0AA9" w:rsidRDefault="009E1FBE" w:rsidP="009B6A78">
            <w:pPr>
              <w:pStyle w:val="Tablea"/>
            </w:pPr>
            <w:r w:rsidRPr="00DB0AA9">
              <w:t>(d) adult education providers;</w:t>
            </w:r>
          </w:p>
          <w:p w:rsidR="009E1FBE" w:rsidRPr="00DB0AA9" w:rsidRDefault="009E1FBE" w:rsidP="009B6A78">
            <w:pPr>
              <w:pStyle w:val="Tablea"/>
            </w:pPr>
            <w:r w:rsidRPr="00DB0AA9">
              <w:t>(e) organisations that provide administrative services to education providers.</w:t>
            </w:r>
          </w:p>
        </w:tc>
      </w:tr>
      <w:tr w:rsidR="009E1FBE" w:rsidRPr="00DB0AA9" w:rsidTr="00F4361C">
        <w:tc>
          <w:tcPr>
            <w:tcW w:w="714" w:type="dxa"/>
            <w:shd w:val="clear" w:color="auto" w:fill="auto"/>
          </w:tcPr>
          <w:p w:rsidR="009E1FBE" w:rsidRPr="00DB0AA9" w:rsidRDefault="009E1FBE" w:rsidP="009B6A78">
            <w:pPr>
              <w:pStyle w:val="Tabletext"/>
            </w:pPr>
            <w:r w:rsidRPr="00DB0AA9">
              <w:t>3</w:t>
            </w:r>
          </w:p>
        </w:tc>
        <w:tc>
          <w:tcPr>
            <w:tcW w:w="6369" w:type="dxa"/>
            <w:shd w:val="clear" w:color="auto" w:fill="auto"/>
          </w:tcPr>
          <w:p w:rsidR="009E1FBE" w:rsidRPr="00DB0AA9" w:rsidRDefault="009E1FBE" w:rsidP="009B6A78">
            <w:pPr>
              <w:pStyle w:val="Tabletext"/>
            </w:pPr>
            <w:r w:rsidRPr="00DB0AA9">
              <w:t>Organisations that provide any of the following:</w:t>
            </w:r>
          </w:p>
          <w:p w:rsidR="009E1FBE" w:rsidRPr="00DB0AA9" w:rsidRDefault="009E1FBE" w:rsidP="009B6A78">
            <w:pPr>
              <w:pStyle w:val="Tablea"/>
            </w:pPr>
            <w:r w:rsidRPr="00DB0AA9">
              <w:t>(a) electricity;</w:t>
            </w:r>
          </w:p>
          <w:p w:rsidR="009E1FBE" w:rsidRPr="00DB0AA9" w:rsidRDefault="009E1FBE" w:rsidP="009B6A78">
            <w:pPr>
              <w:pStyle w:val="Tablea"/>
            </w:pPr>
            <w:r w:rsidRPr="00DB0AA9">
              <w:t>(b) gas;</w:t>
            </w:r>
          </w:p>
          <w:p w:rsidR="009E1FBE" w:rsidRPr="00DB0AA9" w:rsidRDefault="009E1FBE" w:rsidP="009B6A78">
            <w:pPr>
              <w:pStyle w:val="Tablea"/>
            </w:pPr>
            <w:r w:rsidRPr="00DB0AA9">
              <w:t>(c) water;</w:t>
            </w:r>
          </w:p>
          <w:p w:rsidR="009E1FBE" w:rsidRPr="00DB0AA9" w:rsidRDefault="009E1FBE" w:rsidP="009B6A78">
            <w:pPr>
              <w:pStyle w:val="Tablea"/>
            </w:pPr>
            <w:r w:rsidRPr="00DB0AA9">
              <w:t>(d) telecommunications services;</w:t>
            </w:r>
          </w:p>
          <w:p w:rsidR="009E1FBE" w:rsidRPr="00DB0AA9" w:rsidRDefault="009E1FBE" w:rsidP="009B6A78">
            <w:pPr>
              <w:pStyle w:val="Tablea"/>
            </w:pPr>
            <w:r w:rsidRPr="00DB0AA9">
              <w:t>(e) broadband internet services.</w:t>
            </w:r>
          </w:p>
        </w:tc>
      </w:tr>
      <w:tr w:rsidR="009E1FBE" w:rsidRPr="00DB0AA9" w:rsidTr="00F4361C">
        <w:tc>
          <w:tcPr>
            <w:tcW w:w="714" w:type="dxa"/>
            <w:shd w:val="clear" w:color="auto" w:fill="auto"/>
          </w:tcPr>
          <w:p w:rsidR="009E1FBE" w:rsidRPr="00DB0AA9" w:rsidRDefault="009E1FBE" w:rsidP="009B6A78">
            <w:pPr>
              <w:pStyle w:val="Tabletext"/>
            </w:pPr>
            <w:r w:rsidRPr="00DB0AA9">
              <w:t>4</w:t>
            </w:r>
          </w:p>
        </w:tc>
        <w:tc>
          <w:tcPr>
            <w:tcW w:w="6369" w:type="dxa"/>
            <w:shd w:val="clear" w:color="auto" w:fill="auto"/>
          </w:tcPr>
          <w:p w:rsidR="009E1FBE" w:rsidRPr="00DB0AA9" w:rsidRDefault="009E1FBE" w:rsidP="009B6A78">
            <w:pPr>
              <w:pStyle w:val="Tabletext"/>
            </w:pPr>
            <w:r w:rsidRPr="00DB0AA9">
              <w:t>Organisations that provide passenger rail services.</w:t>
            </w:r>
          </w:p>
        </w:tc>
      </w:tr>
      <w:tr w:rsidR="009E1FBE" w:rsidRPr="00DB0AA9" w:rsidTr="00F4361C">
        <w:tc>
          <w:tcPr>
            <w:tcW w:w="714" w:type="dxa"/>
            <w:shd w:val="clear" w:color="auto" w:fill="auto"/>
          </w:tcPr>
          <w:p w:rsidR="009E1FBE" w:rsidRPr="00DB0AA9" w:rsidRDefault="009E1FBE" w:rsidP="009B6A78">
            <w:pPr>
              <w:pStyle w:val="Tabletext"/>
            </w:pPr>
            <w:r w:rsidRPr="00DB0AA9">
              <w:t>5</w:t>
            </w:r>
          </w:p>
        </w:tc>
        <w:tc>
          <w:tcPr>
            <w:tcW w:w="6369" w:type="dxa"/>
            <w:shd w:val="clear" w:color="auto" w:fill="auto"/>
          </w:tcPr>
          <w:p w:rsidR="009E1FBE" w:rsidRPr="00DB0AA9" w:rsidRDefault="009E1FBE" w:rsidP="009B6A78">
            <w:pPr>
              <w:pStyle w:val="Tabletext"/>
            </w:pPr>
            <w:r w:rsidRPr="00DB0AA9">
              <w:t>Organisations that provide motor vehicle roadside assistance services.</w:t>
            </w:r>
          </w:p>
        </w:tc>
      </w:tr>
      <w:tr w:rsidR="009E1FBE" w:rsidRPr="00DB0AA9" w:rsidTr="00F4361C">
        <w:tc>
          <w:tcPr>
            <w:tcW w:w="714" w:type="dxa"/>
            <w:shd w:val="clear" w:color="auto" w:fill="auto"/>
          </w:tcPr>
          <w:p w:rsidR="009E1FBE" w:rsidRPr="00DB0AA9" w:rsidRDefault="009E1FBE" w:rsidP="009B6A78">
            <w:pPr>
              <w:pStyle w:val="Tabletext"/>
            </w:pPr>
            <w:r w:rsidRPr="00DB0AA9">
              <w:t>6</w:t>
            </w:r>
          </w:p>
        </w:tc>
        <w:tc>
          <w:tcPr>
            <w:tcW w:w="6369" w:type="dxa"/>
            <w:shd w:val="clear" w:color="auto" w:fill="auto"/>
          </w:tcPr>
          <w:p w:rsidR="004E2C4A" w:rsidRPr="00DB0AA9" w:rsidRDefault="004E2C4A" w:rsidP="004E2C4A">
            <w:pPr>
              <w:pStyle w:val="Tabletext"/>
            </w:pPr>
            <w:r w:rsidRPr="00DB0AA9">
              <w:t>Organisations that provide trustee services.</w:t>
            </w:r>
          </w:p>
        </w:tc>
      </w:tr>
      <w:tr w:rsidR="009E1FBE" w:rsidRPr="00DB0AA9" w:rsidTr="00F4361C">
        <w:tc>
          <w:tcPr>
            <w:tcW w:w="714" w:type="dxa"/>
            <w:shd w:val="clear" w:color="auto" w:fill="auto"/>
          </w:tcPr>
          <w:p w:rsidR="009E1FBE" w:rsidRPr="00DB0AA9" w:rsidRDefault="009E1FBE" w:rsidP="009B6A78">
            <w:pPr>
              <w:pStyle w:val="Tabletext"/>
            </w:pPr>
            <w:r w:rsidRPr="00DB0AA9">
              <w:t>7</w:t>
            </w:r>
          </w:p>
        </w:tc>
        <w:tc>
          <w:tcPr>
            <w:tcW w:w="6369" w:type="dxa"/>
            <w:shd w:val="clear" w:color="auto" w:fill="auto"/>
          </w:tcPr>
          <w:p w:rsidR="009E1FBE" w:rsidRPr="00DB0AA9" w:rsidRDefault="009E1FBE" w:rsidP="009B6A78">
            <w:pPr>
              <w:pStyle w:val="Tabletext"/>
            </w:pPr>
            <w:r w:rsidRPr="00DB0AA9">
              <w:t>Organisations that provide welfare services, including any of the following:</w:t>
            </w:r>
          </w:p>
          <w:p w:rsidR="009E1FBE" w:rsidRPr="00DB0AA9" w:rsidRDefault="009E1FBE" w:rsidP="009B6A78">
            <w:pPr>
              <w:pStyle w:val="Tablea"/>
            </w:pPr>
            <w:r w:rsidRPr="00DB0AA9">
              <w:t>(a) advocacy organisations;</w:t>
            </w:r>
          </w:p>
          <w:p w:rsidR="009E1FBE" w:rsidRPr="00DB0AA9" w:rsidRDefault="009E1FBE" w:rsidP="009B6A78">
            <w:pPr>
              <w:pStyle w:val="Tablea"/>
            </w:pPr>
            <w:r w:rsidRPr="00DB0AA9">
              <w:t>(b) organisations that provide assistance to:</w:t>
            </w:r>
          </w:p>
          <w:p w:rsidR="009E1FBE" w:rsidRPr="00DB0AA9" w:rsidRDefault="009E1FBE" w:rsidP="009B6A78">
            <w:pPr>
              <w:pStyle w:val="Tablei"/>
            </w:pPr>
            <w:r w:rsidRPr="00DB0AA9">
              <w:lastRenderedPageBreak/>
              <w:t>(i) elderly persons; or</w:t>
            </w:r>
          </w:p>
          <w:p w:rsidR="009E1FBE" w:rsidRPr="00DB0AA9" w:rsidRDefault="009E1FBE" w:rsidP="009B6A78">
            <w:pPr>
              <w:pStyle w:val="Tablei"/>
            </w:pPr>
            <w:r w:rsidRPr="00DB0AA9">
              <w:t>(ii) disabled persons; or</w:t>
            </w:r>
          </w:p>
          <w:p w:rsidR="009E1FBE" w:rsidRPr="00DB0AA9" w:rsidRDefault="009E1FBE" w:rsidP="009B6A78">
            <w:pPr>
              <w:pStyle w:val="Tablei"/>
            </w:pPr>
            <w:r w:rsidRPr="00DB0AA9">
              <w:t>(iii) immigrants and refugees; or</w:t>
            </w:r>
          </w:p>
          <w:p w:rsidR="009E1FBE" w:rsidRPr="00DB0AA9" w:rsidRDefault="009E1FBE" w:rsidP="009B6A78">
            <w:pPr>
              <w:pStyle w:val="Tablei"/>
            </w:pPr>
            <w:r w:rsidRPr="00DB0AA9">
              <w:t>(iv) Indigenous Australians; or</w:t>
            </w:r>
          </w:p>
          <w:p w:rsidR="009E1FBE" w:rsidRPr="00DB0AA9" w:rsidRDefault="009E1FBE" w:rsidP="009B6A78">
            <w:pPr>
              <w:pStyle w:val="Tablei"/>
            </w:pPr>
            <w:r w:rsidRPr="00DB0AA9">
              <w:t>(v) families; or</w:t>
            </w:r>
          </w:p>
          <w:p w:rsidR="009E1FBE" w:rsidRPr="00DB0AA9" w:rsidRDefault="009E1FBE" w:rsidP="009B6A78">
            <w:pPr>
              <w:pStyle w:val="Tablei"/>
            </w:pPr>
            <w:r w:rsidRPr="00DB0AA9">
              <w:t>(vi) children; or</w:t>
            </w:r>
          </w:p>
          <w:p w:rsidR="009E1FBE" w:rsidRPr="00DB0AA9" w:rsidRDefault="009E1FBE" w:rsidP="009B6A78">
            <w:pPr>
              <w:pStyle w:val="Tablei"/>
            </w:pPr>
            <w:r w:rsidRPr="00DB0AA9">
              <w:t>(vii) persons impacted by domestic violence; or</w:t>
            </w:r>
          </w:p>
          <w:p w:rsidR="009E1FBE" w:rsidRPr="00DB0AA9" w:rsidRDefault="009E1FBE" w:rsidP="009B6A78">
            <w:pPr>
              <w:pStyle w:val="Tablei"/>
            </w:pPr>
            <w:r w:rsidRPr="00DB0AA9">
              <w:t>(viii) homeless persons; or</w:t>
            </w:r>
          </w:p>
          <w:p w:rsidR="009E1FBE" w:rsidRPr="00DB0AA9" w:rsidRDefault="009E1FBE" w:rsidP="009B6A78">
            <w:pPr>
              <w:pStyle w:val="Tablei"/>
            </w:pPr>
            <w:r w:rsidRPr="00DB0AA9">
              <w:t>(ix) prisoners.</w:t>
            </w:r>
          </w:p>
        </w:tc>
      </w:tr>
      <w:tr w:rsidR="009E1FBE" w:rsidRPr="00DB0AA9" w:rsidTr="00F4361C">
        <w:tc>
          <w:tcPr>
            <w:tcW w:w="714" w:type="dxa"/>
            <w:shd w:val="clear" w:color="auto" w:fill="auto"/>
          </w:tcPr>
          <w:p w:rsidR="009E1FBE" w:rsidRPr="00DB0AA9" w:rsidRDefault="009E1FBE" w:rsidP="009B6A78">
            <w:pPr>
              <w:pStyle w:val="Tabletext"/>
            </w:pPr>
            <w:r w:rsidRPr="00DB0AA9">
              <w:lastRenderedPageBreak/>
              <w:t>8</w:t>
            </w:r>
          </w:p>
        </w:tc>
        <w:tc>
          <w:tcPr>
            <w:tcW w:w="6369" w:type="dxa"/>
            <w:shd w:val="clear" w:color="auto" w:fill="auto"/>
          </w:tcPr>
          <w:p w:rsidR="009E1FBE" w:rsidRPr="00DB0AA9" w:rsidRDefault="009E1FBE" w:rsidP="009B6A78">
            <w:pPr>
              <w:pStyle w:val="Tabletext"/>
            </w:pPr>
            <w:r w:rsidRPr="00DB0AA9">
              <w:t>Organisations that provide free or subsidised social housing, facilities management services, mortgages or accommodation services to any of the following:</w:t>
            </w:r>
          </w:p>
          <w:p w:rsidR="009E1FBE" w:rsidRPr="00DB0AA9" w:rsidRDefault="009E1FBE" w:rsidP="009B6A78">
            <w:pPr>
              <w:pStyle w:val="Tablea"/>
            </w:pPr>
            <w:r w:rsidRPr="00DB0AA9">
              <w:t>(a) socially or economically disadvantaged persons;</w:t>
            </w:r>
          </w:p>
          <w:p w:rsidR="009E1FBE" w:rsidRPr="00DB0AA9" w:rsidRDefault="009E1FBE" w:rsidP="009B6A78">
            <w:pPr>
              <w:pStyle w:val="Tablea"/>
            </w:pPr>
            <w:r w:rsidRPr="00DB0AA9">
              <w:t>(b) elderly persons;</w:t>
            </w:r>
          </w:p>
          <w:p w:rsidR="009E1FBE" w:rsidRPr="00DB0AA9" w:rsidRDefault="009E1FBE" w:rsidP="009B6A78">
            <w:pPr>
              <w:pStyle w:val="Tablea"/>
            </w:pPr>
            <w:r w:rsidRPr="00DB0AA9">
              <w:t>(c) disabled persons;</w:t>
            </w:r>
          </w:p>
          <w:p w:rsidR="009E1FBE" w:rsidRPr="00DB0AA9" w:rsidRDefault="009E1FBE" w:rsidP="009B6A78">
            <w:pPr>
              <w:pStyle w:val="Tablea"/>
            </w:pPr>
            <w:r w:rsidRPr="00DB0AA9">
              <w:t>(d) Indigenous Australians.</w:t>
            </w:r>
          </w:p>
        </w:tc>
      </w:tr>
      <w:tr w:rsidR="009E1FBE" w:rsidRPr="00DB0AA9" w:rsidTr="00F4361C">
        <w:tc>
          <w:tcPr>
            <w:tcW w:w="714" w:type="dxa"/>
            <w:shd w:val="clear" w:color="auto" w:fill="auto"/>
          </w:tcPr>
          <w:p w:rsidR="009E1FBE" w:rsidRPr="00DB0AA9" w:rsidRDefault="009E1FBE" w:rsidP="009B6A78">
            <w:pPr>
              <w:pStyle w:val="Tabletext"/>
            </w:pPr>
            <w:r w:rsidRPr="00DB0AA9">
              <w:t>9</w:t>
            </w:r>
          </w:p>
        </w:tc>
        <w:tc>
          <w:tcPr>
            <w:tcW w:w="6369" w:type="dxa"/>
            <w:shd w:val="clear" w:color="auto" w:fill="auto"/>
          </w:tcPr>
          <w:p w:rsidR="009E1FBE" w:rsidRPr="00DB0AA9" w:rsidRDefault="009E1FBE" w:rsidP="009B6A78">
            <w:pPr>
              <w:pStyle w:val="Tabletext"/>
            </w:pPr>
            <w:r w:rsidRPr="00DB0AA9">
              <w:t>Organisations that provide legal aid services, including any of the following:</w:t>
            </w:r>
          </w:p>
          <w:p w:rsidR="009E1FBE" w:rsidRPr="00DB0AA9" w:rsidRDefault="009E1FBE" w:rsidP="009B6A78">
            <w:pPr>
              <w:pStyle w:val="Tablea"/>
            </w:pPr>
            <w:r w:rsidRPr="00DB0AA9">
              <w:t>(a) legal aid organisations operated by the Commonwealth government, or the government of a State or Territory;</w:t>
            </w:r>
          </w:p>
          <w:p w:rsidR="009E1FBE" w:rsidRPr="00DB0AA9" w:rsidRDefault="009E1FBE" w:rsidP="009B6A78">
            <w:pPr>
              <w:pStyle w:val="Tablea"/>
            </w:pPr>
            <w:r w:rsidRPr="00DB0AA9">
              <w:t>(b) legal practitioners who provide services for or on behalf of legal aid organisations;</w:t>
            </w:r>
          </w:p>
          <w:p w:rsidR="009E1FBE" w:rsidRPr="00DB0AA9" w:rsidRDefault="009E1FBE" w:rsidP="009B6A78">
            <w:pPr>
              <w:pStyle w:val="Tablea"/>
            </w:pPr>
            <w:r w:rsidRPr="00DB0AA9">
              <w:t>(c) a court of the Commonwealth, a State or a Territory.</w:t>
            </w:r>
          </w:p>
        </w:tc>
      </w:tr>
      <w:tr w:rsidR="009E1FBE" w:rsidRPr="00DB0AA9" w:rsidTr="00F4361C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:rsidR="009E1FBE" w:rsidRPr="00DB0AA9" w:rsidRDefault="009E1FBE" w:rsidP="009B6A78">
            <w:pPr>
              <w:pStyle w:val="Tabletext"/>
            </w:pPr>
            <w:r w:rsidRPr="00DB0AA9">
              <w:t>10</w:t>
            </w:r>
          </w:p>
        </w:tc>
        <w:tc>
          <w:tcPr>
            <w:tcW w:w="6369" w:type="dxa"/>
            <w:tcBorders>
              <w:bottom w:val="single" w:sz="4" w:space="0" w:color="auto"/>
            </w:tcBorders>
            <w:shd w:val="clear" w:color="auto" w:fill="auto"/>
          </w:tcPr>
          <w:p w:rsidR="009E1FBE" w:rsidRPr="00DB0AA9" w:rsidRDefault="009E1FBE" w:rsidP="009B6A78">
            <w:pPr>
              <w:pStyle w:val="Tabletext"/>
            </w:pPr>
            <w:r w:rsidRPr="00DB0AA9">
              <w:t>Organisations that provide services on behalf of local government.</w:t>
            </w:r>
          </w:p>
        </w:tc>
      </w:tr>
      <w:tr w:rsidR="009E1FBE" w:rsidRPr="00DB0AA9" w:rsidTr="00F4361C">
        <w:tc>
          <w:tcPr>
            <w:tcW w:w="714" w:type="dxa"/>
            <w:tcBorders>
              <w:bottom w:val="single" w:sz="12" w:space="0" w:color="auto"/>
            </w:tcBorders>
            <w:shd w:val="clear" w:color="auto" w:fill="auto"/>
          </w:tcPr>
          <w:p w:rsidR="009E1FBE" w:rsidRPr="00DB0AA9" w:rsidRDefault="009E1FBE" w:rsidP="009B6A78">
            <w:pPr>
              <w:pStyle w:val="Tabletext"/>
            </w:pPr>
            <w:r w:rsidRPr="00DB0AA9">
              <w:t>11</w:t>
            </w:r>
          </w:p>
        </w:tc>
        <w:tc>
          <w:tcPr>
            <w:tcW w:w="6369" w:type="dxa"/>
            <w:tcBorders>
              <w:bottom w:val="single" w:sz="12" w:space="0" w:color="auto"/>
            </w:tcBorders>
            <w:shd w:val="clear" w:color="auto" w:fill="auto"/>
          </w:tcPr>
          <w:p w:rsidR="009E1FBE" w:rsidRPr="00DB0AA9" w:rsidRDefault="009E1FBE" w:rsidP="009B6A78">
            <w:pPr>
              <w:pStyle w:val="Tabletext"/>
            </w:pPr>
            <w:r w:rsidRPr="00DB0AA9">
              <w:t>Organisations that provide any of the following:</w:t>
            </w:r>
          </w:p>
          <w:p w:rsidR="009E1FBE" w:rsidRPr="00DB0AA9" w:rsidRDefault="009E1FBE" w:rsidP="00F86127">
            <w:pPr>
              <w:pStyle w:val="Tablea"/>
            </w:pPr>
            <w:r w:rsidRPr="00DB0AA9">
              <w:t>(a) financial planning services;</w:t>
            </w:r>
          </w:p>
          <w:p w:rsidR="009E1FBE" w:rsidRPr="00DB0AA9" w:rsidRDefault="009E1FBE" w:rsidP="00F86127">
            <w:pPr>
              <w:pStyle w:val="Tablea"/>
            </w:pPr>
            <w:r w:rsidRPr="00DB0AA9">
              <w:t>(b) financial products and services (including brokers);</w:t>
            </w:r>
          </w:p>
          <w:p w:rsidR="009E1FBE" w:rsidRPr="00DB0AA9" w:rsidRDefault="009E1FBE" w:rsidP="00F86127">
            <w:pPr>
              <w:pStyle w:val="Tablea"/>
            </w:pPr>
            <w:r w:rsidRPr="00DB0AA9">
              <w:t>(c) insurance products and services;</w:t>
            </w:r>
          </w:p>
          <w:p w:rsidR="009E1FBE" w:rsidRPr="00DB0AA9" w:rsidRDefault="009E1FBE" w:rsidP="00F86127">
            <w:pPr>
              <w:pStyle w:val="Tablea"/>
            </w:pPr>
            <w:r w:rsidRPr="00DB0AA9">
              <w:t>(d) banking services and loans as a credit union;</w:t>
            </w:r>
          </w:p>
          <w:p w:rsidR="009E1FBE" w:rsidRPr="00DB0AA9" w:rsidRDefault="009E1FBE" w:rsidP="00F86127">
            <w:pPr>
              <w:pStyle w:val="Tablea"/>
            </w:pPr>
            <w:r w:rsidRPr="00DB0AA9">
              <w:t>(e) subsidised or reduced interest loans.</w:t>
            </w:r>
          </w:p>
        </w:tc>
      </w:tr>
    </w:tbl>
    <w:p w:rsidR="009E1FBE" w:rsidRPr="00DB0AA9" w:rsidRDefault="009E1FBE" w:rsidP="009E1FBE">
      <w:pPr>
        <w:pStyle w:val="ActHead5"/>
      </w:pPr>
      <w:bookmarkStart w:id="14" w:name="_Toc414521289"/>
      <w:r w:rsidRPr="00DB0AA9">
        <w:rPr>
          <w:rStyle w:val="CharSectno"/>
        </w:rPr>
        <w:t>18</w:t>
      </w:r>
      <w:r w:rsidRPr="00DB0AA9">
        <w:t xml:space="preserve">  Exceptions to Australian Privacy Principle</w:t>
      </w:r>
      <w:r w:rsidR="00DB0AA9" w:rsidRPr="00DB0AA9">
        <w:t> </w:t>
      </w:r>
      <w:r w:rsidRPr="00DB0AA9">
        <w:t>9.2—Centrelink Confirmation eServices (superannuation confirmation)</w:t>
      </w:r>
      <w:bookmarkEnd w:id="14"/>
    </w:p>
    <w:p w:rsidR="009E1FBE" w:rsidRPr="00DB0AA9" w:rsidRDefault="009E1FBE" w:rsidP="009E1FBE">
      <w:pPr>
        <w:pStyle w:val="subsection"/>
      </w:pPr>
      <w:r w:rsidRPr="00DB0AA9">
        <w:tab/>
      </w:r>
      <w:r w:rsidRPr="00DB0AA9">
        <w:tab/>
        <w:t>For subclause</w:t>
      </w:r>
      <w:r w:rsidR="00DB0AA9" w:rsidRPr="00DB0AA9">
        <w:t> </w:t>
      </w:r>
      <w:r w:rsidRPr="00DB0AA9">
        <w:t>9.3 of the Australian Privacy Principles:</w:t>
      </w:r>
    </w:p>
    <w:p w:rsidR="009E1FBE" w:rsidRPr="00DB0AA9" w:rsidRDefault="009E1FBE" w:rsidP="009E1FBE">
      <w:pPr>
        <w:pStyle w:val="paragraph"/>
      </w:pPr>
      <w:r w:rsidRPr="00DB0AA9">
        <w:tab/>
        <w:t>(a)</w:t>
      </w:r>
      <w:r w:rsidRPr="00DB0AA9">
        <w:tab/>
        <w:t>a Customer Reference Number is a prescribed identifier; and</w:t>
      </w:r>
    </w:p>
    <w:p w:rsidR="00C50D95" w:rsidRPr="00DB0AA9" w:rsidRDefault="00C50D95" w:rsidP="00C50D95">
      <w:pPr>
        <w:pStyle w:val="paragraph"/>
      </w:pPr>
      <w:r w:rsidRPr="00DB0AA9">
        <w:tab/>
        <w:t>(b)</w:t>
      </w:r>
      <w:r w:rsidRPr="00DB0AA9">
        <w:tab/>
        <w:t>an organisation is a prescribed organisation if the organisation:</w:t>
      </w:r>
    </w:p>
    <w:p w:rsidR="00C50D95" w:rsidRPr="00DB0AA9" w:rsidRDefault="00C50D95" w:rsidP="00C50D95">
      <w:pPr>
        <w:pStyle w:val="paragraphsub"/>
      </w:pPr>
      <w:r w:rsidRPr="00DB0AA9">
        <w:lastRenderedPageBreak/>
        <w:tab/>
        <w:t>(i)</w:t>
      </w:r>
      <w:r w:rsidRPr="00DB0AA9">
        <w:tab/>
        <w:t>is a participant in the Centrelink Confirmation eServices scheme; and</w:t>
      </w:r>
    </w:p>
    <w:p w:rsidR="00C50D95" w:rsidRPr="00DB0AA9" w:rsidRDefault="00C50D95" w:rsidP="00C50D95">
      <w:pPr>
        <w:pStyle w:val="paragraphsub"/>
      </w:pPr>
      <w:r w:rsidRPr="00DB0AA9">
        <w:tab/>
        <w:t>(ii)</w:t>
      </w:r>
      <w:r w:rsidRPr="00DB0AA9">
        <w:tab/>
        <w:t>provides superannuation products and services; and</w:t>
      </w:r>
    </w:p>
    <w:p w:rsidR="009E1FBE" w:rsidRPr="00DB0AA9" w:rsidRDefault="0029103B" w:rsidP="009E1FBE">
      <w:pPr>
        <w:pStyle w:val="paragraph"/>
      </w:pPr>
      <w:r w:rsidRPr="00DB0AA9">
        <w:tab/>
      </w:r>
      <w:r w:rsidR="009E1FBE" w:rsidRPr="00DB0AA9">
        <w:t>(</w:t>
      </w:r>
      <w:r w:rsidRPr="00DB0AA9">
        <w:t>c</w:t>
      </w:r>
      <w:r w:rsidR="009E1FBE" w:rsidRPr="00DB0AA9">
        <w:t>)</w:t>
      </w:r>
      <w:r w:rsidR="009E1FBE" w:rsidRPr="00DB0AA9">
        <w:tab/>
        <w:t xml:space="preserve">the prescribed circumstance is that </w:t>
      </w:r>
      <w:r w:rsidRPr="00DB0AA9">
        <w:t>a</w:t>
      </w:r>
      <w:r w:rsidR="009E1FBE" w:rsidRPr="00DB0AA9">
        <w:t xml:space="preserve"> prescribed organisation uses or discloses an individual’s prescribed identifier, with the individual’s consent, to access </w:t>
      </w:r>
      <w:r w:rsidR="00C50D95" w:rsidRPr="00DB0AA9">
        <w:t xml:space="preserve">services provided under the </w:t>
      </w:r>
      <w:r w:rsidR="009E1FBE" w:rsidRPr="00DB0AA9">
        <w:t>Centrelink Confirmation eServices</w:t>
      </w:r>
      <w:r w:rsidR="00C50D95" w:rsidRPr="00DB0AA9">
        <w:t xml:space="preserve"> scheme</w:t>
      </w:r>
      <w:r w:rsidR="009E1FBE" w:rsidRPr="00DB0AA9">
        <w:t xml:space="preserve"> to enquire whether the individual is entitled to the early release of superannuation on the g</w:t>
      </w:r>
      <w:r w:rsidRPr="00DB0AA9">
        <w:t>round of financial hardship.</w:t>
      </w:r>
    </w:p>
    <w:p w:rsidR="00B126BE" w:rsidRPr="00DB0AA9" w:rsidRDefault="00107300" w:rsidP="0029103B">
      <w:pPr>
        <w:pStyle w:val="ItemHead"/>
      </w:pPr>
      <w:r w:rsidRPr="00DB0AA9">
        <w:t>3</w:t>
      </w:r>
      <w:r w:rsidR="00B126BE" w:rsidRPr="00DB0AA9">
        <w:t xml:space="preserve">  Schedule</w:t>
      </w:r>
      <w:r w:rsidR="00DB0AA9" w:rsidRPr="00DB0AA9">
        <w:t> </w:t>
      </w:r>
      <w:r w:rsidR="00B126BE" w:rsidRPr="00DB0AA9">
        <w:t>1 (after table item</w:t>
      </w:r>
      <w:r w:rsidR="00DB0AA9" w:rsidRPr="00DB0AA9">
        <w:t> </w:t>
      </w:r>
      <w:r w:rsidR="00B126BE" w:rsidRPr="00DB0AA9">
        <w:t>7)</w:t>
      </w:r>
    </w:p>
    <w:p w:rsidR="00B126BE" w:rsidRPr="00DB0AA9" w:rsidRDefault="00B126BE" w:rsidP="00B126BE">
      <w:pPr>
        <w:pStyle w:val="Item"/>
      </w:pPr>
      <w:r w:rsidRPr="00DB0AA9">
        <w:t>Insert:</w:t>
      </w:r>
    </w:p>
    <w:tbl>
      <w:tblPr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714"/>
        <w:gridCol w:w="6373"/>
      </w:tblGrid>
      <w:tr w:rsidR="00B126BE" w:rsidRPr="00DB0AA9" w:rsidTr="00B60F6A">
        <w:tc>
          <w:tcPr>
            <w:tcW w:w="714" w:type="dxa"/>
            <w:shd w:val="clear" w:color="auto" w:fill="auto"/>
            <w:hideMark/>
          </w:tcPr>
          <w:p w:rsidR="00B126BE" w:rsidRPr="00DB0AA9" w:rsidRDefault="00B126BE" w:rsidP="00B60F6A">
            <w:pPr>
              <w:pStyle w:val="Tabletext"/>
            </w:pPr>
            <w:r w:rsidRPr="00DB0AA9">
              <w:t>7A</w:t>
            </w:r>
          </w:p>
        </w:tc>
        <w:tc>
          <w:tcPr>
            <w:tcW w:w="6373" w:type="dxa"/>
            <w:shd w:val="clear" w:color="auto" w:fill="auto"/>
            <w:hideMark/>
          </w:tcPr>
          <w:p w:rsidR="00B126BE" w:rsidRPr="00DB0AA9" w:rsidRDefault="00B126BE" w:rsidP="00B60F6A">
            <w:pPr>
              <w:pStyle w:val="Tabletext"/>
            </w:pPr>
            <w:r w:rsidRPr="00DB0AA9">
              <w:t>Australian Aged Care Quality Agency</w:t>
            </w:r>
          </w:p>
        </w:tc>
      </w:tr>
    </w:tbl>
    <w:p w:rsidR="00B126BE" w:rsidRPr="00DB0AA9" w:rsidRDefault="00107300" w:rsidP="00B126BE">
      <w:pPr>
        <w:pStyle w:val="ItemHead"/>
        <w:tabs>
          <w:tab w:val="left" w:pos="6663"/>
        </w:tabs>
      </w:pPr>
      <w:r w:rsidRPr="00DB0AA9">
        <w:t>4</w:t>
      </w:r>
      <w:r w:rsidR="00B126BE" w:rsidRPr="00DB0AA9">
        <w:t xml:space="preserve">  Schedule</w:t>
      </w:r>
      <w:r w:rsidR="00DB0AA9" w:rsidRPr="00DB0AA9">
        <w:t> </w:t>
      </w:r>
      <w:r w:rsidR="00B126BE" w:rsidRPr="00DB0AA9">
        <w:t>1 (table items</w:t>
      </w:r>
      <w:r w:rsidR="00DB0AA9" w:rsidRPr="00DB0AA9">
        <w:t> </w:t>
      </w:r>
      <w:r w:rsidR="00B126BE" w:rsidRPr="00DB0AA9">
        <w:t>24 and 68)</w:t>
      </w:r>
    </w:p>
    <w:p w:rsidR="00B126BE" w:rsidRPr="00DB0AA9" w:rsidRDefault="00B126BE" w:rsidP="00B126BE">
      <w:pPr>
        <w:pStyle w:val="Item"/>
      </w:pPr>
      <w:r w:rsidRPr="00DB0AA9">
        <w:t>Repeal the items.</w:t>
      </w:r>
    </w:p>
    <w:p w:rsidR="00B126BE" w:rsidRPr="00DB0AA9" w:rsidRDefault="00107300" w:rsidP="00B126BE">
      <w:pPr>
        <w:pStyle w:val="ItemHead"/>
      </w:pPr>
      <w:r w:rsidRPr="00DB0AA9">
        <w:t>5</w:t>
      </w:r>
      <w:r w:rsidR="00B126BE" w:rsidRPr="00DB0AA9">
        <w:t xml:space="preserve">  Schedule</w:t>
      </w:r>
      <w:r w:rsidR="00DB0AA9" w:rsidRPr="00DB0AA9">
        <w:t> </w:t>
      </w:r>
      <w:r w:rsidR="00B126BE" w:rsidRPr="00DB0AA9">
        <w:t>1 (after table item</w:t>
      </w:r>
      <w:r w:rsidR="00DB0AA9" w:rsidRPr="00DB0AA9">
        <w:t> </w:t>
      </w:r>
      <w:r w:rsidR="00B126BE" w:rsidRPr="00DB0AA9">
        <w:t>75)</w:t>
      </w:r>
    </w:p>
    <w:p w:rsidR="00B126BE" w:rsidRPr="00DB0AA9" w:rsidRDefault="00B126BE" w:rsidP="00B126BE">
      <w:pPr>
        <w:pStyle w:val="Item"/>
      </w:pPr>
      <w:r w:rsidRPr="00DB0AA9">
        <w:t>Insert:</w:t>
      </w:r>
    </w:p>
    <w:tbl>
      <w:tblPr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714"/>
        <w:gridCol w:w="6373"/>
      </w:tblGrid>
      <w:tr w:rsidR="00B126BE" w:rsidRPr="00DB0AA9" w:rsidTr="00B60F6A">
        <w:tc>
          <w:tcPr>
            <w:tcW w:w="714" w:type="dxa"/>
            <w:shd w:val="clear" w:color="auto" w:fill="auto"/>
            <w:hideMark/>
          </w:tcPr>
          <w:p w:rsidR="00B126BE" w:rsidRPr="00DB0AA9" w:rsidRDefault="00B126BE" w:rsidP="00B60F6A">
            <w:pPr>
              <w:pStyle w:val="Tabletext"/>
            </w:pPr>
            <w:r w:rsidRPr="00DB0AA9">
              <w:t>75A</w:t>
            </w:r>
          </w:p>
        </w:tc>
        <w:tc>
          <w:tcPr>
            <w:tcW w:w="6373" w:type="dxa"/>
            <w:shd w:val="clear" w:color="auto" w:fill="auto"/>
            <w:hideMark/>
          </w:tcPr>
          <w:p w:rsidR="00B126BE" w:rsidRPr="00DB0AA9" w:rsidRDefault="00B126BE" w:rsidP="00B60F6A">
            <w:pPr>
              <w:pStyle w:val="Tabletext"/>
            </w:pPr>
            <w:r w:rsidRPr="00DB0AA9">
              <w:t>Repatriation Medical Authority</w:t>
            </w:r>
          </w:p>
        </w:tc>
      </w:tr>
    </w:tbl>
    <w:p w:rsidR="00B126BE" w:rsidRPr="00DB0AA9" w:rsidRDefault="00107300" w:rsidP="00B126BE">
      <w:pPr>
        <w:pStyle w:val="ItemHead"/>
      </w:pPr>
      <w:r w:rsidRPr="00DB0AA9">
        <w:t>6</w:t>
      </w:r>
      <w:r w:rsidR="00B126BE" w:rsidRPr="00DB0AA9">
        <w:t xml:space="preserve">  Schedule</w:t>
      </w:r>
      <w:r w:rsidR="00DB0AA9" w:rsidRPr="00DB0AA9">
        <w:t> </w:t>
      </w:r>
      <w:r w:rsidR="00B126BE" w:rsidRPr="00DB0AA9">
        <w:t>1 (after table item</w:t>
      </w:r>
      <w:r w:rsidR="00DB0AA9" w:rsidRPr="00DB0AA9">
        <w:t> </w:t>
      </w:r>
      <w:r w:rsidR="00B126BE" w:rsidRPr="00DB0AA9">
        <w:t>83)</w:t>
      </w:r>
    </w:p>
    <w:p w:rsidR="00B126BE" w:rsidRPr="00DB0AA9" w:rsidRDefault="00B126BE" w:rsidP="00B126BE">
      <w:pPr>
        <w:pStyle w:val="Item"/>
      </w:pPr>
      <w:r w:rsidRPr="00DB0AA9">
        <w:t>Insert:</w:t>
      </w:r>
    </w:p>
    <w:tbl>
      <w:tblPr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714"/>
        <w:gridCol w:w="6373"/>
      </w:tblGrid>
      <w:tr w:rsidR="00B126BE" w:rsidRPr="00DB0AA9" w:rsidTr="00B60F6A">
        <w:tc>
          <w:tcPr>
            <w:tcW w:w="714" w:type="dxa"/>
            <w:shd w:val="clear" w:color="auto" w:fill="auto"/>
            <w:hideMark/>
          </w:tcPr>
          <w:p w:rsidR="00B126BE" w:rsidRPr="00DB0AA9" w:rsidRDefault="00B126BE" w:rsidP="00B60F6A">
            <w:pPr>
              <w:pStyle w:val="Tabletext"/>
            </w:pPr>
            <w:r w:rsidRPr="00DB0AA9">
              <w:t>83A</w:t>
            </w:r>
          </w:p>
        </w:tc>
        <w:tc>
          <w:tcPr>
            <w:tcW w:w="6373" w:type="dxa"/>
            <w:shd w:val="clear" w:color="auto" w:fill="auto"/>
            <w:hideMark/>
          </w:tcPr>
          <w:p w:rsidR="00B126BE" w:rsidRPr="00DB0AA9" w:rsidRDefault="00B126BE" w:rsidP="00B60F6A">
            <w:pPr>
              <w:pStyle w:val="Tabletext"/>
            </w:pPr>
            <w:r w:rsidRPr="00DB0AA9">
              <w:t>Specialist Medical Review Council</w:t>
            </w:r>
          </w:p>
        </w:tc>
      </w:tr>
    </w:tbl>
    <w:p w:rsidR="00B126BE" w:rsidRPr="00DB0AA9" w:rsidRDefault="00107300" w:rsidP="00B126BE">
      <w:pPr>
        <w:pStyle w:val="ItemHead"/>
        <w:ind w:left="851" w:hanging="851"/>
      </w:pPr>
      <w:r w:rsidRPr="00DB0AA9">
        <w:t>7</w:t>
      </w:r>
      <w:r w:rsidR="00B126BE" w:rsidRPr="00DB0AA9">
        <w:t xml:space="preserve">  Schedules</w:t>
      </w:r>
      <w:r w:rsidR="00DB0AA9" w:rsidRPr="00DB0AA9">
        <w:t> </w:t>
      </w:r>
      <w:r w:rsidR="00B126BE" w:rsidRPr="00DB0AA9">
        <w:t>2, 3 and 4</w:t>
      </w:r>
    </w:p>
    <w:p w:rsidR="00B126BE" w:rsidRPr="00DB0AA9" w:rsidRDefault="00B126BE" w:rsidP="00B126BE">
      <w:pPr>
        <w:pStyle w:val="Item"/>
      </w:pPr>
      <w:r w:rsidRPr="00DB0AA9">
        <w:t>Repeal the Schedules.</w:t>
      </w:r>
    </w:p>
    <w:sectPr w:rsidR="00B126BE" w:rsidRPr="00DB0AA9" w:rsidSect="007A1DFA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 w:code="9"/>
      <w:pgMar w:top="1667" w:right="2410" w:bottom="4253" w:left="2410" w:header="720" w:footer="340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6BE" w:rsidRDefault="00B126BE" w:rsidP="00715914">
      <w:pPr>
        <w:spacing w:line="240" w:lineRule="auto"/>
      </w:pPr>
      <w:r>
        <w:separator/>
      </w:r>
    </w:p>
  </w:endnote>
  <w:endnote w:type="continuationSeparator" w:id="0">
    <w:p w:rsidR="00B126BE" w:rsidRDefault="00B126BE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ECD" w:rsidRPr="007A1DFA" w:rsidRDefault="006A5ECD" w:rsidP="007A1DF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7A1DFA">
      <w:rPr>
        <w:i/>
        <w:sz w:val="18"/>
      </w:rPr>
      <w:t xml:space="preserve"> </w:t>
    </w:r>
    <w:r w:rsidR="007A1DFA" w:rsidRPr="007A1DFA">
      <w:rPr>
        <w:i/>
        <w:sz w:val="18"/>
      </w:rPr>
      <w:t>OPC61164 -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DFA" w:rsidRDefault="007A1DFA" w:rsidP="007A1DFA">
    <w:pPr>
      <w:pStyle w:val="Footer"/>
    </w:pPr>
    <w:r w:rsidRPr="007A1DFA">
      <w:rPr>
        <w:i/>
        <w:sz w:val="18"/>
      </w:rPr>
      <w:t>OPC61164 -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ECD" w:rsidRPr="007A1DFA" w:rsidRDefault="006A5ECD" w:rsidP="006A5ECD">
    <w:pPr>
      <w:pStyle w:val="Footer"/>
      <w:rPr>
        <w:sz w:val="18"/>
      </w:rPr>
    </w:pPr>
  </w:p>
  <w:p w:rsidR="006A5ECD" w:rsidRPr="007A1DFA" w:rsidRDefault="007A1DFA" w:rsidP="007A1DFA">
    <w:pPr>
      <w:pStyle w:val="Footer"/>
      <w:rPr>
        <w:sz w:val="18"/>
      </w:rPr>
    </w:pPr>
    <w:r w:rsidRPr="007A1DFA">
      <w:rPr>
        <w:i/>
        <w:sz w:val="18"/>
      </w:rPr>
      <w:t>OPC61164 -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ECD" w:rsidRPr="007A1DFA" w:rsidRDefault="006A5ECD" w:rsidP="006A5ECD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6A5ECD" w:rsidRPr="007A1DFA" w:rsidTr="006D50BE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A5ECD" w:rsidRPr="007A1DFA" w:rsidRDefault="006A5ECD" w:rsidP="006D50BE">
          <w:pPr>
            <w:spacing w:line="0" w:lineRule="atLeast"/>
            <w:rPr>
              <w:rFonts w:cs="Times New Roman"/>
              <w:i/>
              <w:sz w:val="18"/>
            </w:rPr>
          </w:pPr>
          <w:r w:rsidRPr="007A1DFA">
            <w:rPr>
              <w:rFonts w:cs="Times New Roman"/>
              <w:i/>
              <w:sz w:val="18"/>
            </w:rPr>
            <w:fldChar w:fldCharType="begin"/>
          </w:r>
          <w:r w:rsidRPr="007A1DFA">
            <w:rPr>
              <w:rFonts w:cs="Times New Roman"/>
              <w:i/>
              <w:sz w:val="18"/>
            </w:rPr>
            <w:instrText xml:space="preserve"> PAGE </w:instrText>
          </w:r>
          <w:r w:rsidRPr="007A1DFA">
            <w:rPr>
              <w:rFonts w:cs="Times New Roman"/>
              <w:i/>
              <w:sz w:val="18"/>
            </w:rPr>
            <w:fldChar w:fldCharType="separate"/>
          </w:r>
          <w:r w:rsidR="00DA44EC">
            <w:rPr>
              <w:rFonts w:cs="Times New Roman"/>
              <w:i/>
              <w:noProof/>
              <w:sz w:val="18"/>
            </w:rPr>
            <w:t>ii</w:t>
          </w:r>
          <w:r w:rsidRPr="007A1DFA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A5ECD" w:rsidRPr="007A1DFA" w:rsidRDefault="006A5ECD" w:rsidP="006D50BE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7A1DFA">
            <w:rPr>
              <w:rFonts w:cs="Times New Roman"/>
              <w:i/>
              <w:sz w:val="18"/>
            </w:rPr>
            <w:fldChar w:fldCharType="begin"/>
          </w:r>
          <w:r w:rsidRPr="007A1DFA">
            <w:rPr>
              <w:rFonts w:cs="Times New Roman"/>
              <w:i/>
              <w:sz w:val="18"/>
            </w:rPr>
            <w:instrText xml:space="preserve"> DOCPROPERTY ShortT </w:instrText>
          </w:r>
          <w:r w:rsidRPr="007A1DFA">
            <w:rPr>
              <w:rFonts w:cs="Times New Roman"/>
              <w:i/>
              <w:sz w:val="18"/>
            </w:rPr>
            <w:fldChar w:fldCharType="separate"/>
          </w:r>
          <w:r w:rsidR="00125018">
            <w:rPr>
              <w:rFonts w:cs="Times New Roman"/>
              <w:i/>
              <w:sz w:val="18"/>
            </w:rPr>
            <w:t>Privacy Amendment (2015 Measures No. 2) Regulation 2015</w:t>
          </w:r>
          <w:r w:rsidRPr="007A1DFA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A5ECD" w:rsidRPr="007A1DFA" w:rsidRDefault="006A5ECD" w:rsidP="006D50BE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7A1DFA">
            <w:rPr>
              <w:rFonts w:cs="Times New Roman"/>
              <w:i/>
              <w:sz w:val="18"/>
            </w:rPr>
            <w:fldChar w:fldCharType="begin"/>
          </w:r>
          <w:r w:rsidRPr="007A1DFA">
            <w:rPr>
              <w:rFonts w:cs="Times New Roman"/>
              <w:i/>
              <w:sz w:val="18"/>
            </w:rPr>
            <w:instrText xml:space="preserve"> DOCPROPERTY ActNo </w:instrText>
          </w:r>
          <w:r w:rsidRPr="007A1DFA">
            <w:rPr>
              <w:rFonts w:cs="Times New Roman"/>
              <w:i/>
              <w:sz w:val="18"/>
            </w:rPr>
            <w:fldChar w:fldCharType="separate"/>
          </w:r>
          <w:r w:rsidR="00125018">
            <w:rPr>
              <w:rFonts w:cs="Times New Roman"/>
              <w:i/>
              <w:sz w:val="18"/>
            </w:rPr>
            <w:t>No. 58, 2015</w:t>
          </w:r>
          <w:r w:rsidRPr="007A1DFA">
            <w:rPr>
              <w:rFonts w:cs="Times New Roman"/>
              <w:i/>
              <w:sz w:val="18"/>
            </w:rPr>
            <w:fldChar w:fldCharType="end"/>
          </w:r>
        </w:p>
      </w:tc>
    </w:tr>
  </w:tbl>
  <w:p w:rsidR="006A5ECD" w:rsidRPr="007A1DFA" w:rsidRDefault="007A1DFA" w:rsidP="007A1DFA">
    <w:pPr>
      <w:rPr>
        <w:rFonts w:cs="Times New Roman"/>
        <w:i/>
        <w:sz w:val="18"/>
      </w:rPr>
    </w:pPr>
    <w:r w:rsidRPr="007A1DFA">
      <w:rPr>
        <w:rFonts w:cs="Times New Roman"/>
        <w:i/>
        <w:sz w:val="18"/>
      </w:rPr>
      <w:t>OPC61164 -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ECD" w:rsidRPr="00E33C1C" w:rsidRDefault="006A5ECD" w:rsidP="006A5EC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6A5ECD" w:rsidTr="006D50BE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A5ECD" w:rsidRDefault="006A5ECD" w:rsidP="006D50BE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125018">
            <w:rPr>
              <w:i/>
              <w:sz w:val="18"/>
            </w:rPr>
            <w:t>No. 58,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A5ECD" w:rsidRDefault="006A5ECD" w:rsidP="006D50B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25018">
            <w:rPr>
              <w:i/>
              <w:sz w:val="18"/>
            </w:rPr>
            <w:t>Privacy Amendment (2015 Measures No. 2)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A5ECD" w:rsidRDefault="006A5ECD" w:rsidP="006D50B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16FA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A5ECD" w:rsidRPr="00ED79B6" w:rsidRDefault="007A1DFA" w:rsidP="007A1DFA">
    <w:pPr>
      <w:rPr>
        <w:i/>
        <w:sz w:val="18"/>
      </w:rPr>
    </w:pPr>
    <w:r w:rsidRPr="007A1DFA">
      <w:rPr>
        <w:rFonts w:cs="Times New Roman"/>
        <w:i/>
        <w:sz w:val="18"/>
      </w:rPr>
      <w:t>OPC61164 -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ECD" w:rsidRPr="007A1DFA" w:rsidRDefault="006A5ECD" w:rsidP="006A5ECD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6A5ECD" w:rsidRPr="007A1DFA" w:rsidTr="006D50BE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A5ECD" w:rsidRPr="007A1DFA" w:rsidRDefault="006A5ECD" w:rsidP="006D50BE">
          <w:pPr>
            <w:spacing w:line="0" w:lineRule="atLeast"/>
            <w:rPr>
              <w:rFonts w:cs="Times New Roman"/>
              <w:i/>
              <w:sz w:val="18"/>
            </w:rPr>
          </w:pPr>
          <w:r w:rsidRPr="007A1DFA">
            <w:rPr>
              <w:rFonts w:cs="Times New Roman"/>
              <w:i/>
              <w:sz w:val="18"/>
            </w:rPr>
            <w:fldChar w:fldCharType="begin"/>
          </w:r>
          <w:r w:rsidRPr="007A1DFA">
            <w:rPr>
              <w:rFonts w:cs="Times New Roman"/>
              <w:i/>
              <w:sz w:val="18"/>
            </w:rPr>
            <w:instrText xml:space="preserve"> PAGE </w:instrText>
          </w:r>
          <w:r w:rsidRPr="007A1DFA">
            <w:rPr>
              <w:rFonts w:cs="Times New Roman"/>
              <w:i/>
              <w:sz w:val="18"/>
            </w:rPr>
            <w:fldChar w:fldCharType="separate"/>
          </w:r>
          <w:r w:rsidR="00916FA4">
            <w:rPr>
              <w:rFonts w:cs="Times New Roman"/>
              <w:i/>
              <w:noProof/>
              <w:sz w:val="18"/>
            </w:rPr>
            <w:t>4</w:t>
          </w:r>
          <w:r w:rsidRPr="007A1DFA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A5ECD" w:rsidRPr="007A1DFA" w:rsidRDefault="006A5ECD" w:rsidP="006D50BE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7A1DFA">
            <w:rPr>
              <w:rFonts w:cs="Times New Roman"/>
              <w:i/>
              <w:sz w:val="18"/>
            </w:rPr>
            <w:fldChar w:fldCharType="begin"/>
          </w:r>
          <w:r w:rsidRPr="007A1DFA">
            <w:rPr>
              <w:rFonts w:cs="Times New Roman"/>
              <w:i/>
              <w:sz w:val="18"/>
            </w:rPr>
            <w:instrText xml:space="preserve"> DOCPROPERTY ShortT </w:instrText>
          </w:r>
          <w:r w:rsidRPr="007A1DFA">
            <w:rPr>
              <w:rFonts w:cs="Times New Roman"/>
              <w:i/>
              <w:sz w:val="18"/>
            </w:rPr>
            <w:fldChar w:fldCharType="separate"/>
          </w:r>
          <w:r w:rsidR="00125018">
            <w:rPr>
              <w:rFonts w:cs="Times New Roman"/>
              <w:i/>
              <w:sz w:val="18"/>
            </w:rPr>
            <w:t>Privacy Amendment (2015 Measures No. 2) Regulation 2015</w:t>
          </w:r>
          <w:r w:rsidRPr="007A1DFA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A5ECD" w:rsidRPr="007A1DFA" w:rsidRDefault="006A5ECD" w:rsidP="006D50BE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7A1DFA">
            <w:rPr>
              <w:rFonts w:cs="Times New Roman"/>
              <w:i/>
              <w:sz w:val="18"/>
            </w:rPr>
            <w:fldChar w:fldCharType="begin"/>
          </w:r>
          <w:r w:rsidRPr="007A1DFA">
            <w:rPr>
              <w:rFonts w:cs="Times New Roman"/>
              <w:i/>
              <w:sz w:val="18"/>
            </w:rPr>
            <w:instrText xml:space="preserve"> DOCPROPERTY ActNo </w:instrText>
          </w:r>
          <w:r w:rsidRPr="007A1DFA">
            <w:rPr>
              <w:rFonts w:cs="Times New Roman"/>
              <w:i/>
              <w:sz w:val="18"/>
            </w:rPr>
            <w:fldChar w:fldCharType="separate"/>
          </w:r>
          <w:r w:rsidR="00125018">
            <w:rPr>
              <w:rFonts w:cs="Times New Roman"/>
              <w:i/>
              <w:sz w:val="18"/>
            </w:rPr>
            <w:t>No. 58, 2015</w:t>
          </w:r>
          <w:r w:rsidRPr="007A1DFA">
            <w:rPr>
              <w:rFonts w:cs="Times New Roman"/>
              <w:i/>
              <w:sz w:val="18"/>
            </w:rPr>
            <w:fldChar w:fldCharType="end"/>
          </w:r>
        </w:p>
      </w:tc>
    </w:tr>
  </w:tbl>
  <w:p w:rsidR="006A5ECD" w:rsidRPr="007A1DFA" w:rsidRDefault="007A1DFA" w:rsidP="007A1DFA">
    <w:pPr>
      <w:rPr>
        <w:rFonts w:cs="Times New Roman"/>
        <w:i/>
        <w:sz w:val="18"/>
      </w:rPr>
    </w:pPr>
    <w:r w:rsidRPr="007A1DFA">
      <w:rPr>
        <w:rFonts w:cs="Times New Roman"/>
        <w:i/>
        <w:sz w:val="18"/>
      </w:rPr>
      <w:t>OPC61164 -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ECD" w:rsidRPr="00E33C1C" w:rsidRDefault="006A5ECD" w:rsidP="006A5EC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6A5ECD" w:rsidTr="006D50BE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A5ECD" w:rsidRDefault="006A5ECD" w:rsidP="006D50BE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125018">
            <w:rPr>
              <w:i/>
              <w:sz w:val="18"/>
            </w:rPr>
            <w:t>No. 58,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A5ECD" w:rsidRDefault="006A5ECD" w:rsidP="006D50B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25018">
            <w:rPr>
              <w:i/>
              <w:sz w:val="18"/>
            </w:rPr>
            <w:t>Privacy Amendment (2015 Measures No. 2)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A5ECD" w:rsidRDefault="006A5ECD" w:rsidP="006D50B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16FA4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A5ECD" w:rsidRPr="00ED79B6" w:rsidRDefault="007A1DFA" w:rsidP="007A1DFA">
    <w:pPr>
      <w:rPr>
        <w:i/>
        <w:sz w:val="18"/>
      </w:rPr>
    </w:pPr>
    <w:r w:rsidRPr="007A1DFA">
      <w:rPr>
        <w:rFonts w:cs="Times New Roman"/>
        <w:i/>
        <w:sz w:val="18"/>
      </w:rPr>
      <w:t>OPC61164 -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ECD" w:rsidRPr="00E33C1C" w:rsidRDefault="006A5ECD" w:rsidP="006A5ECD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6A5ECD" w:rsidTr="006D50BE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A5ECD" w:rsidRDefault="006A5ECD" w:rsidP="006D50BE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125018">
            <w:rPr>
              <w:i/>
              <w:sz w:val="18"/>
            </w:rPr>
            <w:t>No. 58,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A5ECD" w:rsidRDefault="006A5ECD" w:rsidP="006D50B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25018">
            <w:rPr>
              <w:i/>
              <w:sz w:val="18"/>
            </w:rPr>
            <w:t>Privacy Amendment (2015 Measures No. 2)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A5ECD" w:rsidRDefault="006A5ECD" w:rsidP="006D50B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A44EC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A5ECD" w:rsidRPr="00ED79B6" w:rsidRDefault="006A5ECD" w:rsidP="006A5ECD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6BE" w:rsidRDefault="00B126BE" w:rsidP="00715914">
      <w:pPr>
        <w:spacing w:line="240" w:lineRule="auto"/>
      </w:pPr>
      <w:r>
        <w:separator/>
      </w:r>
    </w:p>
  </w:footnote>
  <w:footnote w:type="continuationSeparator" w:id="0">
    <w:p w:rsidR="00B126BE" w:rsidRDefault="00B126BE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ECD" w:rsidRPr="005F1388" w:rsidRDefault="006A5ECD" w:rsidP="006A5ECD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ECD" w:rsidRPr="005F1388" w:rsidRDefault="006A5ECD" w:rsidP="006A5ECD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ECD" w:rsidRPr="005F1388" w:rsidRDefault="006A5ECD" w:rsidP="006A5ECD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ECD" w:rsidRPr="00ED79B6" w:rsidRDefault="006A5ECD" w:rsidP="006A5ECD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ECD" w:rsidRPr="00ED79B6" w:rsidRDefault="006A5ECD" w:rsidP="006A5ECD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ECD" w:rsidRPr="00ED79B6" w:rsidRDefault="006A5ECD" w:rsidP="006A5ECD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ECD" w:rsidRPr="00A961C4" w:rsidRDefault="006A5ECD" w:rsidP="006A5ECD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916FA4">
      <w:rPr>
        <w:b/>
        <w:sz w:val="20"/>
      </w:rPr>
      <w:fldChar w:fldCharType="separate"/>
    </w:r>
    <w:r w:rsidR="00916FA4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916FA4">
      <w:rPr>
        <w:sz w:val="20"/>
      </w:rPr>
      <w:fldChar w:fldCharType="separate"/>
    </w:r>
    <w:r w:rsidR="00916FA4">
      <w:rPr>
        <w:noProof/>
        <w:sz w:val="20"/>
      </w:rPr>
      <w:t>Amendments</w:t>
    </w:r>
    <w:r>
      <w:rPr>
        <w:sz w:val="20"/>
      </w:rPr>
      <w:fldChar w:fldCharType="end"/>
    </w:r>
  </w:p>
  <w:p w:rsidR="006A5ECD" w:rsidRPr="00A961C4" w:rsidRDefault="006A5ECD" w:rsidP="006A5ECD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6A5ECD" w:rsidRPr="00A961C4" w:rsidRDefault="006A5ECD" w:rsidP="006A5EC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ECD" w:rsidRPr="00A961C4" w:rsidRDefault="006A5ECD" w:rsidP="006A5ECD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916FA4">
      <w:rPr>
        <w:sz w:val="20"/>
      </w:rPr>
      <w:fldChar w:fldCharType="separate"/>
    </w:r>
    <w:r w:rsidR="00916FA4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916FA4">
      <w:rPr>
        <w:b/>
        <w:sz w:val="20"/>
      </w:rPr>
      <w:fldChar w:fldCharType="separate"/>
    </w:r>
    <w:r w:rsidR="00916FA4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6A5ECD" w:rsidRPr="00A961C4" w:rsidRDefault="006A5ECD" w:rsidP="006A5ECD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6A5ECD" w:rsidRPr="00A961C4" w:rsidRDefault="006A5ECD" w:rsidP="006A5EC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ECD" w:rsidRPr="00A961C4" w:rsidRDefault="006A5ECD" w:rsidP="006A5EC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8626B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2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BC027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66693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B6EB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8A4C2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F6A4E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F4A0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ECE8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DE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84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6BE"/>
    <w:rsid w:val="00004470"/>
    <w:rsid w:val="000136AF"/>
    <w:rsid w:val="000437C1"/>
    <w:rsid w:val="0005365D"/>
    <w:rsid w:val="000614BF"/>
    <w:rsid w:val="00075148"/>
    <w:rsid w:val="000841E7"/>
    <w:rsid w:val="000B58FA"/>
    <w:rsid w:val="000D05EF"/>
    <w:rsid w:val="000E2261"/>
    <w:rsid w:val="000E241C"/>
    <w:rsid w:val="000F21C1"/>
    <w:rsid w:val="00107300"/>
    <w:rsid w:val="0010745C"/>
    <w:rsid w:val="00125018"/>
    <w:rsid w:val="00132CEB"/>
    <w:rsid w:val="00142B62"/>
    <w:rsid w:val="00157B8B"/>
    <w:rsid w:val="00166C2F"/>
    <w:rsid w:val="001809D7"/>
    <w:rsid w:val="001939E1"/>
    <w:rsid w:val="00194C3E"/>
    <w:rsid w:val="00195382"/>
    <w:rsid w:val="001C61C5"/>
    <w:rsid w:val="001C69C4"/>
    <w:rsid w:val="001D37EF"/>
    <w:rsid w:val="001E2C61"/>
    <w:rsid w:val="001E3590"/>
    <w:rsid w:val="001E7407"/>
    <w:rsid w:val="001F5D5E"/>
    <w:rsid w:val="001F6219"/>
    <w:rsid w:val="001F6CD4"/>
    <w:rsid w:val="00206C4D"/>
    <w:rsid w:val="0021053C"/>
    <w:rsid w:val="00215AF1"/>
    <w:rsid w:val="00222533"/>
    <w:rsid w:val="002321E8"/>
    <w:rsid w:val="00236EEC"/>
    <w:rsid w:val="0024010F"/>
    <w:rsid w:val="00240749"/>
    <w:rsid w:val="00243018"/>
    <w:rsid w:val="002564A4"/>
    <w:rsid w:val="0026736C"/>
    <w:rsid w:val="00267ADD"/>
    <w:rsid w:val="00276476"/>
    <w:rsid w:val="00281308"/>
    <w:rsid w:val="00281C53"/>
    <w:rsid w:val="00284719"/>
    <w:rsid w:val="0029103B"/>
    <w:rsid w:val="00297ECB"/>
    <w:rsid w:val="002A35EB"/>
    <w:rsid w:val="002A3907"/>
    <w:rsid w:val="002A7BCF"/>
    <w:rsid w:val="002D043A"/>
    <w:rsid w:val="002D6224"/>
    <w:rsid w:val="002E3F4B"/>
    <w:rsid w:val="00304F8B"/>
    <w:rsid w:val="003167A8"/>
    <w:rsid w:val="003354D2"/>
    <w:rsid w:val="00335BC6"/>
    <w:rsid w:val="00340FF7"/>
    <w:rsid w:val="003415D3"/>
    <w:rsid w:val="00344701"/>
    <w:rsid w:val="00352B0F"/>
    <w:rsid w:val="00356690"/>
    <w:rsid w:val="00360459"/>
    <w:rsid w:val="003C6231"/>
    <w:rsid w:val="003D0BFE"/>
    <w:rsid w:val="003D5700"/>
    <w:rsid w:val="003E341B"/>
    <w:rsid w:val="004116CD"/>
    <w:rsid w:val="004144EC"/>
    <w:rsid w:val="00417EB9"/>
    <w:rsid w:val="00424CA9"/>
    <w:rsid w:val="00425D4F"/>
    <w:rsid w:val="00431E9B"/>
    <w:rsid w:val="004368F5"/>
    <w:rsid w:val="004379E3"/>
    <w:rsid w:val="0044015E"/>
    <w:rsid w:val="0044291A"/>
    <w:rsid w:val="00444ABD"/>
    <w:rsid w:val="004526AA"/>
    <w:rsid w:val="00467661"/>
    <w:rsid w:val="004705B7"/>
    <w:rsid w:val="00472DBE"/>
    <w:rsid w:val="00474A19"/>
    <w:rsid w:val="00496F97"/>
    <w:rsid w:val="004C6AE8"/>
    <w:rsid w:val="004E063A"/>
    <w:rsid w:val="004E2C4A"/>
    <w:rsid w:val="004E7BEC"/>
    <w:rsid w:val="004F6A56"/>
    <w:rsid w:val="00505D3D"/>
    <w:rsid w:val="00506AF6"/>
    <w:rsid w:val="00516B8D"/>
    <w:rsid w:val="00537FBC"/>
    <w:rsid w:val="0054597A"/>
    <w:rsid w:val="005574D1"/>
    <w:rsid w:val="00584811"/>
    <w:rsid w:val="00585784"/>
    <w:rsid w:val="00593AA6"/>
    <w:rsid w:val="00594161"/>
    <w:rsid w:val="00594749"/>
    <w:rsid w:val="005B4067"/>
    <w:rsid w:val="005C0F8D"/>
    <w:rsid w:val="005C3F41"/>
    <w:rsid w:val="005D2D09"/>
    <w:rsid w:val="005F5545"/>
    <w:rsid w:val="00600219"/>
    <w:rsid w:val="00603DC4"/>
    <w:rsid w:val="00617006"/>
    <w:rsid w:val="00620076"/>
    <w:rsid w:val="00646BE3"/>
    <w:rsid w:val="00670EA1"/>
    <w:rsid w:val="00677CC2"/>
    <w:rsid w:val="006905DE"/>
    <w:rsid w:val="0069207B"/>
    <w:rsid w:val="00694F86"/>
    <w:rsid w:val="006A5ECD"/>
    <w:rsid w:val="006B5789"/>
    <w:rsid w:val="006C30C5"/>
    <w:rsid w:val="006C7F8C"/>
    <w:rsid w:val="006D3103"/>
    <w:rsid w:val="006E6246"/>
    <w:rsid w:val="006F318F"/>
    <w:rsid w:val="006F380C"/>
    <w:rsid w:val="006F4226"/>
    <w:rsid w:val="0070017E"/>
    <w:rsid w:val="00700B2C"/>
    <w:rsid w:val="007050A2"/>
    <w:rsid w:val="00713084"/>
    <w:rsid w:val="00714F20"/>
    <w:rsid w:val="0071590F"/>
    <w:rsid w:val="00715914"/>
    <w:rsid w:val="00731E00"/>
    <w:rsid w:val="007440B7"/>
    <w:rsid w:val="007500C8"/>
    <w:rsid w:val="00756272"/>
    <w:rsid w:val="0076681A"/>
    <w:rsid w:val="007715C9"/>
    <w:rsid w:val="00771613"/>
    <w:rsid w:val="00774EDD"/>
    <w:rsid w:val="007757EC"/>
    <w:rsid w:val="00783E89"/>
    <w:rsid w:val="00793915"/>
    <w:rsid w:val="007A1DFA"/>
    <w:rsid w:val="007C2253"/>
    <w:rsid w:val="007E163D"/>
    <w:rsid w:val="007E667A"/>
    <w:rsid w:val="007F28C9"/>
    <w:rsid w:val="00801C6A"/>
    <w:rsid w:val="00803587"/>
    <w:rsid w:val="0080426C"/>
    <w:rsid w:val="008117E9"/>
    <w:rsid w:val="00817128"/>
    <w:rsid w:val="00824498"/>
    <w:rsid w:val="008541D0"/>
    <w:rsid w:val="00856A31"/>
    <w:rsid w:val="00861EB1"/>
    <w:rsid w:val="00864B24"/>
    <w:rsid w:val="00867B37"/>
    <w:rsid w:val="008754D0"/>
    <w:rsid w:val="008855C9"/>
    <w:rsid w:val="00886456"/>
    <w:rsid w:val="008A46E1"/>
    <w:rsid w:val="008A4F43"/>
    <w:rsid w:val="008B2706"/>
    <w:rsid w:val="008D0EE0"/>
    <w:rsid w:val="008E05D6"/>
    <w:rsid w:val="008E6067"/>
    <w:rsid w:val="008F54E7"/>
    <w:rsid w:val="00903422"/>
    <w:rsid w:val="009049A4"/>
    <w:rsid w:val="00915DF9"/>
    <w:rsid w:val="00916FA4"/>
    <w:rsid w:val="009254C3"/>
    <w:rsid w:val="00932377"/>
    <w:rsid w:val="009455D7"/>
    <w:rsid w:val="00947D5A"/>
    <w:rsid w:val="009532A5"/>
    <w:rsid w:val="00982242"/>
    <w:rsid w:val="009868E9"/>
    <w:rsid w:val="009E1FBE"/>
    <w:rsid w:val="009E5CFC"/>
    <w:rsid w:val="00A079CB"/>
    <w:rsid w:val="00A12128"/>
    <w:rsid w:val="00A22C98"/>
    <w:rsid w:val="00A231E2"/>
    <w:rsid w:val="00A64912"/>
    <w:rsid w:val="00A70A74"/>
    <w:rsid w:val="00A9048D"/>
    <w:rsid w:val="00A95EAE"/>
    <w:rsid w:val="00AD5641"/>
    <w:rsid w:val="00AD7889"/>
    <w:rsid w:val="00AF021B"/>
    <w:rsid w:val="00AF06CF"/>
    <w:rsid w:val="00B05CF4"/>
    <w:rsid w:val="00B07CDB"/>
    <w:rsid w:val="00B126BE"/>
    <w:rsid w:val="00B16A31"/>
    <w:rsid w:val="00B17DFD"/>
    <w:rsid w:val="00B308FE"/>
    <w:rsid w:val="00B33709"/>
    <w:rsid w:val="00B33B3C"/>
    <w:rsid w:val="00B50ADC"/>
    <w:rsid w:val="00B566B1"/>
    <w:rsid w:val="00B63834"/>
    <w:rsid w:val="00B72734"/>
    <w:rsid w:val="00B80199"/>
    <w:rsid w:val="00B83204"/>
    <w:rsid w:val="00BA220B"/>
    <w:rsid w:val="00BA3A57"/>
    <w:rsid w:val="00BA691F"/>
    <w:rsid w:val="00BB1AA4"/>
    <w:rsid w:val="00BB4E1A"/>
    <w:rsid w:val="00BC015E"/>
    <w:rsid w:val="00BC76AC"/>
    <w:rsid w:val="00BD0ECB"/>
    <w:rsid w:val="00BE2155"/>
    <w:rsid w:val="00BE2213"/>
    <w:rsid w:val="00BE719A"/>
    <w:rsid w:val="00BE720A"/>
    <w:rsid w:val="00BF0D73"/>
    <w:rsid w:val="00BF2465"/>
    <w:rsid w:val="00C25E7F"/>
    <w:rsid w:val="00C2746F"/>
    <w:rsid w:val="00C324A0"/>
    <w:rsid w:val="00C3300F"/>
    <w:rsid w:val="00C42BF8"/>
    <w:rsid w:val="00C50043"/>
    <w:rsid w:val="00C50D95"/>
    <w:rsid w:val="00C571A0"/>
    <w:rsid w:val="00C7573B"/>
    <w:rsid w:val="00C93C03"/>
    <w:rsid w:val="00CB2C8E"/>
    <w:rsid w:val="00CB602E"/>
    <w:rsid w:val="00CE051D"/>
    <w:rsid w:val="00CE1335"/>
    <w:rsid w:val="00CE493D"/>
    <w:rsid w:val="00CF07FA"/>
    <w:rsid w:val="00CF0BB2"/>
    <w:rsid w:val="00CF3EE8"/>
    <w:rsid w:val="00D050E6"/>
    <w:rsid w:val="00D13441"/>
    <w:rsid w:val="00D150E7"/>
    <w:rsid w:val="00D32F65"/>
    <w:rsid w:val="00D52DC2"/>
    <w:rsid w:val="00D53BCC"/>
    <w:rsid w:val="00D54E5D"/>
    <w:rsid w:val="00D70DFB"/>
    <w:rsid w:val="00D74AF4"/>
    <w:rsid w:val="00D766DF"/>
    <w:rsid w:val="00D83B13"/>
    <w:rsid w:val="00DA186E"/>
    <w:rsid w:val="00DA1D01"/>
    <w:rsid w:val="00DA4116"/>
    <w:rsid w:val="00DA44EC"/>
    <w:rsid w:val="00DB0AA9"/>
    <w:rsid w:val="00DB251C"/>
    <w:rsid w:val="00DB2D10"/>
    <w:rsid w:val="00DB4630"/>
    <w:rsid w:val="00DC4F88"/>
    <w:rsid w:val="00DE6A09"/>
    <w:rsid w:val="00E05704"/>
    <w:rsid w:val="00E11E44"/>
    <w:rsid w:val="00E3270E"/>
    <w:rsid w:val="00E338EF"/>
    <w:rsid w:val="00E544BB"/>
    <w:rsid w:val="00E662CB"/>
    <w:rsid w:val="00E74DC7"/>
    <w:rsid w:val="00E8075A"/>
    <w:rsid w:val="00E94D5E"/>
    <w:rsid w:val="00EA7100"/>
    <w:rsid w:val="00EA7F9F"/>
    <w:rsid w:val="00EB1274"/>
    <w:rsid w:val="00ED2BB6"/>
    <w:rsid w:val="00ED34E1"/>
    <w:rsid w:val="00ED3B8D"/>
    <w:rsid w:val="00EF2E3A"/>
    <w:rsid w:val="00F072A7"/>
    <w:rsid w:val="00F078DC"/>
    <w:rsid w:val="00F32BA8"/>
    <w:rsid w:val="00F349F1"/>
    <w:rsid w:val="00F4350D"/>
    <w:rsid w:val="00F4361C"/>
    <w:rsid w:val="00F567F7"/>
    <w:rsid w:val="00F62036"/>
    <w:rsid w:val="00F65B52"/>
    <w:rsid w:val="00F67BCA"/>
    <w:rsid w:val="00F67F75"/>
    <w:rsid w:val="00F73BD6"/>
    <w:rsid w:val="00F804FA"/>
    <w:rsid w:val="00F83989"/>
    <w:rsid w:val="00F85099"/>
    <w:rsid w:val="00F86127"/>
    <w:rsid w:val="00F9379C"/>
    <w:rsid w:val="00F9632C"/>
    <w:rsid w:val="00FA094B"/>
    <w:rsid w:val="00FA1E52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B0AA9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B0AA9"/>
  </w:style>
  <w:style w:type="paragraph" w:customStyle="1" w:styleId="OPCParaBase">
    <w:name w:val="OPCParaBase"/>
    <w:qFormat/>
    <w:rsid w:val="00DB0AA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B0AA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B0AA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B0AA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B0AA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B0AA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DB0AA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B0AA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B0AA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B0AA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B0AA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B0AA9"/>
  </w:style>
  <w:style w:type="paragraph" w:customStyle="1" w:styleId="Blocks">
    <w:name w:val="Blocks"/>
    <w:aliases w:val="bb"/>
    <w:basedOn w:val="OPCParaBase"/>
    <w:qFormat/>
    <w:rsid w:val="00DB0AA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B0AA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B0AA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B0AA9"/>
    <w:rPr>
      <w:i/>
    </w:rPr>
  </w:style>
  <w:style w:type="paragraph" w:customStyle="1" w:styleId="BoxList">
    <w:name w:val="BoxList"/>
    <w:aliases w:val="bl"/>
    <w:basedOn w:val="BoxText"/>
    <w:qFormat/>
    <w:rsid w:val="00DB0AA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B0AA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B0AA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B0AA9"/>
    <w:pPr>
      <w:ind w:left="1985" w:hanging="851"/>
    </w:pPr>
  </w:style>
  <w:style w:type="character" w:customStyle="1" w:styleId="CharAmPartNo">
    <w:name w:val="CharAmPartNo"/>
    <w:basedOn w:val="OPCCharBase"/>
    <w:qFormat/>
    <w:rsid w:val="00DB0AA9"/>
  </w:style>
  <w:style w:type="character" w:customStyle="1" w:styleId="CharAmPartText">
    <w:name w:val="CharAmPartText"/>
    <w:basedOn w:val="OPCCharBase"/>
    <w:qFormat/>
    <w:rsid w:val="00DB0AA9"/>
  </w:style>
  <w:style w:type="character" w:customStyle="1" w:styleId="CharAmSchNo">
    <w:name w:val="CharAmSchNo"/>
    <w:basedOn w:val="OPCCharBase"/>
    <w:qFormat/>
    <w:rsid w:val="00DB0AA9"/>
  </w:style>
  <w:style w:type="character" w:customStyle="1" w:styleId="CharAmSchText">
    <w:name w:val="CharAmSchText"/>
    <w:basedOn w:val="OPCCharBase"/>
    <w:qFormat/>
    <w:rsid w:val="00DB0AA9"/>
  </w:style>
  <w:style w:type="character" w:customStyle="1" w:styleId="CharBoldItalic">
    <w:name w:val="CharBoldItalic"/>
    <w:basedOn w:val="OPCCharBase"/>
    <w:uiPriority w:val="1"/>
    <w:qFormat/>
    <w:rsid w:val="00DB0AA9"/>
    <w:rPr>
      <w:b/>
      <w:i/>
    </w:rPr>
  </w:style>
  <w:style w:type="character" w:customStyle="1" w:styleId="CharChapNo">
    <w:name w:val="CharChapNo"/>
    <w:basedOn w:val="OPCCharBase"/>
    <w:uiPriority w:val="1"/>
    <w:qFormat/>
    <w:rsid w:val="00DB0AA9"/>
  </w:style>
  <w:style w:type="character" w:customStyle="1" w:styleId="CharChapText">
    <w:name w:val="CharChapText"/>
    <w:basedOn w:val="OPCCharBase"/>
    <w:uiPriority w:val="1"/>
    <w:qFormat/>
    <w:rsid w:val="00DB0AA9"/>
  </w:style>
  <w:style w:type="character" w:customStyle="1" w:styleId="CharDivNo">
    <w:name w:val="CharDivNo"/>
    <w:basedOn w:val="OPCCharBase"/>
    <w:uiPriority w:val="1"/>
    <w:qFormat/>
    <w:rsid w:val="00DB0AA9"/>
  </w:style>
  <w:style w:type="character" w:customStyle="1" w:styleId="CharDivText">
    <w:name w:val="CharDivText"/>
    <w:basedOn w:val="OPCCharBase"/>
    <w:uiPriority w:val="1"/>
    <w:qFormat/>
    <w:rsid w:val="00DB0AA9"/>
  </w:style>
  <w:style w:type="character" w:customStyle="1" w:styleId="CharItalic">
    <w:name w:val="CharItalic"/>
    <w:basedOn w:val="OPCCharBase"/>
    <w:uiPriority w:val="1"/>
    <w:qFormat/>
    <w:rsid w:val="00DB0AA9"/>
    <w:rPr>
      <w:i/>
    </w:rPr>
  </w:style>
  <w:style w:type="character" w:customStyle="1" w:styleId="CharPartNo">
    <w:name w:val="CharPartNo"/>
    <w:basedOn w:val="OPCCharBase"/>
    <w:uiPriority w:val="1"/>
    <w:qFormat/>
    <w:rsid w:val="00DB0AA9"/>
  </w:style>
  <w:style w:type="character" w:customStyle="1" w:styleId="CharPartText">
    <w:name w:val="CharPartText"/>
    <w:basedOn w:val="OPCCharBase"/>
    <w:uiPriority w:val="1"/>
    <w:qFormat/>
    <w:rsid w:val="00DB0AA9"/>
  </w:style>
  <w:style w:type="character" w:customStyle="1" w:styleId="CharSectno">
    <w:name w:val="CharSectno"/>
    <w:basedOn w:val="OPCCharBase"/>
    <w:qFormat/>
    <w:rsid w:val="00DB0AA9"/>
  </w:style>
  <w:style w:type="character" w:customStyle="1" w:styleId="CharSubdNo">
    <w:name w:val="CharSubdNo"/>
    <w:basedOn w:val="OPCCharBase"/>
    <w:uiPriority w:val="1"/>
    <w:qFormat/>
    <w:rsid w:val="00DB0AA9"/>
  </w:style>
  <w:style w:type="character" w:customStyle="1" w:styleId="CharSubdText">
    <w:name w:val="CharSubdText"/>
    <w:basedOn w:val="OPCCharBase"/>
    <w:uiPriority w:val="1"/>
    <w:qFormat/>
    <w:rsid w:val="00DB0AA9"/>
  </w:style>
  <w:style w:type="paragraph" w:customStyle="1" w:styleId="CTA--">
    <w:name w:val="CTA --"/>
    <w:basedOn w:val="OPCParaBase"/>
    <w:next w:val="Normal"/>
    <w:rsid w:val="00DB0AA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B0AA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B0AA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B0AA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B0AA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B0AA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B0AA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B0AA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B0AA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B0AA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B0AA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B0AA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B0AA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B0AA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DB0AA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B0AA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Normal"/>
    <w:rsid w:val="00DB0AA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B0AA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DB0AA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B0AA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B0AA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B0AA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B0AA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B0AA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B0AA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B0AA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B0AA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B0AA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B0AA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B0AA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B0AA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B0AA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B0AA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B0AA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B0AA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B0AA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B0AA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B0AA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B0AA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B0AA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B0AA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B0AA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B0AA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B0AA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B0AA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B0AA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B0AA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B0AA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B0AA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B0AA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B0AA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B0AA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B0AA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B0AA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B0AA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DB0AA9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DB0AA9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DB0AA9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DB0AA9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DB0AA9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DB0AA9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DB0AA9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DB0AA9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DB0AA9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DB0AA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B0AA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B0AA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B0AA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B0AA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B0AA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B0AA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B0AA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DB0AA9"/>
    <w:rPr>
      <w:sz w:val="16"/>
    </w:rPr>
  </w:style>
  <w:style w:type="table" w:customStyle="1" w:styleId="CFlag">
    <w:name w:val="CFlag"/>
    <w:basedOn w:val="TableNormal"/>
    <w:uiPriority w:val="99"/>
    <w:rsid w:val="00DB0AA9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0A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AA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B0A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DB0AA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B0AA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B0AA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B0AA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B0AA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B0AA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DB0AA9"/>
    <w:rPr>
      <w:b/>
      <w:sz w:val="24"/>
      <w:szCs w:val="24"/>
    </w:rPr>
  </w:style>
  <w:style w:type="paragraph" w:customStyle="1" w:styleId="ENotesText">
    <w:name w:val="ENotesText"/>
    <w:basedOn w:val="OPCParaBase"/>
    <w:next w:val="Normal"/>
    <w:rsid w:val="00DB0AA9"/>
  </w:style>
  <w:style w:type="paragraph" w:customStyle="1" w:styleId="CompiledMadeUnder">
    <w:name w:val="CompiledMadeUnder"/>
    <w:basedOn w:val="OPCParaBase"/>
    <w:next w:val="Normal"/>
    <w:rsid w:val="00DB0AA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B0AA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DB0AA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B0AA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B0AA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B0AA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B0AA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B0AA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B0AA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DB0AA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B0AA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DB0AA9"/>
  </w:style>
  <w:style w:type="character" w:customStyle="1" w:styleId="CharSubPartNoCASA">
    <w:name w:val="CharSubPartNo(CASA)"/>
    <w:basedOn w:val="OPCCharBase"/>
    <w:uiPriority w:val="1"/>
    <w:rsid w:val="00DB0AA9"/>
  </w:style>
  <w:style w:type="paragraph" w:customStyle="1" w:styleId="ENoteTTIndentHeadingSub">
    <w:name w:val="ENoteTTIndentHeadingSub"/>
    <w:aliases w:val="enTTHis"/>
    <w:basedOn w:val="OPCParaBase"/>
    <w:rsid w:val="00DB0AA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B0AA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B0AA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B0AA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DB0AA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B0AA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B0AA9"/>
    <w:rPr>
      <w:sz w:val="22"/>
    </w:rPr>
  </w:style>
  <w:style w:type="paragraph" w:customStyle="1" w:styleId="SOTextNote">
    <w:name w:val="SO TextNote"/>
    <w:aliases w:val="sont"/>
    <w:basedOn w:val="SOText"/>
    <w:qFormat/>
    <w:rsid w:val="00DB0AA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B0AA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B0AA9"/>
    <w:rPr>
      <w:sz w:val="22"/>
    </w:rPr>
  </w:style>
  <w:style w:type="paragraph" w:customStyle="1" w:styleId="FileName">
    <w:name w:val="FileName"/>
    <w:basedOn w:val="Normal"/>
    <w:rsid w:val="00DB0AA9"/>
  </w:style>
  <w:style w:type="paragraph" w:customStyle="1" w:styleId="TableHeading">
    <w:name w:val="TableHeading"/>
    <w:aliases w:val="th"/>
    <w:basedOn w:val="OPCParaBase"/>
    <w:next w:val="Tabletext"/>
    <w:rsid w:val="00DB0AA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B0AA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B0AA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B0AA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B0AA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B0AA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B0AA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B0AA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B0AA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B0AA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B0AA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DB0AA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link w:val="subsection"/>
    <w:locked/>
    <w:rsid w:val="00B126BE"/>
    <w:rPr>
      <w:rFonts w:eastAsia="Times New Roman" w:cs="Times New Roman"/>
      <w:sz w:val="22"/>
      <w:lang w:eastAsia="en-AU"/>
    </w:rPr>
  </w:style>
  <w:style w:type="character" w:customStyle="1" w:styleId="ActHead5Char">
    <w:name w:val="ActHead 5 Char"/>
    <w:aliases w:val="s Char"/>
    <w:link w:val="ActHead5"/>
    <w:locked/>
    <w:rsid w:val="00B126BE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DB0AA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B0AA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B0AA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B0AA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character" w:styleId="Hyperlink">
    <w:name w:val="Hyperlink"/>
    <w:basedOn w:val="DefaultParagraphFont"/>
    <w:rsid w:val="00DB0AA9"/>
    <w:rPr>
      <w:color w:val="0000FF"/>
      <w:u w:val="single"/>
    </w:rPr>
  </w:style>
  <w:style w:type="paragraph" w:customStyle="1" w:styleId="TerritoryT">
    <w:name w:val="TerritoryT"/>
    <w:basedOn w:val="OPCParaBase"/>
    <w:next w:val="Normal"/>
    <w:rsid w:val="00DB0AA9"/>
    <w:rPr>
      <w:b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B0AA9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B0AA9"/>
  </w:style>
  <w:style w:type="paragraph" w:customStyle="1" w:styleId="OPCParaBase">
    <w:name w:val="OPCParaBase"/>
    <w:qFormat/>
    <w:rsid w:val="00DB0AA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B0AA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B0AA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B0AA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B0AA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B0AA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DB0AA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B0AA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B0AA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B0AA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B0AA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B0AA9"/>
  </w:style>
  <w:style w:type="paragraph" w:customStyle="1" w:styleId="Blocks">
    <w:name w:val="Blocks"/>
    <w:aliases w:val="bb"/>
    <w:basedOn w:val="OPCParaBase"/>
    <w:qFormat/>
    <w:rsid w:val="00DB0AA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B0AA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B0AA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B0AA9"/>
    <w:rPr>
      <w:i/>
    </w:rPr>
  </w:style>
  <w:style w:type="paragraph" w:customStyle="1" w:styleId="BoxList">
    <w:name w:val="BoxList"/>
    <w:aliases w:val="bl"/>
    <w:basedOn w:val="BoxText"/>
    <w:qFormat/>
    <w:rsid w:val="00DB0AA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B0AA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B0AA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B0AA9"/>
    <w:pPr>
      <w:ind w:left="1985" w:hanging="851"/>
    </w:pPr>
  </w:style>
  <w:style w:type="character" w:customStyle="1" w:styleId="CharAmPartNo">
    <w:name w:val="CharAmPartNo"/>
    <w:basedOn w:val="OPCCharBase"/>
    <w:qFormat/>
    <w:rsid w:val="00DB0AA9"/>
  </w:style>
  <w:style w:type="character" w:customStyle="1" w:styleId="CharAmPartText">
    <w:name w:val="CharAmPartText"/>
    <w:basedOn w:val="OPCCharBase"/>
    <w:qFormat/>
    <w:rsid w:val="00DB0AA9"/>
  </w:style>
  <w:style w:type="character" w:customStyle="1" w:styleId="CharAmSchNo">
    <w:name w:val="CharAmSchNo"/>
    <w:basedOn w:val="OPCCharBase"/>
    <w:qFormat/>
    <w:rsid w:val="00DB0AA9"/>
  </w:style>
  <w:style w:type="character" w:customStyle="1" w:styleId="CharAmSchText">
    <w:name w:val="CharAmSchText"/>
    <w:basedOn w:val="OPCCharBase"/>
    <w:qFormat/>
    <w:rsid w:val="00DB0AA9"/>
  </w:style>
  <w:style w:type="character" w:customStyle="1" w:styleId="CharBoldItalic">
    <w:name w:val="CharBoldItalic"/>
    <w:basedOn w:val="OPCCharBase"/>
    <w:uiPriority w:val="1"/>
    <w:qFormat/>
    <w:rsid w:val="00DB0AA9"/>
    <w:rPr>
      <w:b/>
      <w:i/>
    </w:rPr>
  </w:style>
  <w:style w:type="character" w:customStyle="1" w:styleId="CharChapNo">
    <w:name w:val="CharChapNo"/>
    <w:basedOn w:val="OPCCharBase"/>
    <w:uiPriority w:val="1"/>
    <w:qFormat/>
    <w:rsid w:val="00DB0AA9"/>
  </w:style>
  <w:style w:type="character" w:customStyle="1" w:styleId="CharChapText">
    <w:name w:val="CharChapText"/>
    <w:basedOn w:val="OPCCharBase"/>
    <w:uiPriority w:val="1"/>
    <w:qFormat/>
    <w:rsid w:val="00DB0AA9"/>
  </w:style>
  <w:style w:type="character" w:customStyle="1" w:styleId="CharDivNo">
    <w:name w:val="CharDivNo"/>
    <w:basedOn w:val="OPCCharBase"/>
    <w:uiPriority w:val="1"/>
    <w:qFormat/>
    <w:rsid w:val="00DB0AA9"/>
  </w:style>
  <w:style w:type="character" w:customStyle="1" w:styleId="CharDivText">
    <w:name w:val="CharDivText"/>
    <w:basedOn w:val="OPCCharBase"/>
    <w:uiPriority w:val="1"/>
    <w:qFormat/>
    <w:rsid w:val="00DB0AA9"/>
  </w:style>
  <w:style w:type="character" w:customStyle="1" w:styleId="CharItalic">
    <w:name w:val="CharItalic"/>
    <w:basedOn w:val="OPCCharBase"/>
    <w:uiPriority w:val="1"/>
    <w:qFormat/>
    <w:rsid w:val="00DB0AA9"/>
    <w:rPr>
      <w:i/>
    </w:rPr>
  </w:style>
  <w:style w:type="character" w:customStyle="1" w:styleId="CharPartNo">
    <w:name w:val="CharPartNo"/>
    <w:basedOn w:val="OPCCharBase"/>
    <w:uiPriority w:val="1"/>
    <w:qFormat/>
    <w:rsid w:val="00DB0AA9"/>
  </w:style>
  <w:style w:type="character" w:customStyle="1" w:styleId="CharPartText">
    <w:name w:val="CharPartText"/>
    <w:basedOn w:val="OPCCharBase"/>
    <w:uiPriority w:val="1"/>
    <w:qFormat/>
    <w:rsid w:val="00DB0AA9"/>
  </w:style>
  <w:style w:type="character" w:customStyle="1" w:styleId="CharSectno">
    <w:name w:val="CharSectno"/>
    <w:basedOn w:val="OPCCharBase"/>
    <w:qFormat/>
    <w:rsid w:val="00DB0AA9"/>
  </w:style>
  <w:style w:type="character" w:customStyle="1" w:styleId="CharSubdNo">
    <w:name w:val="CharSubdNo"/>
    <w:basedOn w:val="OPCCharBase"/>
    <w:uiPriority w:val="1"/>
    <w:qFormat/>
    <w:rsid w:val="00DB0AA9"/>
  </w:style>
  <w:style w:type="character" w:customStyle="1" w:styleId="CharSubdText">
    <w:name w:val="CharSubdText"/>
    <w:basedOn w:val="OPCCharBase"/>
    <w:uiPriority w:val="1"/>
    <w:qFormat/>
    <w:rsid w:val="00DB0AA9"/>
  </w:style>
  <w:style w:type="paragraph" w:customStyle="1" w:styleId="CTA--">
    <w:name w:val="CTA --"/>
    <w:basedOn w:val="OPCParaBase"/>
    <w:next w:val="Normal"/>
    <w:rsid w:val="00DB0AA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B0AA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B0AA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B0AA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B0AA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B0AA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B0AA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B0AA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B0AA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B0AA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B0AA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B0AA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B0AA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B0AA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DB0AA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B0AA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Normal"/>
    <w:rsid w:val="00DB0AA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B0AA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DB0AA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B0AA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B0AA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B0AA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B0AA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B0AA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B0AA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B0AA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B0AA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B0AA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B0AA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B0AA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B0AA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B0AA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B0AA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B0AA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B0AA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B0AA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B0AA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B0AA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B0AA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B0AA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B0AA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B0AA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B0AA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B0AA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B0AA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B0AA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B0AA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B0AA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B0AA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B0AA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B0AA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B0AA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B0AA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B0AA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B0AA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DB0AA9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DB0AA9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DB0AA9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DB0AA9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DB0AA9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DB0AA9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DB0AA9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DB0AA9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DB0AA9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DB0AA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B0AA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B0AA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B0AA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B0AA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B0AA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B0AA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B0AA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DB0AA9"/>
    <w:rPr>
      <w:sz w:val="16"/>
    </w:rPr>
  </w:style>
  <w:style w:type="table" w:customStyle="1" w:styleId="CFlag">
    <w:name w:val="CFlag"/>
    <w:basedOn w:val="TableNormal"/>
    <w:uiPriority w:val="99"/>
    <w:rsid w:val="00DB0AA9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0A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AA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B0A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DB0AA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B0AA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B0AA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B0AA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B0AA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B0AA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DB0AA9"/>
    <w:rPr>
      <w:b/>
      <w:sz w:val="24"/>
      <w:szCs w:val="24"/>
    </w:rPr>
  </w:style>
  <w:style w:type="paragraph" w:customStyle="1" w:styleId="ENotesText">
    <w:name w:val="ENotesText"/>
    <w:basedOn w:val="OPCParaBase"/>
    <w:next w:val="Normal"/>
    <w:rsid w:val="00DB0AA9"/>
  </w:style>
  <w:style w:type="paragraph" w:customStyle="1" w:styleId="CompiledMadeUnder">
    <w:name w:val="CompiledMadeUnder"/>
    <w:basedOn w:val="OPCParaBase"/>
    <w:next w:val="Normal"/>
    <w:rsid w:val="00DB0AA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B0AA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DB0AA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B0AA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B0AA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B0AA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B0AA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B0AA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B0AA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DB0AA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B0AA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DB0AA9"/>
  </w:style>
  <w:style w:type="character" w:customStyle="1" w:styleId="CharSubPartNoCASA">
    <w:name w:val="CharSubPartNo(CASA)"/>
    <w:basedOn w:val="OPCCharBase"/>
    <w:uiPriority w:val="1"/>
    <w:rsid w:val="00DB0AA9"/>
  </w:style>
  <w:style w:type="paragraph" w:customStyle="1" w:styleId="ENoteTTIndentHeadingSub">
    <w:name w:val="ENoteTTIndentHeadingSub"/>
    <w:aliases w:val="enTTHis"/>
    <w:basedOn w:val="OPCParaBase"/>
    <w:rsid w:val="00DB0AA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B0AA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B0AA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B0AA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DB0AA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B0AA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B0AA9"/>
    <w:rPr>
      <w:sz w:val="22"/>
    </w:rPr>
  </w:style>
  <w:style w:type="paragraph" w:customStyle="1" w:styleId="SOTextNote">
    <w:name w:val="SO TextNote"/>
    <w:aliases w:val="sont"/>
    <w:basedOn w:val="SOText"/>
    <w:qFormat/>
    <w:rsid w:val="00DB0AA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B0AA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B0AA9"/>
    <w:rPr>
      <w:sz w:val="22"/>
    </w:rPr>
  </w:style>
  <w:style w:type="paragraph" w:customStyle="1" w:styleId="FileName">
    <w:name w:val="FileName"/>
    <w:basedOn w:val="Normal"/>
    <w:rsid w:val="00DB0AA9"/>
  </w:style>
  <w:style w:type="paragraph" w:customStyle="1" w:styleId="TableHeading">
    <w:name w:val="TableHeading"/>
    <w:aliases w:val="th"/>
    <w:basedOn w:val="OPCParaBase"/>
    <w:next w:val="Tabletext"/>
    <w:rsid w:val="00DB0AA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B0AA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B0AA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B0AA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B0AA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B0AA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B0AA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B0AA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B0AA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B0AA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B0AA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DB0AA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link w:val="subsection"/>
    <w:locked/>
    <w:rsid w:val="00B126BE"/>
    <w:rPr>
      <w:rFonts w:eastAsia="Times New Roman" w:cs="Times New Roman"/>
      <w:sz w:val="22"/>
      <w:lang w:eastAsia="en-AU"/>
    </w:rPr>
  </w:style>
  <w:style w:type="character" w:customStyle="1" w:styleId="ActHead5Char">
    <w:name w:val="ActHead 5 Char"/>
    <w:aliases w:val="s Char"/>
    <w:link w:val="ActHead5"/>
    <w:locked/>
    <w:rsid w:val="00B126BE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DB0AA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B0AA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B0AA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B0AA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character" w:styleId="Hyperlink">
    <w:name w:val="Hyperlink"/>
    <w:basedOn w:val="DefaultParagraphFont"/>
    <w:rsid w:val="00DB0AA9"/>
    <w:rPr>
      <w:color w:val="0000FF"/>
      <w:u w:val="single"/>
    </w:rPr>
  </w:style>
  <w:style w:type="paragraph" w:customStyle="1" w:styleId="TerritoryT">
    <w:name w:val="TerritoryT"/>
    <w:basedOn w:val="OPCParaBase"/>
    <w:next w:val="Normal"/>
    <w:rsid w:val="00DB0AA9"/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1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BB826-8380-4B69-A43A-5CA132525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9</Pages>
  <Words>912</Words>
  <Characters>5380</Characters>
  <Application>Microsoft Office Word</Application>
  <DocSecurity>0</DocSecurity>
  <PresentationFormat/>
  <Lines>180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Privacy Amendment (2015 Measures No. 2) Regulation 2015</vt:lpstr>
    </vt:vector>
  </TitlesOfParts>
  <Manager/>
  <Company/>
  <LinksUpToDate>false</LinksUpToDate>
  <CharactersWithSpaces>6199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2015-03-16T02:13:00Z</cp:lastPrinted>
  <dcterms:created xsi:type="dcterms:W3CDTF">2015-04-27T05:41:00Z</dcterms:created>
  <dcterms:modified xsi:type="dcterms:W3CDTF">2015-04-27T05:41:00Z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58, 2015</vt:lpwstr>
  </property>
  <property fmtid="{D5CDD505-2E9C-101B-9397-08002B2CF9AE}" pid="3" name="ShortT">
    <vt:lpwstr>Privacy Amendment (2015 Measures No. 2) Regulation 2015</vt:lpwstr>
  </property>
  <property fmtid="{D5CDD505-2E9C-101B-9397-08002B2CF9AE}" pid="4" name="Header">
    <vt:lpwstr>Section</vt:lpwstr>
  </property>
  <property fmtid="{D5CDD505-2E9C-101B-9397-08002B2CF9AE}" pid="5" name="Class">
    <vt:lpwstr>Instrument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Yes</vt:lpwstr>
  </property>
  <property fmtid="{D5CDD505-2E9C-101B-9397-08002B2CF9AE}" pid="9" name="DateMade">
    <vt:lpwstr>30 April 2015</vt:lpwstr>
  </property>
  <property fmtid="{D5CDD505-2E9C-101B-9397-08002B2CF9AE}" pid="10" name="Authority">
    <vt:lpwstr/>
  </property>
  <property fmtid="{D5CDD505-2E9C-101B-9397-08002B2CF9AE}" pid="11" name="ID">
    <vt:lpwstr>OPC61164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Number">
    <vt:lpwstr>B</vt:lpwstr>
  </property>
  <property fmtid="{D5CDD505-2E9C-101B-9397-08002B2CF9AE}" pid="15" name="CounterSign">
    <vt:lpwstr/>
  </property>
  <property fmtid="{D5CDD505-2E9C-101B-9397-08002B2CF9AE}" pid="16" name="ExcoDate">
    <vt:lpwstr>30 April 2015</vt:lpwstr>
  </property>
</Properties>
</file>