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theme="minorBidi"/>
          <w:b w:val="0"/>
          <w:sz w:val="22"/>
          <w:szCs w:val="22"/>
          <w:u w:val="single"/>
        </w:rPr>
        <w:id w:val="962787086"/>
        <w:lock w:val="contentLocked"/>
        <w:placeholder>
          <w:docPart w:val="9D7887CC886A4367960ADA820A31DE49"/>
        </w:placeholder>
        <w:group/>
      </w:sdtPr>
      <w:sdtEndPr>
        <w:rPr>
          <w:rFonts w:eastAsiaTheme="minorEastAsia"/>
          <w:szCs w:val="24"/>
          <w:u w:val="none"/>
        </w:rPr>
      </w:sdtEndPr>
      <w:sdtContent>
        <w:p w:rsidR="006F42F9" w:rsidRDefault="006F42F9" w:rsidP="006F42F9">
          <w:pPr>
            <w:pStyle w:val="Title"/>
            <w:rPr>
              <w:rFonts w:ascii="Times New Roman" w:hAnsi="Times New Roman"/>
              <w:u w:val="single"/>
            </w:rPr>
          </w:pPr>
          <w:r>
            <w:rPr>
              <w:rFonts w:ascii="Times New Roman" w:hAnsi="Times New Roman"/>
              <w:u w:val="single"/>
            </w:rPr>
            <w:t>EXPLANATORY STATEMENT</w:t>
          </w:r>
        </w:p>
        <w:p w:rsidR="00CE42C2" w:rsidRDefault="008C6320" w:rsidP="00587A53">
          <w:pPr>
            <w:jc w:val="center"/>
            <w:rPr>
              <w:rFonts w:ascii="Times New Roman" w:hAnsi="Times New Roman"/>
            </w:rPr>
          </w:pPr>
        </w:p>
      </w:sdtContent>
    </w:sdt>
    <w:p w:rsidR="00CE42C2" w:rsidRPr="008C6320" w:rsidRDefault="00CE42C2" w:rsidP="00587A5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8C6320">
        <w:rPr>
          <w:rFonts w:ascii="Times New Roman" w:hAnsi="Times New Roman" w:cs="Times New Roman"/>
          <w:b/>
          <w:sz w:val="24"/>
        </w:rPr>
        <w:t xml:space="preserve">SELECT LEGISLATIVE INSTRUMENT No. </w:t>
      </w:r>
      <w:r w:rsidR="008C6320" w:rsidRPr="008C6320">
        <w:rPr>
          <w:rFonts w:ascii="Times New Roman" w:hAnsi="Times New Roman" w:cs="Times New Roman"/>
          <w:b/>
          <w:sz w:val="24"/>
        </w:rPr>
        <w:t>56</w:t>
      </w:r>
      <w:r w:rsidRPr="008C6320">
        <w:rPr>
          <w:rFonts w:ascii="Times New Roman" w:hAnsi="Times New Roman" w:cs="Times New Roman"/>
          <w:b/>
          <w:sz w:val="24"/>
        </w:rPr>
        <w:t>, 2015</w:t>
      </w:r>
    </w:p>
    <w:bookmarkEnd w:id="0"/>
    <w:p w:rsidR="006F42F9" w:rsidRPr="00D5500B" w:rsidRDefault="006F42F9" w:rsidP="006F42F9">
      <w:pPr>
        <w:jc w:val="center"/>
        <w:rPr>
          <w:rFonts w:ascii="Times New Roman" w:hAnsi="Times New Roman" w:cs="Times New Roman"/>
          <w:sz w:val="24"/>
        </w:rPr>
      </w:pPr>
    </w:p>
    <w:p w:rsidR="006F42F9" w:rsidRDefault="008C6320" w:rsidP="006F42F9">
      <w:pPr>
        <w:jc w:val="center"/>
        <w:rPr>
          <w:rFonts w:ascii="Times New Roman" w:hAnsi="Times New Roman" w:cs="Times New Roman"/>
          <w:sz w:val="24"/>
          <w:u w:val="single"/>
        </w:rPr>
      </w:pPr>
      <w:sdt>
        <w:sdtPr>
          <w:rPr>
            <w:rFonts w:ascii="Times New Roman" w:hAnsi="Times New Roman" w:cs="Times New Roman"/>
            <w:sz w:val="24"/>
            <w:u w:val="single"/>
          </w:rPr>
          <w:id w:val="962787087"/>
          <w:lock w:val="contentLocked"/>
          <w:placeholder>
            <w:docPart w:val="9D7887CC886A4367960ADA820A31DE49"/>
          </w:placeholder>
          <w:group/>
        </w:sdtPr>
        <w:sdtEndPr/>
        <w:sdtContent>
          <w:r w:rsidR="006F42F9">
            <w:rPr>
              <w:rFonts w:ascii="Times New Roman" w:hAnsi="Times New Roman" w:cs="Times New Roman"/>
              <w:sz w:val="24"/>
              <w:u w:val="single"/>
            </w:rPr>
            <w:t>Issued by Authority of the</w:t>
          </w:r>
        </w:sdtContent>
      </w:sdt>
      <w:r w:rsidR="006F42F9">
        <w:rPr>
          <w:rFonts w:ascii="Times New Roman" w:hAnsi="Times New Roman" w:cs="Times New Roman"/>
          <w:sz w:val="24"/>
          <w:u w:val="single"/>
        </w:rPr>
        <w:t xml:space="preserve"> Minister for Agriculture</w:t>
      </w:r>
    </w:p>
    <w:p w:rsidR="006F42F9" w:rsidRDefault="006F42F9" w:rsidP="006F42F9">
      <w:pPr>
        <w:jc w:val="center"/>
        <w:rPr>
          <w:rFonts w:ascii="Times New Roman" w:hAnsi="Times New Roman" w:cs="Times New Roman"/>
          <w:sz w:val="24"/>
        </w:rPr>
      </w:pPr>
    </w:p>
    <w:p w:rsidR="006F42F9" w:rsidRDefault="006F42F9" w:rsidP="006F42F9">
      <w:pPr>
        <w:jc w:val="center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i/>
          <w:snapToGrid w:val="0"/>
          <w:sz w:val="24"/>
        </w:rPr>
        <w:t>Primary Industries (Customs) Charges Act 1999</w:t>
      </w:r>
    </w:p>
    <w:p w:rsidR="006F42F9" w:rsidRPr="005913C5" w:rsidRDefault="006F42F9" w:rsidP="006F42F9">
      <w:pPr>
        <w:pStyle w:val="Normal-em"/>
        <w:rPr>
          <w:i/>
          <w:snapToGrid w:val="0"/>
          <w:color w:val="auto"/>
          <w:szCs w:val="24"/>
        </w:rPr>
      </w:pPr>
    </w:p>
    <w:p w:rsidR="006F42F9" w:rsidRPr="005913C5" w:rsidRDefault="006F42F9" w:rsidP="006F42F9">
      <w:pPr>
        <w:pStyle w:val="Normal-em"/>
        <w:ind w:left="1247" w:hanging="1247"/>
        <w:jc w:val="center"/>
        <w:rPr>
          <w:iCs/>
          <w:color w:val="auto"/>
          <w:szCs w:val="24"/>
        </w:rPr>
      </w:pPr>
      <w:r w:rsidRPr="005913C5">
        <w:rPr>
          <w:i/>
          <w:snapToGrid w:val="0"/>
          <w:color w:val="auto"/>
          <w:szCs w:val="24"/>
        </w:rPr>
        <w:t xml:space="preserve">Primary Industries </w:t>
      </w:r>
      <w:r w:rsidRPr="005913C5">
        <w:rPr>
          <w:i/>
          <w:snapToGrid w:val="0"/>
          <w:szCs w:val="24"/>
        </w:rPr>
        <w:t>(</w:t>
      </w:r>
      <w:r>
        <w:rPr>
          <w:i/>
          <w:snapToGrid w:val="0"/>
          <w:szCs w:val="24"/>
        </w:rPr>
        <w:t>Customs</w:t>
      </w:r>
      <w:r w:rsidRPr="005913C5">
        <w:rPr>
          <w:i/>
          <w:snapToGrid w:val="0"/>
          <w:szCs w:val="24"/>
        </w:rPr>
        <w:t xml:space="preserve">) </w:t>
      </w:r>
      <w:r>
        <w:rPr>
          <w:i/>
          <w:snapToGrid w:val="0"/>
          <w:szCs w:val="24"/>
        </w:rPr>
        <w:t xml:space="preserve">Charges </w:t>
      </w:r>
      <w:r w:rsidRPr="005913C5">
        <w:rPr>
          <w:i/>
          <w:snapToGrid w:val="0"/>
          <w:color w:val="auto"/>
          <w:szCs w:val="24"/>
        </w:rPr>
        <w:t>Amendment (</w:t>
      </w:r>
      <w:r>
        <w:rPr>
          <w:i/>
          <w:snapToGrid w:val="0"/>
          <w:color w:val="auto"/>
          <w:szCs w:val="24"/>
        </w:rPr>
        <w:t>Honey</w:t>
      </w:r>
      <w:r w:rsidRPr="005913C5">
        <w:rPr>
          <w:i/>
          <w:snapToGrid w:val="0"/>
          <w:color w:val="auto"/>
          <w:szCs w:val="24"/>
        </w:rPr>
        <w:t xml:space="preserve">) </w:t>
      </w:r>
      <w:r w:rsidRPr="005913C5">
        <w:rPr>
          <w:i/>
          <w:color w:val="auto"/>
          <w:szCs w:val="24"/>
        </w:rPr>
        <w:t>Regulation 2015</w:t>
      </w:r>
    </w:p>
    <w:p w:rsidR="006F42F9" w:rsidRDefault="006F42F9" w:rsidP="006F42F9">
      <w:pPr>
        <w:rPr>
          <w:rFonts w:ascii="Times New Roman" w:hAnsi="Times New Roman" w:cs="Times New Roman"/>
          <w:sz w:val="24"/>
        </w:rPr>
      </w:pPr>
    </w:p>
    <w:p w:rsidR="006F42F9" w:rsidRDefault="006F42F9" w:rsidP="006F42F9">
      <w:pPr>
        <w:rPr>
          <w:rFonts w:ascii="Times New Roman" w:hAnsi="Times New Roman" w:cs="Times New Roman"/>
          <w:sz w:val="24"/>
        </w:rPr>
      </w:pPr>
    </w:p>
    <w:p w:rsidR="00B64E9F" w:rsidRPr="00A545D2" w:rsidRDefault="00B64E9F" w:rsidP="00A545D2">
      <w:pPr>
        <w:tabs>
          <w:tab w:val="right" w:pos="9072"/>
        </w:tabs>
        <w:rPr>
          <w:rFonts w:ascii="Times New Roman" w:eastAsia="Calibri" w:hAnsi="Times New Roman" w:cs="Times New Roman"/>
          <w:b/>
          <w:sz w:val="24"/>
        </w:rPr>
      </w:pPr>
      <w:r w:rsidRPr="00A545D2">
        <w:rPr>
          <w:rFonts w:ascii="Times New Roman" w:eastAsia="Calibri" w:hAnsi="Times New Roman" w:cs="Times New Roman"/>
          <w:b/>
          <w:sz w:val="24"/>
        </w:rPr>
        <w:t>Legislative Authority</w:t>
      </w:r>
    </w:p>
    <w:p w:rsidR="00D16B8E" w:rsidRDefault="00B448E7" w:rsidP="00A545D2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A545D2">
        <w:rPr>
          <w:rFonts w:ascii="Times New Roman" w:eastAsia="Calibri" w:hAnsi="Times New Roman" w:cs="Times New Roman"/>
          <w:sz w:val="24"/>
        </w:rPr>
        <w:t xml:space="preserve">Section </w:t>
      </w:r>
      <w:r w:rsidR="002F3008" w:rsidRPr="00A545D2">
        <w:rPr>
          <w:rFonts w:ascii="Times New Roman" w:eastAsia="Calibri" w:hAnsi="Times New Roman" w:cs="Times New Roman"/>
          <w:sz w:val="24"/>
        </w:rPr>
        <w:t xml:space="preserve">8 </w:t>
      </w:r>
      <w:r w:rsidRPr="00A545D2">
        <w:rPr>
          <w:rFonts w:ascii="Times New Roman" w:eastAsia="Calibri" w:hAnsi="Times New Roman" w:cs="Times New Roman"/>
          <w:sz w:val="24"/>
        </w:rPr>
        <w:t xml:space="preserve">of </w:t>
      </w:r>
      <w:r w:rsidR="002F3008" w:rsidRPr="00A545D2">
        <w:rPr>
          <w:rFonts w:ascii="Times New Roman" w:eastAsia="Calibri" w:hAnsi="Times New Roman" w:cs="Times New Roman"/>
          <w:sz w:val="24"/>
        </w:rPr>
        <w:t xml:space="preserve">the </w:t>
      </w:r>
      <w:r w:rsidR="00AC48F8" w:rsidRPr="00A545D2">
        <w:rPr>
          <w:rFonts w:ascii="Times New Roman" w:hAnsi="Times New Roman" w:cs="Times New Roman"/>
          <w:i/>
          <w:snapToGrid w:val="0"/>
          <w:sz w:val="24"/>
        </w:rPr>
        <w:t>Primary Industries (Customs) Charges Act 1999</w:t>
      </w:r>
      <w:r w:rsidR="00082917" w:rsidRPr="00A545D2">
        <w:rPr>
          <w:rFonts w:ascii="Times New Roman" w:eastAsia="Calibri" w:hAnsi="Times New Roman" w:cs="Times New Roman"/>
          <w:sz w:val="24"/>
        </w:rPr>
        <w:t xml:space="preserve"> </w:t>
      </w:r>
      <w:r w:rsidR="006F42F9">
        <w:rPr>
          <w:rFonts w:ascii="Times New Roman" w:eastAsia="Calibri" w:hAnsi="Times New Roman" w:cs="Times New Roman"/>
          <w:sz w:val="24"/>
        </w:rPr>
        <w:t xml:space="preserve">(Customs Charges Act) </w:t>
      </w:r>
      <w:r w:rsidR="00082917" w:rsidRPr="00A545D2">
        <w:rPr>
          <w:rFonts w:ascii="Times New Roman" w:eastAsia="Calibri" w:hAnsi="Times New Roman" w:cs="Times New Roman"/>
          <w:sz w:val="24"/>
        </w:rPr>
        <w:t>provides that the Governor</w:t>
      </w:r>
      <w:r w:rsidR="006F42F9">
        <w:rPr>
          <w:rFonts w:ascii="Times New Roman" w:eastAsia="Calibri" w:hAnsi="Times New Roman" w:cs="Times New Roman"/>
          <w:sz w:val="24"/>
        </w:rPr>
        <w:noBreakHyphen/>
      </w:r>
      <w:r w:rsidR="002F3008" w:rsidRPr="00A545D2">
        <w:rPr>
          <w:rFonts w:ascii="Times New Roman" w:eastAsia="Calibri" w:hAnsi="Times New Roman" w:cs="Times New Roman"/>
          <w:sz w:val="24"/>
        </w:rPr>
        <w:t>General may make regulations prescribing</w:t>
      </w:r>
      <w:r w:rsidR="00D16B8E" w:rsidRPr="00A545D2">
        <w:rPr>
          <w:rFonts w:ascii="Times New Roman" w:eastAsia="Calibri" w:hAnsi="Times New Roman" w:cs="Times New Roman"/>
          <w:sz w:val="24"/>
        </w:rPr>
        <w:t xml:space="preserve"> </w:t>
      </w:r>
      <w:r w:rsidR="00D320BE" w:rsidRPr="00A545D2">
        <w:rPr>
          <w:rFonts w:ascii="Times New Roman" w:eastAsia="Calibri" w:hAnsi="Times New Roman" w:cs="Times New Roman"/>
          <w:sz w:val="24"/>
        </w:rPr>
        <w:t>matters required or permitted by th</w:t>
      </w:r>
      <w:r w:rsidR="006F42F9">
        <w:rPr>
          <w:rFonts w:ascii="Times New Roman" w:eastAsia="Calibri" w:hAnsi="Times New Roman" w:cs="Times New Roman"/>
          <w:sz w:val="24"/>
        </w:rPr>
        <w:t>e</w:t>
      </w:r>
      <w:r w:rsidR="00D320BE" w:rsidRPr="00A545D2">
        <w:rPr>
          <w:rFonts w:ascii="Times New Roman" w:eastAsia="Calibri" w:hAnsi="Times New Roman" w:cs="Times New Roman"/>
          <w:sz w:val="24"/>
        </w:rPr>
        <w:t xml:space="preserve"> Act to be prescribed </w:t>
      </w:r>
      <w:r w:rsidR="00DD555F" w:rsidRPr="00A545D2">
        <w:rPr>
          <w:rFonts w:ascii="Times New Roman" w:eastAsia="Calibri" w:hAnsi="Times New Roman" w:cs="Times New Roman"/>
          <w:sz w:val="24"/>
        </w:rPr>
        <w:t>or necessary or convenient to be prescribed for carr</w:t>
      </w:r>
      <w:r w:rsidR="006F42F9">
        <w:rPr>
          <w:rFonts w:ascii="Times New Roman" w:eastAsia="Calibri" w:hAnsi="Times New Roman" w:cs="Times New Roman"/>
          <w:sz w:val="24"/>
        </w:rPr>
        <w:t>ying out or giving effect to the</w:t>
      </w:r>
      <w:r w:rsidR="00D320BE" w:rsidRPr="00A545D2">
        <w:rPr>
          <w:rFonts w:ascii="Times New Roman" w:eastAsia="Calibri" w:hAnsi="Times New Roman" w:cs="Times New Roman"/>
          <w:sz w:val="24"/>
        </w:rPr>
        <w:t xml:space="preserve"> Act. </w:t>
      </w:r>
    </w:p>
    <w:p w:rsidR="006F42F9" w:rsidRDefault="006F42F9" w:rsidP="00A545D2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6F42F9" w:rsidRDefault="006F42F9" w:rsidP="006F42F9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Schedule 14 to the </w:t>
      </w:r>
      <w:r w:rsidR="006B2567">
        <w:rPr>
          <w:rFonts w:ascii="Times New Roman" w:eastAsia="Calibri" w:hAnsi="Times New Roman" w:cs="Times New Roman"/>
          <w:sz w:val="24"/>
        </w:rPr>
        <w:t xml:space="preserve">Customs Charges </w:t>
      </w:r>
      <w:r>
        <w:rPr>
          <w:rFonts w:ascii="Times New Roman" w:eastAsia="Calibri" w:hAnsi="Times New Roman" w:cs="Times New Roman"/>
          <w:sz w:val="24"/>
        </w:rPr>
        <w:t>Act provides that regulations may impose charges on primary industry products, set the rate of the charges and identify the person liable to pay the charge.</w:t>
      </w:r>
    </w:p>
    <w:p w:rsidR="006F42F9" w:rsidRDefault="006F42F9" w:rsidP="006F42F9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6F42F9" w:rsidRPr="00A545D2" w:rsidRDefault="006F42F9" w:rsidP="006F42F9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Schedule 9 to the </w:t>
      </w:r>
      <w:r w:rsidRPr="00137628">
        <w:rPr>
          <w:rFonts w:ascii="Times New Roman" w:eastAsia="Calibri" w:hAnsi="Times New Roman" w:cs="Times New Roman"/>
          <w:i/>
          <w:sz w:val="24"/>
        </w:rPr>
        <w:t>Primary Industries (Customs) Charges Regulations 2000</w:t>
      </w:r>
      <w:r>
        <w:rPr>
          <w:rFonts w:ascii="Times New Roman" w:eastAsia="Calibri" w:hAnsi="Times New Roman" w:cs="Times New Roman"/>
          <w:sz w:val="24"/>
        </w:rPr>
        <w:t xml:space="preserve"> (Principal Regulations) provides that an Emergency Animal Disease Response (</w:t>
      </w:r>
      <w:proofErr w:type="spellStart"/>
      <w:r>
        <w:rPr>
          <w:rFonts w:ascii="Times New Roman" w:eastAsia="Calibri" w:hAnsi="Times New Roman" w:cs="Times New Roman"/>
          <w:sz w:val="24"/>
        </w:rPr>
        <w:t>EADR</w:t>
      </w:r>
      <w:proofErr w:type="spellEnd"/>
      <w:r>
        <w:rPr>
          <w:rFonts w:ascii="Times New Roman" w:eastAsia="Calibri" w:hAnsi="Times New Roman" w:cs="Times New Roman"/>
          <w:sz w:val="24"/>
        </w:rPr>
        <w:t>) charge is imposed on honey.</w:t>
      </w:r>
    </w:p>
    <w:p w:rsidR="00F8381C" w:rsidRPr="00A545D2" w:rsidRDefault="00F8381C" w:rsidP="00A545D2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32BCF" w:rsidRPr="00A545D2" w:rsidRDefault="00D32BCF" w:rsidP="00A545D2">
      <w:pPr>
        <w:tabs>
          <w:tab w:val="right" w:pos="9072"/>
        </w:tabs>
        <w:rPr>
          <w:rFonts w:ascii="Times New Roman" w:eastAsia="Calibri" w:hAnsi="Times New Roman" w:cs="Times New Roman"/>
          <w:b/>
          <w:sz w:val="24"/>
        </w:rPr>
      </w:pPr>
      <w:r w:rsidRPr="00A545D2">
        <w:rPr>
          <w:rFonts w:ascii="Times New Roman" w:eastAsia="Calibri" w:hAnsi="Times New Roman" w:cs="Times New Roman"/>
          <w:b/>
          <w:sz w:val="24"/>
        </w:rPr>
        <w:t>Purpose</w:t>
      </w:r>
    </w:p>
    <w:p w:rsidR="00BC2E88" w:rsidRDefault="00F8381C" w:rsidP="00BC2E88">
      <w:pPr>
        <w:autoSpaceDE w:val="0"/>
        <w:autoSpaceDN w:val="0"/>
        <w:adjustRightInd w:val="0"/>
        <w:spacing w:after="200"/>
        <w:rPr>
          <w:rFonts w:ascii="Times New Roman" w:eastAsia="Calibri" w:hAnsi="Times New Roman" w:cs="Times New Roman"/>
          <w:sz w:val="24"/>
        </w:rPr>
      </w:pPr>
      <w:r w:rsidRPr="00A545D2">
        <w:rPr>
          <w:rFonts w:ascii="Times New Roman" w:eastAsia="Calibri" w:hAnsi="Times New Roman" w:cs="Times New Roman"/>
          <w:sz w:val="24"/>
        </w:rPr>
        <w:t xml:space="preserve">The purpose of the </w:t>
      </w:r>
      <w:r w:rsidR="00AF5C2B" w:rsidRPr="00A545D2">
        <w:rPr>
          <w:rFonts w:ascii="Times New Roman" w:hAnsi="Times New Roman" w:cs="Times New Roman"/>
          <w:i/>
          <w:snapToGrid w:val="0"/>
          <w:sz w:val="24"/>
        </w:rPr>
        <w:t>Primary Industries (Customs) Charges Amendment (Honey) Regulation</w:t>
      </w:r>
      <w:r w:rsidR="00BC2E88">
        <w:rPr>
          <w:rFonts w:ascii="Times New Roman" w:hAnsi="Times New Roman" w:cs="Times New Roman"/>
          <w:i/>
          <w:snapToGrid w:val="0"/>
          <w:sz w:val="24"/>
        </w:rPr>
        <w:t> </w:t>
      </w:r>
      <w:r w:rsidR="00AF5C2B" w:rsidRPr="00A545D2">
        <w:rPr>
          <w:rFonts w:ascii="Times New Roman" w:hAnsi="Times New Roman" w:cs="Times New Roman"/>
          <w:i/>
          <w:snapToGrid w:val="0"/>
          <w:sz w:val="24"/>
        </w:rPr>
        <w:t>2015</w:t>
      </w:r>
      <w:r w:rsidR="00AF5C2B" w:rsidRPr="00A545D2">
        <w:rPr>
          <w:rFonts w:ascii="Times New Roman" w:hAnsi="Times New Roman" w:cs="Times New Roman"/>
          <w:i/>
          <w:sz w:val="24"/>
        </w:rPr>
        <w:t xml:space="preserve"> </w:t>
      </w:r>
      <w:r w:rsidRPr="00A545D2">
        <w:rPr>
          <w:rFonts w:ascii="Times New Roman" w:eastAsia="Calibri" w:hAnsi="Times New Roman" w:cs="Times New Roman"/>
          <w:sz w:val="24"/>
        </w:rPr>
        <w:t>(</w:t>
      </w:r>
      <w:r w:rsidR="00BC2E88">
        <w:rPr>
          <w:rFonts w:ascii="Times New Roman" w:eastAsia="Calibri" w:hAnsi="Times New Roman" w:cs="Times New Roman"/>
          <w:sz w:val="24"/>
        </w:rPr>
        <w:t xml:space="preserve">Amendment </w:t>
      </w:r>
      <w:r w:rsidRPr="00A545D2">
        <w:rPr>
          <w:rFonts w:ascii="Times New Roman" w:eastAsia="Calibri" w:hAnsi="Times New Roman" w:cs="Times New Roman"/>
          <w:sz w:val="24"/>
        </w:rPr>
        <w:t xml:space="preserve">Regulation) </w:t>
      </w:r>
      <w:r w:rsidR="00B64E9F" w:rsidRPr="00A545D2">
        <w:rPr>
          <w:rFonts w:ascii="Times New Roman" w:eastAsia="Calibri" w:hAnsi="Times New Roman" w:cs="Times New Roman"/>
          <w:sz w:val="24"/>
        </w:rPr>
        <w:t>is</w:t>
      </w:r>
      <w:r w:rsidR="00DF7846" w:rsidRPr="00A545D2">
        <w:rPr>
          <w:rFonts w:ascii="Times New Roman" w:eastAsia="Calibri" w:hAnsi="Times New Roman" w:cs="Times New Roman"/>
          <w:sz w:val="24"/>
        </w:rPr>
        <w:t xml:space="preserve"> to</w:t>
      </w:r>
      <w:r w:rsidR="00AF5C2B" w:rsidRPr="00A545D2">
        <w:rPr>
          <w:rFonts w:ascii="Times New Roman" w:eastAsia="Calibri" w:hAnsi="Times New Roman" w:cs="Times New Roman"/>
          <w:sz w:val="24"/>
        </w:rPr>
        <w:t xml:space="preserve"> </w:t>
      </w:r>
      <w:r w:rsidR="00710F2A" w:rsidRPr="00A545D2">
        <w:rPr>
          <w:rFonts w:ascii="Times New Roman" w:eastAsia="Calibri" w:hAnsi="Times New Roman" w:cs="Times New Roman"/>
          <w:sz w:val="24"/>
        </w:rPr>
        <w:t xml:space="preserve">amend the </w:t>
      </w:r>
      <w:r w:rsidR="00BC2E88" w:rsidRPr="00BC2E88">
        <w:rPr>
          <w:rFonts w:ascii="Times New Roman" w:hAnsi="Times New Roman" w:cs="Times New Roman"/>
          <w:sz w:val="24"/>
        </w:rPr>
        <w:t>P</w:t>
      </w:r>
      <w:r w:rsidR="00582DCC" w:rsidRPr="00A545D2">
        <w:rPr>
          <w:rFonts w:ascii="Times New Roman" w:hAnsi="Times New Roman" w:cs="Times New Roman"/>
          <w:sz w:val="24"/>
        </w:rPr>
        <w:t xml:space="preserve">rincipal Regulations </w:t>
      </w:r>
      <w:r w:rsidR="00BC2E88">
        <w:rPr>
          <w:rFonts w:ascii="Times New Roman" w:eastAsia="Calibri" w:hAnsi="Times New Roman" w:cs="Times New Roman"/>
          <w:sz w:val="24"/>
        </w:rPr>
        <w:t>to:</w:t>
      </w:r>
    </w:p>
    <w:p w:rsidR="00BC2E88" w:rsidRDefault="00BC2E88" w:rsidP="00BC2E88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remove the </w:t>
      </w:r>
      <w:proofErr w:type="spellStart"/>
      <w:r>
        <w:rPr>
          <w:rFonts w:ascii="Times New Roman" w:eastAsia="Calibri" w:hAnsi="Times New Roman" w:cs="Times New Roman"/>
          <w:sz w:val="24"/>
        </w:rPr>
        <w:t>EADR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charge on honey;</w:t>
      </w:r>
    </w:p>
    <w:p w:rsidR="00BC2E88" w:rsidRDefault="00BC2E88" w:rsidP="00BC2E88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introduce a Plant Health Australia (</w:t>
      </w:r>
      <w:proofErr w:type="spellStart"/>
      <w:r>
        <w:rPr>
          <w:rFonts w:ascii="Times New Roman" w:eastAsia="Calibri" w:hAnsi="Times New Roman" w:cs="Times New Roman"/>
          <w:sz w:val="24"/>
        </w:rPr>
        <w:t>PHA</w:t>
      </w:r>
      <w:proofErr w:type="spellEnd"/>
      <w:r>
        <w:rPr>
          <w:rFonts w:ascii="Times New Roman" w:eastAsia="Calibri" w:hAnsi="Times New Roman" w:cs="Times New Roman"/>
          <w:sz w:val="24"/>
        </w:rPr>
        <w:t>) charge on honey; and</w:t>
      </w:r>
    </w:p>
    <w:p w:rsidR="00BC2E88" w:rsidRPr="005F00B0" w:rsidRDefault="00BC2E88" w:rsidP="00BC2E88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sz w:val="24"/>
        </w:rPr>
      </w:pPr>
      <w:r w:rsidRPr="005F00B0">
        <w:rPr>
          <w:rFonts w:ascii="Times New Roman" w:eastAsia="Calibri" w:hAnsi="Times New Roman" w:cs="Times New Roman"/>
          <w:sz w:val="24"/>
        </w:rPr>
        <w:t>introduce a</w:t>
      </w:r>
      <w:r>
        <w:rPr>
          <w:rFonts w:ascii="Times New Roman" w:eastAsia="Calibri" w:hAnsi="Times New Roman" w:cs="Times New Roman"/>
          <w:sz w:val="24"/>
        </w:rPr>
        <w:t>n Emergency Plant Pest Response (</w:t>
      </w:r>
      <w:proofErr w:type="spellStart"/>
      <w:r>
        <w:rPr>
          <w:rFonts w:ascii="Times New Roman" w:eastAsia="Calibri" w:hAnsi="Times New Roman" w:cs="Times New Roman"/>
          <w:sz w:val="24"/>
        </w:rPr>
        <w:t>EPPR</w:t>
      </w:r>
      <w:proofErr w:type="spellEnd"/>
      <w:r>
        <w:rPr>
          <w:rFonts w:ascii="Times New Roman" w:eastAsia="Calibri" w:hAnsi="Times New Roman" w:cs="Times New Roman"/>
          <w:sz w:val="24"/>
        </w:rPr>
        <w:t>) charge on honey</w:t>
      </w:r>
      <w:r w:rsidRPr="005F00B0">
        <w:rPr>
          <w:rFonts w:ascii="Times New Roman" w:hAnsi="Times New Roman" w:cs="Times New Roman"/>
          <w:sz w:val="24"/>
        </w:rPr>
        <w:t>.</w:t>
      </w:r>
    </w:p>
    <w:p w:rsidR="00BC2E88" w:rsidRDefault="00BC2E88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32BCF" w:rsidRPr="00A545D2" w:rsidRDefault="00D32BCF" w:rsidP="00A545D2">
      <w:pPr>
        <w:tabs>
          <w:tab w:val="right" w:pos="9072"/>
        </w:tabs>
        <w:rPr>
          <w:rFonts w:ascii="Times New Roman" w:eastAsia="Calibri" w:hAnsi="Times New Roman" w:cs="Times New Roman"/>
          <w:b/>
          <w:sz w:val="24"/>
        </w:rPr>
      </w:pPr>
      <w:r w:rsidRPr="00A545D2">
        <w:rPr>
          <w:rFonts w:ascii="Times New Roman" w:eastAsia="Calibri" w:hAnsi="Times New Roman" w:cs="Times New Roman"/>
          <w:b/>
          <w:sz w:val="24"/>
        </w:rPr>
        <w:t>Background</w:t>
      </w:r>
    </w:p>
    <w:p w:rsidR="00BC2E88" w:rsidRDefault="00BC2E88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The Customs Charges Act provides for the imposition of primary industry charges on prescribed products</w:t>
      </w:r>
      <w:r w:rsidR="00595E34">
        <w:rPr>
          <w:rFonts w:ascii="Times New Roman" w:eastAsia="Calibri" w:hAnsi="Times New Roman" w:cs="Times New Roman"/>
          <w:sz w:val="24"/>
        </w:rPr>
        <w:t>, such as honey exported from Australia, payable by the producer of the honey</w:t>
      </w:r>
      <w:r>
        <w:rPr>
          <w:rFonts w:ascii="Times New Roman" w:eastAsia="Calibri" w:hAnsi="Times New Roman" w:cs="Times New Roman"/>
          <w:sz w:val="24"/>
        </w:rPr>
        <w:t>.</w:t>
      </w:r>
    </w:p>
    <w:p w:rsidR="00BC2E88" w:rsidRDefault="00BC2E88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BC2E88" w:rsidRDefault="009638FF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 w:rsidRPr="009E763B">
        <w:rPr>
          <w:rFonts w:ascii="Times New Roman" w:eastAsia="Calibri" w:hAnsi="Times New Roman" w:cs="Times New Roman"/>
          <w:sz w:val="24"/>
        </w:rPr>
        <w:t>The Australian Honey Bee Industry Council (</w:t>
      </w:r>
      <w:proofErr w:type="spellStart"/>
      <w:r w:rsidRPr="009E763B">
        <w:rPr>
          <w:rFonts w:ascii="Times New Roman" w:eastAsia="Calibri" w:hAnsi="Times New Roman" w:cs="Times New Roman"/>
          <w:sz w:val="24"/>
        </w:rPr>
        <w:t>AHBIC</w:t>
      </w:r>
      <w:proofErr w:type="spellEnd"/>
      <w:r w:rsidRPr="009E763B">
        <w:rPr>
          <w:rFonts w:ascii="Times New Roman" w:eastAsia="Calibri" w:hAnsi="Times New Roman" w:cs="Times New Roman"/>
          <w:sz w:val="24"/>
        </w:rPr>
        <w:t>) is the peak industry body for honey producers in Australia</w:t>
      </w:r>
      <w:r>
        <w:rPr>
          <w:rFonts w:ascii="Times New Roman" w:eastAsia="Calibri" w:hAnsi="Times New Roman" w:cs="Times New Roman"/>
          <w:sz w:val="24"/>
        </w:rPr>
        <w:t xml:space="preserve"> and is a member of both Animal</w:t>
      </w:r>
      <w:r w:rsidR="006B2567">
        <w:rPr>
          <w:rFonts w:ascii="Times New Roman" w:eastAsia="Calibri" w:hAnsi="Times New Roman" w:cs="Times New Roman"/>
          <w:sz w:val="24"/>
        </w:rPr>
        <w:t xml:space="preserve"> Health Australia (AHA) and </w:t>
      </w:r>
      <w:proofErr w:type="spellStart"/>
      <w:r w:rsidR="006B2567">
        <w:rPr>
          <w:rFonts w:ascii="Times New Roman" w:eastAsia="Calibri" w:hAnsi="Times New Roman" w:cs="Times New Roman"/>
          <w:sz w:val="24"/>
        </w:rPr>
        <w:t>PHA</w:t>
      </w:r>
      <w:proofErr w:type="spellEnd"/>
      <w:r w:rsidR="006B2567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6B2567">
        <w:rPr>
          <w:rFonts w:ascii="Times New Roman" w:eastAsia="Calibri" w:hAnsi="Times New Roman" w:cs="Times New Roman"/>
          <w:sz w:val="24"/>
        </w:rPr>
        <w:t xml:space="preserve">The </w:t>
      </w:r>
      <w:proofErr w:type="spellStart"/>
      <w:r w:rsidR="006B2567" w:rsidRPr="009E763B">
        <w:rPr>
          <w:rFonts w:ascii="Times New Roman" w:eastAsia="Calibri" w:hAnsi="Times New Roman" w:cs="Times New Roman"/>
          <w:sz w:val="24"/>
        </w:rPr>
        <w:t>AHBIC</w:t>
      </w:r>
      <w:proofErr w:type="spellEnd"/>
      <w:r w:rsidR="006B2567">
        <w:rPr>
          <w:rFonts w:ascii="Times New Roman" w:eastAsia="Calibri" w:hAnsi="Times New Roman" w:cs="Times New Roman"/>
          <w:sz w:val="24"/>
        </w:rPr>
        <w:t xml:space="preserve"> is </w:t>
      </w:r>
      <w:r>
        <w:rPr>
          <w:rFonts w:ascii="Times New Roman" w:eastAsia="Calibri" w:hAnsi="Times New Roman" w:cs="Times New Roman"/>
          <w:sz w:val="24"/>
        </w:rPr>
        <w:t xml:space="preserve">a signatory to both the </w:t>
      </w:r>
      <w:proofErr w:type="spellStart"/>
      <w:r>
        <w:rPr>
          <w:rFonts w:ascii="Times New Roman" w:eastAsia="Calibri" w:hAnsi="Times New Roman" w:cs="Times New Roman"/>
          <w:sz w:val="24"/>
        </w:rPr>
        <w:t>EADR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Agreement and </w:t>
      </w:r>
      <w:proofErr w:type="spellStart"/>
      <w:r>
        <w:rPr>
          <w:rFonts w:ascii="Times New Roman" w:eastAsia="Calibri" w:hAnsi="Times New Roman" w:cs="Times New Roman"/>
          <w:sz w:val="24"/>
        </w:rPr>
        <w:t>EPPR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Deed, legally binding agreements between the Commonwealth, state and territory governments, Animal Health Australia/Plant Health Australia and industry, for the management and funding of emergency </w:t>
      </w:r>
      <w:r w:rsidR="000D42DB">
        <w:rPr>
          <w:rFonts w:ascii="Times New Roman" w:eastAsia="Calibri" w:hAnsi="Times New Roman" w:cs="Times New Roman"/>
          <w:sz w:val="24"/>
        </w:rPr>
        <w:t xml:space="preserve">responses to </w:t>
      </w:r>
      <w:r>
        <w:rPr>
          <w:rFonts w:ascii="Times New Roman" w:eastAsia="Calibri" w:hAnsi="Times New Roman" w:cs="Times New Roman"/>
          <w:sz w:val="24"/>
        </w:rPr>
        <w:t>animal/plant disease incursions.</w:t>
      </w:r>
    </w:p>
    <w:p w:rsidR="009638FF" w:rsidRDefault="009638FF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BC2E88" w:rsidRPr="009E763B" w:rsidRDefault="00CE42C2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Calibri" w:hAnsi="Times New Roman" w:cs="Times New Roman"/>
          <w:sz w:val="24"/>
        </w:rPr>
        <w:t>AHBIC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r w:rsidR="00E47E19">
        <w:rPr>
          <w:rFonts w:ascii="Times New Roman" w:eastAsia="Calibri" w:hAnsi="Times New Roman" w:cs="Times New Roman"/>
          <w:sz w:val="24"/>
        </w:rPr>
        <w:t xml:space="preserve">has </w:t>
      </w:r>
      <w:r w:rsidR="00BC2E88" w:rsidRPr="009E763B">
        <w:rPr>
          <w:rFonts w:ascii="Times New Roman" w:eastAsia="Calibri" w:hAnsi="Times New Roman" w:cs="Times New Roman"/>
          <w:sz w:val="24"/>
        </w:rPr>
        <w:t xml:space="preserve">requested the amendments contained in the </w:t>
      </w:r>
      <w:r w:rsidR="00BC2E88">
        <w:rPr>
          <w:rFonts w:ascii="Times New Roman" w:eastAsia="Calibri" w:hAnsi="Times New Roman" w:cs="Times New Roman"/>
          <w:sz w:val="24"/>
        </w:rPr>
        <w:t>Amendment</w:t>
      </w:r>
      <w:r w:rsidR="00BC2E88" w:rsidRPr="009E763B">
        <w:rPr>
          <w:rFonts w:ascii="Times New Roman" w:eastAsia="Calibri" w:hAnsi="Times New Roman" w:cs="Times New Roman"/>
          <w:sz w:val="24"/>
        </w:rPr>
        <w:t xml:space="preserve"> Regulation in order to align </w:t>
      </w:r>
      <w:r w:rsidR="00BC2E88">
        <w:rPr>
          <w:rFonts w:ascii="Times New Roman" w:eastAsia="Calibri" w:hAnsi="Times New Roman" w:cs="Times New Roman"/>
          <w:sz w:val="24"/>
        </w:rPr>
        <w:t>the honey industry</w:t>
      </w:r>
      <w:r w:rsidR="000D42DB">
        <w:rPr>
          <w:rFonts w:ascii="Times New Roman" w:eastAsia="Calibri" w:hAnsi="Times New Roman" w:cs="Times New Roman"/>
          <w:sz w:val="24"/>
        </w:rPr>
        <w:t>’s levy arrangements</w:t>
      </w:r>
      <w:r w:rsidR="00BC2E88">
        <w:rPr>
          <w:rFonts w:ascii="Times New Roman" w:eastAsia="Calibri" w:hAnsi="Times New Roman" w:cs="Times New Roman"/>
          <w:sz w:val="24"/>
        </w:rPr>
        <w:t xml:space="preserve"> more appropriately with the plant sector rather than the animal sector, as</w:t>
      </w:r>
      <w:r w:rsidR="00BC2E88" w:rsidRPr="009E763B">
        <w:rPr>
          <w:rFonts w:ascii="Times New Roman" w:eastAsia="Calibri" w:hAnsi="Times New Roman" w:cs="Times New Roman"/>
          <w:sz w:val="24"/>
        </w:rPr>
        <w:t xml:space="preserve"> </w:t>
      </w:r>
      <w:r w:rsidR="00BC2E88">
        <w:rPr>
          <w:rFonts w:ascii="Times New Roman" w:eastAsia="Calibri" w:hAnsi="Times New Roman" w:cs="Times New Roman"/>
          <w:sz w:val="24"/>
        </w:rPr>
        <w:t xml:space="preserve">over the last several years </w:t>
      </w:r>
      <w:r w:rsidR="00BC2E88" w:rsidRPr="009E763B">
        <w:rPr>
          <w:rFonts w:ascii="Times New Roman" w:eastAsia="Calibri" w:hAnsi="Times New Roman" w:cs="Times New Roman"/>
          <w:sz w:val="24"/>
        </w:rPr>
        <w:t>management of honey bee and pollination-related biosecurity has moved to the plant sector.</w:t>
      </w:r>
    </w:p>
    <w:p w:rsidR="00BC2E88" w:rsidRPr="009E763B" w:rsidRDefault="00BC2E88" w:rsidP="00BC2E88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32BCF" w:rsidRPr="00A545D2" w:rsidRDefault="00D32BCF" w:rsidP="00A545D2">
      <w:pPr>
        <w:tabs>
          <w:tab w:val="right" w:pos="9072"/>
        </w:tabs>
        <w:rPr>
          <w:rFonts w:ascii="Times New Roman" w:eastAsia="Calibri" w:hAnsi="Times New Roman" w:cs="Times New Roman"/>
          <w:b/>
          <w:sz w:val="24"/>
        </w:rPr>
      </w:pPr>
      <w:r w:rsidRPr="00A545D2">
        <w:rPr>
          <w:rFonts w:ascii="Times New Roman" w:eastAsia="Calibri" w:hAnsi="Times New Roman" w:cs="Times New Roman"/>
          <w:b/>
          <w:sz w:val="24"/>
        </w:rPr>
        <w:lastRenderedPageBreak/>
        <w:t>Impact and Effect</w:t>
      </w:r>
    </w:p>
    <w:p w:rsidR="00D32BCF" w:rsidRDefault="00887398" w:rsidP="00A545D2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introduction of </w:t>
      </w:r>
      <w:proofErr w:type="spellStart"/>
      <w:r>
        <w:rPr>
          <w:rFonts w:ascii="Times New Roman" w:eastAsia="Calibri" w:hAnsi="Times New Roman" w:cs="Times New Roman"/>
          <w:sz w:val="24"/>
        </w:rPr>
        <w:t>PHA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and </w:t>
      </w:r>
      <w:proofErr w:type="spellStart"/>
      <w:r>
        <w:rPr>
          <w:rFonts w:ascii="Times New Roman" w:eastAsia="Calibri" w:hAnsi="Times New Roman" w:cs="Times New Roman"/>
          <w:sz w:val="24"/>
        </w:rPr>
        <w:t>EPPR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charge</w:t>
      </w:r>
      <w:r w:rsidR="00CE42C2">
        <w:rPr>
          <w:rFonts w:ascii="Times New Roman" w:eastAsia="Calibri" w:hAnsi="Times New Roman" w:cs="Times New Roman"/>
          <w:sz w:val="24"/>
        </w:rPr>
        <w:t xml:space="preserve">s on honey </w:t>
      </w:r>
      <w:r>
        <w:rPr>
          <w:rFonts w:ascii="Times New Roman" w:eastAsia="Calibri" w:hAnsi="Times New Roman" w:cs="Times New Roman"/>
          <w:sz w:val="24"/>
        </w:rPr>
        <w:t xml:space="preserve">allow charges to be provided directly </w:t>
      </w:r>
      <w:r w:rsidRPr="009E763B">
        <w:rPr>
          <w:rFonts w:ascii="Times New Roman" w:eastAsia="Calibri" w:hAnsi="Times New Roman" w:cs="Times New Roman"/>
          <w:sz w:val="24"/>
        </w:rPr>
        <w:t xml:space="preserve">to </w:t>
      </w:r>
      <w:proofErr w:type="spellStart"/>
      <w:r w:rsidRPr="009E763B">
        <w:rPr>
          <w:rFonts w:ascii="Times New Roman" w:eastAsia="Calibri" w:hAnsi="Times New Roman" w:cs="Times New Roman"/>
          <w:sz w:val="24"/>
        </w:rPr>
        <w:t>PHA</w:t>
      </w:r>
      <w:proofErr w:type="spellEnd"/>
      <w:r>
        <w:rPr>
          <w:rFonts w:ascii="Times New Roman" w:eastAsia="Calibri" w:hAnsi="Times New Roman" w:cs="Times New Roman"/>
          <w:sz w:val="24"/>
        </w:rPr>
        <w:t>,</w:t>
      </w:r>
      <w:r w:rsidRPr="009E763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and </w:t>
      </w:r>
      <w:r w:rsidR="000D42DB">
        <w:rPr>
          <w:rFonts w:ascii="Times New Roman" w:eastAsia="Calibri" w:hAnsi="Times New Roman" w:cs="Times New Roman"/>
          <w:sz w:val="24"/>
        </w:rPr>
        <w:t xml:space="preserve">allow </w:t>
      </w:r>
      <w:proofErr w:type="spellStart"/>
      <w:r w:rsidRPr="009E763B">
        <w:rPr>
          <w:rFonts w:ascii="Times New Roman" w:eastAsia="Calibri" w:hAnsi="Times New Roman" w:cs="Times New Roman"/>
          <w:sz w:val="24"/>
        </w:rPr>
        <w:t>AHBIC</w:t>
      </w:r>
      <w:proofErr w:type="spellEnd"/>
      <w:r w:rsidRPr="009E763B">
        <w:rPr>
          <w:rFonts w:ascii="Times New Roman" w:eastAsia="Calibri" w:hAnsi="Times New Roman" w:cs="Times New Roman"/>
          <w:sz w:val="24"/>
        </w:rPr>
        <w:t xml:space="preserve"> to </w:t>
      </w:r>
      <w:r w:rsidR="000D42DB">
        <w:rPr>
          <w:rFonts w:ascii="Times New Roman" w:eastAsia="Calibri" w:hAnsi="Times New Roman" w:cs="Times New Roman"/>
          <w:sz w:val="24"/>
        </w:rPr>
        <w:t xml:space="preserve">cease </w:t>
      </w:r>
      <w:r w:rsidRPr="009E763B">
        <w:rPr>
          <w:rFonts w:ascii="Times New Roman" w:eastAsia="Calibri" w:hAnsi="Times New Roman" w:cs="Times New Roman"/>
          <w:sz w:val="24"/>
        </w:rPr>
        <w:t xml:space="preserve">its </w:t>
      </w:r>
      <w:r>
        <w:rPr>
          <w:rFonts w:ascii="Times New Roman" w:eastAsia="Calibri" w:hAnsi="Times New Roman" w:cs="Times New Roman"/>
          <w:sz w:val="24"/>
        </w:rPr>
        <w:t xml:space="preserve">AHA </w:t>
      </w:r>
      <w:r w:rsidRPr="009E763B">
        <w:rPr>
          <w:rFonts w:ascii="Times New Roman" w:eastAsia="Calibri" w:hAnsi="Times New Roman" w:cs="Times New Roman"/>
          <w:sz w:val="24"/>
        </w:rPr>
        <w:t xml:space="preserve">membership and withdraw as a signatory to the </w:t>
      </w:r>
      <w:proofErr w:type="spellStart"/>
      <w:r w:rsidR="009638FF">
        <w:rPr>
          <w:rFonts w:ascii="Times New Roman" w:eastAsia="Calibri" w:hAnsi="Times New Roman" w:cs="Times New Roman"/>
          <w:sz w:val="24"/>
        </w:rPr>
        <w:t>EADR</w:t>
      </w:r>
      <w:proofErr w:type="spellEnd"/>
      <w:r w:rsidR="009638FF">
        <w:rPr>
          <w:rFonts w:ascii="Times New Roman" w:eastAsia="Calibri" w:hAnsi="Times New Roman" w:cs="Times New Roman"/>
          <w:sz w:val="24"/>
        </w:rPr>
        <w:t xml:space="preserve"> </w:t>
      </w:r>
      <w:r w:rsidRPr="009E763B">
        <w:rPr>
          <w:rFonts w:ascii="Times New Roman" w:eastAsia="Calibri" w:hAnsi="Times New Roman" w:cs="Times New Roman"/>
          <w:sz w:val="24"/>
        </w:rPr>
        <w:t>Agreement. This would result in reduction of costs to the industry for costs</w:t>
      </w:r>
      <w:r>
        <w:rPr>
          <w:rFonts w:ascii="Times New Roman" w:eastAsia="Calibri" w:hAnsi="Times New Roman" w:cs="Times New Roman"/>
          <w:sz w:val="24"/>
        </w:rPr>
        <w:t xml:space="preserve"> associated with AHA membership. The new charges would also facilitate industry funding of industry-supported investment in honey bee biosecurity programs</w:t>
      </w:r>
      <w:r w:rsidRPr="009E763B">
        <w:rPr>
          <w:rFonts w:ascii="Times New Roman" w:eastAsia="Calibri" w:hAnsi="Times New Roman" w:cs="Times New Roman"/>
          <w:sz w:val="24"/>
        </w:rPr>
        <w:t>.</w:t>
      </w:r>
    </w:p>
    <w:p w:rsidR="00887398" w:rsidRDefault="00887398" w:rsidP="00A545D2">
      <w:pPr>
        <w:rPr>
          <w:rFonts w:ascii="Times New Roman" w:eastAsia="Calibri" w:hAnsi="Times New Roman" w:cs="Times New Roman"/>
          <w:sz w:val="24"/>
        </w:rPr>
      </w:pPr>
    </w:p>
    <w:p w:rsidR="008657EC" w:rsidRPr="00A545D2" w:rsidRDefault="008657EC" w:rsidP="008657EC">
      <w:pPr>
        <w:tabs>
          <w:tab w:val="right" w:pos="9072"/>
        </w:tabs>
        <w:rPr>
          <w:rFonts w:ascii="Times New Roman" w:hAnsi="Times New Roman" w:cs="Times New Roman"/>
          <w:sz w:val="24"/>
        </w:rPr>
      </w:pPr>
      <w:r w:rsidRPr="00A545D2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charge proposal </w:t>
      </w:r>
      <w:r w:rsidRPr="00A545D2">
        <w:rPr>
          <w:rFonts w:ascii="Times New Roman" w:hAnsi="Times New Roman" w:cs="Times New Roman"/>
          <w:sz w:val="24"/>
        </w:rPr>
        <w:t>meet</w:t>
      </w:r>
      <w:r>
        <w:rPr>
          <w:rFonts w:ascii="Times New Roman" w:hAnsi="Times New Roman" w:cs="Times New Roman"/>
          <w:sz w:val="24"/>
        </w:rPr>
        <w:t>s</w:t>
      </w:r>
      <w:r w:rsidRPr="00A545D2">
        <w:rPr>
          <w:rFonts w:ascii="Times New Roman" w:hAnsi="Times New Roman" w:cs="Times New Roman"/>
          <w:sz w:val="24"/>
        </w:rPr>
        <w:t xml:space="preserve"> the requirements of the Australian Government </w:t>
      </w:r>
      <w:r w:rsidRPr="00A545D2">
        <w:rPr>
          <w:rFonts w:ascii="Times New Roman" w:hAnsi="Times New Roman" w:cs="Times New Roman"/>
          <w:i/>
          <w:sz w:val="24"/>
        </w:rPr>
        <w:t>Levy Principles and Guidelines</w:t>
      </w:r>
      <w:r w:rsidRPr="00A545D2">
        <w:rPr>
          <w:rFonts w:ascii="Times New Roman" w:hAnsi="Times New Roman" w:cs="Times New Roman"/>
          <w:sz w:val="24"/>
        </w:rPr>
        <w:t>.</w:t>
      </w:r>
    </w:p>
    <w:p w:rsidR="008657EC" w:rsidRDefault="008657EC" w:rsidP="00A545D2">
      <w:pPr>
        <w:tabs>
          <w:tab w:val="right" w:pos="9072"/>
        </w:tabs>
        <w:rPr>
          <w:rFonts w:ascii="Times New Roman" w:hAnsi="Times New Roman" w:cs="Times New Roman"/>
          <w:b/>
          <w:sz w:val="24"/>
        </w:rPr>
      </w:pPr>
    </w:p>
    <w:p w:rsidR="00D32BCF" w:rsidRPr="00A545D2" w:rsidRDefault="00D32BCF" w:rsidP="00A545D2">
      <w:pPr>
        <w:tabs>
          <w:tab w:val="right" w:pos="9072"/>
        </w:tabs>
        <w:rPr>
          <w:rFonts w:ascii="Times New Roman" w:hAnsi="Times New Roman" w:cs="Times New Roman"/>
          <w:b/>
          <w:sz w:val="24"/>
        </w:rPr>
      </w:pPr>
      <w:r w:rsidRPr="00A545D2">
        <w:rPr>
          <w:rFonts w:ascii="Times New Roman" w:hAnsi="Times New Roman" w:cs="Times New Roman"/>
          <w:b/>
          <w:sz w:val="24"/>
        </w:rPr>
        <w:t>Consultation</w:t>
      </w:r>
    </w:p>
    <w:p w:rsidR="005C52A5" w:rsidRDefault="005C52A5" w:rsidP="005C52A5">
      <w:pPr>
        <w:pStyle w:val="ListNumber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amendments have been requested by </w:t>
      </w:r>
      <w:proofErr w:type="spellStart"/>
      <w:r>
        <w:rPr>
          <w:rFonts w:ascii="Times New Roman" w:hAnsi="Times New Roman"/>
          <w:szCs w:val="24"/>
        </w:rPr>
        <w:t>AHBIC</w:t>
      </w:r>
      <w:proofErr w:type="spellEnd"/>
      <w:r>
        <w:rPr>
          <w:rFonts w:ascii="Times New Roman" w:hAnsi="Times New Roman"/>
          <w:szCs w:val="24"/>
        </w:rPr>
        <w:t>, who consulted with, and received majority support from, actual and potential levy and charge payers.</w:t>
      </w:r>
    </w:p>
    <w:p w:rsidR="00125E0C" w:rsidRPr="00A545D2" w:rsidRDefault="00125E0C" w:rsidP="00A545D2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D002E9" w:rsidRDefault="00CE42C2" w:rsidP="00D002E9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Department of Treasury </w:t>
      </w:r>
      <w:r w:rsidR="00E47E19">
        <w:rPr>
          <w:rFonts w:ascii="Times New Roman" w:eastAsia="Calibri" w:hAnsi="Times New Roman" w:cs="Times New Roman"/>
          <w:sz w:val="24"/>
        </w:rPr>
        <w:t xml:space="preserve">has </w:t>
      </w:r>
      <w:r w:rsidR="00D002E9">
        <w:rPr>
          <w:rFonts w:ascii="Times New Roman" w:eastAsia="Calibri" w:hAnsi="Times New Roman" w:cs="Times New Roman"/>
          <w:sz w:val="24"/>
        </w:rPr>
        <w:t xml:space="preserve">confirmed </w:t>
      </w:r>
      <w:proofErr w:type="spellStart"/>
      <w:r w:rsidR="00D002E9">
        <w:rPr>
          <w:rFonts w:ascii="Times New Roman" w:eastAsia="Calibri" w:hAnsi="Times New Roman" w:cs="Times New Roman"/>
          <w:sz w:val="24"/>
        </w:rPr>
        <w:t>costings</w:t>
      </w:r>
      <w:proofErr w:type="spellEnd"/>
      <w:r w:rsidR="00D002E9">
        <w:rPr>
          <w:rFonts w:ascii="Times New Roman" w:eastAsia="Calibri" w:hAnsi="Times New Roman" w:cs="Times New Roman"/>
          <w:sz w:val="24"/>
        </w:rPr>
        <w:t xml:space="preserve"> undertaken by the Department of Agriculture (the Department) for the proposal and that the changes will have no net impact on the Budget.</w:t>
      </w:r>
    </w:p>
    <w:p w:rsidR="00D002E9" w:rsidRDefault="00D002E9" w:rsidP="00D002E9">
      <w:pPr>
        <w:rPr>
          <w:rFonts w:ascii="Times New Roman" w:eastAsia="Calibri" w:hAnsi="Times New Roman" w:cs="Times New Roman"/>
          <w:sz w:val="24"/>
        </w:rPr>
      </w:pPr>
    </w:p>
    <w:p w:rsidR="00F14E98" w:rsidRDefault="00F02BAF" w:rsidP="00F14E98">
      <w:pPr>
        <w:pStyle w:val="ListNumber"/>
        <w:spacing w:after="0"/>
        <w:rPr>
          <w:rFonts w:ascii="Times New Roman" w:hAnsi="Times New Roman"/>
          <w:szCs w:val="24"/>
        </w:rPr>
      </w:pPr>
      <w:r w:rsidRPr="00A545D2">
        <w:rPr>
          <w:rFonts w:ascii="Times New Roman" w:hAnsi="Times New Roman"/>
          <w:szCs w:val="24"/>
        </w:rPr>
        <w:t xml:space="preserve">The </w:t>
      </w:r>
      <w:r w:rsidR="00D002E9">
        <w:rPr>
          <w:rFonts w:ascii="Times New Roman" w:hAnsi="Times New Roman"/>
          <w:szCs w:val="24"/>
        </w:rPr>
        <w:t xml:space="preserve">Department consulted with the Office of Parliamentary Counsel in the drafting of the </w:t>
      </w:r>
      <w:r w:rsidR="00066EC0">
        <w:rPr>
          <w:rFonts w:ascii="Times New Roman" w:hAnsi="Times New Roman"/>
          <w:szCs w:val="24"/>
        </w:rPr>
        <w:t xml:space="preserve">amendments. </w:t>
      </w:r>
      <w:r w:rsidR="00ED2AAB" w:rsidRPr="00FE62C4">
        <w:rPr>
          <w:rFonts w:ascii="Times New Roman" w:hAnsi="Times New Roman"/>
          <w:szCs w:val="24"/>
        </w:rPr>
        <w:t>The Office of Best Practice Regulation (</w:t>
      </w:r>
      <w:proofErr w:type="spellStart"/>
      <w:r w:rsidR="00ED2AAB" w:rsidRPr="00FE62C4">
        <w:rPr>
          <w:rFonts w:ascii="Times New Roman" w:hAnsi="Times New Roman"/>
          <w:szCs w:val="24"/>
        </w:rPr>
        <w:t>OBPR</w:t>
      </w:r>
      <w:proofErr w:type="spellEnd"/>
      <w:r w:rsidR="00ED2AAB" w:rsidRPr="00FE62C4">
        <w:rPr>
          <w:rFonts w:ascii="Times New Roman" w:hAnsi="Times New Roman"/>
          <w:szCs w:val="24"/>
        </w:rPr>
        <w:t>) advised that the regulation impact statement (</w:t>
      </w:r>
      <w:proofErr w:type="spellStart"/>
      <w:r w:rsidR="00ED2AAB" w:rsidRPr="00FE62C4">
        <w:rPr>
          <w:rFonts w:ascii="Times New Roman" w:hAnsi="Times New Roman"/>
          <w:szCs w:val="24"/>
        </w:rPr>
        <w:t>RIS</w:t>
      </w:r>
      <w:proofErr w:type="spellEnd"/>
      <w:r w:rsidR="00ED2AAB" w:rsidRPr="00FE62C4">
        <w:rPr>
          <w:rFonts w:ascii="Times New Roman" w:hAnsi="Times New Roman"/>
          <w:szCs w:val="24"/>
        </w:rPr>
        <w:t xml:space="preserve">) meets best practice consistent with the </w:t>
      </w:r>
      <w:r w:rsidR="00ED2AAB" w:rsidRPr="00FE62C4">
        <w:rPr>
          <w:rFonts w:ascii="Times New Roman" w:hAnsi="Times New Roman"/>
          <w:i/>
          <w:szCs w:val="24"/>
        </w:rPr>
        <w:t>Australian Government Guide to Regulation</w:t>
      </w:r>
      <w:r w:rsidR="001618A7">
        <w:rPr>
          <w:rFonts w:ascii="Times New Roman" w:hAnsi="Times New Roman"/>
          <w:szCs w:val="24"/>
        </w:rPr>
        <w:t xml:space="preserve"> (</w:t>
      </w:r>
      <w:proofErr w:type="spellStart"/>
      <w:r w:rsidR="001618A7">
        <w:rPr>
          <w:rFonts w:ascii="Times New Roman" w:hAnsi="Times New Roman"/>
          <w:szCs w:val="24"/>
        </w:rPr>
        <w:t>OBPR</w:t>
      </w:r>
      <w:proofErr w:type="spellEnd"/>
      <w:r w:rsidR="001618A7">
        <w:rPr>
          <w:rFonts w:ascii="Times New Roman" w:hAnsi="Times New Roman"/>
          <w:szCs w:val="24"/>
        </w:rPr>
        <w:t xml:space="preserve"> reference 17593).</w:t>
      </w:r>
    </w:p>
    <w:p w:rsidR="00066EC0" w:rsidRPr="00A545D2" w:rsidRDefault="00066EC0" w:rsidP="00066EC0">
      <w:pPr>
        <w:pStyle w:val="ListNumber"/>
        <w:spacing w:after="0"/>
        <w:rPr>
          <w:rFonts w:ascii="Times New Roman" w:hAnsi="Times New Roman"/>
        </w:rPr>
      </w:pPr>
    </w:p>
    <w:p w:rsidR="006140C3" w:rsidRPr="00A545D2" w:rsidRDefault="006140C3" w:rsidP="00A545D2">
      <w:pPr>
        <w:rPr>
          <w:rFonts w:ascii="Times New Roman" w:eastAsia="Calibri" w:hAnsi="Times New Roman" w:cs="Times New Roman"/>
          <w:sz w:val="24"/>
        </w:rPr>
      </w:pPr>
      <w:r w:rsidRPr="00A545D2">
        <w:rPr>
          <w:rFonts w:ascii="Times New Roman" w:eastAsia="Calibri" w:hAnsi="Times New Roman" w:cs="Times New Roman"/>
          <w:sz w:val="24"/>
        </w:rPr>
        <w:t xml:space="preserve">The </w:t>
      </w:r>
      <w:r w:rsidR="008657EC">
        <w:rPr>
          <w:rFonts w:ascii="Times New Roman" w:eastAsia="Calibri" w:hAnsi="Times New Roman" w:cs="Times New Roman"/>
          <w:sz w:val="24"/>
        </w:rPr>
        <w:t xml:space="preserve">Amendment </w:t>
      </w:r>
      <w:r w:rsidRPr="00A545D2">
        <w:rPr>
          <w:rFonts w:ascii="Times New Roman" w:eastAsia="Calibri" w:hAnsi="Times New Roman" w:cs="Times New Roman"/>
          <w:sz w:val="24"/>
        </w:rPr>
        <w:t xml:space="preserve">Regulation </w:t>
      </w:r>
      <w:r w:rsidR="008657EC">
        <w:rPr>
          <w:rFonts w:ascii="Times New Roman" w:eastAsia="Calibri" w:hAnsi="Times New Roman" w:cs="Times New Roman"/>
          <w:sz w:val="24"/>
        </w:rPr>
        <w:t xml:space="preserve">is </w:t>
      </w:r>
      <w:r w:rsidRPr="00A545D2">
        <w:rPr>
          <w:rFonts w:ascii="Times New Roman" w:eastAsia="Calibri" w:hAnsi="Times New Roman" w:cs="Times New Roman"/>
          <w:sz w:val="24"/>
        </w:rPr>
        <w:t xml:space="preserve">a legislative instrument for the purposes of the </w:t>
      </w:r>
      <w:r w:rsidRPr="00A545D2">
        <w:rPr>
          <w:rFonts w:ascii="Times New Roman" w:eastAsia="Calibri" w:hAnsi="Times New Roman" w:cs="Times New Roman"/>
          <w:i/>
          <w:sz w:val="24"/>
        </w:rPr>
        <w:t>Legislative Instruments Act 2003</w:t>
      </w:r>
      <w:r w:rsidRPr="00A545D2">
        <w:rPr>
          <w:rFonts w:ascii="Times New Roman" w:eastAsia="Calibri" w:hAnsi="Times New Roman" w:cs="Times New Roman"/>
          <w:sz w:val="24"/>
        </w:rPr>
        <w:t>.</w:t>
      </w:r>
    </w:p>
    <w:p w:rsidR="00582DCC" w:rsidRPr="00A545D2" w:rsidRDefault="00582DCC" w:rsidP="00A545D2">
      <w:pPr>
        <w:tabs>
          <w:tab w:val="right" w:pos="9072"/>
        </w:tabs>
        <w:rPr>
          <w:rFonts w:ascii="Times New Roman" w:eastAsia="Calibri" w:hAnsi="Times New Roman" w:cs="Times New Roman"/>
          <w:sz w:val="24"/>
        </w:rPr>
      </w:pPr>
    </w:p>
    <w:p w:rsidR="008657EC" w:rsidRDefault="008657EC" w:rsidP="008657EC">
      <w:pPr>
        <w:tabs>
          <w:tab w:val="left" w:pos="1701"/>
          <w:tab w:val="right" w:pos="9072"/>
        </w:tabs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The Amendment Regulation is compatible with the human rights and freedoms recognised or declared under section 3 of the </w:t>
      </w:r>
      <w:r>
        <w:rPr>
          <w:rFonts w:ascii="Times New Roman" w:eastAsia="Calibri" w:hAnsi="Times New Roman" w:cs="Times New Roman"/>
          <w:i/>
          <w:sz w:val="24"/>
        </w:rPr>
        <w:t>Human Rights (Parliamentary Scrutiny) Act 2011</w:t>
      </w:r>
      <w:r>
        <w:rPr>
          <w:rFonts w:ascii="Times New Roman" w:eastAsia="Calibri" w:hAnsi="Times New Roman" w:cs="Times New Roman"/>
          <w:sz w:val="24"/>
        </w:rPr>
        <w:t xml:space="preserve">. A full statement of compatibility is set out in the </w:t>
      </w:r>
      <w:r>
        <w:rPr>
          <w:rFonts w:ascii="Times New Roman" w:eastAsia="Calibri" w:hAnsi="Times New Roman" w:cs="Times New Roman"/>
          <w:sz w:val="24"/>
          <w:u w:val="single"/>
        </w:rPr>
        <w:t>Attachment</w:t>
      </w:r>
      <w:r>
        <w:rPr>
          <w:rFonts w:ascii="Times New Roman" w:eastAsia="Calibri" w:hAnsi="Times New Roman" w:cs="Times New Roman"/>
          <w:sz w:val="24"/>
        </w:rPr>
        <w:t>.</w:t>
      </w:r>
    </w:p>
    <w:p w:rsidR="006140C3" w:rsidRPr="00A545D2" w:rsidRDefault="006140C3" w:rsidP="00A545D2">
      <w:pPr>
        <w:rPr>
          <w:rFonts w:ascii="Times New Roman" w:eastAsia="Calibri" w:hAnsi="Times New Roman" w:cs="Times New Roman"/>
          <w:sz w:val="24"/>
        </w:rPr>
      </w:pPr>
    </w:p>
    <w:p w:rsidR="00553591" w:rsidRPr="00A545D2" w:rsidRDefault="00671672" w:rsidP="00A545D2">
      <w:pPr>
        <w:shd w:val="clear" w:color="auto" w:fill="FFFFFF" w:themeFill="background1"/>
        <w:tabs>
          <w:tab w:val="left" w:pos="1701"/>
          <w:tab w:val="right" w:pos="9072"/>
        </w:tabs>
        <w:rPr>
          <w:rFonts w:ascii="Times New Roman" w:hAnsi="Times New Roman" w:cs="Times New Roman"/>
          <w:b/>
          <w:i/>
          <w:snapToGrid w:val="0"/>
          <w:sz w:val="24"/>
          <w:u w:val="single"/>
        </w:rPr>
      </w:pPr>
      <w:r w:rsidRPr="00A545D2">
        <w:rPr>
          <w:rFonts w:ascii="Times New Roman" w:eastAsia="Calibri" w:hAnsi="Times New Roman" w:cs="Times New Roman"/>
          <w:b/>
          <w:sz w:val="24"/>
          <w:u w:val="single"/>
        </w:rPr>
        <w:t xml:space="preserve">Details of the </w:t>
      </w:r>
      <w:r w:rsidR="00B6746A" w:rsidRPr="00A545D2">
        <w:rPr>
          <w:rFonts w:ascii="Times New Roman" w:hAnsi="Times New Roman" w:cs="Times New Roman"/>
          <w:b/>
          <w:i/>
          <w:snapToGrid w:val="0"/>
          <w:sz w:val="24"/>
          <w:u w:val="single"/>
        </w:rPr>
        <w:t>Primary Industries (Customs) Charges Amendment (Honey) Regulation 2015</w:t>
      </w:r>
    </w:p>
    <w:p w:rsidR="00B6746A" w:rsidRPr="00A545D2" w:rsidRDefault="00B6746A" w:rsidP="00A545D2">
      <w:pPr>
        <w:shd w:val="clear" w:color="auto" w:fill="FFFFFF" w:themeFill="background1"/>
        <w:tabs>
          <w:tab w:val="left" w:pos="1701"/>
          <w:tab w:val="right" w:pos="9072"/>
        </w:tabs>
        <w:rPr>
          <w:rFonts w:ascii="Times New Roman" w:hAnsi="Times New Roman" w:cs="Times New Roman"/>
          <w:sz w:val="24"/>
        </w:rPr>
      </w:pPr>
    </w:p>
    <w:p w:rsidR="00553591" w:rsidRPr="00A545D2" w:rsidRDefault="009A55DF" w:rsidP="00A545D2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 w:rsidRPr="00A545D2">
        <w:rPr>
          <w:color w:val="auto"/>
          <w:szCs w:val="24"/>
          <w:u w:val="single"/>
        </w:rPr>
        <w:t xml:space="preserve">Section </w:t>
      </w:r>
      <w:r w:rsidR="00671672" w:rsidRPr="00A545D2">
        <w:rPr>
          <w:color w:val="auto"/>
          <w:szCs w:val="24"/>
          <w:u w:val="single"/>
        </w:rPr>
        <w:t xml:space="preserve">1 – Name </w:t>
      </w:r>
    </w:p>
    <w:p w:rsidR="00553591" w:rsidRPr="00A545D2" w:rsidRDefault="00671672" w:rsidP="00A545D2">
      <w:pPr>
        <w:pStyle w:val="Normal-em"/>
        <w:shd w:val="clear" w:color="auto" w:fill="FFFFFF" w:themeFill="background1"/>
        <w:rPr>
          <w:color w:val="auto"/>
          <w:szCs w:val="24"/>
        </w:rPr>
      </w:pPr>
      <w:r w:rsidRPr="00A545D2">
        <w:rPr>
          <w:color w:val="auto"/>
          <w:szCs w:val="24"/>
        </w:rPr>
        <w:t xml:space="preserve">This </w:t>
      </w:r>
      <w:r w:rsidR="009A55DF" w:rsidRPr="00A545D2">
        <w:rPr>
          <w:color w:val="auto"/>
          <w:szCs w:val="24"/>
        </w:rPr>
        <w:t xml:space="preserve">section </w:t>
      </w:r>
      <w:r w:rsidRPr="00A545D2">
        <w:rPr>
          <w:color w:val="auto"/>
          <w:szCs w:val="24"/>
        </w:rPr>
        <w:t>provide</w:t>
      </w:r>
      <w:r w:rsidR="007A23DD" w:rsidRPr="00A545D2">
        <w:rPr>
          <w:color w:val="auto"/>
          <w:szCs w:val="24"/>
        </w:rPr>
        <w:t>s</w:t>
      </w:r>
      <w:r w:rsidRPr="00A545D2">
        <w:rPr>
          <w:color w:val="auto"/>
          <w:szCs w:val="24"/>
        </w:rPr>
        <w:t xml:space="preserve"> </w:t>
      </w:r>
      <w:r w:rsidR="008657EC">
        <w:rPr>
          <w:color w:val="auto"/>
          <w:szCs w:val="24"/>
        </w:rPr>
        <w:t xml:space="preserve">that the name of the Amendment Regulation is the </w:t>
      </w:r>
      <w:r w:rsidR="00B6746A" w:rsidRPr="00A545D2">
        <w:rPr>
          <w:i/>
          <w:snapToGrid w:val="0"/>
          <w:color w:val="auto"/>
          <w:szCs w:val="24"/>
        </w:rPr>
        <w:t>Primary Industries (Customs) Charges Amendment (Honey) Regulation 2015</w:t>
      </w:r>
      <w:r w:rsidR="00B6746A" w:rsidRPr="00A545D2">
        <w:rPr>
          <w:snapToGrid w:val="0"/>
          <w:color w:val="auto"/>
          <w:szCs w:val="24"/>
        </w:rPr>
        <w:t>.</w:t>
      </w:r>
    </w:p>
    <w:p w:rsidR="00CD38BA" w:rsidRPr="00A545D2" w:rsidRDefault="00CD38BA" w:rsidP="00A545D2">
      <w:pPr>
        <w:pStyle w:val="Normal-em"/>
        <w:shd w:val="clear" w:color="auto" w:fill="FFFFFF" w:themeFill="background1"/>
        <w:rPr>
          <w:color w:val="auto"/>
          <w:szCs w:val="24"/>
        </w:rPr>
      </w:pPr>
    </w:p>
    <w:p w:rsidR="00553591" w:rsidRPr="00A545D2" w:rsidRDefault="009A55DF" w:rsidP="00A545D2">
      <w:pPr>
        <w:pStyle w:val="Normal-em"/>
        <w:shd w:val="clear" w:color="auto" w:fill="FFFFFF" w:themeFill="background1"/>
        <w:rPr>
          <w:color w:val="auto"/>
          <w:szCs w:val="24"/>
          <w:u w:val="single"/>
        </w:rPr>
      </w:pPr>
      <w:r w:rsidRPr="00A545D2">
        <w:rPr>
          <w:color w:val="auto"/>
          <w:szCs w:val="24"/>
          <w:u w:val="single"/>
        </w:rPr>
        <w:t xml:space="preserve">Section </w:t>
      </w:r>
      <w:r w:rsidR="00671672" w:rsidRPr="00A545D2">
        <w:rPr>
          <w:color w:val="auto"/>
          <w:szCs w:val="24"/>
          <w:u w:val="single"/>
        </w:rPr>
        <w:t>2 – Commencement</w:t>
      </w:r>
    </w:p>
    <w:p w:rsidR="00553591" w:rsidRPr="00A545D2" w:rsidRDefault="00671672" w:rsidP="00A545D2">
      <w:pPr>
        <w:pStyle w:val="Normal-em"/>
        <w:shd w:val="clear" w:color="auto" w:fill="FFFFFF" w:themeFill="background1"/>
        <w:rPr>
          <w:color w:val="auto"/>
          <w:szCs w:val="24"/>
          <w:highlight w:val="yellow"/>
        </w:rPr>
      </w:pPr>
      <w:r w:rsidRPr="00A545D2">
        <w:rPr>
          <w:color w:val="auto"/>
          <w:szCs w:val="24"/>
        </w:rPr>
        <w:t xml:space="preserve">This </w:t>
      </w:r>
      <w:r w:rsidR="008657EC">
        <w:rPr>
          <w:color w:val="auto"/>
          <w:szCs w:val="24"/>
        </w:rPr>
        <w:t xml:space="preserve">section </w:t>
      </w:r>
      <w:r w:rsidRPr="00A545D2">
        <w:rPr>
          <w:color w:val="auto"/>
          <w:szCs w:val="24"/>
        </w:rPr>
        <w:t>provide</w:t>
      </w:r>
      <w:r w:rsidR="007A23DD" w:rsidRPr="00A545D2">
        <w:rPr>
          <w:color w:val="auto"/>
          <w:szCs w:val="24"/>
        </w:rPr>
        <w:t>s</w:t>
      </w:r>
      <w:r w:rsidRPr="00A545D2">
        <w:rPr>
          <w:color w:val="auto"/>
          <w:szCs w:val="24"/>
        </w:rPr>
        <w:t xml:space="preserve"> </w:t>
      </w:r>
      <w:r w:rsidR="008657EC">
        <w:rPr>
          <w:color w:val="auto"/>
          <w:szCs w:val="24"/>
        </w:rPr>
        <w:t>that</w:t>
      </w:r>
      <w:r w:rsidRPr="00A545D2">
        <w:rPr>
          <w:color w:val="auto"/>
          <w:szCs w:val="24"/>
        </w:rPr>
        <w:t xml:space="preserve"> </w:t>
      </w:r>
      <w:r w:rsidR="00B6746A" w:rsidRPr="00A545D2">
        <w:rPr>
          <w:rFonts w:eastAsia="Calibri"/>
          <w:szCs w:val="24"/>
        </w:rPr>
        <w:t xml:space="preserve">the </w:t>
      </w:r>
      <w:r w:rsidR="008657EC">
        <w:rPr>
          <w:rFonts w:eastAsia="Calibri"/>
          <w:szCs w:val="24"/>
        </w:rPr>
        <w:t xml:space="preserve">Amendment </w:t>
      </w:r>
      <w:r w:rsidR="00B6746A" w:rsidRPr="00A545D2">
        <w:rPr>
          <w:rFonts w:eastAsia="Calibri"/>
          <w:szCs w:val="24"/>
        </w:rPr>
        <w:t xml:space="preserve">Regulation </w:t>
      </w:r>
      <w:r w:rsidRPr="00A545D2">
        <w:rPr>
          <w:rFonts w:eastAsia="Calibri"/>
          <w:szCs w:val="24"/>
        </w:rPr>
        <w:t>commence</w:t>
      </w:r>
      <w:r w:rsidR="008657EC">
        <w:rPr>
          <w:rFonts w:eastAsia="Calibri"/>
          <w:szCs w:val="24"/>
        </w:rPr>
        <w:t>s</w:t>
      </w:r>
      <w:r w:rsidRPr="00A545D2">
        <w:rPr>
          <w:rFonts w:eastAsia="Calibri"/>
          <w:szCs w:val="24"/>
        </w:rPr>
        <w:t xml:space="preserve"> on 1 </w:t>
      </w:r>
      <w:r w:rsidR="006261FC">
        <w:rPr>
          <w:rFonts w:eastAsia="Calibri"/>
          <w:szCs w:val="24"/>
        </w:rPr>
        <w:t>July</w:t>
      </w:r>
      <w:r w:rsidR="0099031F" w:rsidRPr="00A545D2">
        <w:rPr>
          <w:rFonts w:eastAsia="Calibri"/>
          <w:szCs w:val="24"/>
        </w:rPr>
        <w:t> 2015</w:t>
      </w:r>
      <w:r w:rsidRPr="00A545D2">
        <w:rPr>
          <w:rFonts w:eastAsia="Calibri"/>
          <w:szCs w:val="24"/>
        </w:rPr>
        <w:t>.</w:t>
      </w:r>
    </w:p>
    <w:p w:rsidR="00553591" w:rsidRPr="00A545D2" w:rsidRDefault="00553591" w:rsidP="00A545D2">
      <w:pPr>
        <w:pStyle w:val="Normal-em"/>
        <w:shd w:val="clear" w:color="auto" w:fill="FFFFFF" w:themeFill="background1"/>
        <w:rPr>
          <w:color w:val="auto"/>
          <w:szCs w:val="24"/>
        </w:rPr>
      </w:pPr>
    </w:p>
    <w:p w:rsidR="00553591" w:rsidRPr="00A545D2" w:rsidRDefault="009A55DF" w:rsidP="00A545D2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 w:rsidRPr="00A545D2">
        <w:rPr>
          <w:color w:val="auto"/>
          <w:szCs w:val="24"/>
          <w:u w:val="single"/>
        </w:rPr>
        <w:t xml:space="preserve">Section </w:t>
      </w:r>
      <w:r w:rsidR="00671672" w:rsidRPr="00A545D2">
        <w:rPr>
          <w:color w:val="auto"/>
          <w:szCs w:val="24"/>
          <w:u w:val="single"/>
        </w:rPr>
        <w:t>3 – Authority</w:t>
      </w:r>
    </w:p>
    <w:p w:rsidR="00553591" w:rsidRPr="00A545D2" w:rsidRDefault="00671672" w:rsidP="00A545D2">
      <w:pPr>
        <w:pStyle w:val="Normal-em"/>
        <w:shd w:val="clear" w:color="auto" w:fill="FFFFFF" w:themeFill="background1"/>
        <w:rPr>
          <w:iCs/>
          <w:color w:val="auto"/>
          <w:szCs w:val="24"/>
        </w:rPr>
      </w:pPr>
      <w:r w:rsidRPr="00A545D2">
        <w:rPr>
          <w:color w:val="auto"/>
          <w:szCs w:val="24"/>
        </w:rPr>
        <w:t xml:space="preserve">This </w:t>
      </w:r>
      <w:r w:rsidR="008657EC">
        <w:rPr>
          <w:color w:val="auto"/>
          <w:szCs w:val="24"/>
        </w:rPr>
        <w:t xml:space="preserve">section </w:t>
      </w:r>
      <w:r w:rsidRPr="00A545D2">
        <w:rPr>
          <w:color w:val="auto"/>
          <w:szCs w:val="24"/>
        </w:rPr>
        <w:t>provide</w:t>
      </w:r>
      <w:r w:rsidR="007A23DD" w:rsidRPr="00A545D2">
        <w:rPr>
          <w:color w:val="auto"/>
          <w:szCs w:val="24"/>
        </w:rPr>
        <w:t>s</w:t>
      </w:r>
      <w:r w:rsidRPr="00A545D2">
        <w:rPr>
          <w:color w:val="auto"/>
          <w:szCs w:val="24"/>
        </w:rPr>
        <w:t xml:space="preserve"> </w:t>
      </w:r>
      <w:r w:rsidR="008657EC">
        <w:rPr>
          <w:color w:val="auto"/>
          <w:szCs w:val="24"/>
        </w:rPr>
        <w:t xml:space="preserve">that </w:t>
      </w:r>
      <w:r w:rsidRPr="00A545D2">
        <w:rPr>
          <w:color w:val="auto"/>
          <w:szCs w:val="24"/>
        </w:rPr>
        <w:t xml:space="preserve">the </w:t>
      </w:r>
      <w:r w:rsidR="005D4854">
        <w:rPr>
          <w:color w:val="auto"/>
          <w:szCs w:val="24"/>
        </w:rPr>
        <w:t xml:space="preserve">Amendment </w:t>
      </w:r>
      <w:r w:rsidRPr="00A545D2">
        <w:rPr>
          <w:color w:val="auto"/>
          <w:szCs w:val="24"/>
        </w:rPr>
        <w:t xml:space="preserve">Regulation </w:t>
      </w:r>
      <w:r w:rsidR="008657EC">
        <w:rPr>
          <w:color w:val="auto"/>
          <w:szCs w:val="24"/>
        </w:rPr>
        <w:t>is</w:t>
      </w:r>
      <w:r w:rsidR="00B6746A" w:rsidRPr="00A545D2">
        <w:rPr>
          <w:color w:val="auto"/>
          <w:szCs w:val="24"/>
        </w:rPr>
        <w:t xml:space="preserve"> made under the </w:t>
      </w:r>
      <w:r w:rsidR="00B6746A" w:rsidRPr="00A545D2">
        <w:rPr>
          <w:i/>
          <w:snapToGrid w:val="0"/>
          <w:szCs w:val="24"/>
        </w:rPr>
        <w:t>Primary Industries (Customs) Charges Act 1999</w:t>
      </w:r>
      <w:r w:rsidR="00B6746A" w:rsidRPr="00A545D2">
        <w:rPr>
          <w:snapToGrid w:val="0"/>
          <w:szCs w:val="24"/>
        </w:rPr>
        <w:t>.</w:t>
      </w:r>
    </w:p>
    <w:p w:rsidR="00553591" w:rsidRPr="00A545D2" w:rsidRDefault="00553591" w:rsidP="00A545D2">
      <w:pPr>
        <w:pStyle w:val="Normal-em"/>
        <w:shd w:val="clear" w:color="auto" w:fill="FFFFFF" w:themeFill="background1"/>
        <w:rPr>
          <w:iCs/>
          <w:color w:val="auto"/>
          <w:szCs w:val="24"/>
        </w:rPr>
      </w:pPr>
    </w:p>
    <w:p w:rsidR="00553591" w:rsidRPr="00A545D2" w:rsidRDefault="009A55DF" w:rsidP="00A545D2">
      <w:pPr>
        <w:pStyle w:val="Normal-em"/>
        <w:shd w:val="clear" w:color="auto" w:fill="FFFFFF" w:themeFill="background1"/>
        <w:ind w:left="1440" w:hanging="1440"/>
        <w:rPr>
          <w:color w:val="auto"/>
          <w:szCs w:val="24"/>
          <w:u w:val="single"/>
        </w:rPr>
      </w:pPr>
      <w:r w:rsidRPr="00A545D2">
        <w:rPr>
          <w:color w:val="auto"/>
          <w:szCs w:val="24"/>
          <w:u w:val="single"/>
        </w:rPr>
        <w:t xml:space="preserve">Section </w:t>
      </w:r>
      <w:r w:rsidR="00671672" w:rsidRPr="00A545D2">
        <w:rPr>
          <w:color w:val="auto"/>
          <w:szCs w:val="24"/>
          <w:u w:val="single"/>
        </w:rPr>
        <w:t>4 – Schedule</w:t>
      </w:r>
    </w:p>
    <w:p w:rsidR="00553591" w:rsidRPr="00A545D2" w:rsidRDefault="00671672" w:rsidP="00A545D2">
      <w:pPr>
        <w:pStyle w:val="Normal-em"/>
        <w:shd w:val="clear" w:color="auto" w:fill="FFFFFF" w:themeFill="background1"/>
        <w:rPr>
          <w:color w:val="auto"/>
          <w:szCs w:val="24"/>
        </w:rPr>
      </w:pPr>
      <w:r w:rsidRPr="00A545D2">
        <w:rPr>
          <w:color w:val="auto"/>
          <w:szCs w:val="24"/>
        </w:rPr>
        <w:t xml:space="preserve">This </w:t>
      </w:r>
      <w:r w:rsidR="008657EC">
        <w:rPr>
          <w:color w:val="auto"/>
          <w:szCs w:val="24"/>
        </w:rPr>
        <w:t xml:space="preserve">section </w:t>
      </w:r>
      <w:r w:rsidRPr="00A545D2">
        <w:rPr>
          <w:color w:val="auto"/>
          <w:szCs w:val="24"/>
        </w:rPr>
        <w:t>provide</w:t>
      </w:r>
      <w:r w:rsidR="007A23DD" w:rsidRPr="00A545D2">
        <w:rPr>
          <w:color w:val="auto"/>
          <w:szCs w:val="24"/>
        </w:rPr>
        <w:t>s</w:t>
      </w:r>
      <w:r w:rsidRPr="00A545D2">
        <w:rPr>
          <w:color w:val="auto"/>
          <w:szCs w:val="24"/>
        </w:rPr>
        <w:t xml:space="preserve"> </w:t>
      </w:r>
      <w:r w:rsidR="008657EC">
        <w:rPr>
          <w:color w:val="auto"/>
          <w:szCs w:val="24"/>
        </w:rPr>
        <w:t xml:space="preserve">that </w:t>
      </w:r>
      <w:r w:rsidR="005D4854">
        <w:rPr>
          <w:color w:val="auto"/>
          <w:szCs w:val="24"/>
        </w:rPr>
        <w:t xml:space="preserve">the </w:t>
      </w:r>
      <w:r w:rsidR="005D4854" w:rsidRPr="00220CC5">
        <w:rPr>
          <w:i/>
          <w:lang w:val="en-GB"/>
        </w:rPr>
        <w:t>Primary Industries (</w:t>
      </w:r>
      <w:r w:rsidR="005D4854">
        <w:rPr>
          <w:i/>
          <w:lang w:val="en-GB"/>
        </w:rPr>
        <w:t>Customs</w:t>
      </w:r>
      <w:r w:rsidR="005D4854" w:rsidRPr="00220CC5">
        <w:rPr>
          <w:i/>
          <w:lang w:val="en-GB"/>
        </w:rPr>
        <w:t xml:space="preserve">) </w:t>
      </w:r>
      <w:r w:rsidR="005D4854">
        <w:rPr>
          <w:i/>
          <w:lang w:val="en-GB"/>
        </w:rPr>
        <w:t xml:space="preserve">Charges </w:t>
      </w:r>
      <w:r w:rsidR="005D4854" w:rsidRPr="00220CC5">
        <w:rPr>
          <w:i/>
          <w:lang w:val="en-GB"/>
        </w:rPr>
        <w:t>Regulations</w:t>
      </w:r>
      <w:r w:rsidR="005D4854">
        <w:rPr>
          <w:i/>
          <w:lang w:val="en-GB"/>
        </w:rPr>
        <w:t> 2000</w:t>
      </w:r>
      <w:r w:rsidR="005D4854">
        <w:rPr>
          <w:color w:val="auto"/>
          <w:szCs w:val="24"/>
        </w:rPr>
        <w:t xml:space="preserve"> are amended as set out in Schedule 1.</w:t>
      </w:r>
    </w:p>
    <w:p w:rsidR="00553591" w:rsidRPr="00A545D2" w:rsidRDefault="00553591" w:rsidP="00A545D2">
      <w:pPr>
        <w:pStyle w:val="Normal-em"/>
        <w:shd w:val="clear" w:color="auto" w:fill="FFFFFF" w:themeFill="background1"/>
        <w:rPr>
          <w:iCs/>
          <w:color w:val="auto"/>
          <w:szCs w:val="24"/>
        </w:rPr>
      </w:pPr>
    </w:p>
    <w:p w:rsidR="00C84973" w:rsidRDefault="00C84973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u w:val="single"/>
        </w:rPr>
        <w:br w:type="page"/>
      </w:r>
    </w:p>
    <w:p w:rsidR="00553591" w:rsidRPr="00A545D2" w:rsidRDefault="00671672" w:rsidP="00A545D2">
      <w:pPr>
        <w:pStyle w:val="Normal-em"/>
        <w:rPr>
          <w:color w:val="auto"/>
          <w:szCs w:val="24"/>
        </w:rPr>
      </w:pPr>
      <w:r w:rsidRPr="00A545D2">
        <w:rPr>
          <w:color w:val="auto"/>
          <w:szCs w:val="24"/>
          <w:u w:val="single"/>
        </w:rPr>
        <w:lastRenderedPageBreak/>
        <w:t>Schedule 1 – Amendments</w:t>
      </w:r>
    </w:p>
    <w:p w:rsidR="008657EC" w:rsidRDefault="008657EC" w:rsidP="00A545D2">
      <w:pPr>
        <w:tabs>
          <w:tab w:val="right" w:pos="9072"/>
        </w:tabs>
        <w:rPr>
          <w:rFonts w:ascii="Times New Roman" w:hAnsi="Times New Roman" w:cs="Times New Roman"/>
          <w:sz w:val="24"/>
          <w:u w:val="single"/>
        </w:rPr>
      </w:pPr>
    </w:p>
    <w:p w:rsidR="008657EC" w:rsidRDefault="008657EC" w:rsidP="008657EC">
      <w:pPr>
        <w:tabs>
          <w:tab w:val="right" w:pos="9072"/>
        </w:tabs>
        <w:rPr>
          <w:rFonts w:ascii="Times New Roman" w:eastAsia="Times New Roman" w:hAnsi="Times New Roman" w:cs="Times New Roman"/>
          <w:sz w:val="24"/>
        </w:rPr>
      </w:pPr>
      <w:r w:rsidRPr="00453261">
        <w:rPr>
          <w:rFonts w:ascii="Times New Roman" w:hAnsi="Times New Roman" w:cs="Times New Roman"/>
          <w:b/>
          <w:sz w:val="24"/>
        </w:rPr>
        <w:t>Item 1</w:t>
      </w:r>
      <w:r w:rsidRPr="00D8580C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inserts a new heading before clause 1 of Schedule 9 to the Principal Regulations.</w:t>
      </w:r>
    </w:p>
    <w:p w:rsidR="008657EC" w:rsidRDefault="008657EC" w:rsidP="008657EC">
      <w:pPr>
        <w:tabs>
          <w:tab w:val="right" w:pos="9072"/>
        </w:tabs>
        <w:rPr>
          <w:rFonts w:ascii="Times New Roman" w:eastAsia="Times New Roman" w:hAnsi="Times New Roman" w:cs="Times New Roman"/>
          <w:sz w:val="24"/>
        </w:rPr>
      </w:pPr>
    </w:p>
    <w:p w:rsidR="008657EC" w:rsidRDefault="008657EC" w:rsidP="008657EC">
      <w:pPr>
        <w:tabs>
          <w:tab w:val="right" w:pos="9072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purpose of this amendment is to insert a Part heading to separate the different charges included in the Regulations (refer also item 2).</w:t>
      </w:r>
    </w:p>
    <w:p w:rsidR="008657EC" w:rsidRDefault="008657EC" w:rsidP="008657EC">
      <w:pPr>
        <w:tabs>
          <w:tab w:val="right" w:pos="9072"/>
        </w:tabs>
        <w:rPr>
          <w:rFonts w:ascii="Times New Roman" w:eastAsia="Times New Roman" w:hAnsi="Times New Roman" w:cs="Times New Roman"/>
          <w:sz w:val="24"/>
        </w:rPr>
      </w:pPr>
    </w:p>
    <w:p w:rsidR="008657EC" w:rsidRDefault="008657EC" w:rsidP="008657EC">
      <w:pPr>
        <w:tabs>
          <w:tab w:val="right" w:pos="9072"/>
        </w:tabs>
        <w:rPr>
          <w:rFonts w:ascii="Times New Roman" w:eastAsia="Times New Roman" w:hAnsi="Times New Roman" w:cs="Times New Roman"/>
          <w:sz w:val="24"/>
        </w:rPr>
      </w:pPr>
      <w:r w:rsidRPr="00453261">
        <w:rPr>
          <w:rFonts w:ascii="Times New Roman" w:eastAsia="Times New Roman" w:hAnsi="Times New Roman" w:cs="Times New Roman"/>
          <w:b/>
          <w:sz w:val="24"/>
        </w:rPr>
        <w:t>Item 2</w:t>
      </w:r>
      <w:r>
        <w:rPr>
          <w:rFonts w:ascii="Times New Roman" w:eastAsia="Times New Roman" w:hAnsi="Times New Roman" w:cs="Times New Roman"/>
          <w:sz w:val="24"/>
        </w:rPr>
        <w:t xml:space="preserve"> removes the </w:t>
      </w:r>
      <w:proofErr w:type="spellStart"/>
      <w:r>
        <w:rPr>
          <w:rFonts w:ascii="Times New Roman" w:eastAsia="Times New Roman" w:hAnsi="Times New Roman" w:cs="Times New Roman"/>
          <w:sz w:val="24"/>
        </w:rPr>
        <w:t>EADR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charge from Schedule 9 to the Principal Regulations and adds a new Part including a </w:t>
      </w:r>
      <w:proofErr w:type="spellStart"/>
      <w:r>
        <w:rPr>
          <w:rFonts w:ascii="Times New Roman" w:eastAsia="Times New Roman" w:hAnsi="Times New Roman" w:cs="Times New Roman"/>
          <w:sz w:val="24"/>
        </w:rPr>
        <w:t>PHA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charge set at 0.1 of a cent per kilogram of honey and payable by the producer of the honey, and an </w:t>
      </w:r>
      <w:proofErr w:type="spellStart"/>
      <w:r>
        <w:rPr>
          <w:rFonts w:ascii="Times New Roman" w:eastAsia="Times New Roman" w:hAnsi="Times New Roman" w:cs="Times New Roman"/>
          <w:sz w:val="24"/>
        </w:rPr>
        <w:t>EPPR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charge set at 2.9 cents per kilogram of honey and payable by the producer of the honey.</w:t>
      </w:r>
    </w:p>
    <w:p w:rsidR="008657EC" w:rsidRDefault="008657EC" w:rsidP="008657EC">
      <w:pPr>
        <w:rPr>
          <w:rFonts w:ascii="Times New Roman" w:eastAsia="Times New Roman" w:hAnsi="Times New Roman" w:cs="Times New Roman"/>
          <w:sz w:val="24"/>
        </w:rPr>
      </w:pPr>
    </w:p>
    <w:p w:rsidR="008657EC" w:rsidRDefault="008657EC" w:rsidP="008657EC">
      <w:pPr>
        <w:pStyle w:val="norm1"/>
      </w:pPr>
      <w:r>
        <w:br w:type="page"/>
      </w:r>
    </w:p>
    <w:p w:rsidR="008657EC" w:rsidRPr="00E84D87" w:rsidRDefault="008657EC" w:rsidP="008657EC">
      <w:pPr>
        <w:pStyle w:val="Normal-em"/>
        <w:jc w:val="right"/>
        <w:rPr>
          <w:b/>
          <w:caps/>
          <w:u w:val="single"/>
        </w:rPr>
      </w:pPr>
      <w:r>
        <w:rPr>
          <w:b/>
          <w:caps/>
          <w:u w:val="single"/>
        </w:rPr>
        <w:t>Attachment</w:t>
      </w:r>
    </w:p>
    <w:p w:rsidR="008657EC" w:rsidRDefault="008657EC" w:rsidP="008657EC">
      <w:pPr>
        <w:pStyle w:val="Normal-em"/>
        <w:rPr>
          <w:color w:val="auto"/>
          <w:szCs w:val="24"/>
        </w:rPr>
      </w:pPr>
    </w:p>
    <w:p w:rsidR="008657EC" w:rsidRPr="00220CC5" w:rsidRDefault="008657EC" w:rsidP="008657EC">
      <w:pPr>
        <w:spacing w:before="360" w:after="120"/>
        <w:jc w:val="center"/>
        <w:rPr>
          <w:rFonts w:ascii="Times New Roman" w:hAnsi="Times New Roman" w:cs="Times New Roman"/>
          <w:b/>
          <w:sz w:val="24"/>
        </w:rPr>
      </w:pPr>
      <w:r w:rsidRPr="00220CC5">
        <w:rPr>
          <w:rFonts w:ascii="Times New Roman" w:hAnsi="Times New Roman" w:cs="Times New Roman"/>
          <w:b/>
          <w:sz w:val="24"/>
        </w:rPr>
        <w:t>Statement of Compatibility with Human Rights</w:t>
      </w:r>
    </w:p>
    <w:p w:rsidR="008657EC" w:rsidRPr="00220CC5" w:rsidRDefault="008657EC" w:rsidP="008657EC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220CC5">
        <w:rPr>
          <w:rFonts w:ascii="Times New Roman" w:hAnsi="Times New Roman" w:cs="Times New Roman"/>
          <w:sz w:val="24"/>
        </w:rPr>
        <w:t>Prepared in accordance with Part 3 of the</w:t>
      </w:r>
      <w:r w:rsidRPr="00220CC5">
        <w:rPr>
          <w:rFonts w:ascii="Times New Roman" w:hAnsi="Times New Roman" w:cs="Times New Roman"/>
          <w:i/>
          <w:sz w:val="24"/>
        </w:rPr>
        <w:t xml:space="preserve"> Human Rights (Parliamentary Scrutiny) Act 2011</w:t>
      </w:r>
    </w:p>
    <w:p w:rsidR="008657EC" w:rsidRPr="00D1103B" w:rsidRDefault="008657EC" w:rsidP="008657EC">
      <w:pPr>
        <w:contextualSpacing/>
        <w:jc w:val="center"/>
        <w:rPr>
          <w:i/>
        </w:rPr>
      </w:pPr>
    </w:p>
    <w:p w:rsidR="008657EC" w:rsidRPr="00E84D87" w:rsidRDefault="008657EC" w:rsidP="008657EC">
      <w:pPr>
        <w:pStyle w:val="Normal-em"/>
        <w:ind w:left="1247" w:hanging="1247"/>
        <w:jc w:val="center"/>
        <w:rPr>
          <w:b/>
          <w:iCs/>
          <w:color w:val="auto"/>
          <w:szCs w:val="24"/>
        </w:rPr>
      </w:pPr>
      <w:r w:rsidRPr="00E84D87">
        <w:rPr>
          <w:b/>
          <w:i/>
          <w:snapToGrid w:val="0"/>
          <w:color w:val="auto"/>
          <w:szCs w:val="24"/>
        </w:rPr>
        <w:t xml:space="preserve">Primary Industries </w:t>
      </w:r>
      <w:r w:rsidRPr="00E84D87">
        <w:rPr>
          <w:b/>
          <w:i/>
          <w:snapToGrid w:val="0"/>
          <w:szCs w:val="24"/>
        </w:rPr>
        <w:t>(</w:t>
      </w:r>
      <w:r>
        <w:rPr>
          <w:b/>
          <w:i/>
          <w:snapToGrid w:val="0"/>
          <w:szCs w:val="24"/>
        </w:rPr>
        <w:t>Customs</w:t>
      </w:r>
      <w:r w:rsidRPr="00E84D87">
        <w:rPr>
          <w:b/>
          <w:i/>
          <w:snapToGrid w:val="0"/>
          <w:szCs w:val="24"/>
        </w:rPr>
        <w:t xml:space="preserve">) </w:t>
      </w:r>
      <w:r>
        <w:rPr>
          <w:b/>
          <w:i/>
          <w:snapToGrid w:val="0"/>
          <w:szCs w:val="24"/>
        </w:rPr>
        <w:t xml:space="preserve">Charges </w:t>
      </w:r>
      <w:r w:rsidRPr="00E84D87">
        <w:rPr>
          <w:b/>
          <w:i/>
          <w:snapToGrid w:val="0"/>
          <w:color w:val="auto"/>
          <w:szCs w:val="24"/>
        </w:rPr>
        <w:t>Amendment (</w:t>
      </w:r>
      <w:r>
        <w:rPr>
          <w:b/>
          <w:i/>
          <w:snapToGrid w:val="0"/>
          <w:color w:val="auto"/>
          <w:szCs w:val="24"/>
        </w:rPr>
        <w:t>Honey</w:t>
      </w:r>
      <w:r w:rsidRPr="00E84D87">
        <w:rPr>
          <w:b/>
          <w:i/>
          <w:snapToGrid w:val="0"/>
          <w:color w:val="auto"/>
          <w:szCs w:val="24"/>
        </w:rPr>
        <w:t xml:space="preserve">) </w:t>
      </w:r>
      <w:r w:rsidRPr="00E84D87">
        <w:rPr>
          <w:b/>
          <w:i/>
          <w:color w:val="auto"/>
          <w:szCs w:val="24"/>
        </w:rPr>
        <w:t>Regulation 2015</w:t>
      </w:r>
    </w:p>
    <w:sdt>
      <w:sdtPr>
        <w:rPr>
          <w:rFonts w:ascii="Times New Roman" w:hAnsi="Times New Roman"/>
          <w:sz w:val="24"/>
        </w:rPr>
        <w:id w:val="962787082"/>
        <w:lock w:val="contentLocked"/>
        <w:placeholder>
          <w:docPart w:val="45C5300C5496406EAA99C50EFB993181"/>
        </w:placeholder>
        <w:group/>
      </w:sdtPr>
      <w:sdtEndPr>
        <w:rPr>
          <w:b/>
        </w:rPr>
      </w:sdtEndPr>
      <w:sdtContent>
        <w:p w:rsidR="008657EC" w:rsidRDefault="008657EC" w:rsidP="008657EC">
          <w:pPr>
            <w:jc w:val="center"/>
            <w:rPr>
              <w:rFonts w:ascii="Times New Roman" w:hAnsi="Times New Roman"/>
              <w:sz w:val="24"/>
            </w:rPr>
          </w:pPr>
        </w:p>
        <w:p w:rsidR="008657EC" w:rsidRDefault="008657EC" w:rsidP="008657EC">
          <w:pPr>
            <w:spacing w:before="120" w:after="120"/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 xml:space="preserve">This Legislative Instrument is compatible with the human rights and freedoms recognised or declared in the international instruments listed in section 3 of the </w:t>
          </w:r>
          <w:r>
            <w:rPr>
              <w:rFonts w:ascii="Times New Roman" w:hAnsi="Times New Roman"/>
              <w:i/>
              <w:sz w:val="24"/>
            </w:rPr>
            <w:t>Human Rights (Parliamentary Scrutiny) Act 2011</w:t>
          </w:r>
          <w:r>
            <w:rPr>
              <w:rFonts w:ascii="Times New Roman" w:hAnsi="Times New Roman"/>
              <w:sz w:val="24"/>
            </w:rPr>
            <w:t>.</w:t>
          </w:r>
        </w:p>
        <w:p w:rsidR="008657EC" w:rsidRDefault="008657EC" w:rsidP="008657EC">
          <w:pPr>
            <w:rPr>
              <w:rFonts w:ascii="Times New Roman" w:hAnsi="Times New Roman"/>
              <w:sz w:val="24"/>
            </w:rPr>
          </w:pPr>
        </w:p>
        <w:p w:rsidR="008657EC" w:rsidRDefault="008657EC" w:rsidP="008657EC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Overview of the Legislative Instrument</w:t>
          </w:r>
        </w:p>
      </w:sdtContent>
    </w:sdt>
    <w:p w:rsidR="008657EC" w:rsidRPr="00220CC5" w:rsidRDefault="008657EC" w:rsidP="008657EC">
      <w:pPr>
        <w:rPr>
          <w:rFonts w:ascii="Times New Roman" w:hAnsi="Times New Roman" w:cs="Times New Roman"/>
          <w:b/>
          <w:sz w:val="24"/>
        </w:rPr>
      </w:pPr>
      <w:r w:rsidRPr="00220CC5">
        <w:rPr>
          <w:rFonts w:ascii="Times New Roman" w:eastAsia="Calibri" w:hAnsi="Times New Roman" w:cs="Times New Roman"/>
          <w:sz w:val="24"/>
        </w:rPr>
        <w:t>This Legislative Instrument amends the</w:t>
      </w:r>
      <w:r w:rsidRPr="00220CC5">
        <w:rPr>
          <w:rFonts w:ascii="Times New Roman" w:hAnsi="Times New Roman" w:cs="Times New Roman"/>
          <w:i/>
          <w:sz w:val="24"/>
          <w:lang w:val="en-GB"/>
        </w:rPr>
        <w:t xml:space="preserve"> Primary Industries (</w:t>
      </w:r>
      <w:r>
        <w:rPr>
          <w:rFonts w:ascii="Times New Roman" w:hAnsi="Times New Roman" w:cs="Times New Roman"/>
          <w:i/>
          <w:sz w:val="24"/>
          <w:lang w:val="en-GB"/>
        </w:rPr>
        <w:t>Customs</w:t>
      </w:r>
      <w:r w:rsidRPr="00220CC5">
        <w:rPr>
          <w:rFonts w:ascii="Times New Roman" w:hAnsi="Times New Roman" w:cs="Times New Roman"/>
          <w:i/>
          <w:sz w:val="24"/>
          <w:lang w:val="en-GB"/>
        </w:rPr>
        <w:t xml:space="preserve">) </w:t>
      </w:r>
      <w:r>
        <w:rPr>
          <w:rFonts w:ascii="Times New Roman" w:hAnsi="Times New Roman" w:cs="Times New Roman"/>
          <w:i/>
          <w:sz w:val="24"/>
          <w:lang w:val="en-GB"/>
        </w:rPr>
        <w:t xml:space="preserve">Charges </w:t>
      </w:r>
      <w:r w:rsidRPr="00220CC5">
        <w:rPr>
          <w:rFonts w:ascii="Times New Roman" w:hAnsi="Times New Roman" w:cs="Times New Roman"/>
          <w:i/>
          <w:sz w:val="24"/>
          <w:lang w:val="en-GB"/>
        </w:rPr>
        <w:t>Regulations</w:t>
      </w:r>
      <w:r>
        <w:rPr>
          <w:rFonts w:ascii="Times New Roman" w:hAnsi="Times New Roman" w:cs="Times New Roman"/>
          <w:i/>
          <w:sz w:val="24"/>
          <w:lang w:val="en-GB"/>
        </w:rPr>
        <w:t> 2000</w:t>
      </w:r>
      <w:r w:rsidRPr="00220CC5">
        <w:rPr>
          <w:rFonts w:ascii="Times New Roman" w:hAnsi="Times New Roman" w:cs="Times New Roman"/>
          <w:sz w:val="24"/>
          <w:lang w:val="en-GB"/>
        </w:rPr>
        <w:t xml:space="preserve"> to </w:t>
      </w:r>
      <w:r w:rsidR="002878AE">
        <w:rPr>
          <w:rFonts w:ascii="Times New Roman" w:hAnsi="Times New Roman" w:cs="Times New Roman"/>
          <w:sz w:val="24"/>
          <w:lang w:val="en-GB"/>
        </w:rPr>
        <w:t xml:space="preserve">remove the </w:t>
      </w:r>
      <w:r w:rsidRPr="00220CC5">
        <w:rPr>
          <w:rFonts w:ascii="Times New Roman" w:hAnsi="Times New Roman" w:cs="Times New Roman"/>
          <w:sz w:val="24"/>
        </w:rPr>
        <w:t xml:space="preserve">Emergency Animal Disease Response </w:t>
      </w:r>
      <w:r w:rsidR="002878AE">
        <w:rPr>
          <w:rFonts w:ascii="Times New Roman" w:hAnsi="Times New Roman" w:cs="Times New Roman"/>
          <w:sz w:val="24"/>
        </w:rPr>
        <w:t xml:space="preserve">charge and introduce a Plant Health Australia charge and an Emergency Plant Pest Response charge on honey, payable by the producer of the honey, </w:t>
      </w:r>
      <w:r w:rsidRPr="00220CC5">
        <w:rPr>
          <w:rFonts w:ascii="Times New Roman" w:hAnsi="Times New Roman" w:cs="Times New Roman"/>
          <w:sz w:val="24"/>
        </w:rPr>
        <w:t xml:space="preserve">to </w:t>
      </w:r>
      <w:r w:rsidR="002878AE">
        <w:rPr>
          <w:rFonts w:ascii="Times New Roman" w:eastAsia="Times New Roman" w:hAnsi="Times New Roman" w:cs="Times New Roman"/>
          <w:sz w:val="24"/>
        </w:rPr>
        <w:t>realign the honey industry more appropriately with the plant sector rather than the animal sector</w:t>
      </w:r>
      <w:r w:rsidRPr="00220CC5">
        <w:rPr>
          <w:rFonts w:ascii="Times New Roman" w:eastAsia="Times New Roman" w:hAnsi="Times New Roman" w:cs="Times New Roman"/>
          <w:sz w:val="24"/>
        </w:rPr>
        <w:t>.</w:t>
      </w:r>
    </w:p>
    <w:sdt>
      <w:sdtPr>
        <w:rPr>
          <w:rFonts w:ascii="Times New Roman" w:hAnsi="Times New Roman"/>
          <w:sz w:val="24"/>
        </w:rPr>
        <w:id w:val="962787081"/>
        <w:lock w:val="contentLocked"/>
        <w:placeholder>
          <w:docPart w:val="45C5300C5496406EAA99C50EFB993181"/>
        </w:placeholder>
        <w:group/>
      </w:sdtPr>
      <w:sdtEndPr/>
      <w:sdtContent>
        <w:p w:rsidR="008657EC" w:rsidRDefault="008657EC" w:rsidP="008657EC">
          <w:pPr>
            <w:rPr>
              <w:rFonts w:ascii="Times New Roman" w:hAnsi="Times New Roman"/>
              <w:sz w:val="24"/>
            </w:rPr>
          </w:pPr>
        </w:p>
        <w:p w:rsidR="008657EC" w:rsidRDefault="008657EC" w:rsidP="008657EC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Human rights implications</w:t>
          </w:r>
        </w:p>
        <w:p w:rsidR="008657EC" w:rsidRDefault="008657EC" w:rsidP="008657EC">
          <w:pPr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This Legislative Instrument does not engage any of the applicable rights or freedoms.</w:t>
          </w:r>
        </w:p>
        <w:p w:rsidR="008657EC" w:rsidRDefault="008657EC" w:rsidP="008657EC">
          <w:pPr>
            <w:rPr>
              <w:rFonts w:ascii="Times New Roman" w:hAnsi="Times New Roman"/>
              <w:sz w:val="24"/>
            </w:rPr>
          </w:pPr>
        </w:p>
        <w:p w:rsidR="008657EC" w:rsidRDefault="008657EC" w:rsidP="008657EC">
          <w:pPr>
            <w:spacing w:after="120"/>
            <w:jc w:val="both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Conclusion</w:t>
          </w:r>
        </w:p>
        <w:p w:rsidR="008657EC" w:rsidRDefault="008657EC" w:rsidP="008657EC">
          <w:pPr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This Legislative Instrument is compatible with human rights as it does not raise any human rights issues.</w:t>
          </w:r>
        </w:p>
        <w:p w:rsidR="008657EC" w:rsidRDefault="008657EC" w:rsidP="008657EC">
          <w:pPr>
            <w:rPr>
              <w:rFonts w:ascii="Times New Roman" w:hAnsi="Times New Roman"/>
              <w:sz w:val="24"/>
            </w:rPr>
          </w:pPr>
        </w:p>
        <w:p w:rsidR="008657EC" w:rsidRDefault="008C6320" w:rsidP="008657EC">
          <w:pPr>
            <w:rPr>
              <w:rFonts w:ascii="Times New Roman" w:hAnsi="Times New Roman"/>
              <w:sz w:val="24"/>
            </w:rPr>
          </w:pPr>
        </w:p>
      </w:sdtContent>
    </w:sdt>
    <w:p w:rsidR="008657EC" w:rsidRDefault="008657EC" w:rsidP="008657EC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The Hon. Barnaby Joyce MP</w:t>
      </w:r>
    </w:p>
    <w:p w:rsidR="008657EC" w:rsidRDefault="008657EC" w:rsidP="008657EC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Minister for Agriculture</w:t>
      </w:r>
    </w:p>
    <w:p w:rsidR="008657EC" w:rsidRDefault="008657EC" w:rsidP="008657EC">
      <w:pPr>
        <w:rPr>
          <w:rFonts w:ascii="Times New Roman" w:hAnsi="Times New Roman" w:cs="Times New Roman"/>
          <w:sz w:val="24"/>
        </w:rPr>
      </w:pPr>
    </w:p>
    <w:p w:rsidR="008657EC" w:rsidRDefault="008657EC" w:rsidP="008657EC">
      <w:pPr>
        <w:rPr>
          <w:rFonts w:ascii="Times New Roman" w:hAnsi="Times New Roman" w:cs="Times New Roman"/>
          <w:lang w:val="en-GB"/>
        </w:rPr>
      </w:pPr>
    </w:p>
    <w:p w:rsidR="00553591" w:rsidRPr="00A545D2" w:rsidRDefault="00553591" w:rsidP="00A545D2">
      <w:pPr>
        <w:rPr>
          <w:rFonts w:ascii="Times New Roman" w:eastAsia="Times New Roman" w:hAnsi="Times New Roman" w:cs="Times New Roman"/>
          <w:sz w:val="24"/>
          <w:lang w:val="en-GB"/>
        </w:rPr>
      </w:pPr>
    </w:p>
    <w:sectPr w:rsidR="00553591" w:rsidRPr="00A545D2" w:rsidSect="00553591">
      <w:headerReference w:type="defaul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EC" w:rsidRDefault="008657EC">
      <w:r>
        <w:separator/>
      </w:r>
    </w:p>
  </w:endnote>
  <w:endnote w:type="continuationSeparator" w:id="0">
    <w:p w:rsidR="008657EC" w:rsidRDefault="0086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EC" w:rsidRDefault="008657EC">
      <w:r>
        <w:separator/>
      </w:r>
    </w:p>
  </w:footnote>
  <w:footnote w:type="continuationSeparator" w:id="0">
    <w:p w:rsidR="008657EC" w:rsidRDefault="00865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EC" w:rsidRDefault="0050071D">
    <w:pPr>
      <w:pStyle w:val="Header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fldChar w:fldCharType="begin"/>
    </w:r>
    <w:r w:rsidR="008657EC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>
      <w:rPr>
        <w:rFonts w:ascii="Times New Roman" w:hAnsi="Times New Roman" w:cs="Times New Roman"/>
        <w:sz w:val="22"/>
        <w:szCs w:val="22"/>
      </w:rPr>
      <w:fldChar w:fldCharType="separate"/>
    </w:r>
    <w:r w:rsidR="008C6320">
      <w:rPr>
        <w:rFonts w:ascii="Times New Roman" w:hAnsi="Times New Roman" w:cs="Times New Roman"/>
        <w:noProof/>
        <w:sz w:val="22"/>
        <w:szCs w:val="22"/>
      </w:rPr>
      <w:t>4</w:t>
    </w:r>
    <w:r>
      <w:rPr>
        <w:rFonts w:ascii="Times New Roman" w:hAnsi="Times New Roman" w:cs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6B31"/>
    <w:multiLevelType w:val="hybridMultilevel"/>
    <w:tmpl w:val="217E4404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86777"/>
    <w:multiLevelType w:val="hybridMultilevel"/>
    <w:tmpl w:val="1D104D5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315F4"/>
    <w:multiLevelType w:val="hybridMultilevel"/>
    <w:tmpl w:val="B9E89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43E7E"/>
    <w:multiLevelType w:val="hybridMultilevel"/>
    <w:tmpl w:val="59B28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3F16B8"/>
    <w:multiLevelType w:val="hybridMultilevel"/>
    <w:tmpl w:val="6A14018C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125D1A62"/>
    <w:multiLevelType w:val="hybridMultilevel"/>
    <w:tmpl w:val="4B2C2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77027"/>
    <w:multiLevelType w:val="hybridMultilevel"/>
    <w:tmpl w:val="99D29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55F0A"/>
    <w:multiLevelType w:val="hybridMultilevel"/>
    <w:tmpl w:val="ADEEF5D4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4429FA"/>
    <w:multiLevelType w:val="hybridMultilevel"/>
    <w:tmpl w:val="3272AD0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CC419E"/>
    <w:multiLevelType w:val="hybridMultilevel"/>
    <w:tmpl w:val="1F2665AC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E54BC4"/>
    <w:multiLevelType w:val="hybridMultilevel"/>
    <w:tmpl w:val="D7FC884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3EF23F1"/>
    <w:multiLevelType w:val="hybridMultilevel"/>
    <w:tmpl w:val="1BFCE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8">
    <w:nsid w:val="37C413F4"/>
    <w:multiLevelType w:val="hybridMultilevel"/>
    <w:tmpl w:val="483804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2F0223"/>
    <w:multiLevelType w:val="hybridMultilevel"/>
    <w:tmpl w:val="329E5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B47E25"/>
    <w:multiLevelType w:val="hybridMultilevel"/>
    <w:tmpl w:val="70DAB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B3CFC"/>
    <w:multiLevelType w:val="hybridMultilevel"/>
    <w:tmpl w:val="05E21C9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96579B5"/>
    <w:multiLevelType w:val="hybridMultilevel"/>
    <w:tmpl w:val="BF4A3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F00AC"/>
    <w:multiLevelType w:val="hybridMultilevel"/>
    <w:tmpl w:val="310AABC6"/>
    <w:lvl w:ilvl="0" w:tplc="6894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1B463B"/>
    <w:multiLevelType w:val="hybridMultilevel"/>
    <w:tmpl w:val="14FEB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96CD1"/>
    <w:multiLevelType w:val="hybridMultilevel"/>
    <w:tmpl w:val="D5A6BE94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65456429"/>
    <w:multiLevelType w:val="multilevel"/>
    <w:tmpl w:val="17684A8E"/>
    <w:lvl w:ilvl="0">
      <w:start w:val="1"/>
      <w:numFmt w:val="decimal"/>
      <w:lvlText w:val="%1."/>
      <w:lvlJc w:val="left"/>
      <w:pPr>
        <w:ind w:left="369" w:hanging="369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9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C9566B"/>
    <w:multiLevelType w:val="hybridMultilevel"/>
    <w:tmpl w:val="F988A2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D40E8C"/>
    <w:multiLevelType w:val="hybridMultilevel"/>
    <w:tmpl w:val="310AABC6"/>
    <w:lvl w:ilvl="0" w:tplc="6894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F0239C5"/>
    <w:multiLevelType w:val="hybridMultilevel"/>
    <w:tmpl w:val="14E26010"/>
    <w:lvl w:ilvl="0" w:tplc="CC964C4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552336"/>
    <w:multiLevelType w:val="hybridMultilevel"/>
    <w:tmpl w:val="20DAA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22"/>
  </w:num>
  <w:num w:numId="4">
    <w:abstractNumId w:val="8"/>
  </w:num>
  <w:num w:numId="5">
    <w:abstractNumId w:val="5"/>
  </w:num>
  <w:num w:numId="6">
    <w:abstractNumId w:val="16"/>
  </w:num>
  <w:num w:numId="7">
    <w:abstractNumId w:val="6"/>
  </w:num>
  <w:num w:numId="8">
    <w:abstractNumId w:val="10"/>
  </w:num>
  <w:num w:numId="9">
    <w:abstractNumId w:val="15"/>
  </w:num>
  <w:num w:numId="10">
    <w:abstractNumId w:val="29"/>
  </w:num>
  <w:num w:numId="11">
    <w:abstractNumId w:val="31"/>
  </w:num>
  <w:num w:numId="12">
    <w:abstractNumId w:val="25"/>
  </w:num>
  <w:num w:numId="13">
    <w:abstractNumId w:val="13"/>
  </w:num>
  <w:num w:numId="14">
    <w:abstractNumId w:val="1"/>
  </w:num>
  <w:num w:numId="15">
    <w:abstractNumId w:val="21"/>
  </w:num>
  <w:num w:numId="16">
    <w:abstractNumId w:val="2"/>
  </w:num>
  <w:num w:numId="17">
    <w:abstractNumId w:val="11"/>
  </w:num>
  <w:num w:numId="18">
    <w:abstractNumId w:val="0"/>
  </w:num>
  <w:num w:numId="19">
    <w:abstractNumId w:val="33"/>
  </w:num>
  <w:num w:numId="20">
    <w:abstractNumId w:val="12"/>
  </w:num>
  <w:num w:numId="21">
    <w:abstractNumId w:val="23"/>
  </w:num>
  <w:num w:numId="22">
    <w:abstractNumId w:val="30"/>
  </w:num>
  <w:num w:numId="23">
    <w:abstractNumId w:val="18"/>
  </w:num>
  <w:num w:numId="24">
    <w:abstractNumId w:val="27"/>
  </w:num>
  <w:num w:numId="25">
    <w:abstractNumId w:val="4"/>
  </w:num>
  <w:num w:numId="26">
    <w:abstractNumId w:val="20"/>
  </w:num>
  <w:num w:numId="27">
    <w:abstractNumId w:val="7"/>
  </w:num>
  <w:num w:numId="28">
    <w:abstractNumId w:val="34"/>
  </w:num>
  <w:num w:numId="29">
    <w:abstractNumId w:val="9"/>
  </w:num>
  <w:num w:numId="30">
    <w:abstractNumId w:val="3"/>
  </w:num>
  <w:num w:numId="31">
    <w:abstractNumId w:val="19"/>
  </w:num>
  <w:num w:numId="32">
    <w:abstractNumId w:val="26"/>
  </w:num>
  <w:num w:numId="33">
    <w:abstractNumId w:val="14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AU" w:vendorID="64" w:dllVersion="131078" w:nlCheck="1" w:checkStyle="1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591"/>
    <w:rsid w:val="00002531"/>
    <w:rsid w:val="00026744"/>
    <w:rsid w:val="00026D87"/>
    <w:rsid w:val="000355CD"/>
    <w:rsid w:val="00060046"/>
    <w:rsid w:val="00066EC0"/>
    <w:rsid w:val="00082917"/>
    <w:rsid w:val="000A65C4"/>
    <w:rsid w:val="000C6871"/>
    <w:rsid w:val="000D42DB"/>
    <w:rsid w:val="000D7D27"/>
    <w:rsid w:val="000E0052"/>
    <w:rsid w:val="000E6107"/>
    <w:rsid w:val="001117CD"/>
    <w:rsid w:val="00125E0C"/>
    <w:rsid w:val="00132B17"/>
    <w:rsid w:val="00152C86"/>
    <w:rsid w:val="001618A7"/>
    <w:rsid w:val="001700C5"/>
    <w:rsid w:val="0018408E"/>
    <w:rsid w:val="001A1128"/>
    <w:rsid w:val="001D699F"/>
    <w:rsid w:val="001E2641"/>
    <w:rsid w:val="001F0FB6"/>
    <w:rsid w:val="00223652"/>
    <w:rsid w:val="0023034C"/>
    <w:rsid w:val="002360AB"/>
    <w:rsid w:val="0025781A"/>
    <w:rsid w:val="00284F25"/>
    <w:rsid w:val="002878AE"/>
    <w:rsid w:val="002C4D07"/>
    <w:rsid w:val="002C7C88"/>
    <w:rsid w:val="002E6AB6"/>
    <w:rsid w:val="002F3008"/>
    <w:rsid w:val="002F7761"/>
    <w:rsid w:val="00312493"/>
    <w:rsid w:val="00314B55"/>
    <w:rsid w:val="00344473"/>
    <w:rsid w:val="00354679"/>
    <w:rsid w:val="00354DA1"/>
    <w:rsid w:val="00374C1B"/>
    <w:rsid w:val="003960C6"/>
    <w:rsid w:val="0039682F"/>
    <w:rsid w:val="003968B4"/>
    <w:rsid w:val="003A499D"/>
    <w:rsid w:val="00433E63"/>
    <w:rsid w:val="004370CE"/>
    <w:rsid w:val="00455CFF"/>
    <w:rsid w:val="00464237"/>
    <w:rsid w:val="00477489"/>
    <w:rsid w:val="00483F6B"/>
    <w:rsid w:val="004B4AB7"/>
    <w:rsid w:val="004D52EC"/>
    <w:rsid w:val="004D6BD5"/>
    <w:rsid w:val="004E7692"/>
    <w:rsid w:val="004F0088"/>
    <w:rsid w:val="0050071D"/>
    <w:rsid w:val="00502E21"/>
    <w:rsid w:val="0051316F"/>
    <w:rsid w:val="00514A22"/>
    <w:rsid w:val="005258F0"/>
    <w:rsid w:val="0052721B"/>
    <w:rsid w:val="00553591"/>
    <w:rsid w:val="00582DCC"/>
    <w:rsid w:val="005913C5"/>
    <w:rsid w:val="00595E34"/>
    <w:rsid w:val="005A515D"/>
    <w:rsid w:val="005C52A5"/>
    <w:rsid w:val="005D4854"/>
    <w:rsid w:val="006140C3"/>
    <w:rsid w:val="00614924"/>
    <w:rsid w:val="00624183"/>
    <w:rsid w:val="006261FC"/>
    <w:rsid w:val="00634B61"/>
    <w:rsid w:val="00671672"/>
    <w:rsid w:val="0067784B"/>
    <w:rsid w:val="00684D4D"/>
    <w:rsid w:val="006B0151"/>
    <w:rsid w:val="006B1E33"/>
    <w:rsid w:val="006B2567"/>
    <w:rsid w:val="006B3B8F"/>
    <w:rsid w:val="006C0530"/>
    <w:rsid w:val="006F41E1"/>
    <w:rsid w:val="006F42F9"/>
    <w:rsid w:val="00710F2A"/>
    <w:rsid w:val="007139E6"/>
    <w:rsid w:val="007347A4"/>
    <w:rsid w:val="0079143A"/>
    <w:rsid w:val="00791D4C"/>
    <w:rsid w:val="00796EB1"/>
    <w:rsid w:val="007A23DD"/>
    <w:rsid w:val="007A785A"/>
    <w:rsid w:val="007C48CF"/>
    <w:rsid w:val="007C4D06"/>
    <w:rsid w:val="007F6B77"/>
    <w:rsid w:val="008022A0"/>
    <w:rsid w:val="00844DE5"/>
    <w:rsid w:val="00854EE0"/>
    <w:rsid w:val="00861183"/>
    <w:rsid w:val="008657EC"/>
    <w:rsid w:val="0086725A"/>
    <w:rsid w:val="00872B7C"/>
    <w:rsid w:val="00875D72"/>
    <w:rsid w:val="00887398"/>
    <w:rsid w:val="008A27A9"/>
    <w:rsid w:val="008C6320"/>
    <w:rsid w:val="008D08FC"/>
    <w:rsid w:val="008D194F"/>
    <w:rsid w:val="008D4D68"/>
    <w:rsid w:val="008E399C"/>
    <w:rsid w:val="009330E8"/>
    <w:rsid w:val="00942AFD"/>
    <w:rsid w:val="00950B05"/>
    <w:rsid w:val="00962961"/>
    <w:rsid w:val="009638FF"/>
    <w:rsid w:val="0099031F"/>
    <w:rsid w:val="009949AA"/>
    <w:rsid w:val="009A55DF"/>
    <w:rsid w:val="009D1B6A"/>
    <w:rsid w:val="009D73D0"/>
    <w:rsid w:val="009E763B"/>
    <w:rsid w:val="009F4371"/>
    <w:rsid w:val="00A27D62"/>
    <w:rsid w:val="00A453BF"/>
    <w:rsid w:val="00A545D2"/>
    <w:rsid w:val="00A77F7C"/>
    <w:rsid w:val="00A94454"/>
    <w:rsid w:val="00AB0C59"/>
    <w:rsid w:val="00AB217B"/>
    <w:rsid w:val="00AC48F8"/>
    <w:rsid w:val="00AD20DE"/>
    <w:rsid w:val="00AD3AA8"/>
    <w:rsid w:val="00AD5890"/>
    <w:rsid w:val="00AE0DBE"/>
    <w:rsid w:val="00AF1CED"/>
    <w:rsid w:val="00AF5C2B"/>
    <w:rsid w:val="00B21709"/>
    <w:rsid w:val="00B24328"/>
    <w:rsid w:val="00B448E7"/>
    <w:rsid w:val="00B64697"/>
    <w:rsid w:val="00B64E9F"/>
    <w:rsid w:val="00B6746A"/>
    <w:rsid w:val="00B777A2"/>
    <w:rsid w:val="00BB25B7"/>
    <w:rsid w:val="00BB338B"/>
    <w:rsid w:val="00BB36CE"/>
    <w:rsid w:val="00BC2E88"/>
    <w:rsid w:val="00BC596E"/>
    <w:rsid w:val="00BE10EE"/>
    <w:rsid w:val="00C06DE8"/>
    <w:rsid w:val="00C4501F"/>
    <w:rsid w:val="00C57C73"/>
    <w:rsid w:val="00C62AE5"/>
    <w:rsid w:val="00C84973"/>
    <w:rsid w:val="00CA39AF"/>
    <w:rsid w:val="00CC407D"/>
    <w:rsid w:val="00CC71FD"/>
    <w:rsid w:val="00CC7F6A"/>
    <w:rsid w:val="00CD0F0B"/>
    <w:rsid w:val="00CD38BA"/>
    <w:rsid w:val="00CE2CDE"/>
    <w:rsid w:val="00CE42C2"/>
    <w:rsid w:val="00CE6336"/>
    <w:rsid w:val="00CF4F14"/>
    <w:rsid w:val="00D002E9"/>
    <w:rsid w:val="00D13C37"/>
    <w:rsid w:val="00D16B8E"/>
    <w:rsid w:val="00D21B3F"/>
    <w:rsid w:val="00D2442F"/>
    <w:rsid w:val="00D320BE"/>
    <w:rsid w:val="00D32BCF"/>
    <w:rsid w:val="00D409FE"/>
    <w:rsid w:val="00D51D78"/>
    <w:rsid w:val="00D6095B"/>
    <w:rsid w:val="00D81571"/>
    <w:rsid w:val="00D8580C"/>
    <w:rsid w:val="00DB0A62"/>
    <w:rsid w:val="00DB1DC3"/>
    <w:rsid w:val="00DC0AB9"/>
    <w:rsid w:val="00DD555F"/>
    <w:rsid w:val="00DE4088"/>
    <w:rsid w:val="00DF3194"/>
    <w:rsid w:val="00DF7846"/>
    <w:rsid w:val="00E47E19"/>
    <w:rsid w:val="00E61029"/>
    <w:rsid w:val="00E62ECC"/>
    <w:rsid w:val="00E65CA9"/>
    <w:rsid w:val="00EA50AA"/>
    <w:rsid w:val="00EA59CC"/>
    <w:rsid w:val="00ED2AAB"/>
    <w:rsid w:val="00EE2E4C"/>
    <w:rsid w:val="00EE72F8"/>
    <w:rsid w:val="00F02BAF"/>
    <w:rsid w:val="00F14E98"/>
    <w:rsid w:val="00F534F9"/>
    <w:rsid w:val="00F616F3"/>
    <w:rsid w:val="00F745E5"/>
    <w:rsid w:val="00F774C2"/>
    <w:rsid w:val="00F80943"/>
    <w:rsid w:val="00F8381C"/>
    <w:rsid w:val="00F83CC6"/>
    <w:rsid w:val="00FB2E0C"/>
    <w:rsid w:val="00FE7F35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9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591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553591"/>
    <w:rPr>
      <w:sz w:val="19"/>
    </w:rPr>
  </w:style>
  <w:style w:type="paragraph" w:styleId="Footer">
    <w:name w:val="footer"/>
    <w:basedOn w:val="Normal"/>
    <w:link w:val="FooterChar"/>
    <w:uiPriority w:val="99"/>
    <w:rsid w:val="00553591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553591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5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9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591"/>
  </w:style>
  <w:style w:type="table" w:styleId="TableGrid">
    <w:name w:val="Table Grid"/>
    <w:basedOn w:val="TableNormal"/>
    <w:uiPriority w:val="59"/>
    <w:rsid w:val="00553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address">
    <w:name w:val="Footer address"/>
    <w:basedOn w:val="Footer"/>
    <w:semiHidden/>
    <w:qFormat/>
    <w:rsid w:val="00553591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55359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553591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553591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3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9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53591"/>
    <w:rPr>
      <w:b/>
      <w:bCs/>
    </w:rPr>
  </w:style>
  <w:style w:type="paragraph" w:customStyle="1" w:styleId="Normal1">
    <w:name w:val="Normal1"/>
    <w:basedOn w:val="Normal"/>
    <w:qFormat/>
    <w:rsid w:val="00553591"/>
    <w:pPr>
      <w:spacing w:before="120" w:after="120"/>
      <w:jc w:val="both"/>
    </w:pPr>
    <w:rPr>
      <w:rFonts w:asciiTheme="majorHAnsi" w:eastAsia="Times New Roman" w:hAnsiTheme="majorHAnsi" w:cs="Times New Roman"/>
    </w:rPr>
  </w:style>
  <w:style w:type="paragraph" w:customStyle="1" w:styleId="norm1">
    <w:name w:val="norm 1"/>
    <w:basedOn w:val="Normal"/>
    <w:rsid w:val="0055359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section">
    <w:name w:val="subsection"/>
    <w:aliases w:val="ss"/>
    <w:basedOn w:val="Normal"/>
    <w:link w:val="subsectionChar"/>
    <w:rsid w:val="00AB217B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217B"/>
    <w:rPr>
      <w:rFonts w:ascii="Times New Roman" w:eastAsia="Times New Roman" w:hAnsi="Times New Roman" w:cs="Times New Roman"/>
      <w:sz w:val="22"/>
      <w:szCs w:val="20"/>
      <w:lang w:eastAsia="en-AU"/>
    </w:rPr>
  </w:style>
  <w:style w:type="paragraph" w:styleId="ListNumber">
    <w:name w:val="List Number"/>
    <w:basedOn w:val="Normal"/>
    <w:autoRedefine/>
    <w:uiPriority w:val="99"/>
    <w:qFormat/>
    <w:rsid w:val="009E763B"/>
    <w:p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2">
    <w:name w:val="List Number 2"/>
    <w:basedOn w:val="Normal"/>
    <w:autoRedefine/>
    <w:uiPriority w:val="99"/>
    <w:rsid w:val="009E763B"/>
    <w:pPr>
      <w:numPr>
        <w:ilvl w:val="1"/>
        <w:numId w:val="35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3">
    <w:name w:val="List Number 3"/>
    <w:basedOn w:val="Normal"/>
    <w:uiPriority w:val="99"/>
    <w:rsid w:val="009E763B"/>
    <w:pPr>
      <w:numPr>
        <w:ilvl w:val="2"/>
        <w:numId w:val="35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4">
    <w:name w:val="List Number 4"/>
    <w:basedOn w:val="Normal"/>
    <w:uiPriority w:val="99"/>
    <w:rsid w:val="009E763B"/>
    <w:pPr>
      <w:numPr>
        <w:ilvl w:val="3"/>
        <w:numId w:val="35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Number5">
    <w:name w:val="List Number 5"/>
    <w:basedOn w:val="Normal"/>
    <w:uiPriority w:val="99"/>
    <w:rsid w:val="009E763B"/>
    <w:pPr>
      <w:numPr>
        <w:ilvl w:val="4"/>
        <w:numId w:val="35"/>
      </w:numPr>
      <w:spacing w:after="200"/>
    </w:pPr>
    <w:rPr>
      <w:rFonts w:ascii="Calibri" w:eastAsia="Calibri" w:hAnsi="Calibri" w:cs="Times New Roman"/>
      <w:sz w:val="24"/>
      <w:szCs w:val="22"/>
    </w:rPr>
  </w:style>
  <w:style w:type="paragraph" w:styleId="Title">
    <w:name w:val="Title"/>
    <w:basedOn w:val="Normal"/>
    <w:link w:val="TitleChar"/>
    <w:qFormat/>
    <w:rsid w:val="006F42F9"/>
    <w:pPr>
      <w:jc w:val="center"/>
    </w:pPr>
    <w:rPr>
      <w:rFonts w:ascii="Arial Rounded MT Bold" w:eastAsia="Times New Roman" w:hAnsi="Arial Rounded MT Bold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F42F9"/>
    <w:rPr>
      <w:rFonts w:ascii="Arial Rounded MT Bold" w:eastAsia="Times New Roman" w:hAnsi="Arial Rounded MT Bold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591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591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553591"/>
    <w:rPr>
      <w:sz w:val="19"/>
    </w:rPr>
  </w:style>
  <w:style w:type="paragraph" w:styleId="Footer">
    <w:name w:val="footer"/>
    <w:basedOn w:val="Normal"/>
    <w:link w:val="FooterChar"/>
    <w:uiPriority w:val="99"/>
    <w:rsid w:val="00553591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553591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59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9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5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59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3591"/>
  </w:style>
  <w:style w:type="table" w:styleId="TableGrid">
    <w:name w:val="Table Grid"/>
    <w:basedOn w:val="TableNormal"/>
    <w:uiPriority w:val="59"/>
    <w:rsid w:val="00553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address">
    <w:name w:val="Footer address"/>
    <w:basedOn w:val="Footer"/>
    <w:semiHidden/>
    <w:qFormat/>
    <w:rsid w:val="00553591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55359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HB-Table-dotpoint">
    <w:name w:val="HB - Table - dot point"/>
    <w:basedOn w:val="Normal"/>
    <w:rsid w:val="00553591"/>
    <w:pPr>
      <w:numPr>
        <w:numId w:val="1"/>
      </w:numPr>
      <w:tabs>
        <w:tab w:val="clear" w:pos="720"/>
        <w:tab w:val="num" w:pos="567"/>
      </w:tabs>
      <w:spacing w:before="120" w:after="120"/>
      <w:ind w:left="567" w:hanging="425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HB-Table-Subpoint">
    <w:name w:val="HB - Table - Subpoint"/>
    <w:basedOn w:val="Normal"/>
    <w:rsid w:val="00553591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3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9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53591"/>
    <w:rPr>
      <w:b/>
      <w:bCs/>
    </w:rPr>
  </w:style>
  <w:style w:type="paragraph" w:customStyle="1" w:styleId="Normal1">
    <w:name w:val="Normal1"/>
    <w:basedOn w:val="Normal"/>
    <w:qFormat/>
    <w:rsid w:val="00553591"/>
    <w:pPr>
      <w:spacing w:before="120" w:after="120"/>
      <w:jc w:val="both"/>
    </w:pPr>
    <w:rPr>
      <w:rFonts w:asciiTheme="majorHAnsi" w:eastAsia="Times New Roman" w:hAnsiTheme="majorHAnsi" w:cs="Times New Roman"/>
    </w:rPr>
  </w:style>
  <w:style w:type="paragraph" w:customStyle="1" w:styleId="norm1">
    <w:name w:val="norm 1"/>
    <w:basedOn w:val="Normal"/>
    <w:rsid w:val="0055359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ubsection">
    <w:name w:val="subsection"/>
    <w:aliases w:val="ss"/>
    <w:basedOn w:val="Normal"/>
    <w:link w:val="subsectionChar"/>
    <w:rsid w:val="00AB217B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B217B"/>
    <w:rPr>
      <w:rFonts w:ascii="Times New Roman" w:eastAsia="Times New Roman" w:hAnsi="Times New Roman" w:cs="Times New Roman"/>
      <w:sz w:val="22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7887CC886A4367960ADA820A31D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72459-7DE9-44BA-88C0-E1DE1657E1BD}"/>
      </w:docPartPr>
      <w:docPartBody>
        <w:p w:rsidR="007E0FDB" w:rsidRDefault="007E0FDB" w:rsidP="007E0FDB">
          <w:pPr>
            <w:pStyle w:val="9D7887CC886A4367960ADA820A31DE4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5C5300C5496406EAA99C50EFB99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0DB0-F45A-4798-AB4C-7C33333D1240}"/>
      </w:docPartPr>
      <w:docPartBody>
        <w:p w:rsidR="007E0FDB" w:rsidRDefault="007E0FDB" w:rsidP="007E0FDB">
          <w:pPr>
            <w:pStyle w:val="45C5300C5496406EAA99C50EFB99318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0FDB"/>
    <w:rsid w:val="0000350C"/>
    <w:rsid w:val="000A6EBF"/>
    <w:rsid w:val="00117647"/>
    <w:rsid w:val="00163F0B"/>
    <w:rsid w:val="001C5B5F"/>
    <w:rsid w:val="007367CB"/>
    <w:rsid w:val="00740EBC"/>
    <w:rsid w:val="007570FA"/>
    <w:rsid w:val="007E0FDB"/>
    <w:rsid w:val="008A5776"/>
    <w:rsid w:val="00B30099"/>
    <w:rsid w:val="00D57B34"/>
    <w:rsid w:val="00E54957"/>
    <w:rsid w:val="00F2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FDB"/>
    <w:rPr>
      <w:color w:val="808080"/>
    </w:rPr>
  </w:style>
  <w:style w:type="paragraph" w:customStyle="1" w:styleId="9D7887CC886A4367960ADA820A31DE49">
    <w:name w:val="9D7887CC886A4367960ADA820A31DE49"/>
    <w:rsid w:val="007E0FDB"/>
  </w:style>
  <w:style w:type="paragraph" w:customStyle="1" w:styleId="45C5300C5496406EAA99C50EFB993181">
    <w:name w:val="45C5300C5496406EAA99C50EFB993181"/>
    <w:rsid w:val="007E0F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B5867F-E91C-4F8F-A726-FBBB8A46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5237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 PETER</dc:creator>
  <cp:lastModifiedBy>Alabaster, John</cp:lastModifiedBy>
  <cp:revision>2</cp:revision>
  <cp:lastPrinted>2015-02-05T03:44:00Z</cp:lastPrinted>
  <dcterms:created xsi:type="dcterms:W3CDTF">2015-04-28T23:29:00Z</dcterms:created>
  <dcterms:modified xsi:type="dcterms:W3CDTF">2015-04-28T23:29:00Z</dcterms:modified>
</cp:coreProperties>
</file>