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CE" w:rsidRDefault="00BC5064" w:rsidP="00364ACE">
      <w:pPr>
        <w:ind w:left="720" w:hanging="720"/>
      </w:pPr>
      <w:bookmarkStart w:id="0" w:name="_Toc290210739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57E0" wp14:editId="50D1FB6C">
                <wp:simplePos x="0" y="0"/>
                <wp:positionH relativeFrom="column">
                  <wp:posOffset>11430</wp:posOffset>
                </wp:positionH>
                <wp:positionV relativeFrom="paragraph">
                  <wp:posOffset>-113030</wp:posOffset>
                </wp:positionV>
                <wp:extent cx="6118860" cy="9725025"/>
                <wp:effectExtent l="38100" t="38100" r="34290" b="476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ACE" w:rsidRPr="00E4135E" w:rsidRDefault="00364ACE" w:rsidP="00364ACE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461CFC" w:rsidRDefault="00364ACE" w:rsidP="003715A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D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Small Pelagic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Fishery</w:t>
                            </w:r>
                            <w:r w:rsidRPr="00461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Determination</w:t>
                            </w:r>
                            <w:r w:rsidR="007441E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374F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364AC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:rsidR="001A6EEB" w:rsidRDefault="00A43FC2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29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Pr="00B630EC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Small Pelagic Fishery Management Plan 2009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(the Plan) 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provide that AFMA 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may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determine a percentage of </w:t>
                            </w:r>
                            <w:proofErr w:type="spellStart"/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a quota species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each 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sub-area 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of the Small Pelagic Fishery for a 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fishing season</w:t>
                            </w:r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The Plan limits AFMA to determining a percentage for </w:t>
                            </w:r>
                            <w:proofErr w:type="spellStart"/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proofErr w:type="spellStart"/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="00D331D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EE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no greater than 10 per cent. </w:t>
                            </w:r>
                          </w:p>
                          <w:p w:rsidR="00D3012C" w:rsidRDefault="00146119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="00364ACE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provides for ‘carry over’ or ‘carry under’ of </w:t>
                            </w:r>
                            <w:r w:rsidR="00D3012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up to the determined percentage of </w:t>
                            </w:r>
                            <w:r w:rsidR="00364ACE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quota between fishing seasons</w:t>
                            </w:r>
                            <w:r w:rsidR="00D3012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 This allows</w:t>
                            </w:r>
                            <w:r w:rsidR="00364ACE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fishers the flexibility to catch a certain amount of fish over or under their quota, and debit or credit this to or from the following season’s quota</w:t>
                            </w:r>
                            <w:r w:rsidR="00364AC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A94C4E" w:rsidRPr="00B630EC" w:rsidRDefault="00A94C4E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Advice </w:t>
                            </w:r>
                            <w:r w:rsidR="0098259E"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on these values </w:t>
                            </w:r>
                            <w:r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from the Small Pelagic Fishery Resource Assessment Group (</w:t>
                            </w:r>
                            <w:r w:rsidR="0098259E"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SPF</w:t>
                            </w:r>
                            <w:r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RAG) was considered by the South East Management Advisory Committee (the Committee). The recommended values for each quota species for each sub-area in the Fishery were then sent to AFMA’s Commission for determination along with all comments from the Committee and </w:t>
                            </w:r>
                            <w:r w:rsidR="0098259E"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SPF</w:t>
                            </w:r>
                            <w:r w:rsidRPr="00B630E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RAG.</w:t>
                            </w:r>
                          </w:p>
                          <w:p w:rsidR="00364ACE" w:rsidRPr="00B630EC" w:rsidRDefault="00D3012C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instrument determines the amounts and percentages for each quota species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for a sub-area 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 relation to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and determined weight 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for th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fishing season </w:t>
                            </w:r>
                            <w:r w:rsidR="00374F4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beginning on 1 May 2015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concluding on 30 April 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201</w:t>
                            </w:r>
                            <w:r w:rsidR="00374F4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364AC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 instrument ceases on </w:t>
                            </w:r>
                            <w:r w:rsidR="00785D2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 May</w:t>
                            </w:r>
                            <w:r w:rsidR="00364AC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374F4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364AC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364ACE" w:rsidRDefault="00364ACE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364ACE" w:rsidRPr="00E4135E" w:rsidRDefault="00364ACE" w:rsidP="00B630EC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E90182" w:rsidRDefault="00364ACE" w:rsidP="00E90182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Legislative Instrument is compatible with human rights as it does not raise any human rights issues.</w:t>
                            </w:r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The AFMA Commission is satisfied that the instrument is consistent with AFMA’s obligation to pursue its statutory objectives.  The instrument is machinery in nature and sets </w:t>
                            </w:r>
                            <w:proofErr w:type="spellStart"/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values </w:t>
                            </w:r>
                            <w:r w:rsidR="00E90182" w:rsidRP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for quota species in the fishery thereby allowing statutory fishing right holders the ability to take a proportion of 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quota over or under their holdings that can be </w:t>
                            </w:r>
                            <w:r w:rsidR="00E90182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debit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="00E90182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or credit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ed t</w:t>
                            </w:r>
                            <w:r w:rsidR="00E90182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 or from the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ir holdings in the</w:t>
                            </w:r>
                            <w:r w:rsidR="00E90182"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following season</w:t>
                            </w:r>
                            <w:r w:rsidR="00E901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364AC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9pt;margin-top:-8.9pt;width:481.8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" strokeweight="6pt">
                <v:stroke linestyle="thickBetweenThin"/>
                <v:textbox inset="5mm,,5mm">
                  <w:txbxContent>
                    <w:p w:rsidR="00364ACE" w:rsidRPr="00E4135E" w:rsidRDefault="00364ACE" w:rsidP="00364ACE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bookmarkStart w:id="2" w:name="_GoBack"/>
                      <w:bookmarkEnd w:id="2"/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461CFC" w:rsidRDefault="00364ACE" w:rsidP="003715AD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85D2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Small Pelagic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Fishery</w:t>
                      </w:r>
                      <w:r w:rsidRPr="00461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Determination</w:t>
                      </w:r>
                      <w:r w:rsidR="007441E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374F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364AC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:rsidR="001A6EEB" w:rsidRDefault="00A43FC2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Section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29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and 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of the </w:t>
                      </w:r>
                      <w:r w:rsidRPr="00B630EC"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Small Pelagic Fishery Management Plan 2009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(the Plan) 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provide that AFMA 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may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determine a percentage of </w:t>
                      </w:r>
                      <w:proofErr w:type="spellStart"/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 a quota species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 each 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sub-area 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of the Small Pelagic Fishery for a 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fishing season</w:t>
                      </w:r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The Plan limits AFMA to determining a percentage for </w:t>
                      </w:r>
                      <w:proofErr w:type="spellStart"/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or </w:t>
                      </w:r>
                      <w:proofErr w:type="spellStart"/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="00D331D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A6EE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no greater than 10 per cent. </w:t>
                      </w:r>
                    </w:p>
                    <w:p w:rsidR="00D3012C" w:rsidRDefault="00146119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="00364ACE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provides for ‘carry over’ or ‘carry under’ of </w:t>
                      </w:r>
                      <w:r w:rsidR="00D3012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up to the determined percentage of </w:t>
                      </w:r>
                      <w:r w:rsidR="00364ACE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quota between fishing seasons</w:t>
                      </w:r>
                      <w:r w:rsidR="00D3012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 This allows</w:t>
                      </w:r>
                      <w:r w:rsidR="00364ACE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fishers the flexibility to catch a certain amount of fish over or under their quota, and debit or credit this to or from the following season’s quota</w:t>
                      </w:r>
                      <w:r w:rsidR="00364AC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A94C4E" w:rsidRPr="00B630EC" w:rsidRDefault="00A94C4E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Advice </w:t>
                      </w:r>
                      <w:r w:rsidR="0098259E"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on these values </w:t>
                      </w:r>
                      <w:r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from the Small Pelagic Fishery Resource Assessment Group (</w:t>
                      </w:r>
                      <w:r w:rsidR="0098259E"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SPF</w:t>
                      </w:r>
                      <w:r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RAG) was considered by the South East Management Advisory Committee (the Committee). The recommended values for each quota species for each sub-area in the Fishery were then sent to AFMA’s Commission for determination along with all comments from the Committee and </w:t>
                      </w:r>
                      <w:r w:rsidR="0098259E"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SPF</w:t>
                      </w:r>
                      <w:r w:rsidRPr="00B630E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RAG.</w:t>
                      </w:r>
                    </w:p>
                    <w:p w:rsidR="00364ACE" w:rsidRPr="00B630EC" w:rsidRDefault="00D3012C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instrument determines the amounts and percentages for each quota species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for a sub-area 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in relation to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and determined weight 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for th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e 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fishing season </w:t>
                      </w:r>
                      <w:r w:rsidR="00374F4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beginning on 1 May 2015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concluding on 30 April 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201</w:t>
                      </w:r>
                      <w:r w:rsidR="00374F4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  <w:r w:rsidR="00364AC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The instrument ceases on </w:t>
                      </w:r>
                      <w:r w:rsidR="00785D2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1 May</w:t>
                      </w:r>
                      <w:r w:rsidR="00364AC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201</w:t>
                      </w:r>
                      <w:r w:rsidR="00374F45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364AC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364ACE" w:rsidRDefault="00364ACE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364ACE" w:rsidRPr="00E4135E" w:rsidRDefault="00364ACE" w:rsidP="00B630EC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E90182" w:rsidRDefault="00364ACE" w:rsidP="00E90182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Legislative Instrument is compatible with human rights as it does not raise any human rights issues.</w:t>
                      </w:r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The AFMA Commission is satisfied that the instrument is consistent with AFMA’s obligation to pursue its statutory objectives.  The instrument is machinery in nature and sets </w:t>
                      </w:r>
                      <w:proofErr w:type="spellStart"/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values </w:t>
                      </w:r>
                      <w:r w:rsidR="00E90182" w:rsidRP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for quota species in the fishery thereby allowing statutory fishing right holders the ability to take a proportion of 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quota over or under their holdings that can be </w:t>
                      </w:r>
                      <w:r w:rsidR="00E90182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debit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="00E90182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or credit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ed t</w:t>
                      </w:r>
                      <w:r w:rsidR="00E90182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 or from the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ir holdings in the</w:t>
                      </w:r>
                      <w:r w:rsidR="00E90182"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following season</w:t>
                      </w:r>
                      <w:r w:rsidR="00E901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364AC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bookmarkEnd w:id="0"/>
    <w:p w:rsidR="00364ACE" w:rsidRDefault="00364ACE" w:rsidP="00364ACE"/>
    <w:p w:rsidR="00364ACE" w:rsidRDefault="00364ACE" w:rsidP="00364ACE"/>
    <w:p w:rsidR="00364ACE" w:rsidRDefault="00364ACE" w:rsidP="00364ACE"/>
    <w:p w:rsidR="0011476C" w:rsidRDefault="000426B9"/>
    <w:sectPr w:rsidR="0011476C" w:rsidSect="0033108D">
      <w:headerReference w:type="default" r:id="rId8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78" w:rsidRDefault="00956978">
      <w:pPr>
        <w:spacing w:after="0" w:line="240" w:lineRule="auto"/>
      </w:pPr>
      <w:r>
        <w:separator/>
      </w:r>
    </w:p>
  </w:endnote>
  <w:endnote w:type="continuationSeparator" w:id="0">
    <w:p w:rsidR="00956978" w:rsidRDefault="0095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78" w:rsidRDefault="00956978">
      <w:pPr>
        <w:spacing w:after="0" w:line="240" w:lineRule="auto"/>
      </w:pPr>
      <w:r>
        <w:separator/>
      </w:r>
    </w:p>
  </w:footnote>
  <w:footnote w:type="continuationSeparator" w:id="0">
    <w:p w:rsidR="00956978" w:rsidRDefault="0095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D" w:rsidRPr="00F75F6E" w:rsidRDefault="000426B9" w:rsidP="0033108D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2788"/>
    <w:multiLevelType w:val="multilevel"/>
    <w:tmpl w:val="E62A8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588"/>
        </w:tabs>
        <w:ind w:left="1588" w:hanging="567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90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CE"/>
    <w:rsid w:val="000426B9"/>
    <w:rsid w:val="00111BDB"/>
    <w:rsid w:val="00114EE6"/>
    <w:rsid w:val="00146119"/>
    <w:rsid w:val="001A6EEB"/>
    <w:rsid w:val="002B4EA0"/>
    <w:rsid w:val="00333D06"/>
    <w:rsid w:val="00364ACE"/>
    <w:rsid w:val="003715AD"/>
    <w:rsid w:val="00374F45"/>
    <w:rsid w:val="003E5011"/>
    <w:rsid w:val="004B342B"/>
    <w:rsid w:val="004E182D"/>
    <w:rsid w:val="005E64F1"/>
    <w:rsid w:val="007441E9"/>
    <w:rsid w:val="00785D2B"/>
    <w:rsid w:val="008F042D"/>
    <w:rsid w:val="009106E2"/>
    <w:rsid w:val="00956978"/>
    <w:rsid w:val="0098259E"/>
    <w:rsid w:val="009A057C"/>
    <w:rsid w:val="009E4DF0"/>
    <w:rsid w:val="00A43FC2"/>
    <w:rsid w:val="00A94C4E"/>
    <w:rsid w:val="00B630EC"/>
    <w:rsid w:val="00B8125E"/>
    <w:rsid w:val="00BC5064"/>
    <w:rsid w:val="00D3012C"/>
    <w:rsid w:val="00D331D3"/>
    <w:rsid w:val="00D50291"/>
    <w:rsid w:val="00E90182"/>
    <w:rsid w:val="00F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C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E64F1"/>
    <w:pPr>
      <w:keepNext/>
      <w:spacing w:before="240"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A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E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E64F1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C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E64F1"/>
    <w:pPr>
      <w:keepNext/>
      <w:spacing w:before="240"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A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E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E64F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DAL PIVA, Daniel</cp:lastModifiedBy>
  <cp:revision>2</cp:revision>
  <cp:lastPrinted>2013-03-21T05:53:00Z</cp:lastPrinted>
  <dcterms:created xsi:type="dcterms:W3CDTF">2015-04-30T03:11:00Z</dcterms:created>
  <dcterms:modified xsi:type="dcterms:W3CDTF">2015-04-30T03:11:00Z</dcterms:modified>
</cp:coreProperties>
</file>