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F0" w:rsidRDefault="00BB1CD4" w:rsidP="00744E6B">
      <w:pPr>
        <w:pStyle w:val="Heading"/>
        <w:jc w:val="center"/>
        <w:rPr>
          <w:rFonts w:ascii="Times New Roman" w:hAnsi="Times New Roman" w:cs="Times New Roman"/>
          <w:sz w:val="24"/>
          <w:szCs w:val="24"/>
        </w:rPr>
      </w:pPr>
      <w:bookmarkStart w:id="0" w:name="bkInstrumentTitle"/>
      <w:bookmarkStart w:id="1" w:name="_GoBack"/>
      <w:bookmarkEnd w:id="0"/>
      <w:bookmarkEnd w:id="1"/>
      <w:r>
        <w:rPr>
          <w:rFonts w:ascii="Times New Roman" w:hAnsi="Times New Roman" w:cs="Times New Roman"/>
          <w:sz w:val="24"/>
          <w:szCs w:val="24"/>
        </w:rPr>
        <w:t>Financial Sector (Collection of Data) (reporting standard) determination No</w:t>
      </w:r>
      <w:r w:rsidRPr="00846211">
        <w:rPr>
          <w:rFonts w:ascii="Times New Roman" w:hAnsi="Times New Roman" w:cs="Times New Roman"/>
          <w:sz w:val="24"/>
          <w:szCs w:val="24"/>
        </w:rPr>
        <w:t xml:space="preserve">. </w:t>
      </w:r>
      <w:r w:rsidR="00846211" w:rsidRPr="00846211">
        <w:rPr>
          <w:rFonts w:ascii="Times New Roman" w:hAnsi="Times New Roman" w:cs="Times New Roman"/>
          <w:sz w:val="24"/>
          <w:szCs w:val="24"/>
        </w:rPr>
        <w:t>30</w:t>
      </w:r>
      <w:r>
        <w:rPr>
          <w:rFonts w:ascii="Times New Roman" w:hAnsi="Times New Roman" w:cs="Times New Roman"/>
          <w:sz w:val="24"/>
          <w:szCs w:val="24"/>
        </w:rPr>
        <w:t xml:space="preserve"> of 2015</w:t>
      </w:r>
    </w:p>
    <w:p w:rsidR="005941E1" w:rsidRPr="008B7528" w:rsidRDefault="005941E1" w:rsidP="00EA6BF0">
      <w:pPr>
        <w:pStyle w:val="Heading"/>
        <w:tabs>
          <w:tab w:val="left" w:pos="360"/>
        </w:tabs>
        <w:ind w:left="-360"/>
        <w:jc w:val="center"/>
        <w:rPr>
          <w:rFonts w:ascii="Times New Roman" w:hAnsi="Times New Roman" w:cs="Times New Roman"/>
          <w:sz w:val="24"/>
          <w:szCs w:val="24"/>
          <w:u w:val="single"/>
        </w:rPr>
      </w:pPr>
      <w:bookmarkStart w:id="2" w:name="bkInstrumentSubTitle"/>
      <w:bookmarkStart w:id="3" w:name="bkStart"/>
      <w:bookmarkEnd w:id="2"/>
      <w:bookmarkEnd w:id="3"/>
      <w:r w:rsidRPr="008B7528">
        <w:rPr>
          <w:rFonts w:ascii="Times New Roman" w:hAnsi="Times New Roman" w:cs="Times New Roman"/>
          <w:sz w:val="24"/>
          <w:szCs w:val="24"/>
          <w:u w:val="single"/>
        </w:rPr>
        <w:t>EXPLANATORY STATEMENT</w:t>
      </w:r>
    </w:p>
    <w:p w:rsidR="00102F9E" w:rsidRDefault="005941E1" w:rsidP="005941E1">
      <w:pPr>
        <w:pStyle w:val="Heading"/>
        <w:jc w:val="center"/>
        <w:rPr>
          <w:rFonts w:ascii="Times New Roman" w:hAnsi="Times New Roman" w:cs="Times New Roman"/>
          <w:sz w:val="24"/>
          <w:szCs w:val="24"/>
        </w:rPr>
      </w:pPr>
      <w:r>
        <w:rPr>
          <w:rFonts w:ascii="Times New Roman" w:hAnsi="Times New Roman" w:cs="Times New Roman"/>
          <w:sz w:val="24"/>
          <w:szCs w:val="24"/>
        </w:rPr>
        <w:t>Prepared by the Australian Prudential Regulation Authority</w:t>
      </w:r>
      <w:r w:rsidR="00102F9E">
        <w:rPr>
          <w:rFonts w:ascii="Times New Roman" w:hAnsi="Times New Roman" w:cs="Times New Roman"/>
          <w:sz w:val="24"/>
          <w:szCs w:val="24"/>
        </w:rPr>
        <w:t xml:space="preserve"> </w:t>
      </w:r>
    </w:p>
    <w:p w:rsidR="00BB1CD4" w:rsidRPr="00BB1CD4" w:rsidRDefault="00BB1CD4" w:rsidP="0047758B">
      <w:pPr>
        <w:pStyle w:val="Heading"/>
        <w:tabs>
          <w:tab w:val="left" w:pos="360"/>
        </w:tabs>
        <w:ind w:left="-360"/>
        <w:jc w:val="center"/>
        <w:rPr>
          <w:rFonts w:ascii="Times New Roman" w:hAnsi="Times New Roman" w:cs="Times New Roman"/>
          <w:b w:val="0"/>
          <w:i/>
          <w:color w:val="000000"/>
          <w:sz w:val="24"/>
          <w:szCs w:val="24"/>
        </w:rPr>
      </w:pPr>
      <w:r w:rsidRPr="00BB1CD4">
        <w:rPr>
          <w:rFonts w:ascii="Times New Roman" w:hAnsi="Times New Roman" w:cs="Times New Roman"/>
          <w:b w:val="0"/>
          <w:i/>
          <w:color w:val="000000"/>
          <w:sz w:val="24"/>
          <w:szCs w:val="24"/>
        </w:rPr>
        <w:t>Financial Section (Collection of Data) Act 2001 subsections 13(1) and 15(1)</w:t>
      </w:r>
    </w:p>
    <w:p w:rsidR="00BB1CD4" w:rsidRPr="00BB1CD4" w:rsidRDefault="00BB1CD4" w:rsidP="0047758B">
      <w:pPr>
        <w:pStyle w:val="Heading"/>
        <w:tabs>
          <w:tab w:val="left" w:pos="360"/>
        </w:tabs>
        <w:ind w:left="-360"/>
        <w:jc w:val="center"/>
        <w:rPr>
          <w:rFonts w:ascii="Times New Roman" w:hAnsi="Times New Roman" w:cs="Times New Roman"/>
          <w:b w:val="0"/>
          <w:i/>
          <w:color w:val="000000"/>
          <w:sz w:val="24"/>
          <w:szCs w:val="24"/>
        </w:rPr>
      </w:pPr>
      <w:r w:rsidRPr="00BB1CD4">
        <w:rPr>
          <w:rFonts w:ascii="Times New Roman" w:hAnsi="Times New Roman" w:cs="Times New Roman"/>
          <w:b w:val="0"/>
          <w:i/>
          <w:color w:val="000000"/>
          <w:sz w:val="24"/>
          <w:szCs w:val="24"/>
        </w:rPr>
        <w:t>Acts Interpretation Act 1901 subsection 33(3)</w:t>
      </w:r>
    </w:p>
    <w:p w:rsidR="00BB1CD4" w:rsidRDefault="00BB1CD4" w:rsidP="007A255D">
      <w:pPr>
        <w:pStyle w:val="Heading"/>
        <w:jc w:val="both"/>
        <w:rPr>
          <w:rFonts w:ascii="Times New Roman" w:hAnsi="Times New Roman" w:cs="Times New Roman"/>
          <w:b w:val="0"/>
          <w:color w:val="000000"/>
          <w:sz w:val="24"/>
          <w:szCs w:val="24"/>
        </w:rPr>
      </w:pPr>
      <w:bookmarkStart w:id="4" w:name="bkAct"/>
      <w:bookmarkStart w:id="5" w:name="bkExplanatory"/>
      <w:bookmarkEnd w:id="4"/>
      <w:bookmarkEnd w:id="5"/>
      <w:r>
        <w:rPr>
          <w:rFonts w:ascii="Times New Roman" w:hAnsi="Times New Roman" w:cs="Times New Roman"/>
          <w:b w:val="0"/>
          <w:color w:val="000000"/>
          <w:sz w:val="24"/>
          <w:szCs w:val="24"/>
        </w:rPr>
        <w:t>Under paragraph 13(1</w:t>
      </w:r>
      <w:proofErr w:type="gramStart"/>
      <w:r>
        <w:rPr>
          <w:rFonts w:ascii="Times New Roman" w:hAnsi="Times New Roman" w:cs="Times New Roman"/>
          <w:b w:val="0"/>
          <w:color w:val="000000"/>
          <w:sz w:val="24"/>
          <w:szCs w:val="24"/>
        </w:rPr>
        <w:t>)(</w:t>
      </w:r>
      <w:proofErr w:type="gramEnd"/>
      <w:r>
        <w:rPr>
          <w:rFonts w:ascii="Times New Roman" w:hAnsi="Times New Roman" w:cs="Times New Roman"/>
          <w:b w:val="0"/>
          <w:color w:val="000000"/>
          <w:sz w:val="24"/>
          <w:szCs w:val="24"/>
        </w:rPr>
        <w:t xml:space="preserve">a) of the Financial Sector (Collection of Data) Act 2001 (FSCODA), APRA has the power to determine reporting standards, in writing, with which financial sector entities must comply. Such standards relate to reporting financial or accounting data and other information regarding the business or activities of the entities.  Subsection 15(1) of FSCODA provides that APRA may declare a date on and after which reporting standards are to apply. </w:t>
      </w:r>
    </w:p>
    <w:p w:rsidR="007A5A9D" w:rsidRDefault="00BB1CD4" w:rsidP="007A255D">
      <w:pPr>
        <w:pStyle w:val="Heading"/>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Subsection 33(3) of the Acts Interpretation Act 1901 provides that where an Act confers a power to issue an instrument the power shall, unless the contrary intention appears, be construed as including a power exercisable in the like manner and subject to the like conditions (if any) to revoke and vary any such instrument.</w:t>
      </w:r>
    </w:p>
    <w:p w:rsidR="007A5A9D" w:rsidRDefault="007A5A9D" w:rsidP="00BA4DE6">
      <w:pPr>
        <w:autoSpaceDE w:val="0"/>
        <w:autoSpaceDN w:val="0"/>
        <w:adjustRightInd w:val="0"/>
        <w:rPr>
          <w:rFonts w:ascii="Times New Roman" w:hAnsi="Times New Roman"/>
          <w:sz w:val="24"/>
        </w:rPr>
      </w:pPr>
    </w:p>
    <w:p w:rsidR="007E5179" w:rsidRDefault="00324B6C" w:rsidP="00ED3C02">
      <w:pPr>
        <w:autoSpaceDE w:val="0"/>
        <w:autoSpaceDN w:val="0"/>
        <w:adjustRightInd w:val="0"/>
        <w:jc w:val="both"/>
        <w:rPr>
          <w:rFonts w:ascii="Times New Roman" w:hAnsi="Times New Roman"/>
          <w:sz w:val="24"/>
        </w:rPr>
      </w:pPr>
      <w:r>
        <w:rPr>
          <w:rFonts w:ascii="Times New Roman" w:hAnsi="Times New Roman"/>
          <w:sz w:val="24"/>
        </w:rPr>
        <w:t xml:space="preserve">On </w:t>
      </w:r>
      <w:r w:rsidR="0085729B">
        <w:rPr>
          <w:rFonts w:ascii="Times New Roman" w:hAnsi="Times New Roman"/>
          <w:sz w:val="24"/>
        </w:rPr>
        <w:t>17</w:t>
      </w:r>
      <w:r w:rsidRPr="00BA4DE6">
        <w:rPr>
          <w:rFonts w:ascii="Times New Roman" w:hAnsi="Times New Roman"/>
          <w:sz w:val="24"/>
        </w:rPr>
        <w:t xml:space="preserve"> </w:t>
      </w:r>
      <w:r w:rsidR="00846211">
        <w:rPr>
          <w:rFonts w:ascii="Times New Roman" w:hAnsi="Times New Roman"/>
          <w:sz w:val="24"/>
        </w:rPr>
        <w:t xml:space="preserve">April </w:t>
      </w:r>
      <w:r w:rsidRPr="00BA4DE6">
        <w:rPr>
          <w:rFonts w:ascii="Times New Roman" w:hAnsi="Times New Roman"/>
          <w:sz w:val="24"/>
        </w:rPr>
        <w:t>2015</w:t>
      </w:r>
      <w:r>
        <w:rPr>
          <w:rFonts w:ascii="Times New Roman" w:hAnsi="Times New Roman"/>
          <w:sz w:val="24"/>
        </w:rPr>
        <w:t xml:space="preserve">, </w:t>
      </w:r>
      <w:r w:rsidR="007A5A9D">
        <w:rPr>
          <w:rFonts w:ascii="Times New Roman" w:hAnsi="Times New Roman"/>
          <w:sz w:val="24"/>
        </w:rPr>
        <w:t xml:space="preserve">under </w:t>
      </w:r>
      <w:r w:rsidR="0036171D">
        <w:rPr>
          <w:rFonts w:ascii="Times New Roman" w:hAnsi="Times New Roman"/>
          <w:sz w:val="24"/>
        </w:rPr>
        <w:t>paragraph 13(1</w:t>
      </w:r>
      <w:proofErr w:type="gramStart"/>
      <w:r w:rsidR="0036171D">
        <w:rPr>
          <w:rFonts w:ascii="Times New Roman" w:hAnsi="Times New Roman"/>
          <w:sz w:val="24"/>
        </w:rPr>
        <w:t>)(</w:t>
      </w:r>
      <w:proofErr w:type="gramEnd"/>
      <w:r w:rsidR="0036171D">
        <w:rPr>
          <w:rFonts w:ascii="Times New Roman" w:hAnsi="Times New Roman"/>
          <w:sz w:val="24"/>
        </w:rPr>
        <w:t>a) of</w:t>
      </w:r>
      <w:r w:rsidR="007A5A9D">
        <w:rPr>
          <w:rFonts w:ascii="Times New Roman" w:hAnsi="Times New Roman"/>
          <w:sz w:val="24"/>
        </w:rPr>
        <w:t xml:space="preserve"> FSCODA and</w:t>
      </w:r>
      <w:r w:rsidR="0036171D">
        <w:rPr>
          <w:rFonts w:ascii="Times New Roman" w:hAnsi="Times New Roman"/>
          <w:sz w:val="24"/>
        </w:rPr>
        <w:t xml:space="preserve"> subsection 33(3) of</w:t>
      </w:r>
      <w:r w:rsidR="007A5A9D">
        <w:rPr>
          <w:rFonts w:ascii="Times New Roman" w:hAnsi="Times New Roman"/>
          <w:sz w:val="24"/>
        </w:rPr>
        <w:t xml:space="preserve"> the Acts Interpretation Act 2001,</w:t>
      </w:r>
      <w:r w:rsidR="00BA4DE6" w:rsidDel="00BA4DE6">
        <w:rPr>
          <w:rFonts w:ascii="Times New Roman" w:hAnsi="Times New Roman"/>
          <w:sz w:val="24"/>
        </w:rPr>
        <w:t xml:space="preserve"> </w:t>
      </w:r>
      <w:r>
        <w:rPr>
          <w:rFonts w:ascii="Times New Roman" w:hAnsi="Times New Roman"/>
          <w:sz w:val="24"/>
        </w:rPr>
        <w:t xml:space="preserve">APRA made Financial Sector (Collection of Data) (reporting standard) determination No. </w:t>
      </w:r>
      <w:r w:rsidR="00846211">
        <w:rPr>
          <w:rFonts w:ascii="Times New Roman" w:hAnsi="Times New Roman"/>
          <w:sz w:val="24"/>
        </w:rPr>
        <w:t>30</w:t>
      </w:r>
      <w:r>
        <w:rPr>
          <w:rFonts w:ascii="Times New Roman" w:hAnsi="Times New Roman"/>
          <w:sz w:val="24"/>
        </w:rPr>
        <w:t xml:space="preserve"> of 2015 which:</w:t>
      </w:r>
    </w:p>
    <w:p w:rsidR="007A5A9D" w:rsidRDefault="007A5A9D" w:rsidP="00ED3C02">
      <w:pPr>
        <w:autoSpaceDE w:val="0"/>
        <w:autoSpaceDN w:val="0"/>
        <w:adjustRightInd w:val="0"/>
        <w:jc w:val="both"/>
        <w:rPr>
          <w:rFonts w:ascii="Times New Roman" w:hAnsi="Times New Roman"/>
          <w:sz w:val="24"/>
        </w:rPr>
      </w:pPr>
    </w:p>
    <w:p w:rsidR="00324B6C" w:rsidRDefault="007E5179" w:rsidP="00ED3C02">
      <w:pPr>
        <w:autoSpaceDE w:val="0"/>
        <w:autoSpaceDN w:val="0"/>
        <w:adjustRightInd w:val="0"/>
        <w:ind w:left="567" w:hanging="567"/>
        <w:jc w:val="both"/>
        <w:rPr>
          <w:rFonts w:ascii="Times New Roman" w:hAnsi="Times New Roman"/>
          <w:sz w:val="24"/>
        </w:rPr>
      </w:pPr>
      <w:r>
        <w:rPr>
          <w:rFonts w:ascii="Times New Roman" w:hAnsi="Times New Roman"/>
          <w:sz w:val="24"/>
        </w:rPr>
        <w:t>(a)</w:t>
      </w:r>
      <w:r>
        <w:rPr>
          <w:rFonts w:ascii="Times New Roman" w:hAnsi="Times New Roman"/>
          <w:sz w:val="24"/>
        </w:rPr>
        <w:tab/>
      </w:r>
      <w:r w:rsidR="00324B6C">
        <w:rPr>
          <w:rFonts w:ascii="Times New Roman" w:hAnsi="Times New Roman"/>
          <w:sz w:val="24"/>
        </w:rPr>
        <w:t xml:space="preserve">revokes </w:t>
      </w:r>
      <w:r w:rsidR="00324B6C" w:rsidRPr="00B674AC">
        <w:rPr>
          <w:rFonts w:ascii="Times New Roman" w:hAnsi="Times New Roman"/>
          <w:i/>
          <w:sz w:val="24"/>
        </w:rPr>
        <w:t>Reporting Standard LRS 117.0 Asset Concentration Risk Charge</w:t>
      </w:r>
      <w:r w:rsidR="00324B6C">
        <w:rPr>
          <w:rFonts w:ascii="Times New Roman" w:hAnsi="Times New Roman"/>
          <w:sz w:val="24"/>
        </w:rPr>
        <w:t xml:space="preserve"> </w:t>
      </w:r>
      <w:r w:rsidR="00324B6C" w:rsidRPr="00B674AC">
        <w:rPr>
          <w:rFonts w:ascii="Times New Roman" w:hAnsi="Times New Roman"/>
          <w:sz w:val="24"/>
        </w:rPr>
        <w:t xml:space="preserve">made under Financial Sector (Collection of Data) (reporting standard) determination No. </w:t>
      </w:r>
      <w:r w:rsidR="00324B6C">
        <w:rPr>
          <w:rFonts w:ascii="Times New Roman" w:hAnsi="Times New Roman"/>
          <w:sz w:val="24"/>
        </w:rPr>
        <w:t>50</w:t>
      </w:r>
      <w:r w:rsidR="00324B6C" w:rsidRPr="00B674AC">
        <w:rPr>
          <w:rFonts w:ascii="Times New Roman" w:hAnsi="Times New Roman"/>
          <w:sz w:val="24"/>
        </w:rPr>
        <w:t xml:space="preserve"> of 2013</w:t>
      </w:r>
      <w:r w:rsidR="00324B6C">
        <w:rPr>
          <w:rFonts w:ascii="Times New Roman" w:hAnsi="Times New Roman"/>
          <w:sz w:val="24"/>
        </w:rPr>
        <w:t>; and</w:t>
      </w:r>
    </w:p>
    <w:p w:rsidR="007E5179" w:rsidRDefault="007E5179" w:rsidP="00ED3C02">
      <w:pPr>
        <w:autoSpaceDE w:val="0"/>
        <w:autoSpaceDN w:val="0"/>
        <w:adjustRightInd w:val="0"/>
        <w:jc w:val="both"/>
        <w:rPr>
          <w:rFonts w:ascii="Times New Roman" w:hAnsi="Times New Roman"/>
          <w:sz w:val="24"/>
        </w:rPr>
      </w:pPr>
    </w:p>
    <w:p w:rsidR="007E5179" w:rsidRDefault="007E5179" w:rsidP="00ED3C02">
      <w:pPr>
        <w:tabs>
          <w:tab w:val="left" w:pos="567"/>
        </w:tabs>
        <w:autoSpaceDE w:val="0"/>
        <w:autoSpaceDN w:val="0"/>
        <w:adjustRightInd w:val="0"/>
        <w:ind w:left="567" w:hanging="567"/>
        <w:jc w:val="both"/>
        <w:rPr>
          <w:rFonts w:ascii="Times New Roman" w:hAnsi="Times New Roman"/>
          <w:sz w:val="24"/>
        </w:rPr>
      </w:pPr>
      <w:r>
        <w:rPr>
          <w:rFonts w:ascii="Times New Roman" w:hAnsi="Times New Roman"/>
          <w:sz w:val="24"/>
        </w:rPr>
        <w:t>(b)</w:t>
      </w:r>
      <w:r>
        <w:rPr>
          <w:rFonts w:ascii="Times New Roman" w:hAnsi="Times New Roman"/>
          <w:sz w:val="24"/>
        </w:rPr>
        <w:tab/>
      </w:r>
      <w:proofErr w:type="gramStart"/>
      <w:r w:rsidR="00324B6C">
        <w:rPr>
          <w:rFonts w:ascii="Times New Roman" w:hAnsi="Times New Roman"/>
          <w:sz w:val="24"/>
        </w:rPr>
        <w:t>determines</w:t>
      </w:r>
      <w:proofErr w:type="gramEnd"/>
      <w:r w:rsidR="00324B6C">
        <w:rPr>
          <w:rFonts w:ascii="Times New Roman" w:hAnsi="Times New Roman"/>
          <w:sz w:val="24"/>
        </w:rPr>
        <w:t xml:space="preserve"> </w:t>
      </w:r>
      <w:r w:rsidR="00324B6C" w:rsidRPr="00B674AC">
        <w:rPr>
          <w:rFonts w:ascii="Times New Roman" w:hAnsi="Times New Roman"/>
          <w:i/>
          <w:sz w:val="24"/>
        </w:rPr>
        <w:t>Reporting Standard LRS 117.0 Asset Concentration Risk Charge</w:t>
      </w:r>
      <w:r w:rsidR="00324B6C">
        <w:rPr>
          <w:rFonts w:ascii="Times New Roman" w:hAnsi="Times New Roman"/>
          <w:sz w:val="24"/>
        </w:rPr>
        <w:t xml:space="preserve"> (LRS 117).</w:t>
      </w:r>
    </w:p>
    <w:p w:rsidR="007E5179" w:rsidRDefault="007E5179" w:rsidP="00ED3C02">
      <w:pPr>
        <w:autoSpaceDE w:val="0"/>
        <w:autoSpaceDN w:val="0"/>
        <w:adjustRightInd w:val="0"/>
        <w:jc w:val="both"/>
        <w:rPr>
          <w:rFonts w:ascii="Times New Roman" w:hAnsi="Times New Roman"/>
          <w:sz w:val="24"/>
        </w:rPr>
      </w:pPr>
    </w:p>
    <w:p w:rsidR="007E5179" w:rsidRDefault="007E5179" w:rsidP="00ED3C02">
      <w:pPr>
        <w:autoSpaceDE w:val="0"/>
        <w:autoSpaceDN w:val="0"/>
        <w:adjustRightInd w:val="0"/>
        <w:jc w:val="both"/>
        <w:rPr>
          <w:rFonts w:ascii="Times New Roman" w:hAnsi="Times New Roman"/>
          <w:sz w:val="24"/>
        </w:rPr>
      </w:pPr>
      <w:r w:rsidRPr="00FC3CBC">
        <w:rPr>
          <w:rFonts w:ascii="Times New Roman" w:hAnsi="Times New Roman"/>
          <w:b/>
          <w:sz w:val="24"/>
        </w:rPr>
        <w:t>1.</w:t>
      </w:r>
      <w:r w:rsidRPr="00FC3CBC">
        <w:rPr>
          <w:rFonts w:ascii="Times New Roman" w:hAnsi="Times New Roman"/>
          <w:b/>
          <w:sz w:val="24"/>
        </w:rPr>
        <w:tab/>
      </w:r>
      <w:r w:rsidR="005941E1" w:rsidRPr="00FC3CBC">
        <w:rPr>
          <w:rFonts w:ascii="Times New Roman" w:hAnsi="Times New Roman"/>
          <w:b/>
          <w:sz w:val="24"/>
        </w:rPr>
        <w:t>Background</w:t>
      </w:r>
      <w:bookmarkStart w:id="6" w:name="bkBackground"/>
      <w:bookmarkEnd w:id="6"/>
    </w:p>
    <w:p w:rsidR="007E5179" w:rsidRDefault="007E5179" w:rsidP="00ED3C02">
      <w:pPr>
        <w:autoSpaceDE w:val="0"/>
        <w:autoSpaceDN w:val="0"/>
        <w:adjustRightInd w:val="0"/>
        <w:jc w:val="both"/>
        <w:rPr>
          <w:rFonts w:ascii="Times New Roman" w:hAnsi="Times New Roman"/>
          <w:sz w:val="24"/>
        </w:rPr>
      </w:pPr>
    </w:p>
    <w:p w:rsidR="007E5179" w:rsidRDefault="00690E92" w:rsidP="00ED3C02">
      <w:pPr>
        <w:autoSpaceDE w:val="0"/>
        <w:autoSpaceDN w:val="0"/>
        <w:adjustRightInd w:val="0"/>
        <w:jc w:val="both"/>
        <w:rPr>
          <w:rFonts w:ascii="Times New Roman" w:hAnsi="Times New Roman"/>
          <w:sz w:val="24"/>
        </w:rPr>
      </w:pPr>
      <w:r w:rsidRPr="00690E92">
        <w:rPr>
          <w:rFonts w:ascii="Times New Roman" w:hAnsi="Times New Roman"/>
          <w:sz w:val="24"/>
        </w:rPr>
        <w:t xml:space="preserve">Life </w:t>
      </w:r>
      <w:r w:rsidR="002B5BA2">
        <w:rPr>
          <w:rFonts w:ascii="Times New Roman" w:hAnsi="Times New Roman"/>
          <w:sz w:val="24"/>
        </w:rPr>
        <w:t>companies (including life insurers and friendly societies)</w:t>
      </w:r>
      <w:r w:rsidRPr="00690E92">
        <w:rPr>
          <w:rFonts w:ascii="Times New Roman" w:hAnsi="Times New Roman"/>
          <w:sz w:val="24"/>
        </w:rPr>
        <w:t xml:space="preserve"> are exposed to reinsurance counterparty risks when using reinsurance as a mechanism to transfer insurance risk and augment their capital position. The failure of a reinsurer could have a significant impact on the capital adequacy of a life </w:t>
      </w:r>
      <w:r w:rsidR="002B5BA2">
        <w:rPr>
          <w:rFonts w:ascii="Times New Roman" w:hAnsi="Times New Roman"/>
          <w:sz w:val="24"/>
        </w:rPr>
        <w:t>company</w:t>
      </w:r>
      <w:r w:rsidRPr="00690E92">
        <w:rPr>
          <w:rFonts w:ascii="Times New Roman" w:hAnsi="Times New Roman"/>
          <w:sz w:val="24"/>
        </w:rPr>
        <w:t xml:space="preserve"> by both reducing the </w:t>
      </w:r>
      <w:r w:rsidR="002B5BA2">
        <w:rPr>
          <w:rFonts w:ascii="Times New Roman" w:hAnsi="Times New Roman"/>
          <w:sz w:val="24"/>
        </w:rPr>
        <w:t>company’s</w:t>
      </w:r>
      <w:r w:rsidRPr="00690E92">
        <w:rPr>
          <w:rFonts w:ascii="Times New Roman" w:hAnsi="Times New Roman"/>
          <w:sz w:val="24"/>
        </w:rPr>
        <w:t xml:space="preserve"> capital base and increasing its prescribed capital amount. This could, in the extreme, result in the insolvency of the </w:t>
      </w:r>
      <w:r w:rsidR="002B5BA2">
        <w:rPr>
          <w:rFonts w:ascii="Times New Roman" w:hAnsi="Times New Roman"/>
          <w:sz w:val="24"/>
        </w:rPr>
        <w:t>life company</w:t>
      </w:r>
      <w:r w:rsidRPr="00690E92">
        <w:rPr>
          <w:rFonts w:ascii="Times New Roman" w:hAnsi="Times New Roman"/>
          <w:sz w:val="24"/>
        </w:rPr>
        <w:t xml:space="preserve">. The current data collected by APRA lacks sufficient detail for APRA to assess the impact of a reinsurer failure on </w:t>
      </w:r>
      <w:r w:rsidR="00B25E32" w:rsidRPr="00B25E32">
        <w:rPr>
          <w:rFonts w:ascii="Times New Roman" w:hAnsi="Times New Roman"/>
          <w:sz w:val="24"/>
        </w:rPr>
        <w:t>individual life companies and the industry as a whole.</w:t>
      </w:r>
    </w:p>
    <w:p w:rsidR="007E5179" w:rsidRDefault="007E5179" w:rsidP="00ED3C02">
      <w:pPr>
        <w:autoSpaceDE w:val="0"/>
        <w:autoSpaceDN w:val="0"/>
        <w:adjustRightInd w:val="0"/>
        <w:jc w:val="both"/>
        <w:rPr>
          <w:rFonts w:ascii="Times New Roman" w:hAnsi="Times New Roman"/>
          <w:sz w:val="24"/>
        </w:rPr>
      </w:pPr>
    </w:p>
    <w:p w:rsidR="007E5179" w:rsidRDefault="00690E92" w:rsidP="00ED3C02">
      <w:pPr>
        <w:pStyle w:val="Default"/>
        <w:jc w:val="both"/>
        <w:rPr>
          <w:rFonts w:ascii="Times New Roman" w:hAnsi="Times New Roman"/>
        </w:rPr>
      </w:pPr>
      <w:r>
        <w:rPr>
          <w:rFonts w:ascii="Times New Roman" w:hAnsi="Times New Roman" w:cs="Times New Roman"/>
        </w:rPr>
        <w:t xml:space="preserve">In December 2013, </w:t>
      </w:r>
      <w:r w:rsidRPr="00690E92">
        <w:rPr>
          <w:rFonts w:ascii="Times New Roman" w:hAnsi="Times New Roman" w:cs="Times New Roman"/>
        </w:rPr>
        <w:t xml:space="preserve">APRA </w:t>
      </w:r>
      <w:r w:rsidR="00DD68F8" w:rsidRPr="000900B8">
        <w:rPr>
          <w:rFonts w:ascii="Times New Roman" w:hAnsi="Times New Roman" w:cs="Times New Roman"/>
        </w:rPr>
        <w:t xml:space="preserve">consulted with life companies on proposals to collect further information in </w:t>
      </w:r>
      <w:r w:rsidR="00DD68F8" w:rsidRPr="00846211">
        <w:rPr>
          <w:rFonts w:ascii="Times New Roman" w:hAnsi="Times New Roman" w:cs="Times New Roman"/>
          <w:i/>
        </w:rPr>
        <w:t>Reporting Form LRF 117.0 Asset Concentration Risk Charge</w:t>
      </w:r>
      <w:r w:rsidR="00DD68F8" w:rsidRPr="000900B8">
        <w:rPr>
          <w:rFonts w:ascii="Times New Roman" w:hAnsi="Times New Roman" w:cs="Times New Roman"/>
        </w:rPr>
        <w:t xml:space="preserve"> on exposures to reinsurers</w:t>
      </w:r>
      <w:r w:rsidR="0075051E">
        <w:rPr>
          <w:rFonts w:ascii="Times New Roman" w:hAnsi="Times New Roman" w:cs="Times New Roman"/>
        </w:rPr>
        <w:t>.</w:t>
      </w:r>
      <w:r w:rsidR="00DD68F8" w:rsidRPr="000900B8">
        <w:rPr>
          <w:rFonts w:ascii="Times New Roman" w:hAnsi="Times New Roman" w:cs="Times New Roman"/>
        </w:rPr>
        <w:t xml:space="preserve"> </w:t>
      </w:r>
      <w:r w:rsidR="00E1635C" w:rsidRPr="000900B8">
        <w:rPr>
          <w:rFonts w:ascii="Times New Roman" w:hAnsi="Times New Roman" w:cs="Times New Roman"/>
        </w:rPr>
        <w:t>C</w:t>
      </w:r>
      <w:r w:rsidR="00DD68F8" w:rsidRPr="000900B8">
        <w:rPr>
          <w:rFonts w:ascii="Times New Roman" w:hAnsi="Times New Roman" w:cs="Times New Roman"/>
        </w:rPr>
        <w:t xml:space="preserve">hanges to the reporting instructions </w:t>
      </w:r>
      <w:r w:rsidR="00B55578" w:rsidRPr="000900B8">
        <w:rPr>
          <w:rFonts w:ascii="Times New Roman" w:hAnsi="Times New Roman" w:cs="Times New Roman"/>
        </w:rPr>
        <w:t xml:space="preserve">associated with LRS 117 </w:t>
      </w:r>
      <w:r w:rsidR="00E1635C" w:rsidRPr="000900B8">
        <w:rPr>
          <w:rFonts w:ascii="Times New Roman" w:hAnsi="Times New Roman" w:cs="Times New Roman"/>
        </w:rPr>
        <w:t>were</w:t>
      </w:r>
      <w:r w:rsidR="00DD68F8" w:rsidRPr="000900B8">
        <w:rPr>
          <w:rFonts w:ascii="Times New Roman" w:hAnsi="Times New Roman" w:cs="Times New Roman"/>
        </w:rPr>
        <w:t xml:space="preserve"> </w:t>
      </w:r>
      <w:r>
        <w:rPr>
          <w:rFonts w:ascii="Times New Roman" w:hAnsi="Times New Roman" w:cs="Times New Roman"/>
        </w:rPr>
        <w:t>proposed</w:t>
      </w:r>
      <w:r w:rsidRPr="00690E92">
        <w:rPr>
          <w:rFonts w:ascii="Times New Roman" w:hAnsi="Times New Roman" w:cs="Times New Roman"/>
        </w:rPr>
        <w:t xml:space="preserve"> </w:t>
      </w:r>
      <w:r w:rsidR="00E1635C" w:rsidRPr="0075051E">
        <w:rPr>
          <w:rFonts w:ascii="Times New Roman" w:hAnsi="Times New Roman" w:cs="Times New Roman"/>
        </w:rPr>
        <w:t xml:space="preserve">in order </w:t>
      </w:r>
      <w:r w:rsidRPr="00690E92">
        <w:rPr>
          <w:rFonts w:ascii="Times New Roman" w:hAnsi="Times New Roman" w:cs="Times New Roman"/>
        </w:rPr>
        <w:t xml:space="preserve">to enhance </w:t>
      </w:r>
      <w:r w:rsidR="00E1635C" w:rsidRPr="0075051E">
        <w:rPr>
          <w:rFonts w:ascii="Times New Roman" w:hAnsi="Times New Roman" w:cs="Times New Roman"/>
        </w:rPr>
        <w:t>APRA</w:t>
      </w:r>
      <w:r w:rsidR="00E1635C" w:rsidRPr="008466F5">
        <w:rPr>
          <w:rFonts w:ascii="Times New Roman" w:hAnsi="Times New Roman" w:cs="Times New Roman"/>
        </w:rPr>
        <w:t>’s</w:t>
      </w:r>
      <w:r w:rsidR="00E1635C" w:rsidRPr="00690E92">
        <w:rPr>
          <w:rFonts w:ascii="Times New Roman" w:hAnsi="Times New Roman" w:cs="Times New Roman"/>
        </w:rPr>
        <w:t xml:space="preserve"> </w:t>
      </w:r>
      <w:r w:rsidRPr="00690E92">
        <w:rPr>
          <w:rFonts w:ascii="Times New Roman" w:hAnsi="Times New Roman" w:cs="Times New Roman"/>
        </w:rPr>
        <w:t xml:space="preserve">current collection of reinsurance </w:t>
      </w:r>
      <w:r w:rsidRPr="00690E92">
        <w:rPr>
          <w:rFonts w:ascii="Times New Roman" w:hAnsi="Times New Roman" w:cs="Times New Roman"/>
        </w:rPr>
        <w:lastRenderedPageBreak/>
        <w:t xml:space="preserve">counterparty data so that </w:t>
      </w:r>
      <w:r w:rsidR="00E1635C">
        <w:rPr>
          <w:rFonts w:ascii="Times New Roman" w:hAnsi="Times New Roman"/>
        </w:rPr>
        <w:t xml:space="preserve">APRA </w:t>
      </w:r>
      <w:r w:rsidR="00D27E5C">
        <w:rPr>
          <w:rFonts w:ascii="Times New Roman" w:hAnsi="Times New Roman"/>
        </w:rPr>
        <w:t>could</w:t>
      </w:r>
      <w:r w:rsidR="00D27E5C" w:rsidRPr="00690E92">
        <w:rPr>
          <w:rFonts w:ascii="Times New Roman" w:hAnsi="Times New Roman" w:cs="Times New Roman"/>
        </w:rPr>
        <w:t xml:space="preserve"> </w:t>
      </w:r>
      <w:r w:rsidRPr="00690E92">
        <w:rPr>
          <w:rFonts w:ascii="Times New Roman" w:hAnsi="Times New Roman" w:cs="Times New Roman"/>
        </w:rPr>
        <w:t xml:space="preserve">better assess the impact of a reinsurer failure on the capital coverage of individual life </w:t>
      </w:r>
      <w:r w:rsidR="002B5BA2">
        <w:rPr>
          <w:rFonts w:ascii="Times New Roman" w:hAnsi="Times New Roman" w:cs="Times New Roman"/>
        </w:rPr>
        <w:t>companies</w:t>
      </w:r>
      <w:r w:rsidRPr="00690E92">
        <w:rPr>
          <w:rFonts w:ascii="Times New Roman" w:hAnsi="Times New Roman" w:cs="Times New Roman"/>
        </w:rPr>
        <w:t xml:space="preserve"> and for the industry as a whole.</w:t>
      </w:r>
    </w:p>
    <w:p w:rsidR="009E1F33" w:rsidRDefault="009E1F33" w:rsidP="000900B8">
      <w:pPr>
        <w:autoSpaceDE w:val="0"/>
        <w:autoSpaceDN w:val="0"/>
        <w:adjustRightInd w:val="0"/>
      </w:pPr>
    </w:p>
    <w:p w:rsidR="005941E1" w:rsidRPr="008466F5" w:rsidRDefault="007E5179" w:rsidP="000900B8">
      <w:pPr>
        <w:tabs>
          <w:tab w:val="left" w:pos="567"/>
        </w:tabs>
        <w:autoSpaceDE w:val="0"/>
        <w:autoSpaceDN w:val="0"/>
        <w:adjustRightInd w:val="0"/>
        <w:ind w:left="567" w:hanging="567"/>
        <w:rPr>
          <w:rFonts w:ascii="Times New Roman" w:hAnsi="Times New Roman"/>
          <w:sz w:val="24"/>
        </w:rPr>
      </w:pPr>
      <w:r>
        <w:rPr>
          <w:rFonts w:ascii="Times New Roman" w:hAnsi="Times New Roman"/>
          <w:b/>
          <w:sz w:val="24"/>
        </w:rPr>
        <w:t>2.</w:t>
      </w:r>
      <w:r>
        <w:rPr>
          <w:rFonts w:ascii="Times New Roman" w:hAnsi="Times New Roman"/>
          <w:b/>
          <w:sz w:val="24"/>
        </w:rPr>
        <w:tab/>
      </w:r>
      <w:r w:rsidR="008B7528" w:rsidRPr="000900B8">
        <w:rPr>
          <w:rFonts w:ascii="Times New Roman" w:hAnsi="Times New Roman"/>
          <w:b/>
          <w:sz w:val="24"/>
        </w:rPr>
        <w:t>Purpose of the instrument</w:t>
      </w:r>
    </w:p>
    <w:p w:rsidR="003A551B" w:rsidRPr="003A551B" w:rsidRDefault="00690E92" w:rsidP="007A255D">
      <w:pPr>
        <w:pStyle w:val="Heading"/>
        <w:jc w:val="both"/>
        <w:rPr>
          <w:rFonts w:ascii="Times New Roman" w:hAnsi="Times New Roman" w:cs="Times New Roman"/>
          <w:b w:val="0"/>
          <w:sz w:val="24"/>
          <w:szCs w:val="24"/>
        </w:rPr>
      </w:pPr>
      <w:bookmarkStart w:id="7" w:name="bkPurpose"/>
      <w:bookmarkEnd w:id="7"/>
      <w:r>
        <w:rPr>
          <w:rFonts w:ascii="Times New Roman" w:hAnsi="Times New Roman" w:cs="Times New Roman"/>
          <w:b w:val="0"/>
          <w:sz w:val="24"/>
          <w:szCs w:val="24"/>
        </w:rPr>
        <w:t xml:space="preserve">The purpose of making </w:t>
      </w:r>
      <w:r w:rsidR="006F6137">
        <w:rPr>
          <w:rFonts w:ascii="Times New Roman" w:hAnsi="Times New Roman" w:cs="Times New Roman"/>
          <w:b w:val="0"/>
          <w:sz w:val="24"/>
          <w:szCs w:val="24"/>
        </w:rPr>
        <w:t>the instrument</w:t>
      </w:r>
      <w:r w:rsidR="006D02E1" w:rsidRPr="006D02E1">
        <w:rPr>
          <w:rFonts w:ascii="Times New Roman" w:hAnsi="Times New Roman" w:cs="Times New Roman"/>
          <w:b w:val="0"/>
          <w:sz w:val="24"/>
          <w:szCs w:val="24"/>
        </w:rPr>
        <w:t xml:space="preserve"> </w:t>
      </w:r>
      <w:r w:rsidR="006D02E1">
        <w:rPr>
          <w:rFonts w:ascii="Times New Roman" w:hAnsi="Times New Roman" w:cs="Times New Roman"/>
          <w:b w:val="0"/>
          <w:sz w:val="24"/>
          <w:szCs w:val="24"/>
        </w:rPr>
        <w:t xml:space="preserve">is to implement </w:t>
      </w:r>
      <w:r w:rsidR="00324B6C">
        <w:rPr>
          <w:rFonts w:ascii="Times New Roman" w:hAnsi="Times New Roman" w:cs="Times New Roman"/>
          <w:b w:val="0"/>
          <w:sz w:val="24"/>
          <w:szCs w:val="24"/>
        </w:rPr>
        <w:t>the proposal discussed in Section 1</w:t>
      </w:r>
      <w:r w:rsidR="00633B54">
        <w:rPr>
          <w:rFonts w:ascii="Times New Roman" w:hAnsi="Times New Roman" w:cs="Times New Roman"/>
          <w:b w:val="0"/>
          <w:sz w:val="24"/>
          <w:szCs w:val="24"/>
        </w:rPr>
        <w:t>,</w:t>
      </w:r>
      <w:r w:rsidR="006D02E1">
        <w:rPr>
          <w:rFonts w:ascii="Times New Roman" w:hAnsi="Times New Roman" w:cs="Times New Roman"/>
          <w:b w:val="0"/>
          <w:sz w:val="24"/>
          <w:szCs w:val="24"/>
        </w:rPr>
        <w:t xml:space="preserve"> to collect reinsurance counterparty information by</w:t>
      </w:r>
      <w:r>
        <w:rPr>
          <w:rFonts w:ascii="Times New Roman" w:hAnsi="Times New Roman" w:cs="Times New Roman"/>
          <w:b w:val="0"/>
          <w:sz w:val="24"/>
          <w:szCs w:val="24"/>
        </w:rPr>
        <w:t xml:space="preserve"> </w:t>
      </w:r>
      <w:r w:rsidR="008B1853">
        <w:rPr>
          <w:rFonts w:ascii="Times New Roman" w:hAnsi="Times New Roman" w:cs="Times New Roman"/>
          <w:b w:val="0"/>
          <w:sz w:val="24"/>
          <w:szCs w:val="24"/>
        </w:rPr>
        <w:t>amend</w:t>
      </w:r>
      <w:r w:rsidR="006D02E1">
        <w:rPr>
          <w:rFonts w:ascii="Times New Roman" w:hAnsi="Times New Roman" w:cs="Times New Roman"/>
          <w:b w:val="0"/>
          <w:sz w:val="24"/>
          <w:szCs w:val="24"/>
        </w:rPr>
        <w:t>ing</w:t>
      </w:r>
      <w:r w:rsidR="008B1853">
        <w:rPr>
          <w:rFonts w:ascii="Times New Roman" w:hAnsi="Times New Roman" w:cs="Times New Roman"/>
          <w:b w:val="0"/>
          <w:sz w:val="24"/>
          <w:szCs w:val="24"/>
        </w:rPr>
        <w:t xml:space="preserve"> the reporting instructions</w:t>
      </w:r>
      <w:r w:rsidR="006D02E1">
        <w:rPr>
          <w:rFonts w:ascii="Times New Roman" w:hAnsi="Times New Roman" w:cs="Times New Roman"/>
          <w:b w:val="0"/>
          <w:sz w:val="24"/>
          <w:szCs w:val="24"/>
        </w:rPr>
        <w:t xml:space="preserve"> associated with</w:t>
      </w:r>
      <w:r w:rsidR="008B1853">
        <w:rPr>
          <w:rFonts w:ascii="Times New Roman" w:hAnsi="Times New Roman" w:cs="Times New Roman"/>
          <w:b w:val="0"/>
          <w:sz w:val="24"/>
          <w:szCs w:val="24"/>
        </w:rPr>
        <w:t xml:space="preserve"> </w:t>
      </w:r>
      <w:r w:rsidR="00EE5F73">
        <w:rPr>
          <w:rFonts w:ascii="Times New Roman" w:hAnsi="Times New Roman" w:cs="Times New Roman"/>
          <w:b w:val="0"/>
          <w:sz w:val="24"/>
          <w:szCs w:val="24"/>
        </w:rPr>
        <w:t>LRS 117</w:t>
      </w:r>
      <w:r w:rsidR="006D02E1">
        <w:rPr>
          <w:rFonts w:ascii="Times New Roman" w:hAnsi="Times New Roman" w:cs="Times New Roman"/>
          <w:b w:val="0"/>
          <w:sz w:val="24"/>
          <w:szCs w:val="24"/>
        </w:rPr>
        <w:t>.</w:t>
      </w:r>
      <w:r w:rsidR="00EE5F73">
        <w:rPr>
          <w:rFonts w:ascii="Times New Roman" w:hAnsi="Times New Roman" w:cs="Times New Roman"/>
          <w:b w:val="0"/>
          <w:sz w:val="24"/>
          <w:szCs w:val="24"/>
        </w:rPr>
        <w:t xml:space="preserve"> </w:t>
      </w:r>
    </w:p>
    <w:p w:rsidR="008B7528" w:rsidRDefault="00056DFC" w:rsidP="007A255D">
      <w:pPr>
        <w:pStyle w:val="Heading"/>
        <w:ind w:left="567" w:hanging="567"/>
        <w:jc w:val="both"/>
        <w:rPr>
          <w:rFonts w:ascii="Times New Roman" w:hAnsi="Times New Roman" w:cs="Times New Roman"/>
          <w:sz w:val="24"/>
          <w:szCs w:val="24"/>
        </w:rPr>
      </w:pPr>
      <w:bookmarkStart w:id="8" w:name="bk3Operation"/>
      <w:r>
        <w:rPr>
          <w:rFonts w:ascii="Times New Roman" w:hAnsi="Times New Roman" w:cs="Times New Roman"/>
          <w:sz w:val="24"/>
          <w:szCs w:val="24"/>
        </w:rPr>
        <w:t>3.</w:t>
      </w:r>
      <w:r w:rsidR="0083482E">
        <w:rPr>
          <w:rFonts w:ascii="Times New Roman" w:hAnsi="Times New Roman" w:cs="Times New Roman"/>
          <w:sz w:val="24"/>
          <w:szCs w:val="24"/>
        </w:rPr>
        <w:tab/>
      </w:r>
      <w:r w:rsidR="008B7528">
        <w:rPr>
          <w:rFonts w:ascii="Times New Roman" w:hAnsi="Times New Roman" w:cs="Times New Roman"/>
          <w:sz w:val="24"/>
          <w:szCs w:val="24"/>
        </w:rPr>
        <w:t>Operation of the instrument</w:t>
      </w:r>
    </w:p>
    <w:p w:rsidR="00F41DBD" w:rsidRPr="008466F5" w:rsidRDefault="00EE5F73" w:rsidP="000900B8">
      <w:pPr>
        <w:spacing w:before="100" w:beforeAutospacing="1" w:after="100" w:afterAutospacing="1"/>
        <w:jc w:val="both"/>
        <w:rPr>
          <w:rFonts w:ascii="Times New Roman" w:hAnsi="Times New Roman"/>
          <w:sz w:val="24"/>
          <w:lang w:eastAsia="en-AU"/>
        </w:rPr>
      </w:pPr>
      <w:bookmarkStart w:id="9" w:name="bkoperation"/>
      <w:bookmarkEnd w:id="8"/>
      <w:bookmarkEnd w:id="9"/>
      <w:r w:rsidRPr="00EE5F73">
        <w:rPr>
          <w:rFonts w:ascii="Times New Roman" w:hAnsi="Times New Roman"/>
          <w:sz w:val="24"/>
          <w:lang w:eastAsia="en-AU"/>
        </w:rPr>
        <w:t xml:space="preserve">The new </w:t>
      </w:r>
      <w:r>
        <w:rPr>
          <w:rFonts w:ascii="Times New Roman" w:hAnsi="Times New Roman"/>
          <w:sz w:val="24"/>
          <w:lang w:eastAsia="en-AU"/>
        </w:rPr>
        <w:t xml:space="preserve">reporting standard is issued under FSCODA. The </w:t>
      </w:r>
      <w:r w:rsidR="00324B6C">
        <w:rPr>
          <w:rFonts w:ascii="Times New Roman" w:hAnsi="Times New Roman"/>
          <w:sz w:val="24"/>
          <w:lang w:eastAsia="en-AU"/>
        </w:rPr>
        <w:t xml:space="preserve">determination of the </w:t>
      </w:r>
      <w:r>
        <w:rPr>
          <w:rFonts w:ascii="Times New Roman" w:hAnsi="Times New Roman"/>
          <w:sz w:val="24"/>
          <w:lang w:eastAsia="en-AU"/>
        </w:rPr>
        <w:t>reporting standard</w:t>
      </w:r>
      <w:r w:rsidRPr="00EE5F73">
        <w:rPr>
          <w:rFonts w:ascii="Times New Roman" w:hAnsi="Times New Roman"/>
          <w:sz w:val="24"/>
          <w:lang w:eastAsia="en-AU"/>
        </w:rPr>
        <w:t xml:space="preserve"> enable</w:t>
      </w:r>
      <w:r>
        <w:rPr>
          <w:rFonts w:ascii="Times New Roman" w:hAnsi="Times New Roman"/>
          <w:sz w:val="24"/>
          <w:lang w:eastAsia="en-AU"/>
        </w:rPr>
        <w:t>s</w:t>
      </w:r>
      <w:r w:rsidRPr="00EE5F73">
        <w:rPr>
          <w:rFonts w:ascii="Times New Roman" w:hAnsi="Times New Roman"/>
          <w:sz w:val="24"/>
          <w:lang w:eastAsia="en-AU"/>
        </w:rPr>
        <w:t xml:space="preserve"> the </w:t>
      </w:r>
      <w:r w:rsidR="006D02E1">
        <w:rPr>
          <w:rFonts w:ascii="Times New Roman" w:hAnsi="Times New Roman"/>
          <w:sz w:val="24"/>
          <w:lang w:eastAsia="en-AU"/>
        </w:rPr>
        <w:t>amende</w:t>
      </w:r>
      <w:r w:rsidR="00324B6C">
        <w:rPr>
          <w:rFonts w:ascii="Times New Roman" w:hAnsi="Times New Roman"/>
          <w:sz w:val="24"/>
          <w:lang w:eastAsia="en-AU"/>
        </w:rPr>
        <w:t>d reporting instructions under L</w:t>
      </w:r>
      <w:r w:rsidR="006D02E1">
        <w:rPr>
          <w:rFonts w:ascii="Times New Roman" w:hAnsi="Times New Roman"/>
          <w:sz w:val="24"/>
          <w:lang w:eastAsia="en-AU"/>
        </w:rPr>
        <w:t>RS 117</w:t>
      </w:r>
      <w:r w:rsidRPr="00EE5F73">
        <w:rPr>
          <w:rFonts w:ascii="Times New Roman" w:hAnsi="Times New Roman"/>
          <w:sz w:val="24"/>
          <w:lang w:eastAsia="en-AU"/>
        </w:rPr>
        <w:t xml:space="preserve"> to take </w:t>
      </w:r>
      <w:r w:rsidRPr="00F41DBD">
        <w:rPr>
          <w:rFonts w:ascii="Times New Roman" w:hAnsi="Times New Roman"/>
          <w:sz w:val="24"/>
          <w:lang w:eastAsia="en-AU"/>
        </w:rPr>
        <w:t>effect.</w:t>
      </w:r>
      <w:r w:rsidR="000900B8">
        <w:rPr>
          <w:rFonts w:ascii="Times New Roman" w:hAnsi="Times New Roman"/>
          <w:sz w:val="24"/>
          <w:lang w:eastAsia="en-AU"/>
        </w:rPr>
        <w:t xml:space="preserve"> </w:t>
      </w:r>
      <w:r w:rsidR="006D02E1" w:rsidRPr="00F41DBD">
        <w:rPr>
          <w:rFonts w:ascii="Times New Roman" w:hAnsi="Times New Roman"/>
          <w:sz w:val="24"/>
          <w:lang w:eastAsia="en-AU"/>
        </w:rPr>
        <w:t>This instrument c</w:t>
      </w:r>
      <w:r w:rsidRPr="00F41DBD">
        <w:rPr>
          <w:rFonts w:ascii="Times New Roman" w:hAnsi="Times New Roman"/>
          <w:sz w:val="24"/>
          <w:lang w:eastAsia="en-AU"/>
        </w:rPr>
        <w:t>ommence</w:t>
      </w:r>
      <w:r w:rsidR="006D02E1" w:rsidRPr="00F41DBD">
        <w:rPr>
          <w:rFonts w:ascii="Times New Roman" w:hAnsi="Times New Roman"/>
          <w:sz w:val="24"/>
          <w:lang w:eastAsia="en-AU"/>
        </w:rPr>
        <w:t>s</w:t>
      </w:r>
      <w:r w:rsidRPr="00F41DBD">
        <w:rPr>
          <w:rFonts w:ascii="Times New Roman" w:hAnsi="Times New Roman"/>
          <w:sz w:val="24"/>
          <w:lang w:eastAsia="en-AU"/>
        </w:rPr>
        <w:t xml:space="preserve"> for the reporting periods ending on or after </w:t>
      </w:r>
      <w:r w:rsidR="00633B54" w:rsidRPr="00F41DBD">
        <w:rPr>
          <w:rFonts w:ascii="Times New Roman" w:hAnsi="Times New Roman"/>
          <w:sz w:val="24"/>
          <w:lang w:eastAsia="en-AU"/>
        </w:rPr>
        <w:t>30 June 2015</w:t>
      </w:r>
      <w:r w:rsidRPr="008466F5">
        <w:rPr>
          <w:rFonts w:ascii="Times New Roman" w:hAnsi="Times New Roman"/>
          <w:sz w:val="24"/>
          <w:lang w:eastAsia="en-AU"/>
        </w:rPr>
        <w:t>.</w:t>
      </w:r>
      <w:r w:rsidR="00F41DBD" w:rsidRPr="008466F5">
        <w:rPr>
          <w:rFonts w:ascii="Times New Roman" w:hAnsi="Times New Roman"/>
          <w:sz w:val="24"/>
          <w:lang w:eastAsia="en-AU"/>
        </w:rPr>
        <w:t xml:space="preserve"> </w:t>
      </w:r>
    </w:p>
    <w:p w:rsidR="00F41DBD" w:rsidRDefault="00F41DBD" w:rsidP="00F41DBD">
      <w:pPr>
        <w:pStyle w:val="Heading"/>
        <w:ind w:left="567" w:hanging="567"/>
        <w:jc w:val="both"/>
        <w:rPr>
          <w:rFonts w:ascii="Times New Roman" w:hAnsi="Times New Roman" w:cs="Times New Roman"/>
          <w:sz w:val="24"/>
          <w:szCs w:val="24"/>
        </w:rPr>
      </w:pPr>
      <w:r>
        <w:rPr>
          <w:rFonts w:ascii="Times New Roman" w:hAnsi="Times New Roman"/>
          <w:sz w:val="24"/>
          <w:lang w:eastAsia="en-AU"/>
        </w:rPr>
        <w:t xml:space="preserve"> </w:t>
      </w:r>
      <w:r>
        <w:rPr>
          <w:rFonts w:ascii="Times New Roman" w:hAnsi="Times New Roman" w:cs="Times New Roman"/>
          <w:sz w:val="24"/>
          <w:szCs w:val="24"/>
        </w:rPr>
        <w:t>4.</w:t>
      </w:r>
      <w:r>
        <w:rPr>
          <w:rFonts w:ascii="Times New Roman" w:hAnsi="Times New Roman" w:cs="Times New Roman"/>
          <w:sz w:val="24"/>
          <w:szCs w:val="24"/>
        </w:rPr>
        <w:tab/>
        <w:t>Consultation</w:t>
      </w:r>
    </w:p>
    <w:p w:rsidR="00F41DBD" w:rsidRDefault="00F41DBD" w:rsidP="00F41DBD">
      <w:pPr>
        <w:pStyle w:val="Heading"/>
        <w:jc w:val="both"/>
        <w:rPr>
          <w:rFonts w:ascii="Times New Roman" w:hAnsi="Times New Roman" w:cs="Times New Roman"/>
          <w:b w:val="0"/>
          <w:sz w:val="24"/>
          <w:szCs w:val="24"/>
        </w:rPr>
      </w:pPr>
      <w:r>
        <w:rPr>
          <w:rFonts w:ascii="Times New Roman" w:hAnsi="Times New Roman" w:cs="Times New Roman"/>
          <w:b w:val="0"/>
          <w:sz w:val="24"/>
          <w:szCs w:val="24"/>
        </w:rPr>
        <w:t>APRA consulted with life companies through a letter released on 16 December 2013 which included proposed amendments to the reporting instructions associated with LRS 117.  The consultation period was for 13 weeks.</w:t>
      </w:r>
    </w:p>
    <w:p w:rsidR="00F41DBD" w:rsidRDefault="00F41DBD" w:rsidP="00F41DBD">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APRA received two submissions on proposals to collect further information on exposures to reinsurers both before and after the application of insurance risk charge stresses. </w:t>
      </w:r>
    </w:p>
    <w:p w:rsidR="00F41DBD" w:rsidRDefault="00F41DBD" w:rsidP="00F41DBD">
      <w:pPr>
        <w:pStyle w:val="Heading"/>
        <w:jc w:val="both"/>
        <w:rPr>
          <w:rFonts w:ascii="Times New Roman" w:hAnsi="Times New Roman" w:cs="Times New Roman"/>
          <w:b w:val="0"/>
          <w:sz w:val="24"/>
          <w:szCs w:val="24"/>
        </w:rPr>
      </w:pPr>
      <w:r>
        <w:rPr>
          <w:rFonts w:ascii="Times New Roman" w:hAnsi="Times New Roman" w:cs="Times New Roman"/>
          <w:b w:val="0"/>
          <w:sz w:val="24"/>
          <w:szCs w:val="24"/>
        </w:rPr>
        <w:t>Submissions supported the initiative but sought further clarification on certain aspects of the data collection. These included the reporting methodology to be used, the layout of the reporting form and data confidentiality.</w:t>
      </w:r>
    </w:p>
    <w:p w:rsidR="00F41DBD" w:rsidRPr="00BB1CD4" w:rsidRDefault="00FA6263" w:rsidP="00F41DBD">
      <w:pPr>
        <w:pStyle w:val="Heading"/>
        <w:jc w:val="both"/>
        <w:rPr>
          <w:rFonts w:ascii="Times New Roman" w:hAnsi="Times New Roman" w:cs="Times New Roman"/>
          <w:b w:val="0"/>
          <w:sz w:val="24"/>
          <w:szCs w:val="24"/>
        </w:rPr>
      </w:pPr>
      <w:r>
        <w:rPr>
          <w:rFonts w:ascii="Times New Roman" w:hAnsi="Times New Roman" w:cs="Times New Roman"/>
          <w:b w:val="0"/>
          <w:sz w:val="24"/>
          <w:szCs w:val="24"/>
        </w:rPr>
        <w:t>In a letter to all life companies on 23 December 2014</w:t>
      </w:r>
      <w:r w:rsidR="000900B8">
        <w:rPr>
          <w:rFonts w:ascii="Times New Roman" w:hAnsi="Times New Roman" w:cs="Times New Roman"/>
          <w:b w:val="0"/>
          <w:sz w:val="24"/>
          <w:szCs w:val="24"/>
        </w:rPr>
        <w:t xml:space="preserve">, </w:t>
      </w:r>
      <w:r w:rsidR="00F41DBD">
        <w:rPr>
          <w:rFonts w:ascii="Times New Roman" w:hAnsi="Times New Roman" w:cs="Times New Roman"/>
          <w:b w:val="0"/>
          <w:sz w:val="24"/>
          <w:szCs w:val="24"/>
        </w:rPr>
        <w:t xml:space="preserve">APRA </w:t>
      </w:r>
      <w:r w:rsidR="000900B8">
        <w:rPr>
          <w:rFonts w:ascii="Times New Roman" w:hAnsi="Times New Roman" w:cs="Times New Roman"/>
          <w:b w:val="0"/>
          <w:sz w:val="24"/>
          <w:szCs w:val="24"/>
        </w:rPr>
        <w:t>responded</w:t>
      </w:r>
      <w:r w:rsidR="00F41DBD">
        <w:rPr>
          <w:rFonts w:ascii="Times New Roman" w:hAnsi="Times New Roman" w:cs="Times New Roman"/>
          <w:b w:val="0"/>
          <w:sz w:val="24"/>
          <w:szCs w:val="24"/>
        </w:rPr>
        <w:t xml:space="preserve"> to </w:t>
      </w:r>
      <w:r>
        <w:rPr>
          <w:rFonts w:ascii="Times New Roman" w:hAnsi="Times New Roman" w:cs="Times New Roman"/>
          <w:b w:val="0"/>
          <w:sz w:val="24"/>
          <w:szCs w:val="24"/>
        </w:rPr>
        <w:t xml:space="preserve">these </w:t>
      </w:r>
      <w:r w:rsidR="00F41DBD">
        <w:rPr>
          <w:rFonts w:ascii="Times New Roman" w:hAnsi="Times New Roman" w:cs="Times New Roman"/>
          <w:b w:val="0"/>
          <w:sz w:val="24"/>
          <w:szCs w:val="24"/>
        </w:rPr>
        <w:t xml:space="preserve">submissions </w:t>
      </w:r>
      <w:r>
        <w:rPr>
          <w:rFonts w:ascii="Times New Roman" w:hAnsi="Times New Roman" w:cs="Times New Roman"/>
          <w:b w:val="0"/>
          <w:sz w:val="24"/>
          <w:szCs w:val="24"/>
        </w:rPr>
        <w:t>and</w:t>
      </w:r>
      <w:r w:rsidDel="00FA6263">
        <w:rPr>
          <w:rFonts w:ascii="Times New Roman" w:hAnsi="Times New Roman" w:cs="Times New Roman"/>
          <w:b w:val="0"/>
          <w:sz w:val="24"/>
          <w:szCs w:val="24"/>
        </w:rPr>
        <w:t xml:space="preserve"> </w:t>
      </w:r>
      <w:r>
        <w:rPr>
          <w:rFonts w:ascii="Times New Roman" w:hAnsi="Times New Roman" w:cs="Times New Roman"/>
          <w:b w:val="0"/>
          <w:sz w:val="24"/>
          <w:szCs w:val="24"/>
        </w:rPr>
        <w:t xml:space="preserve">outlined its final position. </w:t>
      </w:r>
    </w:p>
    <w:p w:rsidR="002E4916" w:rsidRDefault="002E4916" w:rsidP="007A255D">
      <w:pPr>
        <w:pStyle w:val="Heading"/>
        <w:ind w:left="567" w:hanging="567"/>
        <w:jc w:val="both"/>
        <w:rPr>
          <w:rFonts w:ascii="Times New Roman" w:hAnsi="Times New Roman" w:cs="Times New Roman"/>
          <w:sz w:val="24"/>
          <w:szCs w:val="24"/>
        </w:rPr>
      </w:pPr>
      <w:bookmarkStart w:id="10" w:name="bkConsultationNo"/>
      <w:bookmarkStart w:id="11" w:name="bkRISNO"/>
      <w:bookmarkEnd w:id="10"/>
      <w:bookmarkEnd w:id="11"/>
      <w:r>
        <w:rPr>
          <w:rFonts w:ascii="Times New Roman" w:hAnsi="Times New Roman" w:cs="Times New Roman"/>
          <w:sz w:val="24"/>
          <w:szCs w:val="24"/>
        </w:rPr>
        <w:t>5.</w:t>
      </w:r>
      <w:r>
        <w:rPr>
          <w:rFonts w:ascii="Times New Roman" w:hAnsi="Times New Roman" w:cs="Times New Roman"/>
          <w:sz w:val="24"/>
          <w:szCs w:val="24"/>
        </w:rPr>
        <w:tab/>
        <w:t>Regulation Impact Statement</w:t>
      </w:r>
    </w:p>
    <w:p w:rsidR="006B4444" w:rsidRDefault="002E4916" w:rsidP="007A255D">
      <w:pPr>
        <w:pStyle w:val="Heading"/>
        <w:jc w:val="both"/>
        <w:rPr>
          <w:rFonts w:ascii="Times New Roman" w:hAnsi="Times New Roman" w:cs="Times New Roman"/>
          <w:b w:val="0"/>
          <w:sz w:val="24"/>
          <w:szCs w:val="24"/>
        </w:rPr>
      </w:pPr>
      <w:r w:rsidRPr="002E4916">
        <w:rPr>
          <w:rFonts w:ascii="Times New Roman" w:hAnsi="Times New Roman" w:cs="Times New Roman"/>
          <w:b w:val="0"/>
          <w:sz w:val="24"/>
          <w:szCs w:val="24"/>
        </w:rPr>
        <w:t>The Office of Best Practice Regulation has advised that a Regulation Impact Statement is not required for this legislative instrument.</w:t>
      </w:r>
    </w:p>
    <w:p w:rsidR="00D22D14" w:rsidRDefault="002E4916" w:rsidP="007A255D">
      <w:pPr>
        <w:pStyle w:val="Heading"/>
        <w:ind w:left="567" w:hanging="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2E4916">
        <w:rPr>
          <w:rFonts w:ascii="Times New Roman" w:hAnsi="Times New Roman" w:cs="Times New Roman"/>
          <w:sz w:val="24"/>
          <w:szCs w:val="24"/>
        </w:rPr>
        <w:t>Statement of compatibility prepared in accordance with Part 3 of the Human Rights (Parliamentary Scrutiny) Act 2011</w:t>
      </w:r>
    </w:p>
    <w:p w:rsidR="002E4916" w:rsidRPr="002E4916" w:rsidRDefault="002E4916" w:rsidP="007A255D">
      <w:pPr>
        <w:pStyle w:val="Heading"/>
        <w:jc w:val="both"/>
        <w:rPr>
          <w:rFonts w:ascii="Times New Roman" w:hAnsi="Times New Roman" w:cs="Times New Roman"/>
          <w:b w:val="0"/>
          <w:sz w:val="24"/>
          <w:szCs w:val="24"/>
        </w:rPr>
      </w:pPr>
      <w:r w:rsidRPr="002E4916">
        <w:rPr>
          <w:rFonts w:ascii="Times New Roman" w:hAnsi="Times New Roman" w:cs="Times New Roman"/>
          <w:b w:val="0"/>
          <w:sz w:val="24"/>
          <w:szCs w:val="24"/>
        </w:rPr>
        <w:t xml:space="preserve">A Statement of compatibility prepared in accordance </w:t>
      </w:r>
      <w:r w:rsidR="007A255D">
        <w:rPr>
          <w:rFonts w:ascii="Times New Roman" w:hAnsi="Times New Roman" w:cs="Times New Roman"/>
          <w:b w:val="0"/>
          <w:sz w:val="24"/>
          <w:szCs w:val="24"/>
        </w:rPr>
        <w:t xml:space="preserve">with Part 3 of the Human Rights </w:t>
      </w:r>
      <w:r w:rsidRPr="002E4916">
        <w:rPr>
          <w:rFonts w:ascii="Times New Roman" w:hAnsi="Times New Roman" w:cs="Times New Roman"/>
          <w:b w:val="0"/>
          <w:sz w:val="24"/>
          <w:szCs w:val="24"/>
        </w:rPr>
        <w:t>(Parliamentary Scrutiny) Act 2011 is p</w:t>
      </w:r>
      <w:r>
        <w:rPr>
          <w:rFonts w:ascii="Times New Roman" w:hAnsi="Times New Roman" w:cs="Times New Roman"/>
          <w:b w:val="0"/>
          <w:sz w:val="24"/>
          <w:szCs w:val="24"/>
        </w:rPr>
        <w:t xml:space="preserve">rovided at Attachment A to this </w:t>
      </w:r>
      <w:r w:rsidRPr="002E4916">
        <w:rPr>
          <w:rFonts w:ascii="Times New Roman" w:hAnsi="Times New Roman" w:cs="Times New Roman"/>
          <w:b w:val="0"/>
          <w:sz w:val="24"/>
          <w:szCs w:val="24"/>
        </w:rPr>
        <w:t>Explanatory Statement.</w:t>
      </w:r>
    </w:p>
    <w:p w:rsidR="002E4916" w:rsidRPr="002E4916" w:rsidRDefault="00633B54" w:rsidP="007A255D">
      <w:pPr>
        <w:pStyle w:val="Heading"/>
        <w:tabs>
          <w:tab w:val="left" w:pos="0"/>
        </w:tabs>
        <w:jc w:val="both"/>
        <w:rPr>
          <w:rFonts w:ascii="Times New Roman" w:hAnsi="Times New Roman" w:cs="Times New Roman"/>
          <w:b w:val="0"/>
          <w:sz w:val="24"/>
          <w:szCs w:val="24"/>
        </w:rPr>
      </w:pPr>
      <w:r>
        <w:rPr>
          <w:rFonts w:ascii="Times New Roman" w:hAnsi="Times New Roman" w:cs="Times New Roman"/>
          <w:b w:val="0"/>
          <w:sz w:val="24"/>
          <w:szCs w:val="24"/>
        </w:rPr>
        <w:t>This legislative instrument</w:t>
      </w:r>
      <w:r w:rsidR="002E4916" w:rsidRPr="002E4916">
        <w:rPr>
          <w:rFonts w:ascii="Times New Roman" w:hAnsi="Times New Roman" w:cs="Times New Roman"/>
          <w:b w:val="0"/>
          <w:sz w:val="24"/>
          <w:szCs w:val="24"/>
        </w:rPr>
        <w:t xml:space="preserve"> do</w:t>
      </w:r>
      <w:r>
        <w:rPr>
          <w:rFonts w:ascii="Times New Roman" w:hAnsi="Times New Roman" w:cs="Times New Roman"/>
          <w:b w:val="0"/>
          <w:sz w:val="24"/>
          <w:szCs w:val="24"/>
        </w:rPr>
        <w:t>es</w:t>
      </w:r>
      <w:r w:rsidR="002E4916" w:rsidRPr="002E4916">
        <w:rPr>
          <w:rFonts w:ascii="Times New Roman" w:hAnsi="Times New Roman" w:cs="Times New Roman"/>
          <w:b w:val="0"/>
          <w:sz w:val="24"/>
          <w:szCs w:val="24"/>
        </w:rPr>
        <w:t xml:space="preserve"> not engage any of the applicable rights or freedoms recognised or declared in the international instruments listed in section 3 of the Human Rights (Parliamentary Scrutiny) Act 2011. Accordingly, in APRA’s assessment, the instrument </w:t>
      </w:r>
      <w:r>
        <w:rPr>
          <w:rFonts w:ascii="Times New Roman" w:hAnsi="Times New Roman" w:cs="Times New Roman"/>
          <w:b w:val="0"/>
          <w:sz w:val="24"/>
          <w:szCs w:val="24"/>
        </w:rPr>
        <w:t>is</w:t>
      </w:r>
      <w:r w:rsidR="002E4916" w:rsidRPr="002E4916">
        <w:rPr>
          <w:rFonts w:ascii="Times New Roman" w:hAnsi="Times New Roman" w:cs="Times New Roman"/>
          <w:b w:val="0"/>
          <w:sz w:val="24"/>
          <w:szCs w:val="24"/>
        </w:rPr>
        <w:t xml:space="preserve"> compatible with human rights.</w:t>
      </w:r>
    </w:p>
    <w:p w:rsidR="00690E92" w:rsidRDefault="00690E92">
      <w:pPr>
        <w:rPr>
          <w:rFonts w:ascii="Times New Roman" w:hAnsi="Times New Roman"/>
          <w:b/>
          <w:sz w:val="24"/>
          <w:u w:val="single"/>
          <w:lang w:val="en-GB" w:eastAsia="en-AU"/>
        </w:rPr>
      </w:pPr>
      <w:r>
        <w:rPr>
          <w:rFonts w:ascii="Times New Roman" w:hAnsi="Times New Roman"/>
          <w:b/>
          <w:sz w:val="24"/>
          <w:u w:val="single"/>
          <w:lang w:val="en-GB" w:eastAsia="en-AU"/>
        </w:rPr>
        <w:br w:type="page"/>
      </w:r>
    </w:p>
    <w:p w:rsidR="00C17CBD" w:rsidRPr="00C17CBD" w:rsidRDefault="00C17CBD" w:rsidP="00C17CBD">
      <w:pPr>
        <w:spacing w:after="240"/>
        <w:jc w:val="both"/>
        <w:rPr>
          <w:rFonts w:ascii="Times New Roman" w:hAnsi="Times New Roman"/>
          <w:b/>
          <w:sz w:val="24"/>
          <w:lang w:eastAsia="en-AU"/>
        </w:rPr>
      </w:pPr>
      <w:r w:rsidRPr="00C17CBD">
        <w:rPr>
          <w:rFonts w:ascii="Times New Roman" w:hAnsi="Times New Roman"/>
          <w:b/>
          <w:sz w:val="24"/>
          <w:u w:val="single"/>
          <w:lang w:val="en-GB" w:eastAsia="en-AU"/>
        </w:rPr>
        <w:lastRenderedPageBreak/>
        <w:t>ATTACHMENT A</w:t>
      </w:r>
    </w:p>
    <w:p w:rsidR="00C17CBD" w:rsidRPr="00C17CBD" w:rsidRDefault="00C17CBD" w:rsidP="00C17CBD">
      <w:pPr>
        <w:spacing w:after="240"/>
        <w:jc w:val="center"/>
        <w:rPr>
          <w:rFonts w:ascii="Times New Roman" w:hAnsi="Times New Roman"/>
          <w:b/>
          <w:sz w:val="24"/>
          <w:lang w:eastAsia="en-AU"/>
        </w:rPr>
      </w:pPr>
      <w:r w:rsidRPr="00C17CBD">
        <w:rPr>
          <w:rFonts w:ascii="Times New Roman" w:hAnsi="Times New Roman"/>
          <w:b/>
          <w:sz w:val="24"/>
          <w:lang w:eastAsia="en-AU"/>
        </w:rPr>
        <w:t>Statement of Compatibility with Human Rights</w:t>
      </w:r>
    </w:p>
    <w:p w:rsidR="00C17CBD" w:rsidRPr="00C17CBD" w:rsidRDefault="00C17CBD" w:rsidP="00C17CBD">
      <w:pPr>
        <w:keepNext/>
        <w:keepLines/>
        <w:spacing w:after="240"/>
        <w:jc w:val="center"/>
        <w:outlineLvl w:val="0"/>
        <w:rPr>
          <w:rFonts w:ascii="Times New Roman" w:hAnsi="Times New Roman"/>
          <w:bCs/>
          <w:color w:val="000000"/>
          <w:sz w:val="24"/>
          <w:lang w:eastAsia="en-AU"/>
        </w:rPr>
      </w:pPr>
      <w:r w:rsidRPr="00C17CBD">
        <w:rPr>
          <w:rFonts w:ascii="Times New Roman" w:hAnsi="Times New Roman"/>
          <w:bCs/>
          <w:color w:val="000000"/>
          <w:sz w:val="24"/>
          <w:lang w:eastAsia="en-AU"/>
        </w:rPr>
        <w:t xml:space="preserve">Prepared in accordance with Part 3 of the </w:t>
      </w:r>
      <w:r w:rsidRPr="00C17CBD">
        <w:rPr>
          <w:rFonts w:ascii="Times New Roman" w:hAnsi="Times New Roman"/>
          <w:bCs/>
          <w:i/>
          <w:color w:val="000000"/>
          <w:sz w:val="24"/>
          <w:lang w:eastAsia="en-AU"/>
        </w:rPr>
        <w:t>Human Rights (Parliamentary Scrutiny) Act 2011</w:t>
      </w:r>
    </w:p>
    <w:p w:rsidR="00C17CBD" w:rsidRPr="00C17CBD" w:rsidRDefault="00C17CBD" w:rsidP="00C17CBD">
      <w:pPr>
        <w:jc w:val="center"/>
        <w:rPr>
          <w:rFonts w:ascii="Times New Roman" w:hAnsi="Times New Roman"/>
          <w:sz w:val="24"/>
          <w:lang w:eastAsia="en-AU"/>
        </w:rPr>
      </w:pPr>
      <w:r w:rsidRPr="00C17CBD">
        <w:rPr>
          <w:rFonts w:ascii="Times New Roman" w:hAnsi="Times New Roman"/>
          <w:b/>
          <w:sz w:val="24"/>
          <w:lang w:eastAsia="en-AU"/>
        </w:rPr>
        <w:t>Financial Sector (Collection of Data) (re</w:t>
      </w:r>
      <w:r>
        <w:rPr>
          <w:rFonts w:ascii="Times New Roman" w:hAnsi="Times New Roman"/>
          <w:b/>
          <w:sz w:val="24"/>
          <w:lang w:eastAsia="en-AU"/>
        </w:rPr>
        <w:t>porting standard) determination</w:t>
      </w:r>
      <w:r w:rsidRPr="00C17CBD">
        <w:rPr>
          <w:rFonts w:ascii="Times New Roman" w:hAnsi="Times New Roman"/>
          <w:b/>
          <w:sz w:val="24"/>
          <w:lang w:eastAsia="en-AU"/>
        </w:rPr>
        <w:t xml:space="preserve"> No. </w:t>
      </w:r>
      <w:r w:rsidR="00846211">
        <w:rPr>
          <w:rFonts w:ascii="Times New Roman" w:hAnsi="Times New Roman"/>
          <w:b/>
          <w:sz w:val="24"/>
          <w:lang w:eastAsia="en-AU"/>
        </w:rPr>
        <w:t>30</w:t>
      </w:r>
      <w:r>
        <w:rPr>
          <w:rFonts w:ascii="Times New Roman" w:hAnsi="Times New Roman"/>
          <w:b/>
          <w:sz w:val="24"/>
          <w:lang w:eastAsia="en-AU"/>
        </w:rPr>
        <w:t xml:space="preserve"> </w:t>
      </w:r>
      <w:r w:rsidRPr="00C17CBD">
        <w:rPr>
          <w:rFonts w:ascii="Times New Roman" w:hAnsi="Times New Roman"/>
          <w:b/>
          <w:sz w:val="24"/>
          <w:lang w:eastAsia="en-AU"/>
        </w:rPr>
        <w:t>of 201</w:t>
      </w:r>
      <w:r>
        <w:rPr>
          <w:rFonts w:ascii="Times New Roman" w:hAnsi="Times New Roman"/>
          <w:b/>
          <w:sz w:val="24"/>
          <w:lang w:eastAsia="en-AU"/>
        </w:rPr>
        <w:t>5</w:t>
      </w:r>
    </w:p>
    <w:p w:rsidR="00C17CBD" w:rsidRPr="00C17CBD" w:rsidRDefault="00C17CBD" w:rsidP="00C17CBD">
      <w:pPr>
        <w:jc w:val="center"/>
        <w:rPr>
          <w:rFonts w:ascii="Times New Roman" w:hAnsi="Times New Roman"/>
          <w:sz w:val="24"/>
          <w:lang w:eastAsia="en-AU"/>
        </w:rPr>
      </w:pPr>
    </w:p>
    <w:p w:rsidR="00C17CBD" w:rsidRPr="00C17CBD" w:rsidRDefault="00C17CBD" w:rsidP="00C17CBD">
      <w:pPr>
        <w:spacing w:after="240"/>
        <w:jc w:val="both"/>
        <w:rPr>
          <w:rFonts w:ascii="Times New Roman" w:hAnsi="Times New Roman"/>
          <w:sz w:val="24"/>
          <w:lang w:eastAsia="en-AU"/>
        </w:rPr>
      </w:pPr>
      <w:r>
        <w:rPr>
          <w:rFonts w:ascii="Times New Roman" w:hAnsi="Times New Roman"/>
          <w:sz w:val="24"/>
          <w:lang w:eastAsia="en-AU"/>
        </w:rPr>
        <w:t>This legislative instrument</w:t>
      </w:r>
      <w:r w:rsidRPr="00C17CBD">
        <w:rPr>
          <w:rFonts w:ascii="Times New Roman" w:hAnsi="Times New Roman"/>
          <w:sz w:val="24"/>
          <w:lang w:eastAsia="en-AU"/>
        </w:rPr>
        <w:t xml:space="preserve"> </w:t>
      </w:r>
      <w:r>
        <w:rPr>
          <w:rFonts w:ascii="Times New Roman" w:hAnsi="Times New Roman"/>
          <w:sz w:val="24"/>
          <w:lang w:eastAsia="en-AU"/>
        </w:rPr>
        <w:t>is</w:t>
      </w:r>
      <w:r w:rsidRPr="00C17CBD">
        <w:rPr>
          <w:rFonts w:ascii="Times New Roman" w:hAnsi="Times New Roman"/>
          <w:sz w:val="24"/>
          <w:lang w:eastAsia="en-AU"/>
        </w:rPr>
        <w:t xml:space="preserve"> compatible with the human rights and freedoms recognised or declared in the international instrument listed in section 3 of the </w:t>
      </w:r>
      <w:r w:rsidRPr="00C17CBD">
        <w:rPr>
          <w:rFonts w:ascii="Times New Roman" w:hAnsi="Times New Roman"/>
          <w:i/>
          <w:sz w:val="24"/>
          <w:lang w:eastAsia="en-AU"/>
        </w:rPr>
        <w:t>Human Rights (Parliamentary Scrutiny) Act 2011</w:t>
      </w:r>
      <w:r w:rsidRPr="00C17CBD">
        <w:rPr>
          <w:rFonts w:ascii="Times New Roman" w:hAnsi="Times New Roman"/>
          <w:sz w:val="24"/>
          <w:lang w:eastAsia="en-AU"/>
        </w:rPr>
        <w:t xml:space="preserve"> (HRPS Act).</w:t>
      </w:r>
    </w:p>
    <w:p w:rsidR="00C17CBD" w:rsidRPr="00C17CBD" w:rsidRDefault="00C17CBD" w:rsidP="00C17CBD">
      <w:pPr>
        <w:spacing w:after="240"/>
        <w:jc w:val="both"/>
        <w:rPr>
          <w:rFonts w:ascii="Times New Roman" w:hAnsi="Times New Roman"/>
          <w:sz w:val="24"/>
          <w:lang w:eastAsia="en-AU"/>
        </w:rPr>
      </w:pPr>
      <w:r w:rsidRPr="00C17CBD">
        <w:rPr>
          <w:rFonts w:ascii="Times New Roman" w:hAnsi="Times New Roman"/>
          <w:b/>
          <w:sz w:val="24"/>
          <w:lang w:eastAsia="en-AU"/>
        </w:rPr>
        <w:t>Overview of the Legislative Instruments</w:t>
      </w:r>
    </w:p>
    <w:p w:rsidR="00C17CBD" w:rsidRPr="00C17CBD" w:rsidRDefault="00C17CBD" w:rsidP="00C17CBD">
      <w:pPr>
        <w:spacing w:after="240"/>
        <w:jc w:val="both"/>
        <w:rPr>
          <w:rFonts w:ascii="Times New Roman" w:hAnsi="Times New Roman"/>
          <w:sz w:val="24"/>
          <w:lang w:eastAsia="en-AU"/>
        </w:rPr>
      </w:pPr>
      <w:r w:rsidRPr="00C17CBD">
        <w:rPr>
          <w:rFonts w:ascii="Times New Roman" w:hAnsi="Times New Roman"/>
          <w:sz w:val="24"/>
          <w:lang w:eastAsia="en-AU"/>
        </w:rPr>
        <w:t xml:space="preserve">The purpose of making </w:t>
      </w:r>
      <w:r w:rsidR="00633B54">
        <w:rPr>
          <w:rFonts w:ascii="Times New Roman" w:hAnsi="Times New Roman"/>
          <w:sz w:val="24"/>
          <w:lang w:eastAsia="en-AU"/>
        </w:rPr>
        <w:t>this legislative instrument</w:t>
      </w:r>
      <w:r w:rsidRPr="00C17CBD">
        <w:rPr>
          <w:rFonts w:ascii="Times New Roman" w:hAnsi="Times New Roman"/>
          <w:sz w:val="24"/>
          <w:lang w:eastAsia="en-AU"/>
        </w:rPr>
        <w:t xml:space="preserve"> is </w:t>
      </w:r>
      <w:r w:rsidR="00AC1B86">
        <w:rPr>
          <w:rFonts w:ascii="Times New Roman" w:hAnsi="Times New Roman"/>
          <w:sz w:val="24"/>
          <w:lang w:eastAsia="en-AU"/>
        </w:rPr>
        <w:t xml:space="preserve">to </w:t>
      </w:r>
      <w:r w:rsidR="00633B54">
        <w:rPr>
          <w:rFonts w:ascii="Times New Roman" w:hAnsi="Times New Roman"/>
          <w:sz w:val="24"/>
          <w:lang w:eastAsia="en-AU"/>
        </w:rPr>
        <w:t>amend the reporting instructions associated with LRS 117. This enables APRA to collect information allowing for a better assessment of the i</w:t>
      </w:r>
      <w:r w:rsidR="00AC1B86">
        <w:rPr>
          <w:rFonts w:ascii="Times New Roman" w:hAnsi="Times New Roman"/>
          <w:sz w:val="24"/>
          <w:lang w:eastAsia="en-AU"/>
        </w:rPr>
        <w:t>mpact of a reinsurer failure on</w:t>
      </w:r>
      <w:r w:rsidR="00633B54">
        <w:rPr>
          <w:rFonts w:ascii="Times New Roman" w:hAnsi="Times New Roman"/>
          <w:sz w:val="24"/>
          <w:lang w:eastAsia="en-AU"/>
        </w:rPr>
        <w:t xml:space="preserve"> the capital position of </w:t>
      </w:r>
      <w:r w:rsidR="00732684" w:rsidRPr="00732684">
        <w:rPr>
          <w:rFonts w:ascii="Times New Roman" w:hAnsi="Times New Roman"/>
          <w:sz w:val="24"/>
          <w:lang w:eastAsia="en-AU"/>
        </w:rPr>
        <w:t xml:space="preserve">individual life companies </w:t>
      </w:r>
      <w:r w:rsidR="00FA6263">
        <w:rPr>
          <w:rFonts w:ascii="Times New Roman" w:hAnsi="Times New Roman"/>
          <w:sz w:val="24"/>
          <w:lang w:eastAsia="en-AU"/>
        </w:rPr>
        <w:t>and on the industry as a whole</w:t>
      </w:r>
      <w:r w:rsidRPr="00C17CBD">
        <w:rPr>
          <w:rFonts w:ascii="Times New Roman" w:hAnsi="Times New Roman"/>
          <w:sz w:val="24"/>
          <w:lang w:eastAsia="en-AU"/>
        </w:rPr>
        <w:t>.</w:t>
      </w:r>
    </w:p>
    <w:p w:rsidR="00C17CBD" w:rsidRPr="00C17CBD" w:rsidRDefault="00C17CBD" w:rsidP="00C17CBD">
      <w:pPr>
        <w:spacing w:after="240"/>
        <w:jc w:val="both"/>
        <w:rPr>
          <w:rFonts w:ascii="Times New Roman" w:hAnsi="Times New Roman"/>
          <w:sz w:val="24"/>
          <w:lang w:eastAsia="en-AU"/>
        </w:rPr>
      </w:pPr>
      <w:r w:rsidRPr="00C17CBD">
        <w:rPr>
          <w:rFonts w:ascii="Times New Roman" w:hAnsi="Times New Roman"/>
          <w:b/>
          <w:sz w:val="24"/>
          <w:lang w:eastAsia="en-AU"/>
        </w:rPr>
        <w:t>Human rights implications</w:t>
      </w:r>
    </w:p>
    <w:p w:rsidR="00C17CBD" w:rsidRPr="00C17CBD" w:rsidRDefault="00C17CBD" w:rsidP="00C17CBD">
      <w:pPr>
        <w:spacing w:after="240"/>
        <w:jc w:val="both"/>
        <w:rPr>
          <w:rFonts w:ascii="Times New Roman" w:hAnsi="Times New Roman"/>
          <w:sz w:val="24"/>
          <w:lang w:eastAsia="en-AU"/>
        </w:rPr>
      </w:pPr>
      <w:r>
        <w:rPr>
          <w:rFonts w:ascii="Times New Roman" w:hAnsi="Times New Roman"/>
          <w:sz w:val="24"/>
          <w:lang w:eastAsia="en-AU"/>
        </w:rPr>
        <w:t>APRA has assessed this legislative instrument</w:t>
      </w:r>
      <w:r w:rsidRPr="00C17CBD">
        <w:rPr>
          <w:rFonts w:ascii="Times New Roman" w:hAnsi="Times New Roman"/>
          <w:sz w:val="24"/>
          <w:lang w:eastAsia="en-AU"/>
        </w:rPr>
        <w:t xml:space="preserve"> against the international instruments listed in section 3 of the HRPS Act and determined that </w:t>
      </w:r>
      <w:r w:rsidR="0047758B">
        <w:rPr>
          <w:rFonts w:ascii="Times New Roman" w:hAnsi="Times New Roman"/>
          <w:sz w:val="24"/>
          <w:lang w:eastAsia="en-AU"/>
        </w:rPr>
        <w:t>it does</w:t>
      </w:r>
      <w:r w:rsidRPr="00C17CBD">
        <w:rPr>
          <w:rFonts w:ascii="Times New Roman" w:hAnsi="Times New Roman"/>
          <w:sz w:val="24"/>
          <w:lang w:eastAsia="en-AU"/>
        </w:rPr>
        <w:t xml:space="preserve"> not engage any of the applicable rights or freedoms recognised or declared in the international instruments listed</w:t>
      </w:r>
      <w:r w:rsidR="0047758B">
        <w:rPr>
          <w:rFonts w:ascii="Times New Roman" w:hAnsi="Times New Roman"/>
          <w:sz w:val="24"/>
          <w:lang w:eastAsia="en-AU"/>
        </w:rPr>
        <w:t xml:space="preserve"> in section 3 of the HRPS Act. </w:t>
      </w:r>
      <w:r w:rsidRPr="00C17CBD">
        <w:rPr>
          <w:rFonts w:ascii="Times New Roman" w:hAnsi="Times New Roman"/>
          <w:sz w:val="24"/>
          <w:lang w:eastAsia="en-AU"/>
        </w:rPr>
        <w:t xml:space="preserve">Accordingly, in APRA’s assessment, </w:t>
      </w:r>
      <w:r w:rsidR="0047758B">
        <w:rPr>
          <w:rFonts w:ascii="Times New Roman" w:hAnsi="Times New Roman"/>
          <w:sz w:val="24"/>
          <w:lang w:eastAsia="en-AU"/>
        </w:rPr>
        <w:t>this legislative instrument</w:t>
      </w:r>
      <w:r w:rsidRPr="00C17CBD">
        <w:rPr>
          <w:rFonts w:ascii="Times New Roman" w:hAnsi="Times New Roman"/>
          <w:sz w:val="24"/>
          <w:lang w:eastAsia="en-AU"/>
        </w:rPr>
        <w:t xml:space="preserve"> </w:t>
      </w:r>
      <w:r w:rsidR="0047758B">
        <w:rPr>
          <w:rFonts w:ascii="Times New Roman" w:hAnsi="Times New Roman"/>
          <w:sz w:val="24"/>
          <w:lang w:eastAsia="en-AU"/>
        </w:rPr>
        <w:t>is</w:t>
      </w:r>
      <w:r w:rsidRPr="00C17CBD">
        <w:rPr>
          <w:rFonts w:ascii="Times New Roman" w:hAnsi="Times New Roman"/>
          <w:sz w:val="24"/>
          <w:lang w:eastAsia="en-AU"/>
        </w:rPr>
        <w:t xml:space="preserve"> compatible with human rights.</w:t>
      </w:r>
    </w:p>
    <w:p w:rsidR="00C17CBD" w:rsidRPr="00C17CBD" w:rsidRDefault="00C17CBD" w:rsidP="00C17CBD">
      <w:pPr>
        <w:spacing w:after="240"/>
        <w:jc w:val="both"/>
        <w:rPr>
          <w:rFonts w:ascii="Times New Roman" w:hAnsi="Times New Roman"/>
          <w:b/>
          <w:sz w:val="24"/>
          <w:lang w:eastAsia="en-AU"/>
        </w:rPr>
      </w:pPr>
      <w:r w:rsidRPr="00C17CBD">
        <w:rPr>
          <w:rFonts w:ascii="Times New Roman" w:hAnsi="Times New Roman"/>
          <w:b/>
          <w:sz w:val="24"/>
          <w:lang w:eastAsia="en-AU"/>
        </w:rPr>
        <w:t xml:space="preserve">Conclusion </w:t>
      </w:r>
    </w:p>
    <w:p w:rsidR="002E4916" w:rsidRPr="002E4916" w:rsidRDefault="00C17CBD" w:rsidP="007A255D">
      <w:pPr>
        <w:pStyle w:val="Heading"/>
        <w:tabs>
          <w:tab w:val="left" w:pos="0"/>
        </w:tabs>
        <w:jc w:val="both"/>
        <w:rPr>
          <w:rFonts w:ascii="Times New Roman" w:hAnsi="Times New Roman" w:cs="Times New Roman"/>
          <w:b w:val="0"/>
          <w:sz w:val="24"/>
          <w:szCs w:val="24"/>
        </w:rPr>
      </w:pPr>
      <w:r w:rsidRPr="00C17CBD">
        <w:rPr>
          <w:rFonts w:ascii="Times New Roman" w:hAnsi="Times New Roman" w:cs="Times New Roman"/>
          <w:b w:val="0"/>
          <w:kern w:val="0"/>
          <w:sz w:val="24"/>
          <w:szCs w:val="24"/>
          <w:lang w:eastAsia="en-AU"/>
        </w:rPr>
        <w:t>Financial Sector (Collection of Data) (reporting standard) determination No</w:t>
      </w:r>
      <w:r>
        <w:rPr>
          <w:rFonts w:ascii="Times New Roman" w:hAnsi="Times New Roman" w:cs="Times New Roman"/>
          <w:b w:val="0"/>
          <w:kern w:val="0"/>
          <w:sz w:val="24"/>
          <w:szCs w:val="24"/>
          <w:lang w:eastAsia="en-AU"/>
        </w:rPr>
        <w:t xml:space="preserve">. </w:t>
      </w:r>
      <w:r w:rsidR="00846211">
        <w:rPr>
          <w:rFonts w:ascii="Times New Roman" w:hAnsi="Times New Roman" w:cs="Times New Roman"/>
          <w:b w:val="0"/>
          <w:kern w:val="0"/>
          <w:sz w:val="24"/>
          <w:szCs w:val="24"/>
          <w:lang w:eastAsia="en-AU"/>
        </w:rPr>
        <w:t>30</w:t>
      </w:r>
      <w:r>
        <w:rPr>
          <w:rFonts w:ascii="Times New Roman" w:hAnsi="Times New Roman" w:cs="Times New Roman"/>
          <w:b w:val="0"/>
          <w:kern w:val="0"/>
          <w:sz w:val="24"/>
          <w:szCs w:val="24"/>
          <w:lang w:eastAsia="en-AU"/>
        </w:rPr>
        <w:t xml:space="preserve"> is</w:t>
      </w:r>
      <w:r w:rsidRPr="00C17CBD">
        <w:rPr>
          <w:rFonts w:ascii="Times New Roman" w:hAnsi="Times New Roman" w:cs="Times New Roman"/>
          <w:b w:val="0"/>
          <w:kern w:val="0"/>
          <w:sz w:val="24"/>
          <w:szCs w:val="24"/>
          <w:lang w:eastAsia="en-AU"/>
        </w:rPr>
        <w:t xml:space="preserve"> compatible with human rights because </w:t>
      </w:r>
      <w:r w:rsidR="0047758B">
        <w:rPr>
          <w:rFonts w:ascii="Times New Roman" w:hAnsi="Times New Roman" w:cs="Times New Roman"/>
          <w:b w:val="0"/>
          <w:kern w:val="0"/>
          <w:sz w:val="24"/>
          <w:szCs w:val="24"/>
          <w:lang w:eastAsia="en-AU"/>
        </w:rPr>
        <w:t>it</w:t>
      </w:r>
      <w:r w:rsidRPr="00C17CBD">
        <w:rPr>
          <w:rFonts w:ascii="Times New Roman" w:hAnsi="Times New Roman" w:cs="Times New Roman"/>
          <w:b w:val="0"/>
          <w:kern w:val="0"/>
          <w:sz w:val="24"/>
          <w:szCs w:val="24"/>
          <w:lang w:eastAsia="en-AU"/>
        </w:rPr>
        <w:t xml:space="preserve"> do</w:t>
      </w:r>
      <w:r w:rsidR="0047758B">
        <w:rPr>
          <w:rFonts w:ascii="Times New Roman" w:hAnsi="Times New Roman" w:cs="Times New Roman"/>
          <w:b w:val="0"/>
          <w:kern w:val="0"/>
          <w:sz w:val="24"/>
          <w:szCs w:val="24"/>
          <w:lang w:eastAsia="en-AU"/>
        </w:rPr>
        <w:t>es</w:t>
      </w:r>
      <w:r w:rsidRPr="00C17CBD">
        <w:rPr>
          <w:rFonts w:ascii="Times New Roman" w:hAnsi="Times New Roman" w:cs="Times New Roman"/>
          <w:b w:val="0"/>
          <w:kern w:val="0"/>
          <w:sz w:val="24"/>
          <w:szCs w:val="24"/>
          <w:lang w:eastAsia="en-AU"/>
        </w:rPr>
        <w:t xml:space="preserve"> not limit human rights or otherwise raise any human rights issues.</w:t>
      </w:r>
    </w:p>
    <w:p w:rsidR="00D22D14" w:rsidRDefault="00D22D14" w:rsidP="00D22D14">
      <w:pPr>
        <w:pStyle w:val="Heading"/>
        <w:jc w:val="center"/>
        <w:rPr>
          <w:rFonts w:ascii="Times New Roman" w:hAnsi="Times New Roman" w:cs="Times New Roman"/>
          <w:sz w:val="24"/>
          <w:szCs w:val="24"/>
        </w:rPr>
      </w:pPr>
    </w:p>
    <w:p w:rsidR="00D22D14" w:rsidRPr="002A47FA" w:rsidRDefault="00D22D14" w:rsidP="00743617">
      <w:pPr>
        <w:pStyle w:val="Heading1"/>
      </w:pPr>
    </w:p>
    <w:sectPr w:rsidR="00D22D14" w:rsidRPr="002A47FA" w:rsidSect="00202E2C">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78" w:rsidRDefault="00BE5F78">
      <w:r>
        <w:separator/>
      </w:r>
    </w:p>
  </w:endnote>
  <w:endnote w:type="continuationSeparator" w:id="0">
    <w:p w:rsidR="00BE5F78" w:rsidRDefault="00BE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90" w:rsidRDefault="00436690" w:rsidP="00000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743E">
      <w:rPr>
        <w:rStyle w:val="PageNumber"/>
        <w:noProof/>
      </w:rPr>
      <w:t>2</w:t>
    </w:r>
    <w:r>
      <w:rPr>
        <w:rStyle w:val="PageNumber"/>
      </w:rPr>
      <w:fldChar w:fldCharType="end"/>
    </w:r>
  </w:p>
  <w:p w:rsidR="00436690" w:rsidRDefault="00436690" w:rsidP="00F41D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B86" w:rsidRPr="00AC1B86" w:rsidRDefault="00AC1B86" w:rsidP="00AC1B86">
    <w:pPr>
      <w:pStyle w:val="Footer"/>
      <w:jc w:val="right"/>
    </w:pPr>
    <w:r w:rsidRPr="00AC1B86">
      <w:rPr>
        <w:bCs/>
        <w:sz w:val="24"/>
      </w:rPr>
      <w:fldChar w:fldCharType="begin"/>
    </w:r>
    <w:r w:rsidRPr="00AC1B86">
      <w:rPr>
        <w:bCs/>
      </w:rPr>
      <w:instrText xml:space="preserve"> PAGE </w:instrText>
    </w:r>
    <w:r w:rsidRPr="00AC1B86">
      <w:rPr>
        <w:bCs/>
        <w:sz w:val="24"/>
      </w:rPr>
      <w:fldChar w:fldCharType="separate"/>
    </w:r>
    <w:r w:rsidR="0048743E">
      <w:rPr>
        <w:bCs/>
        <w:noProof/>
      </w:rPr>
      <w:t>1</w:t>
    </w:r>
    <w:r w:rsidRPr="00AC1B86">
      <w:rPr>
        <w:bCs/>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63" w:rsidRDefault="00DD7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78" w:rsidRDefault="00BE5F78">
      <w:r>
        <w:separator/>
      </w:r>
    </w:p>
  </w:footnote>
  <w:footnote w:type="continuationSeparator" w:id="0">
    <w:p w:rsidR="00BE5F78" w:rsidRDefault="00BE5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63" w:rsidRDefault="00DD7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63" w:rsidRDefault="00DD7C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63" w:rsidRDefault="00DD7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1249"/>
    <w:multiLevelType w:val="hybridMultilevel"/>
    <w:tmpl w:val="98903850"/>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58658A7"/>
    <w:multiLevelType w:val="hybridMultilevel"/>
    <w:tmpl w:val="1EAE596A"/>
    <w:lvl w:ilvl="0" w:tplc="0C090001">
      <w:start w:val="1"/>
      <w:numFmt w:val="bullet"/>
      <w:lvlText w:val=""/>
      <w:lvlJc w:val="left"/>
      <w:pPr>
        <w:tabs>
          <w:tab w:val="num" w:pos="6"/>
        </w:tabs>
        <w:ind w:left="6"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2">
    <w:nsid w:val="20691723"/>
    <w:multiLevelType w:val="multilevel"/>
    <w:tmpl w:val="989038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93317B"/>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75D5DB6"/>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6FE4B7F"/>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7BD5C63"/>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88C57F7"/>
    <w:multiLevelType w:val="multilevel"/>
    <w:tmpl w:val="989038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E986135"/>
    <w:multiLevelType w:val="hybridMultilevel"/>
    <w:tmpl w:val="15E453FA"/>
    <w:lvl w:ilvl="0" w:tplc="34562C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3"/>
  </w:num>
  <w:num w:numId="6">
    <w:abstractNumId w:val="7"/>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D4"/>
    <w:rsid w:val="00000AE6"/>
    <w:rsid w:val="00012695"/>
    <w:rsid w:val="000201AE"/>
    <w:rsid w:val="000218B6"/>
    <w:rsid w:val="00026726"/>
    <w:rsid w:val="0002731C"/>
    <w:rsid w:val="00027386"/>
    <w:rsid w:val="00030BD8"/>
    <w:rsid w:val="000324C9"/>
    <w:rsid w:val="00032E46"/>
    <w:rsid w:val="00033B73"/>
    <w:rsid w:val="00035461"/>
    <w:rsid w:val="00043838"/>
    <w:rsid w:val="00055C1B"/>
    <w:rsid w:val="00056C6C"/>
    <w:rsid w:val="00056DFC"/>
    <w:rsid w:val="000631DA"/>
    <w:rsid w:val="00063B11"/>
    <w:rsid w:val="00076969"/>
    <w:rsid w:val="00080B55"/>
    <w:rsid w:val="000900B8"/>
    <w:rsid w:val="000A579A"/>
    <w:rsid w:val="000B22C3"/>
    <w:rsid w:val="000B3626"/>
    <w:rsid w:val="000B5532"/>
    <w:rsid w:val="000B59FF"/>
    <w:rsid w:val="000C3A21"/>
    <w:rsid w:val="000D046E"/>
    <w:rsid w:val="000D6AC0"/>
    <w:rsid w:val="000E055A"/>
    <w:rsid w:val="000F309E"/>
    <w:rsid w:val="000F3E1E"/>
    <w:rsid w:val="000F6592"/>
    <w:rsid w:val="00102F9E"/>
    <w:rsid w:val="0010495D"/>
    <w:rsid w:val="001058A7"/>
    <w:rsid w:val="00105F5C"/>
    <w:rsid w:val="00106482"/>
    <w:rsid w:val="00110071"/>
    <w:rsid w:val="0012491A"/>
    <w:rsid w:val="00124EE2"/>
    <w:rsid w:val="00126BDF"/>
    <w:rsid w:val="001271A7"/>
    <w:rsid w:val="00146362"/>
    <w:rsid w:val="00147418"/>
    <w:rsid w:val="0016350A"/>
    <w:rsid w:val="001636BF"/>
    <w:rsid w:val="00163AE4"/>
    <w:rsid w:val="001735C0"/>
    <w:rsid w:val="00176630"/>
    <w:rsid w:val="00183A1C"/>
    <w:rsid w:val="00191382"/>
    <w:rsid w:val="0019482E"/>
    <w:rsid w:val="001A0790"/>
    <w:rsid w:val="001B6E91"/>
    <w:rsid w:val="001C0BC5"/>
    <w:rsid w:val="001D16A9"/>
    <w:rsid w:val="001D1DC0"/>
    <w:rsid w:val="001E06CB"/>
    <w:rsid w:val="001E2DB0"/>
    <w:rsid w:val="001E54DD"/>
    <w:rsid w:val="001E623B"/>
    <w:rsid w:val="001E6EA4"/>
    <w:rsid w:val="001F4FB6"/>
    <w:rsid w:val="00202E2C"/>
    <w:rsid w:val="002114F1"/>
    <w:rsid w:val="0021612C"/>
    <w:rsid w:val="0022258D"/>
    <w:rsid w:val="00223C69"/>
    <w:rsid w:val="00225921"/>
    <w:rsid w:val="002330A5"/>
    <w:rsid w:val="002341A1"/>
    <w:rsid w:val="002430F8"/>
    <w:rsid w:val="002504E2"/>
    <w:rsid w:val="0025145B"/>
    <w:rsid w:val="002529DB"/>
    <w:rsid w:val="00254ED3"/>
    <w:rsid w:val="002642DC"/>
    <w:rsid w:val="00265913"/>
    <w:rsid w:val="00282B1D"/>
    <w:rsid w:val="00285041"/>
    <w:rsid w:val="002962EE"/>
    <w:rsid w:val="002A0F36"/>
    <w:rsid w:val="002A47FA"/>
    <w:rsid w:val="002B2A6A"/>
    <w:rsid w:val="002B4D61"/>
    <w:rsid w:val="002B5BA2"/>
    <w:rsid w:val="002B6511"/>
    <w:rsid w:val="002B6780"/>
    <w:rsid w:val="002B6E99"/>
    <w:rsid w:val="002C3F98"/>
    <w:rsid w:val="002C7D5C"/>
    <w:rsid w:val="002D003A"/>
    <w:rsid w:val="002D15B6"/>
    <w:rsid w:val="002D5680"/>
    <w:rsid w:val="002D7440"/>
    <w:rsid w:val="002E4916"/>
    <w:rsid w:val="002E68FA"/>
    <w:rsid w:val="00300114"/>
    <w:rsid w:val="003033E4"/>
    <w:rsid w:val="00314F61"/>
    <w:rsid w:val="003168CC"/>
    <w:rsid w:val="00323DBD"/>
    <w:rsid w:val="00324B6C"/>
    <w:rsid w:val="0034386A"/>
    <w:rsid w:val="00347FCC"/>
    <w:rsid w:val="0036074D"/>
    <w:rsid w:val="0036171D"/>
    <w:rsid w:val="00361A51"/>
    <w:rsid w:val="003664C9"/>
    <w:rsid w:val="003671DF"/>
    <w:rsid w:val="003743A3"/>
    <w:rsid w:val="00385EBA"/>
    <w:rsid w:val="003A0FB4"/>
    <w:rsid w:val="003A551B"/>
    <w:rsid w:val="003B6B84"/>
    <w:rsid w:val="003C1F4C"/>
    <w:rsid w:val="003C3568"/>
    <w:rsid w:val="003D14AA"/>
    <w:rsid w:val="003D671F"/>
    <w:rsid w:val="003E1487"/>
    <w:rsid w:val="003E2F84"/>
    <w:rsid w:val="003E399F"/>
    <w:rsid w:val="003E7F89"/>
    <w:rsid w:val="003F2D0E"/>
    <w:rsid w:val="00403EA8"/>
    <w:rsid w:val="0040568B"/>
    <w:rsid w:val="00414E21"/>
    <w:rsid w:val="00416296"/>
    <w:rsid w:val="00426F46"/>
    <w:rsid w:val="00427335"/>
    <w:rsid w:val="00436690"/>
    <w:rsid w:val="00443B03"/>
    <w:rsid w:val="00446793"/>
    <w:rsid w:val="00452BFF"/>
    <w:rsid w:val="00455CFD"/>
    <w:rsid w:val="00456B13"/>
    <w:rsid w:val="00463269"/>
    <w:rsid w:val="00466BE1"/>
    <w:rsid w:val="0047758B"/>
    <w:rsid w:val="00480AB5"/>
    <w:rsid w:val="00485359"/>
    <w:rsid w:val="00485782"/>
    <w:rsid w:val="0048743E"/>
    <w:rsid w:val="004913BF"/>
    <w:rsid w:val="00491AD1"/>
    <w:rsid w:val="004974E6"/>
    <w:rsid w:val="00497A10"/>
    <w:rsid w:val="004A7EF8"/>
    <w:rsid w:val="004B004C"/>
    <w:rsid w:val="004B1A1F"/>
    <w:rsid w:val="004B621D"/>
    <w:rsid w:val="004C79A4"/>
    <w:rsid w:val="004F0124"/>
    <w:rsid w:val="004F0E6C"/>
    <w:rsid w:val="004F3053"/>
    <w:rsid w:val="004F4CCA"/>
    <w:rsid w:val="00502360"/>
    <w:rsid w:val="00503243"/>
    <w:rsid w:val="00505C2A"/>
    <w:rsid w:val="00514E54"/>
    <w:rsid w:val="0051573E"/>
    <w:rsid w:val="00523E14"/>
    <w:rsid w:val="005323E9"/>
    <w:rsid w:val="005378DF"/>
    <w:rsid w:val="00544186"/>
    <w:rsid w:val="00544768"/>
    <w:rsid w:val="0054724E"/>
    <w:rsid w:val="00554D51"/>
    <w:rsid w:val="00561055"/>
    <w:rsid w:val="00562B07"/>
    <w:rsid w:val="00565315"/>
    <w:rsid w:val="00567A9A"/>
    <w:rsid w:val="005718A5"/>
    <w:rsid w:val="00574616"/>
    <w:rsid w:val="005748FE"/>
    <w:rsid w:val="005833B9"/>
    <w:rsid w:val="00587962"/>
    <w:rsid w:val="00591630"/>
    <w:rsid w:val="00592576"/>
    <w:rsid w:val="00593BF7"/>
    <w:rsid w:val="005941E1"/>
    <w:rsid w:val="005A743A"/>
    <w:rsid w:val="005C37A6"/>
    <w:rsid w:val="005C3C75"/>
    <w:rsid w:val="005C5513"/>
    <w:rsid w:val="005C701A"/>
    <w:rsid w:val="005C7AB3"/>
    <w:rsid w:val="005D0304"/>
    <w:rsid w:val="005D435B"/>
    <w:rsid w:val="005D7020"/>
    <w:rsid w:val="005F0577"/>
    <w:rsid w:val="005F5DF4"/>
    <w:rsid w:val="005F6BAC"/>
    <w:rsid w:val="00611A4D"/>
    <w:rsid w:val="0061258F"/>
    <w:rsid w:val="006208F9"/>
    <w:rsid w:val="006210C2"/>
    <w:rsid w:val="00625D6C"/>
    <w:rsid w:val="00633B54"/>
    <w:rsid w:val="00634FF0"/>
    <w:rsid w:val="00635A7C"/>
    <w:rsid w:val="00644F26"/>
    <w:rsid w:val="00645119"/>
    <w:rsid w:val="00647B94"/>
    <w:rsid w:val="00652397"/>
    <w:rsid w:val="00663C9A"/>
    <w:rsid w:val="00673E01"/>
    <w:rsid w:val="00685CF1"/>
    <w:rsid w:val="00690E92"/>
    <w:rsid w:val="00694F60"/>
    <w:rsid w:val="006967C8"/>
    <w:rsid w:val="006A05FB"/>
    <w:rsid w:val="006B4444"/>
    <w:rsid w:val="006B6285"/>
    <w:rsid w:val="006C0777"/>
    <w:rsid w:val="006C0888"/>
    <w:rsid w:val="006C6A19"/>
    <w:rsid w:val="006D02E1"/>
    <w:rsid w:val="006D1265"/>
    <w:rsid w:val="006E15EA"/>
    <w:rsid w:val="006E222F"/>
    <w:rsid w:val="006F6137"/>
    <w:rsid w:val="006F6C05"/>
    <w:rsid w:val="00702EF7"/>
    <w:rsid w:val="00704E26"/>
    <w:rsid w:val="007060F0"/>
    <w:rsid w:val="00712E3F"/>
    <w:rsid w:val="00717A79"/>
    <w:rsid w:val="00732684"/>
    <w:rsid w:val="00733B48"/>
    <w:rsid w:val="00743617"/>
    <w:rsid w:val="00744E6B"/>
    <w:rsid w:val="0075051E"/>
    <w:rsid w:val="00760CF4"/>
    <w:rsid w:val="00770264"/>
    <w:rsid w:val="00780C75"/>
    <w:rsid w:val="00785B77"/>
    <w:rsid w:val="00796DE0"/>
    <w:rsid w:val="007A255D"/>
    <w:rsid w:val="007A5A9D"/>
    <w:rsid w:val="007B093E"/>
    <w:rsid w:val="007B49C0"/>
    <w:rsid w:val="007C0B5A"/>
    <w:rsid w:val="007C3365"/>
    <w:rsid w:val="007E5179"/>
    <w:rsid w:val="007F50A4"/>
    <w:rsid w:val="008015D2"/>
    <w:rsid w:val="0080552D"/>
    <w:rsid w:val="00806B31"/>
    <w:rsid w:val="00807B3F"/>
    <w:rsid w:val="008124F3"/>
    <w:rsid w:val="0082354F"/>
    <w:rsid w:val="00826B4E"/>
    <w:rsid w:val="00830C54"/>
    <w:rsid w:val="00830E90"/>
    <w:rsid w:val="0083482E"/>
    <w:rsid w:val="00837FB3"/>
    <w:rsid w:val="00844445"/>
    <w:rsid w:val="0084490C"/>
    <w:rsid w:val="0084495C"/>
    <w:rsid w:val="00846211"/>
    <w:rsid w:val="008466F5"/>
    <w:rsid w:val="00853398"/>
    <w:rsid w:val="0085729B"/>
    <w:rsid w:val="00860DC0"/>
    <w:rsid w:val="008713A5"/>
    <w:rsid w:val="00881B57"/>
    <w:rsid w:val="008825C2"/>
    <w:rsid w:val="0088539F"/>
    <w:rsid w:val="00885D7C"/>
    <w:rsid w:val="008A1A5F"/>
    <w:rsid w:val="008A7848"/>
    <w:rsid w:val="008B1853"/>
    <w:rsid w:val="008B1DD5"/>
    <w:rsid w:val="008B5B9B"/>
    <w:rsid w:val="008B7528"/>
    <w:rsid w:val="008C0F09"/>
    <w:rsid w:val="008C228A"/>
    <w:rsid w:val="008D0E01"/>
    <w:rsid w:val="008E1C9F"/>
    <w:rsid w:val="008E25C7"/>
    <w:rsid w:val="008E445F"/>
    <w:rsid w:val="008F07CE"/>
    <w:rsid w:val="008F6AA0"/>
    <w:rsid w:val="00910F17"/>
    <w:rsid w:val="00915A33"/>
    <w:rsid w:val="00922097"/>
    <w:rsid w:val="00932D57"/>
    <w:rsid w:val="009403D0"/>
    <w:rsid w:val="00953841"/>
    <w:rsid w:val="00956A1C"/>
    <w:rsid w:val="009732D4"/>
    <w:rsid w:val="00981651"/>
    <w:rsid w:val="00985A96"/>
    <w:rsid w:val="00997B46"/>
    <w:rsid w:val="009C19B4"/>
    <w:rsid w:val="009E1F33"/>
    <w:rsid w:val="009E216B"/>
    <w:rsid w:val="009F2DFF"/>
    <w:rsid w:val="00A03AB9"/>
    <w:rsid w:val="00A047B5"/>
    <w:rsid w:val="00A15209"/>
    <w:rsid w:val="00A208EB"/>
    <w:rsid w:val="00A32B98"/>
    <w:rsid w:val="00A40D5C"/>
    <w:rsid w:val="00A43FF9"/>
    <w:rsid w:val="00A51D19"/>
    <w:rsid w:val="00A55057"/>
    <w:rsid w:val="00A66958"/>
    <w:rsid w:val="00A66DF3"/>
    <w:rsid w:val="00A82561"/>
    <w:rsid w:val="00A96F6A"/>
    <w:rsid w:val="00AA08EC"/>
    <w:rsid w:val="00AA2735"/>
    <w:rsid w:val="00AB0A7D"/>
    <w:rsid w:val="00AB1F92"/>
    <w:rsid w:val="00AB3FCB"/>
    <w:rsid w:val="00AB533D"/>
    <w:rsid w:val="00AC031B"/>
    <w:rsid w:val="00AC1B86"/>
    <w:rsid w:val="00AC2996"/>
    <w:rsid w:val="00AC3F07"/>
    <w:rsid w:val="00AD31BC"/>
    <w:rsid w:val="00AD62C5"/>
    <w:rsid w:val="00AE287A"/>
    <w:rsid w:val="00AE2D97"/>
    <w:rsid w:val="00AE7E64"/>
    <w:rsid w:val="00AF3144"/>
    <w:rsid w:val="00B02043"/>
    <w:rsid w:val="00B12376"/>
    <w:rsid w:val="00B25E32"/>
    <w:rsid w:val="00B27510"/>
    <w:rsid w:val="00B310F7"/>
    <w:rsid w:val="00B458A3"/>
    <w:rsid w:val="00B46846"/>
    <w:rsid w:val="00B52C31"/>
    <w:rsid w:val="00B55578"/>
    <w:rsid w:val="00B57341"/>
    <w:rsid w:val="00B674AC"/>
    <w:rsid w:val="00B71A97"/>
    <w:rsid w:val="00B77BD4"/>
    <w:rsid w:val="00B84194"/>
    <w:rsid w:val="00B97B6E"/>
    <w:rsid w:val="00BA0BC1"/>
    <w:rsid w:val="00BA3189"/>
    <w:rsid w:val="00BA4DE6"/>
    <w:rsid w:val="00BB1CD4"/>
    <w:rsid w:val="00BB27C5"/>
    <w:rsid w:val="00BB387D"/>
    <w:rsid w:val="00BC2BFB"/>
    <w:rsid w:val="00BC6A8D"/>
    <w:rsid w:val="00BE5F78"/>
    <w:rsid w:val="00BE5F98"/>
    <w:rsid w:val="00C007F6"/>
    <w:rsid w:val="00C03925"/>
    <w:rsid w:val="00C047E7"/>
    <w:rsid w:val="00C06282"/>
    <w:rsid w:val="00C16BD6"/>
    <w:rsid w:val="00C17CBD"/>
    <w:rsid w:val="00C17ED3"/>
    <w:rsid w:val="00C2447B"/>
    <w:rsid w:val="00C3551A"/>
    <w:rsid w:val="00C41329"/>
    <w:rsid w:val="00C464F8"/>
    <w:rsid w:val="00C57B96"/>
    <w:rsid w:val="00C62FA1"/>
    <w:rsid w:val="00C66F5F"/>
    <w:rsid w:val="00C72F5E"/>
    <w:rsid w:val="00C90010"/>
    <w:rsid w:val="00C94DCF"/>
    <w:rsid w:val="00C9694D"/>
    <w:rsid w:val="00C96E5E"/>
    <w:rsid w:val="00C97019"/>
    <w:rsid w:val="00CA29DB"/>
    <w:rsid w:val="00CC1195"/>
    <w:rsid w:val="00CC4BE4"/>
    <w:rsid w:val="00CC793B"/>
    <w:rsid w:val="00CD0116"/>
    <w:rsid w:val="00CD519A"/>
    <w:rsid w:val="00CF6510"/>
    <w:rsid w:val="00CF7B05"/>
    <w:rsid w:val="00D04EA3"/>
    <w:rsid w:val="00D161B4"/>
    <w:rsid w:val="00D2126B"/>
    <w:rsid w:val="00D22D14"/>
    <w:rsid w:val="00D27DE1"/>
    <w:rsid w:val="00D27E5C"/>
    <w:rsid w:val="00D3515D"/>
    <w:rsid w:val="00D37800"/>
    <w:rsid w:val="00D4290F"/>
    <w:rsid w:val="00D4387C"/>
    <w:rsid w:val="00D44DB1"/>
    <w:rsid w:val="00D54DAE"/>
    <w:rsid w:val="00D56C0A"/>
    <w:rsid w:val="00D63690"/>
    <w:rsid w:val="00D66CB2"/>
    <w:rsid w:val="00D7240A"/>
    <w:rsid w:val="00D724D7"/>
    <w:rsid w:val="00D77584"/>
    <w:rsid w:val="00D80BBF"/>
    <w:rsid w:val="00D8796B"/>
    <w:rsid w:val="00D94F65"/>
    <w:rsid w:val="00D96744"/>
    <w:rsid w:val="00D96A48"/>
    <w:rsid w:val="00DA3F2E"/>
    <w:rsid w:val="00DA5D0D"/>
    <w:rsid w:val="00DB2DC5"/>
    <w:rsid w:val="00DB5018"/>
    <w:rsid w:val="00DC2B2A"/>
    <w:rsid w:val="00DC359D"/>
    <w:rsid w:val="00DD3416"/>
    <w:rsid w:val="00DD68F8"/>
    <w:rsid w:val="00DD7C63"/>
    <w:rsid w:val="00DE6BEB"/>
    <w:rsid w:val="00DF716C"/>
    <w:rsid w:val="00E13541"/>
    <w:rsid w:val="00E14D72"/>
    <w:rsid w:val="00E1635C"/>
    <w:rsid w:val="00E21E01"/>
    <w:rsid w:val="00E53839"/>
    <w:rsid w:val="00E566E4"/>
    <w:rsid w:val="00E60B70"/>
    <w:rsid w:val="00E60C03"/>
    <w:rsid w:val="00E6237C"/>
    <w:rsid w:val="00E65CBA"/>
    <w:rsid w:val="00E67C6B"/>
    <w:rsid w:val="00E741DF"/>
    <w:rsid w:val="00E8014D"/>
    <w:rsid w:val="00E829A2"/>
    <w:rsid w:val="00E83ADE"/>
    <w:rsid w:val="00E854D2"/>
    <w:rsid w:val="00E866D6"/>
    <w:rsid w:val="00E90876"/>
    <w:rsid w:val="00E9434C"/>
    <w:rsid w:val="00EA0357"/>
    <w:rsid w:val="00EA6BF0"/>
    <w:rsid w:val="00EB2024"/>
    <w:rsid w:val="00ED3C02"/>
    <w:rsid w:val="00ED64E9"/>
    <w:rsid w:val="00EE5F73"/>
    <w:rsid w:val="00EF4430"/>
    <w:rsid w:val="00F0354E"/>
    <w:rsid w:val="00F101EC"/>
    <w:rsid w:val="00F14F50"/>
    <w:rsid w:val="00F221C2"/>
    <w:rsid w:val="00F41DBD"/>
    <w:rsid w:val="00F4269A"/>
    <w:rsid w:val="00F53DE9"/>
    <w:rsid w:val="00F579EC"/>
    <w:rsid w:val="00F62BE0"/>
    <w:rsid w:val="00F62FDB"/>
    <w:rsid w:val="00F71B7F"/>
    <w:rsid w:val="00FA5216"/>
    <w:rsid w:val="00FA6263"/>
    <w:rsid w:val="00FC1DCC"/>
    <w:rsid w:val="00FC3CBC"/>
    <w:rsid w:val="00FD1524"/>
    <w:rsid w:val="00FD30EE"/>
    <w:rsid w:val="00FD5583"/>
    <w:rsid w:val="00FE0073"/>
    <w:rsid w:val="00FF19E9"/>
    <w:rsid w:val="00FF4047"/>
    <w:rsid w:val="00FF4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41"/>
    <w:rPr>
      <w:rFonts w:ascii="Trebuchet MS" w:hAnsi="Trebuchet MS"/>
      <w:sz w:val="22"/>
      <w:szCs w:val="24"/>
      <w:lang w:eastAsia="en-US"/>
    </w:rPr>
  </w:style>
  <w:style w:type="paragraph" w:styleId="Heading1">
    <w:name w:val="heading 1"/>
    <w:basedOn w:val="Normal"/>
    <w:next w:val="Normal"/>
    <w:link w:val="Heading1Char"/>
    <w:qFormat/>
    <w:rsid w:val="00B573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573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573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ubHeading"/>
    <w:rsid w:val="00B57341"/>
    <w:rPr>
      <w:sz w:val="26"/>
    </w:rPr>
  </w:style>
  <w:style w:type="character" w:styleId="Hyperlink">
    <w:name w:val="Hyperlink"/>
    <w:basedOn w:val="DefaultParagraphFont"/>
    <w:rsid w:val="00076969"/>
    <w:rPr>
      <w:color w:val="0000FF"/>
      <w:u w:val="single"/>
    </w:rPr>
  </w:style>
  <w:style w:type="paragraph" w:styleId="FootnoteText">
    <w:name w:val="footnote text"/>
    <w:basedOn w:val="Normal"/>
    <w:semiHidden/>
    <w:rsid w:val="00611A4D"/>
    <w:rPr>
      <w:sz w:val="20"/>
      <w:szCs w:val="20"/>
    </w:rPr>
  </w:style>
  <w:style w:type="paragraph" w:customStyle="1" w:styleId="SubHeading">
    <w:name w:val="Sub Heading"/>
    <w:basedOn w:val="Normal"/>
    <w:next w:val="FootnoteText"/>
    <w:rsid w:val="00B57341"/>
    <w:pPr>
      <w:keepNext/>
      <w:spacing w:before="240" w:after="60"/>
      <w:outlineLvl w:val="0"/>
    </w:pPr>
    <w:rPr>
      <w:rFonts w:cs="Arial"/>
      <w:b/>
      <w:kern w:val="32"/>
      <w:szCs w:val="32"/>
    </w:rPr>
  </w:style>
  <w:style w:type="character" w:styleId="FootnoteReference">
    <w:name w:val="footnote reference"/>
    <w:basedOn w:val="DefaultParagraphFont"/>
    <w:semiHidden/>
    <w:rsid w:val="00611A4D"/>
    <w:rPr>
      <w:vertAlign w:val="superscript"/>
    </w:rPr>
  </w:style>
  <w:style w:type="paragraph" w:styleId="Header">
    <w:name w:val="header"/>
    <w:basedOn w:val="Normal"/>
    <w:rsid w:val="00807B3F"/>
    <w:pPr>
      <w:tabs>
        <w:tab w:val="center" w:pos="4153"/>
        <w:tab w:val="right" w:pos="8306"/>
      </w:tabs>
    </w:pPr>
  </w:style>
  <w:style w:type="paragraph" w:styleId="Footer">
    <w:name w:val="footer"/>
    <w:basedOn w:val="Normal"/>
    <w:link w:val="FooterChar"/>
    <w:uiPriority w:val="99"/>
    <w:rsid w:val="00807B3F"/>
    <w:pPr>
      <w:tabs>
        <w:tab w:val="center" w:pos="4153"/>
        <w:tab w:val="right" w:pos="8306"/>
      </w:tabs>
    </w:pPr>
  </w:style>
  <w:style w:type="character" w:styleId="PageNumber">
    <w:name w:val="page number"/>
    <w:basedOn w:val="DefaultParagraphFont"/>
    <w:rsid w:val="00807B3F"/>
  </w:style>
  <w:style w:type="character" w:customStyle="1" w:styleId="Heading1Char">
    <w:name w:val="Heading 1 Char"/>
    <w:basedOn w:val="DefaultParagraphFont"/>
    <w:link w:val="Heading1"/>
    <w:rsid w:val="00C17CBD"/>
    <w:rPr>
      <w:rFonts w:ascii="Arial" w:hAnsi="Arial" w:cs="Arial"/>
      <w:b/>
      <w:bCs/>
      <w:kern w:val="32"/>
      <w:sz w:val="32"/>
      <w:szCs w:val="32"/>
      <w:lang w:eastAsia="en-US"/>
    </w:rPr>
  </w:style>
  <w:style w:type="character" w:customStyle="1" w:styleId="FooterChar">
    <w:name w:val="Footer Char"/>
    <w:link w:val="Footer"/>
    <w:uiPriority w:val="99"/>
    <w:rsid w:val="00AC1B86"/>
    <w:rPr>
      <w:rFonts w:ascii="Trebuchet MS" w:hAnsi="Trebuchet MS"/>
      <w:sz w:val="22"/>
      <w:szCs w:val="24"/>
      <w:lang w:eastAsia="en-US"/>
    </w:rPr>
  </w:style>
  <w:style w:type="character" w:styleId="PlaceholderText">
    <w:name w:val="Placeholder Text"/>
    <w:basedOn w:val="DefaultParagraphFont"/>
    <w:uiPriority w:val="99"/>
    <w:semiHidden/>
    <w:rsid w:val="00AC1B86"/>
    <w:rPr>
      <w:color w:val="808080"/>
    </w:rPr>
  </w:style>
  <w:style w:type="paragraph" w:styleId="BalloonText">
    <w:name w:val="Balloon Text"/>
    <w:basedOn w:val="Normal"/>
    <w:link w:val="BalloonTextChar"/>
    <w:uiPriority w:val="99"/>
    <w:semiHidden/>
    <w:unhideWhenUsed/>
    <w:rsid w:val="007A5A9D"/>
    <w:rPr>
      <w:rFonts w:ascii="Tahoma" w:hAnsi="Tahoma" w:cs="Tahoma"/>
      <w:sz w:val="16"/>
      <w:szCs w:val="16"/>
    </w:rPr>
  </w:style>
  <w:style w:type="character" w:customStyle="1" w:styleId="BalloonTextChar">
    <w:name w:val="Balloon Text Char"/>
    <w:basedOn w:val="DefaultParagraphFont"/>
    <w:link w:val="BalloonText"/>
    <w:uiPriority w:val="99"/>
    <w:semiHidden/>
    <w:rsid w:val="007A5A9D"/>
    <w:rPr>
      <w:rFonts w:ascii="Tahoma" w:hAnsi="Tahoma" w:cs="Tahoma"/>
      <w:sz w:val="16"/>
      <w:szCs w:val="16"/>
      <w:lang w:eastAsia="en-US"/>
    </w:rPr>
  </w:style>
  <w:style w:type="paragraph" w:customStyle="1" w:styleId="Default">
    <w:name w:val="Default"/>
    <w:rsid w:val="00DD68F8"/>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846211"/>
    <w:rPr>
      <w:sz w:val="16"/>
      <w:szCs w:val="16"/>
    </w:rPr>
  </w:style>
  <w:style w:type="paragraph" w:styleId="CommentText">
    <w:name w:val="annotation text"/>
    <w:basedOn w:val="Normal"/>
    <w:link w:val="CommentTextChar"/>
    <w:uiPriority w:val="99"/>
    <w:semiHidden/>
    <w:unhideWhenUsed/>
    <w:rsid w:val="00846211"/>
    <w:rPr>
      <w:sz w:val="20"/>
      <w:szCs w:val="20"/>
    </w:rPr>
  </w:style>
  <w:style w:type="character" w:customStyle="1" w:styleId="CommentTextChar">
    <w:name w:val="Comment Text Char"/>
    <w:basedOn w:val="DefaultParagraphFont"/>
    <w:link w:val="CommentText"/>
    <w:uiPriority w:val="99"/>
    <w:semiHidden/>
    <w:rsid w:val="00846211"/>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846211"/>
    <w:rPr>
      <w:b/>
      <w:bCs/>
    </w:rPr>
  </w:style>
  <w:style w:type="character" w:customStyle="1" w:styleId="CommentSubjectChar">
    <w:name w:val="Comment Subject Char"/>
    <w:basedOn w:val="CommentTextChar"/>
    <w:link w:val="CommentSubject"/>
    <w:uiPriority w:val="99"/>
    <w:semiHidden/>
    <w:rsid w:val="00846211"/>
    <w:rPr>
      <w:rFonts w:ascii="Trebuchet MS" w:hAnsi="Trebuchet M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41"/>
    <w:rPr>
      <w:rFonts w:ascii="Trebuchet MS" w:hAnsi="Trebuchet MS"/>
      <w:sz w:val="22"/>
      <w:szCs w:val="24"/>
      <w:lang w:eastAsia="en-US"/>
    </w:rPr>
  </w:style>
  <w:style w:type="paragraph" w:styleId="Heading1">
    <w:name w:val="heading 1"/>
    <w:basedOn w:val="Normal"/>
    <w:next w:val="Normal"/>
    <w:link w:val="Heading1Char"/>
    <w:qFormat/>
    <w:rsid w:val="00B573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573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573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ubHeading"/>
    <w:rsid w:val="00B57341"/>
    <w:rPr>
      <w:sz w:val="26"/>
    </w:rPr>
  </w:style>
  <w:style w:type="character" w:styleId="Hyperlink">
    <w:name w:val="Hyperlink"/>
    <w:basedOn w:val="DefaultParagraphFont"/>
    <w:rsid w:val="00076969"/>
    <w:rPr>
      <w:color w:val="0000FF"/>
      <w:u w:val="single"/>
    </w:rPr>
  </w:style>
  <w:style w:type="paragraph" w:styleId="FootnoteText">
    <w:name w:val="footnote text"/>
    <w:basedOn w:val="Normal"/>
    <w:semiHidden/>
    <w:rsid w:val="00611A4D"/>
    <w:rPr>
      <w:sz w:val="20"/>
      <w:szCs w:val="20"/>
    </w:rPr>
  </w:style>
  <w:style w:type="paragraph" w:customStyle="1" w:styleId="SubHeading">
    <w:name w:val="Sub Heading"/>
    <w:basedOn w:val="Normal"/>
    <w:next w:val="FootnoteText"/>
    <w:rsid w:val="00B57341"/>
    <w:pPr>
      <w:keepNext/>
      <w:spacing w:before="240" w:after="60"/>
      <w:outlineLvl w:val="0"/>
    </w:pPr>
    <w:rPr>
      <w:rFonts w:cs="Arial"/>
      <w:b/>
      <w:kern w:val="32"/>
      <w:szCs w:val="32"/>
    </w:rPr>
  </w:style>
  <w:style w:type="character" w:styleId="FootnoteReference">
    <w:name w:val="footnote reference"/>
    <w:basedOn w:val="DefaultParagraphFont"/>
    <w:semiHidden/>
    <w:rsid w:val="00611A4D"/>
    <w:rPr>
      <w:vertAlign w:val="superscript"/>
    </w:rPr>
  </w:style>
  <w:style w:type="paragraph" w:styleId="Header">
    <w:name w:val="header"/>
    <w:basedOn w:val="Normal"/>
    <w:rsid w:val="00807B3F"/>
    <w:pPr>
      <w:tabs>
        <w:tab w:val="center" w:pos="4153"/>
        <w:tab w:val="right" w:pos="8306"/>
      </w:tabs>
    </w:pPr>
  </w:style>
  <w:style w:type="paragraph" w:styleId="Footer">
    <w:name w:val="footer"/>
    <w:basedOn w:val="Normal"/>
    <w:link w:val="FooterChar"/>
    <w:uiPriority w:val="99"/>
    <w:rsid w:val="00807B3F"/>
    <w:pPr>
      <w:tabs>
        <w:tab w:val="center" w:pos="4153"/>
        <w:tab w:val="right" w:pos="8306"/>
      </w:tabs>
    </w:pPr>
  </w:style>
  <w:style w:type="character" w:styleId="PageNumber">
    <w:name w:val="page number"/>
    <w:basedOn w:val="DefaultParagraphFont"/>
    <w:rsid w:val="00807B3F"/>
  </w:style>
  <w:style w:type="character" w:customStyle="1" w:styleId="Heading1Char">
    <w:name w:val="Heading 1 Char"/>
    <w:basedOn w:val="DefaultParagraphFont"/>
    <w:link w:val="Heading1"/>
    <w:rsid w:val="00C17CBD"/>
    <w:rPr>
      <w:rFonts w:ascii="Arial" w:hAnsi="Arial" w:cs="Arial"/>
      <w:b/>
      <w:bCs/>
      <w:kern w:val="32"/>
      <w:sz w:val="32"/>
      <w:szCs w:val="32"/>
      <w:lang w:eastAsia="en-US"/>
    </w:rPr>
  </w:style>
  <w:style w:type="character" w:customStyle="1" w:styleId="FooterChar">
    <w:name w:val="Footer Char"/>
    <w:link w:val="Footer"/>
    <w:uiPriority w:val="99"/>
    <w:rsid w:val="00AC1B86"/>
    <w:rPr>
      <w:rFonts w:ascii="Trebuchet MS" w:hAnsi="Trebuchet MS"/>
      <w:sz w:val="22"/>
      <w:szCs w:val="24"/>
      <w:lang w:eastAsia="en-US"/>
    </w:rPr>
  </w:style>
  <w:style w:type="character" w:styleId="PlaceholderText">
    <w:name w:val="Placeholder Text"/>
    <w:basedOn w:val="DefaultParagraphFont"/>
    <w:uiPriority w:val="99"/>
    <w:semiHidden/>
    <w:rsid w:val="00AC1B86"/>
    <w:rPr>
      <w:color w:val="808080"/>
    </w:rPr>
  </w:style>
  <w:style w:type="paragraph" w:styleId="BalloonText">
    <w:name w:val="Balloon Text"/>
    <w:basedOn w:val="Normal"/>
    <w:link w:val="BalloonTextChar"/>
    <w:uiPriority w:val="99"/>
    <w:semiHidden/>
    <w:unhideWhenUsed/>
    <w:rsid w:val="007A5A9D"/>
    <w:rPr>
      <w:rFonts w:ascii="Tahoma" w:hAnsi="Tahoma" w:cs="Tahoma"/>
      <w:sz w:val="16"/>
      <w:szCs w:val="16"/>
    </w:rPr>
  </w:style>
  <w:style w:type="character" w:customStyle="1" w:styleId="BalloonTextChar">
    <w:name w:val="Balloon Text Char"/>
    <w:basedOn w:val="DefaultParagraphFont"/>
    <w:link w:val="BalloonText"/>
    <w:uiPriority w:val="99"/>
    <w:semiHidden/>
    <w:rsid w:val="007A5A9D"/>
    <w:rPr>
      <w:rFonts w:ascii="Tahoma" w:hAnsi="Tahoma" w:cs="Tahoma"/>
      <w:sz w:val="16"/>
      <w:szCs w:val="16"/>
      <w:lang w:eastAsia="en-US"/>
    </w:rPr>
  </w:style>
  <w:style w:type="paragraph" w:customStyle="1" w:styleId="Default">
    <w:name w:val="Default"/>
    <w:rsid w:val="00DD68F8"/>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846211"/>
    <w:rPr>
      <w:sz w:val="16"/>
      <w:szCs w:val="16"/>
    </w:rPr>
  </w:style>
  <w:style w:type="paragraph" w:styleId="CommentText">
    <w:name w:val="annotation text"/>
    <w:basedOn w:val="Normal"/>
    <w:link w:val="CommentTextChar"/>
    <w:uiPriority w:val="99"/>
    <w:semiHidden/>
    <w:unhideWhenUsed/>
    <w:rsid w:val="00846211"/>
    <w:rPr>
      <w:sz w:val="20"/>
      <w:szCs w:val="20"/>
    </w:rPr>
  </w:style>
  <w:style w:type="character" w:customStyle="1" w:styleId="CommentTextChar">
    <w:name w:val="Comment Text Char"/>
    <w:basedOn w:val="DefaultParagraphFont"/>
    <w:link w:val="CommentText"/>
    <w:uiPriority w:val="99"/>
    <w:semiHidden/>
    <w:rsid w:val="00846211"/>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846211"/>
    <w:rPr>
      <w:b/>
      <w:bCs/>
    </w:rPr>
  </w:style>
  <w:style w:type="character" w:customStyle="1" w:styleId="CommentSubjectChar">
    <w:name w:val="Comment Subject Char"/>
    <w:basedOn w:val="CommentTextChar"/>
    <w:link w:val="CommentSubject"/>
    <w:uiPriority w:val="99"/>
    <w:semiHidden/>
    <w:rsid w:val="00846211"/>
    <w:rPr>
      <w:rFonts w:ascii="Trebuchet MS" w:hAnsi="Trebuchet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2314">
      <w:bodyDiv w:val="1"/>
      <w:marLeft w:val="0"/>
      <w:marRight w:val="0"/>
      <w:marTop w:val="0"/>
      <w:marBottom w:val="0"/>
      <w:divBdr>
        <w:top w:val="none" w:sz="0" w:space="0" w:color="auto"/>
        <w:left w:val="none" w:sz="0" w:space="0" w:color="auto"/>
        <w:bottom w:val="none" w:sz="0" w:space="0" w:color="auto"/>
        <w:right w:val="none" w:sz="0" w:space="0" w:color="auto"/>
      </w:divBdr>
      <w:divsChild>
        <w:div w:id="1212887324">
          <w:marLeft w:val="0"/>
          <w:marRight w:val="0"/>
          <w:marTop w:val="0"/>
          <w:marBottom w:val="0"/>
          <w:divBdr>
            <w:top w:val="none" w:sz="0" w:space="0" w:color="auto"/>
            <w:left w:val="none" w:sz="0" w:space="0" w:color="auto"/>
            <w:bottom w:val="none" w:sz="0" w:space="0" w:color="auto"/>
            <w:right w:val="none" w:sz="0" w:space="0" w:color="auto"/>
          </w:divBdr>
          <w:divsChild>
            <w:div w:id="1892377879">
              <w:marLeft w:val="0"/>
              <w:marRight w:val="0"/>
              <w:marTop w:val="0"/>
              <w:marBottom w:val="0"/>
              <w:divBdr>
                <w:top w:val="none" w:sz="0" w:space="0" w:color="auto"/>
                <w:left w:val="none" w:sz="0" w:space="0" w:color="auto"/>
                <w:bottom w:val="none" w:sz="0" w:space="0" w:color="auto"/>
                <w:right w:val="none" w:sz="0" w:space="0" w:color="auto"/>
              </w:divBdr>
              <w:divsChild>
                <w:div w:id="385224224">
                  <w:marLeft w:val="0"/>
                  <w:marRight w:val="0"/>
                  <w:marTop w:val="0"/>
                  <w:marBottom w:val="0"/>
                  <w:divBdr>
                    <w:top w:val="none" w:sz="0" w:space="0" w:color="auto"/>
                    <w:left w:val="none" w:sz="0" w:space="0" w:color="auto"/>
                    <w:bottom w:val="none" w:sz="0" w:space="0" w:color="auto"/>
                    <w:right w:val="none" w:sz="0" w:space="0" w:color="auto"/>
                  </w:divBdr>
                  <w:divsChild>
                    <w:div w:id="416752403">
                      <w:marLeft w:val="0"/>
                      <w:marRight w:val="0"/>
                      <w:marTop w:val="0"/>
                      <w:marBottom w:val="0"/>
                      <w:divBdr>
                        <w:top w:val="none" w:sz="0" w:space="0" w:color="auto"/>
                        <w:left w:val="none" w:sz="0" w:space="0" w:color="auto"/>
                        <w:bottom w:val="none" w:sz="0" w:space="0" w:color="auto"/>
                        <w:right w:val="none" w:sz="0" w:space="0" w:color="auto"/>
                      </w:divBdr>
                      <w:divsChild>
                        <w:div w:id="1639457428">
                          <w:marLeft w:val="0"/>
                          <w:marRight w:val="0"/>
                          <w:marTop w:val="0"/>
                          <w:marBottom w:val="0"/>
                          <w:divBdr>
                            <w:top w:val="single" w:sz="6" w:space="0" w:color="828282"/>
                            <w:left w:val="single" w:sz="6" w:space="0" w:color="828282"/>
                            <w:bottom w:val="single" w:sz="6" w:space="0" w:color="828282"/>
                            <w:right w:val="single" w:sz="6" w:space="0" w:color="828282"/>
                          </w:divBdr>
                          <w:divsChild>
                            <w:div w:id="249386790">
                              <w:marLeft w:val="0"/>
                              <w:marRight w:val="0"/>
                              <w:marTop w:val="0"/>
                              <w:marBottom w:val="0"/>
                              <w:divBdr>
                                <w:top w:val="none" w:sz="0" w:space="0" w:color="auto"/>
                                <w:left w:val="none" w:sz="0" w:space="0" w:color="auto"/>
                                <w:bottom w:val="none" w:sz="0" w:space="0" w:color="auto"/>
                                <w:right w:val="none" w:sz="0" w:space="0" w:color="auto"/>
                              </w:divBdr>
                              <w:divsChild>
                                <w:div w:id="585891864">
                                  <w:marLeft w:val="0"/>
                                  <w:marRight w:val="0"/>
                                  <w:marTop w:val="0"/>
                                  <w:marBottom w:val="0"/>
                                  <w:divBdr>
                                    <w:top w:val="none" w:sz="0" w:space="0" w:color="auto"/>
                                    <w:left w:val="none" w:sz="0" w:space="0" w:color="auto"/>
                                    <w:bottom w:val="none" w:sz="0" w:space="0" w:color="auto"/>
                                    <w:right w:val="none" w:sz="0" w:space="0" w:color="auto"/>
                                  </w:divBdr>
                                  <w:divsChild>
                                    <w:div w:id="1984894717">
                                      <w:marLeft w:val="0"/>
                                      <w:marRight w:val="0"/>
                                      <w:marTop w:val="0"/>
                                      <w:marBottom w:val="0"/>
                                      <w:divBdr>
                                        <w:top w:val="none" w:sz="0" w:space="0" w:color="auto"/>
                                        <w:left w:val="none" w:sz="0" w:space="0" w:color="auto"/>
                                        <w:bottom w:val="none" w:sz="0" w:space="0" w:color="auto"/>
                                        <w:right w:val="none" w:sz="0" w:space="0" w:color="auto"/>
                                      </w:divBdr>
                                      <w:divsChild>
                                        <w:div w:id="2070224644">
                                          <w:marLeft w:val="0"/>
                                          <w:marRight w:val="0"/>
                                          <w:marTop w:val="0"/>
                                          <w:marBottom w:val="0"/>
                                          <w:divBdr>
                                            <w:top w:val="none" w:sz="0" w:space="0" w:color="auto"/>
                                            <w:left w:val="none" w:sz="0" w:space="0" w:color="auto"/>
                                            <w:bottom w:val="none" w:sz="0" w:space="0" w:color="auto"/>
                                            <w:right w:val="none" w:sz="0" w:space="0" w:color="auto"/>
                                          </w:divBdr>
                                          <w:divsChild>
                                            <w:div w:id="1147938979">
                                              <w:marLeft w:val="0"/>
                                              <w:marRight w:val="0"/>
                                              <w:marTop w:val="0"/>
                                              <w:marBottom w:val="0"/>
                                              <w:divBdr>
                                                <w:top w:val="none" w:sz="0" w:space="0" w:color="auto"/>
                                                <w:left w:val="none" w:sz="0" w:space="0" w:color="auto"/>
                                                <w:bottom w:val="none" w:sz="0" w:space="0" w:color="auto"/>
                                                <w:right w:val="none" w:sz="0" w:space="0" w:color="auto"/>
                                              </w:divBdr>
                                              <w:divsChild>
                                                <w:div w:id="14228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169781">
      <w:bodyDiv w:val="1"/>
      <w:marLeft w:val="0"/>
      <w:marRight w:val="0"/>
      <w:marTop w:val="0"/>
      <w:marBottom w:val="0"/>
      <w:divBdr>
        <w:top w:val="none" w:sz="0" w:space="0" w:color="auto"/>
        <w:left w:val="none" w:sz="0" w:space="0" w:color="auto"/>
        <w:bottom w:val="none" w:sz="0" w:space="0" w:color="auto"/>
        <w:right w:val="none" w:sz="0" w:space="0" w:color="auto"/>
      </w:divBdr>
      <w:divsChild>
        <w:div w:id="240799387">
          <w:marLeft w:val="0"/>
          <w:marRight w:val="0"/>
          <w:marTop w:val="0"/>
          <w:marBottom w:val="0"/>
          <w:divBdr>
            <w:top w:val="none" w:sz="0" w:space="0" w:color="auto"/>
            <w:left w:val="none" w:sz="0" w:space="0" w:color="auto"/>
            <w:bottom w:val="none" w:sz="0" w:space="0" w:color="auto"/>
            <w:right w:val="none" w:sz="0" w:space="0" w:color="auto"/>
          </w:divBdr>
          <w:divsChild>
            <w:div w:id="873233203">
              <w:marLeft w:val="0"/>
              <w:marRight w:val="0"/>
              <w:marTop w:val="0"/>
              <w:marBottom w:val="0"/>
              <w:divBdr>
                <w:top w:val="none" w:sz="0" w:space="0" w:color="auto"/>
                <w:left w:val="none" w:sz="0" w:space="0" w:color="auto"/>
                <w:bottom w:val="none" w:sz="0" w:space="0" w:color="auto"/>
                <w:right w:val="none" w:sz="0" w:space="0" w:color="auto"/>
              </w:divBdr>
              <w:divsChild>
                <w:div w:id="253171995">
                  <w:marLeft w:val="0"/>
                  <w:marRight w:val="0"/>
                  <w:marTop w:val="0"/>
                  <w:marBottom w:val="0"/>
                  <w:divBdr>
                    <w:top w:val="none" w:sz="0" w:space="0" w:color="auto"/>
                    <w:left w:val="none" w:sz="0" w:space="0" w:color="auto"/>
                    <w:bottom w:val="none" w:sz="0" w:space="0" w:color="auto"/>
                    <w:right w:val="none" w:sz="0" w:space="0" w:color="auto"/>
                  </w:divBdr>
                  <w:divsChild>
                    <w:div w:id="1669794991">
                      <w:marLeft w:val="0"/>
                      <w:marRight w:val="0"/>
                      <w:marTop w:val="0"/>
                      <w:marBottom w:val="0"/>
                      <w:divBdr>
                        <w:top w:val="none" w:sz="0" w:space="0" w:color="auto"/>
                        <w:left w:val="none" w:sz="0" w:space="0" w:color="auto"/>
                        <w:bottom w:val="none" w:sz="0" w:space="0" w:color="auto"/>
                        <w:right w:val="none" w:sz="0" w:space="0" w:color="auto"/>
                      </w:divBdr>
                      <w:divsChild>
                        <w:div w:id="875311820">
                          <w:marLeft w:val="0"/>
                          <w:marRight w:val="0"/>
                          <w:marTop w:val="0"/>
                          <w:marBottom w:val="0"/>
                          <w:divBdr>
                            <w:top w:val="single" w:sz="6" w:space="0" w:color="828282"/>
                            <w:left w:val="single" w:sz="6" w:space="0" w:color="828282"/>
                            <w:bottom w:val="single" w:sz="6" w:space="0" w:color="828282"/>
                            <w:right w:val="single" w:sz="6" w:space="0" w:color="828282"/>
                          </w:divBdr>
                          <w:divsChild>
                            <w:div w:id="365830568">
                              <w:marLeft w:val="0"/>
                              <w:marRight w:val="0"/>
                              <w:marTop w:val="0"/>
                              <w:marBottom w:val="0"/>
                              <w:divBdr>
                                <w:top w:val="none" w:sz="0" w:space="0" w:color="auto"/>
                                <w:left w:val="none" w:sz="0" w:space="0" w:color="auto"/>
                                <w:bottom w:val="none" w:sz="0" w:space="0" w:color="auto"/>
                                <w:right w:val="none" w:sz="0" w:space="0" w:color="auto"/>
                              </w:divBdr>
                              <w:divsChild>
                                <w:div w:id="657805084">
                                  <w:marLeft w:val="0"/>
                                  <w:marRight w:val="0"/>
                                  <w:marTop w:val="0"/>
                                  <w:marBottom w:val="0"/>
                                  <w:divBdr>
                                    <w:top w:val="none" w:sz="0" w:space="0" w:color="auto"/>
                                    <w:left w:val="none" w:sz="0" w:space="0" w:color="auto"/>
                                    <w:bottom w:val="none" w:sz="0" w:space="0" w:color="auto"/>
                                    <w:right w:val="none" w:sz="0" w:space="0" w:color="auto"/>
                                  </w:divBdr>
                                  <w:divsChild>
                                    <w:div w:id="807086446">
                                      <w:marLeft w:val="0"/>
                                      <w:marRight w:val="0"/>
                                      <w:marTop w:val="0"/>
                                      <w:marBottom w:val="0"/>
                                      <w:divBdr>
                                        <w:top w:val="none" w:sz="0" w:space="0" w:color="auto"/>
                                        <w:left w:val="none" w:sz="0" w:space="0" w:color="auto"/>
                                        <w:bottom w:val="none" w:sz="0" w:space="0" w:color="auto"/>
                                        <w:right w:val="none" w:sz="0" w:space="0" w:color="auto"/>
                                      </w:divBdr>
                                      <w:divsChild>
                                        <w:div w:id="2054579498">
                                          <w:marLeft w:val="0"/>
                                          <w:marRight w:val="0"/>
                                          <w:marTop w:val="0"/>
                                          <w:marBottom w:val="0"/>
                                          <w:divBdr>
                                            <w:top w:val="none" w:sz="0" w:space="0" w:color="auto"/>
                                            <w:left w:val="none" w:sz="0" w:space="0" w:color="auto"/>
                                            <w:bottom w:val="none" w:sz="0" w:space="0" w:color="auto"/>
                                            <w:right w:val="none" w:sz="0" w:space="0" w:color="auto"/>
                                          </w:divBdr>
                                          <w:divsChild>
                                            <w:div w:id="354699249">
                                              <w:marLeft w:val="0"/>
                                              <w:marRight w:val="0"/>
                                              <w:marTop w:val="0"/>
                                              <w:marBottom w:val="0"/>
                                              <w:divBdr>
                                                <w:top w:val="none" w:sz="0" w:space="0" w:color="auto"/>
                                                <w:left w:val="none" w:sz="0" w:space="0" w:color="auto"/>
                                                <w:bottom w:val="none" w:sz="0" w:space="0" w:color="auto"/>
                                                <w:right w:val="none" w:sz="0" w:space="0" w:color="auto"/>
                                              </w:divBdr>
                                              <w:divsChild>
                                                <w:div w:id="1316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2015-04-16T23:15:00Z</dcterms:created>
  <dcterms:modified xsi:type="dcterms:W3CDTF">2015-04-16T23:15:00Z</dcterms:modified>
</cp:coreProperties>
</file>