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23AAF" w:rsidRDefault="00193461" w:rsidP="00C63713">
      <w:pPr>
        <w:rPr>
          <w:sz w:val="28"/>
        </w:rPr>
      </w:pPr>
      <w:r w:rsidRPr="00123AAF">
        <w:rPr>
          <w:noProof/>
          <w:lang w:eastAsia="en-AU"/>
        </w:rPr>
        <w:drawing>
          <wp:inline distT="0" distB="0" distL="0" distR="0" wp14:anchorId="35C04F4D" wp14:editId="2DAF1A7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23AAF" w:rsidRDefault="0048364F" w:rsidP="0048364F">
      <w:pPr>
        <w:rPr>
          <w:sz w:val="19"/>
        </w:rPr>
      </w:pPr>
    </w:p>
    <w:p w:rsidR="0048364F" w:rsidRPr="00123AAF" w:rsidRDefault="00347C42" w:rsidP="0048364F">
      <w:pPr>
        <w:pStyle w:val="ShortT"/>
      </w:pPr>
      <w:r w:rsidRPr="00123AAF">
        <w:t>Therapeutic Goods (Medical Devices) Amendment (Joint Replacements) Regulation</w:t>
      </w:r>
      <w:r w:rsidR="00123AAF" w:rsidRPr="00123AAF">
        <w:t> </w:t>
      </w:r>
      <w:r w:rsidRPr="00123AAF">
        <w:t>2015</w:t>
      </w:r>
    </w:p>
    <w:p w:rsidR="0048364F" w:rsidRPr="00123AAF" w:rsidRDefault="0048364F" w:rsidP="0048364F"/>
    <w:p w:rsidR="0048364F" w:rsidRPr="00123AAF" w:rsidRDefault="00A4361F" w:rsidP="00680F17">
      <w:pPr>
        <w:pStyle w:val="InstNo"/>
      </w:pPr>
      <w:r w:rsidRPr="00123AAF">
        <w:t>Select Legislative Instrument</w:t>
      </w:r>
      <w:r w:rsidR="00154EAC" w:rsidRPr="00123AAF">
        <w:t xml:space="preserve"> </w:t>
      </w:r>
      <w:bookmarkStart w:id="0" w:name="BKCheck15B_1"/>
      <w:bookmarkEnd w:id="0"/>
      <w:r w:rsidR="00D0104A" w:rsidRPr="00123AAF">
        <w:fldChar w:fldCharType="begin"/>
      </w:r>
      <w:r w:rsidR="00D0104A" w:rsidRPr="00123AAF">
        <w:instrText xml:space="preserve"> DOCPROPERTY  ActNo </w:instrText>
      </w:r>
      <w:r w:rsidR="00D0104A" w:rsidRPr="00123AAF">
        <w:fldChar w:fldCharType="separate"/>
      </w:r>
      <w:r w:rsidR="004D4B41">
        <w:t>No. 46, 2015</w:t>
      </w:r>
      <w:r w:rsidR="00D0104A" w:rsidRPr="00123AAF">
        <w:fldChar w:fldCharType="end"/>
      </w:r>
    </w:p>
    <w:p w:rsidR="00347C42" w:rsidRPr="00123AAF" w:rsidRDefault="00347C42" w:rsidP="005E7FE8">
      <w:pPr>
        <w:pStyle w:val="SignCoverPageStart"/>
        <w:spacing w:before="240"/>
        <w:rPr>
          <w:szCs w:val="22"/>
        </w:rPr>
      </w:pPr>
      <w:r w:rsidRPr="00123AAF">
        <w:rPr>
          <w:szCs w:val="22"/>
        </w:rPr>
        <w:t xml:space="preserve">I, General the Honourable Sir Peter Cosgrove AK MC (Ret’d), </w:t>
      </w:r>
      <w:r w:rsidR="00123AAF" w:rsidRPr="00123AAF">
        <w:rPr>
          <w:szCs w:val="22"/>
        </w:rPr>
        <w:t>Governor</w:t>
      </w:r>
      <w:r w:rsidR="00123AAF">
        <w:rPr>
          <w:szCs w:val="22"/>
        </w:rPr>
        <w:noBreakHyphen/>
      </w:r>
      <w:r w:rsidR="00123AAF" w:rsidRPr="00123AAF">
        <w:rPr>
          <w:szCs w:val="22"/>
        </w:rPr>
        <w:t>General</w:t>
      </w:r>
      <w:r w:rsidRPr="00123AAF">
        <w:rPr>
          <w:szCs w:val="22"/>
        </w:rPr>
        <w:t xml:space="preserve"> of the Commonwealth of Australia, acting with the advice of the Federal Executive Council, make the following regulation.</w:t>
      </w:r>
    </w:p>
    <w:p w:rsidR="00347C42" w:rsidRPr="00123AAF" w:rsidRDefault="00347C42" w:rsidP="005E7FE8">
      <w:pPr>
        <w:keepNext/>
        <w:spacing w:before="720" w:line="240" w:lineRule="atLeast"/>
        <w:ind w:right="397"/>
        <w:jc w:val="both"/>
        <w:rPr>
          <w:szCs w:val="22"/>
        </w:rPr>
      </w:pPr>
      <w:r w:rsidRPr="00123AAF">
        <w:rPr>
          <w:szCs w:val="22"/>
        </w:rPr>
        <w:t xml:space="preserve">Dated </w:t>
      </w:r>
      <w:bookmarkStart w:id="1" w:name="BKCheck15B_2"/>
      <w:bookmarkEnd w:id="1"/>
      <w:r w:rsidRPr="00123AAF">
        <w:rPr>
          <w:szCs w:val="22"/>
        </w:rPr>
        <w:fldChar w:fldCharType="begin"/>
      </w:r>
      <w:r w:rsidRPr="00123AAF">
        <w:rPr>
          <w:szCs w:val="22"/>
        </w:rPr>
        <w:instrText xml:space="preserve"> DOCPROPERTY  DateMade </w:instrText>
      </w:r>
      <w:r w:rsidRPr="00123AAF">
        <w:rPr>
          <w:szCs w:val="22"/>
        </w:rPr>
        <w:fldChar w:fldCharType="separate"/>
      </w:r>
      <w:r w:rsidR="004D4B41">
        <w:rPr>
          <w:szCs w:val="22"/>
        </w:rPr>
        <w:t>16 April 2015</w:t>
      </w:r>
      <w:r w:rsidRPr="00123AAF">
        <w:rPr>
          <w:szCs w:val="22"/>
        </w:rPr>
        <w:fldChar w:fldCharType="end"/>
      </w:r>
    </w:p>
    <w:p w:rsidR="00347C42" w:rsidRPr="00123AAF" w:rsidRDefault="00347C42" w:rsidP="005E7FE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23AAF">
        <w:rPr>
          <w:szCs w:val="22"/>
        </w:rPr>
        <w:t>Peter Cosgrove</w:t>
      </w:r>
    </w:p>
    <w:p w:rsidR="00347C42" w:rsidRPr="00123AAF" w:rsidRDefault="00123AAF" w:rsidP="005E7FE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23AAF">
        <w:rPr>
          <w:szCs w:val="22"/>
        </w:rPr>
        <w:t>Governor</w:t>
      </w:r>
      <w:r>
        <w:rPr>
          <w:szCs w:val="22"/>
        </w:rPr>
        <w:noBreakHyphen/>
      </w:r>
      <w:r w:rsidRPr="00123AAF">
        <w:rPr>
          <w:szCs w:val="22"/>
        </w:rPr>
        <w:t>General</w:t>
      </w:r>
    </w:p>
    <w:p w:rsidR="00347C42" w:rsidRPr="00123AAF" w:rsidRDefault="00347C42" w:rsidP="00C94CAB">
      <w:pPr>
        <w:keepNext/>
        <w:tabs>
          <w:tab w:val="left" w:pos="3402"/>
        </w:tabs>
        <w:spacing w:before="600" w:after="1080" w:line="300" w:lineRule="atLeast"/>
        <w:ind w:right="397"/>
        <w:rPr>
          <w:szCs w:val="22"/>
        </w:rPr>
      </w:pPr>
      <w:r w:rsidRPr="00123AAF">
        <w:rPr>
          <w:szCs w:val="22"/>
        </w:rPr>
        <w:t>By His Excellency’s Command</w:t>
      </w:r>
    </w:p>
    <w:p w:rsidR="00347C42" w:rsidRPr="00123AAF" w:rsidRDefault="00347C42" w:rsidP="005E7FE8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123AAF">
        <w:rPr>
          <w:szCs w:val="22"/>
        </w:rPr>
        <w:t>Fiona Nash</w:t>
      </w:r>
    </w:p>
    <w:p w:rsidR="00347C42" w:rsidRPr="00123AAF" w:rsidRDefault="00347C42" w:rsidP="005E7FE8">
      <w:pPr>
        <w:pStyle w:val="SignCoverPageEnd"/>
        <w:rPr>
          <w:szCs w:val="22"/>
        </w:rPr>
      </w:pPr>
      <w:r w:rsidRPr="00123AAF">
        <w:rPr>
          <w:szCs w:val="22"/>
        </w:rPr>
        <w:t>Assistant Minister for Health</w:t>
      </w:r>
    </w:p>
    <w:p w:rsidR="00347C42" w:rsidRPr="00123AAF" w:rsidRDefault="00347C42" w:rsidP="00347C42"/>
    <w:p w:rsidR="0048364F" w:rsidRPr="00123AAF" w:rsidRDefault="0048364F" w:rsidP="0048364F">
      <w:pPr>
        <w:pStyle w:val="Header"/>
        <w:tabs>
          <w:tab w:val="clear" w:pos="4150"/>
          <w:tab w:val="clear" w:pos="8307"/>
        </w:tabs>
      </w:pPr>
      <w:r w:rsidRPr="00123AAF">
        <w:rPr>
          <w:rStyle w:val="CharAmSchNo"/>
        </w:rPr>
        <w:t xml:space="preserve"> </w:t>
      </w:r>
      <w:r w:rsidRPr="00123AAF">
        <w:rPr>
          <w:rStyle w:val="CharAmSchText"/>
        </w:rPr>
        <w:t xml:space="preserve"> </w:t>
      </w:r>
    </w:p>
    <w:p w:rsidR="0048364F" w:rsidRPr="00123AAF" w:rsidRDefault="0048364F" w:rsidP="0048364F">
      <w:pPr>
        <w:pStyle w:val="Header"/>
        <w:tabs>
          <w:tab w:val="clear" w:pos="4150"/>
          <w:tab w:val="clear" w:pos="8307"/>
        </w:tabs>
      </w:pPr>
      <w:r w:rsidRPr="00123AAF">
        <w:rPr>
          <w:rStyle w:val="CharAmPartNo"/>
        </w:rPr>
        <w:t xml:space="preserve"> </w:t>
      </w:r>
      <w:r w:rsidRPr="00123AAF">
        <w:rPr>
          <w:rStyle w:val="CharAmPartText"/>
        </w:rPr>
        <w:t xml:space="preserve"> </w:t>
      </w:r>
    </w:p>
    <w:p w:rsidR="0048364F" w:rsidRPr="00123AAF" w:rsidRDefault="0048364F" w:rsidP="0048364F">
      <w:pPr>
        <w:sectPr w:rsidR="0048364F" w:rsidRPr="00123AAF" w:rsidSect="001B03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123AAF" w:rsidRDefault="0048364F" w:rsidP="00D16356">
      <w:pPr>
        <w:rPr>
          <w:sz w:val="36"/>
        </w:rPr>
      </w:pPr>
      <w:r w:rsidRPr="00123AAF">
        <w:rPr>
          <w:sz w:val="36"/>
        </w:rPr>
        <w:lastRenderedPageBreak/>
        <w:t>Contents</w:t>
      </w:r>
    </w:p>
    <w:bookmarkStart w:id="2" w:name="BKCheck15B_3"/>
    <w:bookmarkEnd w:id="2"/>
    <w:p w:rsidR="00110E45" w:rsidRPr="00123AAF" w:rsidRDefault="00110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3AAF">
        <w:fldChar w:fldCharType="begin"/>
      </w:r>
      <w:r w:rsidRPr="00123AAF">
        <w:instrText xml:space="preserve"> TOC \o "1-9" </w:instrText>
      </w:r>
      <w:r w:rsidRPr="00123AAF">
        <w:fldChar w:fldCharType="separate"/>
      </w:r>
      <w:r w:rsidRPr="00123AAF">
        <w:rPr>
          <w:noProof/>
        </w:rPr>
        <w:t>1</w:t>
      </w:r>
      <w:r w:rsidRPr="00123AAF">
        <w:rPr>
          <w:noProof/>
        </w:rPr>
        <w:tab/>
        <w:t>Name</w:t>
      </w:r>
      <w:r w:rsidRPr="00123AAF">
        <w:rPr>
          <w:noProof/>
        </w:rPr>
        <w:tab/>
      </w:r>
      <w:r w:rsidRPr="00123AAF">
        <w:rPr>
          <w:noProof/>
        </w:rPr>
        <w:fldChar w:fldCharType="begin"/>
      </w:r>
      <w:r w:rsidRPr="00123AAF">
        <w:rPr>
          <w:noProof/>
        </w:rPr>
        <w:instrText xml:space="preserve"> PAGEREF _Toc414878695 \h </w:instrText>
      </w:r>
      <w:r w:rsidRPr="00123AAF">
        <w:rPr>
          <w:noProof/>
        </w:rPr>
      </w:r>
      <w:r w:rsidRPr="00123AAF">
        <w:rPr>
          <w:noProof/>
        </w:rPr>
        <w:fldChar w:fldCharType="separate"/>
      </w:r>
      <w:r w:rsidR="004D4B41">
        <w:rPr>
          <w:noProof/>
        </w:rPr>
        <w:t>1</w:t>
      </w:r>
      <w:r w:rsidRPr="00123AAF">
        <w:rPr>
          <w:noProof/>
        </w:rPr>
        <w:fldChar w:fldCharType="end"/>
      </w:r>
    </w:p>
    <w:p w:rsidR="00110E45" w:rsidRPr="00123AAF" w:rsidRDefault="00110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3AAF">
        <w:rPr>
          <w:noProof/>
        </w:rPr>
        <w:t>2</w:t>
      </w:r>
      <w:r w:rsidRPr="00123AAF">
        <w:rPr>
          <w:noProof/>
        </w:rPr>
        <w:tab/>
        <w:t>Commencement</w:t>
      </w:r>
      <w:r w:rsidRPr="00123AAF">
        <w:rPr>
          <w:noProof/>
        </w:rPr>
        <w:tab/>
      </w:r>
      <w:r w:rsidRPr="00123AAF">
        <w:rPr>
          <w:noProof/>
        </w:rPr>
        <w:fldChar w:fldCharType="begin"/>
      </w:r>
      <w:r w:rsidRPr="00123AAF">
        <w:rPr>
          <w:noProof/>
        </w:rPr>
        <w:instrText xml:space="preserve"> PAGEREF _Toc414878696 \h </w:instrText>
      </w:r>
      <w:r w:rsidRPr="00123AAF">
        <w:rPr>
          <w:noProof/>
        </w:rPr>
      </w:r>
      <w:r w:rsidRPr="00123AAF">
        <w:rPr>
          <w:noProof/>
        </w:rPr>
        <w:fldChar w:fldCharType="separate"/>
      </w:r>
      <w:r w:rsidR="004D4B41">
        <w:rPr>
          <w:noProof/>
        </w:rPr>
        <w:t>1</w:t>
      </w:r>
      <w:r w:rsidRPr="00123AAF">
        <w:rPr>
          <w:noProof/>
        </w:rPr>
        <w:fldChar w:fldCharType="end"/>
      </w:r>
    </w:p>
    <w:p w:rsidR="00110E45" w:rsidRPr="00123AAF" w:rsidRDefault="00110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3AAF">
        <w:rPr>
          <w:noProof/>
        </w:rPr>
        <w:t>3</w:t>
      </w:r>
      <w:r w:rsidRPr="00123AAF">
        <w:rPr>
          <w:noProof/>
        </w:rPr>
        <w:tab/>
        <w:t>Authority</w:t>
      </w:r>
      <w:r w:rsidRPr="00123AAF">
        <w:rPr>
          <w:noProof/>
        </w:rPr>
        <w:tab/>
      </w:r>
      <w:r w:rsidRPr="00123AAF">
        <w:rPr>
          <w:noProof/>
        </w:rPr>
        <w:fldChar w:fldCharType="begin"/>
      </w:r>
      <w:r w:rsidRPr="00123AAF">
        <w:rPr>
          <w:noProof/>
        </w:rPr>
        <w:instrText xml:space="preserve"> PAGEREF _Toc414878697 \h </w:instrText>
      </w:r>
      <w:r w:rsidRPr="00123AAF">
        <w:rPr>
          <w:noProof/>
        </w:rPr>
      </w:r>
      <w:r w:rsidRPr="00123AAF">
        <w:rPr>
          <w:noProof/>
        </w:rPr>
        <w:fldChar w:fldCharType="separate"/>
      </w:r>
      <w:r w:rsidR="004D4B41">
        <w:rPr>
          <w:noProof/>
        </w:rPr>
        <w:t>1</w:t>
      </w:r>
      <w:r w:rsidRPr="00123AAF">
        <w:rPr>
          <w:noProof/>
        </w:rPr>
        <w:fldChar w:fldCharType="end"/>
      </w:r>
    </w:p>
    <w:p w:rsidR="00110E45" w:rsidRPr="00123AAF" w:rsidRDefault="00110E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23AAF">
        <w:rPr>
          <w:noProof/>
        </w:rPr>
        <w:t>4</w:t>
      </w:r>
      <w:r w:rsidRPr="00123AAF">
        <w:rPr>
          <w:noProof/>
        </w:rPr>
        <w:tab/>
        <w:t>Schedules</w:t>
      </w:r>
      <w:r w:rsidRPr="00123AAF">
        <w:rPr>
          <w:noProof/>
        </w:rPr>
        <w:tab/>
      </w:r>
      <w:r w:rsidRPr="00123AAF">
        <w:rPr>
          <w:noProof/>
        </w:rPr>
        <w:fldChar w:fldCharType="begin"/>
      </w:r>
      <w:r w:rsidRPr="00123AAF">
        <w:rPr>
          <w:noProof/>
        </w:rPr>
        <w:instrText xml:space="preserve"> PAGEREF _Toc414878698 \h </w:instrText>
      </w:r>
      <w:r w:rsidRPr="00123AAF">
        <w:rPr>
          <w:noProof/>
        </w:rPr>
      </w:r>
      <w:r w:rsidRPr="00123AAF">
        <w:rPr>
          <w:noProof/>
        </w:rPr>
        <w:fldChar w:fldCharType="separate"/>
      </w:r>
      <w:r w:rsidR="004D4B41">
        <w:rPr>
          <w:noProof/>
        </w:rPr>
        <w:t>1</w:t>
      </w:r>
      <w:r w:rsidRPr="00123AAF">
        <w:rPr>
          <w:noProof/>
        </w:rPr>
        <w:fldChar w:fldCharType="end"/>
      </w:r>
    </w:p>
    <w:p w:rsidR="00110E45" w:rsidRPr="00123AAF" w:rsidRDefault="00110E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23AAF">
        <w:rPr>
          <w:noProof/>
        </w:rPr>
        <w:t>Schedule</w:t>
      </w:r>
      <w:r w:rsidR="00123AAF" w:rsidRPr="00123AAF">
        <w:rPr>
          <w:noProof/>
        </w:rPr>
        <w:t> </w:t>
      </w:r>
      <w:r w:rsidRPr="00123AAF">
        <w:rPr>
          <w:noProof/>
        </w:rPr>
        <w:t>1—Amendments</w:t>
      </w:r>
      <w:r w:rsidRPr="00123AAF">
        <w:rPr>
          <w:b w:val="0"/>
          <w:noProof/>
          <w:sz w:val="18"/>
        </w:rPr>
        <w:tab/>
      </w:r>
      <w:r w:rsidRPr="00123AAF">
        <w:rPr>
          <w:b w:val="0"/>
          <w:noProof/>
          <w:sz w:val="18"/>
        </w:rPr>
        <w:fldChar w:fldCharType="begin"/>
      </w:r>
      <w:r w:rsidRPr="00123AAF">
        <w:rPr>
          <w:b w:val="0"/>
          <w:noProof/>
          <w:sz w:val="18"/>
        </w:rPr>
        <w:instrText xml:space="preserve"> PAGEREF _Toc414878699 \h </w:instrText>
      </w:r>
      <w:r w:rsidRPr="00123AAF">
        <w:rPr>
          <w:b w:val="0"/>
          <w:noProof/>
          <w:sz w:val="18"/>
        </w:rPr>
      </w:r>
      <w:r w:rsidRPr="00123AAF">
        <w:rPr>
          <w:b w:val="0"/>
          <w:noProof/>
          <w:sz w:val="18"/>
        </w:rPr>
        <w:fldChar w:fldCharType="separate"/>
      </w:r>
      <w:r w:rsidR="004D4B41">
        <w:rPr>
          <w:b w:val="0"/>
          <w:noProof/>
          <w:sz w:val="18"/>
        </w:rPr>
        <w:t>2</w:t>
      </w:r>
      <w:r w:rsidRPr="00123AAF">
        <w:rPr>
          <w:b w:val="0"/>
          <w:noProof/>
          <w:sz w:val="18"/>
        </w:rPr>
        <w:fldChar w:fldCharType="end"/>
      </w:r>
    </w:p>
    <w:p w:rsidR="00110E45" w:rsidRPr="00123AAF" w:rsidRDefault="00110E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23AAF">
        <w:rPr>
          <w:noProof/>
        </w:rPr>
        <w:t>Therapeutic Goods (Medical Devices) Regulations</w:t>
      </w:r>
      <w:r w:rsidR="00123AAF" w:rsidRPr="00123AAF">
        <w:rPr>
          <w:noProof/>
        </w:rPr>
        <w:t> </w:t>
      </w:r>
      <w:r w:rsidRPr="00123AAF">
        <w:rPr>
          <w:noProof/>
        </w:rPr>
        <w:t>2002</w:t>
      </w:r>
      <w:r w:rsidRPr="00123AAF">
        <w:rPr>
          <w:i w:val="0"/>
          <w:noProof/>
          <w:sz w:val="18"/>
        </w:rPr>
        <w:tab/>
      </w:r>
      <w:r w:rsidRPr="00123AAF">
        <w:rPr>
          <w:i w:val="0"/>
          <w:noProof/>
          <w:sz w:val="18"/>
        </w:rPr>
        <w:fldChar w:fldCharType="begin"/>
      </w:r>
      <w:r w:rsidRPr="00123AAF">
        <w:rPr>
          <w:i w:val="0"/>
          <w:noProof/>
          <w:sz w:val="18"/>
        </w:rPr>
        <w:instrText xml:space="preserve"> PAGEREF _Toc414878700 \h </w:instrText>
      </w:r>
      <w:r w:rsidRPr="00123AAF">
        <w:rPr>
          <w:i w:val="0"/>
          <w:noProof/>
          <w:sz w:val="18"/>
        </w:rPr>
      </w:r>
      <w:r w:rsidRPr="00123AAF">
        <w:rPr>
          <w:i w:val="0"/>
          <w:noProof/>
          <w:sz w:val="18"/>
        </w:rPr>
        <w:fldChar w:fldCharType="separate"/>
      </w:r>
      <w:r w:rsidR="004D4B41">
        <w:rPr>
          <w:i w:val="0"/>
          <w:noProof/>
          <w:sz w:val="18"/>
        </w:rPr>
        <w:t>2</w:t>
      </w:r>
      <w:r w:rsidRPr="00123AAF">
        <w:rPr>
          <w:i w:val="0"/>
          <w:noProof/>
          <w:sz w:val="18"/>
        </w:rPr>
        <w:fldChar w:fldCharType="end"/>
      </w:r>
    </w:p>
    <w:p w:rsidR="00833416" w:rsidRPr="00123AAF" w:rsidRDefault="00110E45" w:rsidP="0048364F">
      <w:r w:rsidRPr="00123AAF">
        <w:fldChar w:fldCharType="end"/>
      </w:r>
    </w:p>
    <w:p w:rsidR="00722023" w:rsidRPr="00123AAF" w:rsidRDefault="00722023" w:rsidP="0048364F">
      <w:pPr>
        <w:sectPr w:rsidR="00722023" w:rsidRPr="00123AAF" w:rsidSect="001B031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123AAF" w:rsidRDefault="0048364F" w:rsidP="0048364F">
      <w:pPr>
        <w:pStyle w:val="ActHead5"/>
      </w:pPr>
      <w:bookmarkStart w:id="3" w:name="_Toc414878695"/>
      <w:r w:rsidRPr="00123AAF">
        <w:rPr>
          <w:rStyle w:val="CharSectno"/>
        </w:rPr>
        <w:lastRenderedPageBreak/>
        <w:t>1</w:t>
      </w:r>
      <w:r w:rsidRPr="00123AAF">
        <w:t xml:space="preserve">  </w:t>
      </w:r>
      <w:r w:rsidR="004F676E" w:rsidRPr="00123AAF">
        <w:t>Name</w:t>
      </w:r>
      <w:bookmarkEnd w:id="3"/>
    </w:p>
    <w:p w:rsidR="0048364F" w:rsidRPr="00123AAF" w:rsidRDefault="0048364F" w:rsidP="0048364F">
      <w:pPr>
        <w:pStyle w:val="subsection"/>
      </w:pPr>
      <w:r w:rsidRPr="00123AAF">
        <w:tab/>
      </w:r>
      <w:r w:rsidRPr="00123AAF">
        <w:tab/>
        <w:t>Th</w:t>
      </w:r>
      <w:r w:rsidR="00F24C35" w:rsidRPr="00123AAF">
        <w:t>is</w:t>
      </w:r>
      <w:r w:rsidRPr="00123AAF">
        <w:t xml:space="preserve"> </w:t>
      </w:r>
      <w:r w:rsidR="00F24C35" w:rsidRPr="00123AAF">
        <w:t>is</w:t>
      </w:r>
      <w:r w:rsidR="003801D0" w:rsidRPr="00123AAF">
        <w:t xml:space="preserve"> the</w:t>
      </w:r>
      <w:r w:rsidRPr="00123AAF">
        <w:t xml:space="preserve"> </w:t>
      </w:r>
      <w:bookmarkStart w:id="4" w:name="BKCheck15B_4"/>
      <w:bookmarkEnd w:id="4"/>
      <w:r w:rsidR="00CB0180" w:rsidRPr="00123AAF">
        <w:rPr>
          <w:i/>
        </w:rPr>
        <w:fldChar w:fldCharType="begin"/>
      </w:r>
      <w:r w:rsidR="00CB0180" w:rsidRPr="00123AAF">
        <w:rPr>
          <w:i/>
        </w:rPr>
        <w:instrText xml:space="preserve"> STYLEREF  ShortT </w:instrText>
      </w:r>
      <w:r w:rsidR="00CB0180" w:rsidRPr="00123AAF">
        <w:rPr>
          <w:i/>
        </w:rPr>
        <w:fldChar w:fldCharType="separate"/>
      </w:r>
      <w:r w:rsidR="004D4B41">
        <w:rPr>
          <w:i/>
          <w:noProof/>
        </w:rPr>
        <w:t>Therapeutic Goods (Medical Devices) Amendment (Joint Replacements) Regulation 2015</w:t>
      </w:r>
      <w:r w:rsidR="00CB0180" w:rsidRPr="00123AAF">
        <w:rPr>
          <w:i/>
        </w:rPr>
        <w:fldChar w:fldCharType="end"/>
      </w:r>
      <w:r w:rsidRPr="00123AAF">
        <w:t>.</w:t>
      </w:r>
    </w:p>
    <w:p w:rsidR="0048364F" w:rsidRPr="00123AAF" w:rsidRDefault="0048364F" w:rsidP="0048364F">
      <w:pPr>
        <w:pStyle w:val="ActHead5"/>
      </w:pPr>
      <w:bookmarkStart w:id="5" w:name="_Toc414878696"/>
      <w:r w:rsidRPr="00123AAF">
        <w:rPr>
          <w:rStyle w:val="CharSectno"/>
        </w:rPr>
        <w:t>2</w:t>
      </w:r>
      <w:r w:rsidRPr="00123AAF">
        <w:t xml:space="preserve">  Commencement</w:t>
      </w:r>
      <w:bookmarkEnd w:id="5"/>
    </w:p>
    <w:p w:rsidR="004F676E" w:rsidRPr="00123AAF" w:rsidRDefault="004F676E" w:rsidP="004F676E">
      <w:pPr>
        <w:pStyle w:val="subsection"/>
      </w:pPr>
      <w:bookmarkStart w:id="6" w:name="_GoBack"/>
      <w:r w:rsidRPr="00123AAF">
        <w:tab/>
      </w:r>
      <w:r w:rsidRPr="00123AAF">
        <w:tab/>
        <w:t>Th</w:t>
      </w:r>
      <w:r w:rsidR="00F24C35" w:rsidRPr="00123AAF">
        <w:t>is</w:t>
      </w:r>
      <w:r w:rsidRPr="00123AAF">
        <w:t xml:space="preserve"> </w:t>
      </w:r>
      <w:r w:rsidR="00011222" w:rsidRPr="00123AAF">
        <w:t>instrument</w:t>
      </w:r>
      <w:r w:rsidRPr="00123AAF">
        <w:t xml:space="preserve"> commence</w:t>
      </w:r>
      <w:r w:rsidR="00D17B17" w:rsidRPr="00123AAF">
        <w:t>s</w:t>
      </w:r>
      <w:r w:rsidRPr="00123AAF">
        <w:t xml:space="preserve"> on </w:t>
      </w:r>
      <w:r w:rsidR="00A26DBE" w:rsidRPr="00123AAF">
        <w:t xml:space="preserve">the </w:t>
      </w:r>
      <w:r w:rsidR="00347C42" w:rsidRPr="00123AAF">
        <w:t>day after it is registered</w:t>
      </w:r>
      <w:r w:rsidRPr="00123AAF">
        <w:t>.</w:t>
      </w:r>
      <w:bookmarkEnd w:id="6"/>
    </w:p>
    <w:p w:rsidR="007769D4" w:rsidRPr="00123AAF" w:rsidRDefault="007769D4" w:rsidP="007769D4">
      <w:pPr>
        <w:pStyle w:val="ActHead5"/>
      </w:pPr>
      <w:bookmarkStart w:id="7" w:name="_Toc414878697"/>
      <w:r w:rsidRPr="00123AAF">
        <w:rPr>
          <w:rStyle w:val="CharSectno"/>
        </w:rPr>
        <w:t>3</w:t>
      </w:r>
      <w:r w:rsidRPr="00123AAF">
        <w:t xml:space="preserve">  Authority</w:t>
      </w:r>
      <w:bookmarkEnd w:id="7"/>
    </w:p>
    <w:p w:rsidR="007769D4" w:rsidRPr="00123AAF" w:rsidRDefault="007769D4" w:rsidP="007769D4">
      <w:pPr>
        <w:pStyle w:val="subsection"/>
      </w:pPr>
      <w:r w:rsidRPr="00123AAF">
        <w:tab/>
      </w:r>
      <w:r w:rsidRPr="00123AAF">
        <w:tab/>
      </w:r>
      <w:r w:rsidR="00AF0336" w:rsidRPr="00123AAF">
        <w:t xml:space="preserve">This </w:t>
      </w:r>
      <w:r w:rsidR="00011222" w:rsidRPr="00123AAF">
        <w:t>instrument</w:t>
      </w:r>
      <w:r w:rsidR="00AF0336" w:rsidRPr="00123AAF">
        <w:t xml:space="preserve"> is made under the </w:t>
      </w:r>
      <w:r w:rsidR="00347C42" w:rsidRPr="00123AAF">
        <w:rPr>
          <w:i/>
        </w:rPr>
        <w:t>Therapeutic Goods Act 1989</w:t>
      </w:r>
      <w:r w:rsidR="00D83D21" w:rsidRPr="00123AAF">
        <w:rPr>
          <w:i/>
        </w:rPr>
        <w:t>.</w:t>
      </w:r>
    </w:p>
    <w:p w:rsidR="00557C7A" w:rsidRPr="00123AAF" w:rsidRDefault="007769D4" w:rsidP="00557C7A">
      <w:pPr>
        <w:pStyle w:val="ActHead5"/>
      </w:pPr>
      <w:bookmarkStart w:id="8" w:name="_Toc414878698"/>
      <w:r w:rsidRPr="00123AAF">
        <w:rPr>
          <w:rStyle w:val="CharSectno"/>
        </w:rPr>
        <w:t>4</w:t>
      </w:r>
      <w:r w:rsidR="00557C7A" w:rsidRPr="00123AAF">
        <w:t xml:space="preserve">  </w:t>
      </w:r>
      <w:r w:rsidR="00B332B8" w:rsidRPr="00123AAF">
        <w:t>Schedules</w:t>
      </w:r>
      <w:bookmarkEnd w:id="8"/>
    </w:p>
    <w:p w:rsidR="00557C7A" w:rsidRPr="00123AAF" w:rsidRDefault="00557C7A" w:rsidP="00557C7A">
      <w:pPr>
        <w:pStyle w:val="subsection"/>
      </w:pPr>
      <w:r w:rsidRPr="00123AAF">
        <w:tab/>
      </w:r>
      <w:r w:rsidRPr="00123AAF">
        <w:tab/>
      </w:r>
      <w:r w:rsidR="00CD7ECB" w:rsidRPr="00123AAF">
        <w:t xml:space="preserve">Each instrument that is specified in a Schedule to </w:t>
      </w:r>
      <w:r w:rsidR="00347C42" w:rsidRPr="00123AAF">
        <w:t>this instrument</w:t>
      </w:r>
      <w:r w:rsidR="00C814F5" w:rsidRPr="00123AAF">
        <w:t xml:space="preserve"> </w:t>
      </w:r>
      <w:r w:rsidR="00CD7ECB" w:rsidRPr="00123AAF">
        <w:t xml:space="preserve">is amended or repealed as set out in the applicable items in the Schedule concerned, and any other item in a Schedule to </w:t>
      </w:r>
      <w:r w:rsidR="00347C42" w:rsidRPr="00123AAF">
        <w:t>this instrument</w:t>
      </w:r>
      <w:r w:rsidR="00CD7ECB" w:rsidRPr="00123AAF">
        <w:t xml:space="preserve"> has effect according to its terms.</w:t>
      </w:r>
    </w:p>
    <w:p w:rsidR="0048364F" w:rsidRPr="00123AAF" w:rsidRDefault="0048364F" w:rsidP="00FF3089">
      <w:pPr>
        <w:pStyle w:val="ActHead6"/>
        <w:pageBreakBefore/>
      </w:pPr>
      <w:bookmarkStart w:id="9" w:name="_Toc414878699"/>
      <w:bookmarkStart w:id="10" w:name="opcAmSched"/>
      <w:bookmarkStart w:id="11" w:name="opcCurrentFind"/>
      <w:r w:rsidRPr="00123AAF">
        <w:rPr>
          <w:rStyle w:val="CharAmSchNo"/>
        </w:rPr>
        <w:lastRenderedPageBreak/>
        <w:t>Schedule</w:t>
      </w:r>
      <w:r w:rsidR="00123AAF" w:rsidRPr="00123AAF">
        <w:rPr>
          <w:rStyle w:val="CharAmSchNo"/>
        </w:rPr>
        <w:t> </w:t>
      </w:r>
      <w:r w:rsidRPr="00123AAF">
        <w:rPr>
          <w:rStyle w:val="CharAmSchNo"/>
        </w:rPr>
        <w:t>1</w:t>
      </w:r>
      <w:r w:rsidRPr="00123AAF">
        <w:t>—</w:t>
      </w:r>
      <w:r w:rsidR="00460499" w:rsidRPr="00123AAF">
        <w:rPr>
          <w:rStyle w:val="CharAmSchText"/>
        </w:rPr>
        <w:t>Amendments</w:t>
      </w:r>
      <w:bookmarkEnd w:id="9"/>
    </w:p>
    <w:bookmarkEnd w:id="10"/>
    <w:bookmarkEnd w:id="11"/>
    <w:p w:rsidR="0004044E" w:rsidRPr="00123AAF" w:rsidRDefault="0004044E" w:rsidP="0004044E">
      <w:pPr>
        <w:pStyle w:val="Header"/>
      </w:pPr>
      <w:r w:rsidRPr="00123AAF">
        <w:rPr>
          <w:rStyle w:val="CharAmPartNo"/>
        </w:rPr>
        <w:t xml:space="preserve"> </w:t>
      </w:r>
      <w:r w:rsidRPr="00123AAF">
        <w:rPr>
          <w:rStyle w:val="CharAmPartText"/>
        </w:rPr>
        <w:t xml:space="preserve"> </w:t>
      </w:r>
    </w:p>
    <w:p w:rsidR="00347C42" w:rsidRPr="00123AAF" w:rsidRDefault="00347C42" w:rsidP="00347C42">
      <w:pPr>
        <w:pStyle w:val="ActHead9"/>
      </w:pPr>
      <w:bookmarkStart w:id="12" w:name="_Toc414878700"/>
      <w:r w:rsidRPr="00123AAF">
        <w:t>Therapeutic Goods (Medical Devices) Regulations</w:t>
      </w:r>
      <w:r w:rsidR="00123AAF" w:rsidRPr="00123AAF">
        <w:t> </w:t>
      </w:r>
      <w:r w:rsidRPr="00123AAF">
        <w:t>2002</w:t>
      </w:r>
      <w:bookmarkEnd w:id="12"/>
    </w:p>
    <w:p w:rsidR="00B51F29" w:rsidRPr="00123AAF" w:rsidRDefault="00C75FD8" w:rsidP="00B51F29">
      <w:pPr>
        <w:pStyle w:val="ItemHead"/>
        <w:tabs>
          <w:tab w:val="left" w:pos="6663"/>
        </w:tabs>
      </w:pPr>
      <w:r w:rsidRPr="00123AAF">
        <w:t>1</w:t>
      </w:r>
      <w:r w:rsidR="00B51F29" w:rsidRPr="00123AAF">
        <w:t xml:space="preserve">  Division</w:t>
      </w:r>
      <w:r w:rsidR="00123AAF" w:rsidRPr="00123AAF">
        <w:t> </w:t>
      </w:r>
      <w:r w:rsidR="00B51F29" w:rsidRPr="00123AAF">
        <w:t>11.2 (heading)</w:t>
      </w:r>
    </w:p>
    <w:p w:rsidR="00B51F29" w:rsidRPr="00123AAF" w:rsidRDefault="00B51F29" w:rsidP="00B51F29">
      <w:pPr>
        <w:pStyle w:val="Item"/>
      </w:pPr>
      <w:r w:rsidRPr="00123AAF">
        <w:t>Repeal the heading, substitute:</w:t>
      </w:r>
    </w:p>
    <w:p w:rsidR="00B51F29" w:rsidRPr="00123AAF" w:rsidRDefault="00B51F29" w:rsidP="00B51F29">
      <w:pPr>
        <w:pStyle w:val="ActHead3"/>
      </w:pPr>
      <w:bookmarkStart w:id="13" w:name="_Toc414878701"/>
      <w:r w:rsidRPr="00123AAF">
        <w:rPr>
          <w:rStyle w:val="CharDivNo"/>
        </w:rPr>
        <w:t>Division</w:t>
      </w:r>
      <w:r w:rsidR="00123AAF" w:rsidRPr="00123AAF">
        <w:rPr>
          <w:rStyle w:val="CharDivNo"/>
        </w:rPr>
        <w:t> </w:t>
      </w:r>
      <w:r w:rsidRPr="00123AAF">
        <w:rPr>
          <w:rStyle w:val="CharDivNo"/>
        </w:rPr>
        <w:t>11.2</w:t>
      </w:r>
      <w:r w:rsidRPr="00123AAF">
        <w:t>—</w:t>
      </w:r>
      <w:r w:rsidRPr="00123AAF">
        <w:rPr>
          <w:rStyle w:val="CharDivText"/>
        </w:rPr>
        <w:t>Transitional provisions relating to joint replacements</w:t>
      </w:r>
      <w:bookmarkEnd w:id="13"/>
    </w:p>
    <w:p w:rsidR="00B51F29" w:rsidRPr="00123AAF" w:rsidRDefault="00B51F29" w:rsidP="00B51F29">
      <w:pPr>
        <w:pStyle w:val="ActHead5"/>
      </w:pPr>
      <w:bookmarkStart w:id="14" w:name="_Toc414878702"/>
      <w:r w:rsidRPr="00123AAF">
        <w:rPr>
          <w:rStyle w:val="CharSectno"/>
        </w:rPr>
        <w:t>11.22A</w:t>
      </w:r>
      <w:r w:rsidRPr="00123AAF">
        <w:t xml:space="preserve">  Purpose of this Division</w:t>
      </w:r>
      <w:bookmarkEnd w:id="14"/>
    </w:p>
    <w:p w:rsidR="00B51F29" w:rsidRPr="00123AAF" w:rsidRDefault="00B51F29" w:rsidP="00B51F29">
      <w:pPr>
        <w:pStyle w:val="subsection"/>
      </w:pPr>
      <w:r w:rsidRPr="00123AAF">
        <w:tab/>
      </w:r>
      <w:r w:rsidRPr="00123AAF">
        <w:tab/>
        <w:t>This Division includes transitional provisions relating to:</w:t>
      </w:r>
    </w:p>
    <w:p w:rsidR="00B51F29" w:rsidRPr="00123AAF" w:rsidRDefault="00B51F29" w:rsidP="00B51F29">
      <w:pPr>
        <w:pStyle w:val="paragraph"/>
      </w:pPr>
      <w:r w:rsidRPr="00123AAF">
        <w:tab/>
        <w:t>(a)</w:t>
      </w:r>
      <w:r w:rsidRPr="00123AAF">
        <w:tab/>
        <w:t xml:space="preserve">the </w:t>
      </w:r>
      <w:r w:rsidRPr="00123AAF">
        <w:rPr>
          <w:i/>
        </w:rPr>
        <w:t>Therapeutic Goods (Medical Devices) Amendment Regulation</w:t>
      </w:r>
      <w:r w:rsidR="00123AAF" w:rsidRPr="00123AAF">
        <w:rPr>
          <w:i/>
        </w:rPr>
        <w:t> </w:t>
      </w:r>
      <w:r w:rsidRPr="00123AAF">
        <w:rPr>
          <w:i/>
        </w:rPr>
        <w:t>2012 (No.</w:t>
      </w:r>
      <w:r w:rsidR="00123AAF" w:rsidRPr="00123AAF">
        <w:rPr>
          <w:i/>
        </w:rPr>
        <w:t> </w:t>
      </w:r>
      <w:r w:rsidRPr="00123AAF">
        <w:rPr>
          <w:i/>
        </w:rPr>
        <w:t>1)</w:t>
      </w:r>
      <w:r w:rsidRPr="00123AAF">
        <w:t>; and</w:t>
      </w:r>
    </w:p>
    <w:p w:rsidR="00B51F29" w:rsidRPr="00123AAF" w:rsidRDefault="00B51F29" w:rsidP="00B51F29">
      <w:pPr>
        <w:pStyle w:val="paragraph"/>
      </w:pPr>
      <w:r w:rsidRPr="00123AAF">
        <w:tab/>
        <w:t>(b)</w:t>
      </w:r>
      <w:r w:rsidRPr="00123AAF">
        <w:tab/>
        <w:t xml:space="preserve">the </w:t>
      </w:r>
      <w:r w:rsidRPr="00123AAF">
        <w:rPr>
          <w:i/>
        </w:rPr>
        <w:t>Therapeutic Goods (Medical Devices) Amendment (Joint Replacements) Regulation</w:t>
      </w:r>
      <w:r w:rsidR="00123AAF" w:rsidRPr="00123AAF">
        <w:rPr>
          <w:i/>
        </w:rPr>
        <w:t> </w:t>
      </w:r>
      <w:r w:rsidRPr="00123AAF">
        <w:rPr>
          <w:i/>
        </w:rPr>
        <w:t>2015</w:t>
      </w:r>
      <w:r w:rsidRPr="00123AAF">
        <w:t>.</w:t>
      </w:r>
    </w:p>
    <w:p w:rsidR="00B51F29" w:rsidRPr="00123AAF" w:rsidRDefault="00C75FD8" w:rsidP="00B51F29">
      <w:pPr>
        <w:pStyle w:val="ItemHead"/>
        <w:tabs>
          <w:tab w:val="left" w:pos="6663"/>
        </w:tabs>
      </w:pPr>
      <w:r w:rsidRPr="00123AAF">
        <w:t>2</w:t>
      </w:r>
      <w:r w:rsidR="00B51F29" w:rsidRPr="00123AAF">
        <w:t xml:space="preserve">  Subregulation</w:t>
      </w:r>
      <w:r w:rsidR="00123AAF" w:rsidRPr="00123AAF">
        <w:t> </w:t>
      </w:r>
      <w:r w:rsidR="00B51F29" w:rsidRPr="00123AAF">
        <w:t>11.22(1)</w:t>
      </w:r>
    </w:p>
    <w:p w:rsidR="00B51F29" w:rsidRPr="00123AAF" w:rsidRDefault="00B51F29" w:rsidP="00B51F29">
      <w:pPr>
        <w:pStyle w:val="Item"/>
      </w:pPr>
      <w:r w:rsidRPr="00123AAF">
        <w:t>Repeal the subregulation, substitute:</w:t>
      </w:r>
    </w:p>
    <w:p w:rsidR="00B51F29" w:rsidRPr="00123AAF" w:rsidRDefault="00B51F29" w:rsidP="00B51F29">
      <w:pPr>
        <w:pStyle w:val="subsection"/>
      </w:pPr>
      <w:r w:rsidRPr="00123AAF">
        <w:tab/>
        <w:t>(1)</w:t>
      </w:r>
      <w:r w:rsidRPr="00123AAF">
        <w:tab/>
        <w:t>This regulation applies to a joint replacement medical device.</w:t>
      </w:r>
    </w:p>
    <w:p w:rsidR="00035F2F" w:rsidRPr="00123AAF" w:rsidRDefault="00B51F29" w:rsidP="00B51F29">
      <w:pPr>
        <w:pStyle w:val="notetext"/>
      </w:pPr>
      <w:r w:rsidRPr="00123AAF">
        <w:t>Note:</w:t>
      </w:r>
      <w:r w:rsidRPr="00123AAF">
        <w:tab/>
      </w:r>
      <w:r w:rsidR="007C2276" w:rsidRPr="00123AAF">
        <w:rPr>
          <w:b/>
          <w:i/>
        </w:rPr>
        <w:t>J</w:t>
      </w:r>
      <w:r w:rsidRPr="00123AAF">
        <w:rPr>
          <w:b/>
          <w:i/>
        </w:rPr>
        <w:t>oint replacement medical device</w:t>
      </w:r>
      <w:r w:rsidRPr="00123AAF">
        <w:t xml:space="preserve"> is defined in the Dictionary.</w:t>
      </w:r>
    </w:p>
    <w:p w:rsidR="00B51F29" w:rsidRPr="00123AAF" w:rsidRDefault="00C75FD8" w:rsidP="00B51F29">
      <w:pPr>
        <w:pStyle w:val="ItemHead"/>
      </w:pPr>
      <w:r w:rsidRPr="00123AAF">
        <w:t>3</w:t>
      </w:r>
      <w:r w:rsidR="00B51F29" w:rsidRPr="00123AAF">
        <w:t xml:space="preserve">  At the end of Division</w:t>
      </w:r>
      <w:r w:rsidR="00123AAF" w:rsidRPr="00123AAF">
        <w:t> </w:t>
      </w:r>
      <w:r w:rsidR="00B51F29" w:rsidRPr="00123AAF">
        <w:t>11.2</w:t>
      </w:r>
    </w:p>
    <w:p w:rsidR="00B51F29" w:rsidRPr="00123AAF" w:rsidRDefault="00B51F29" w:rsidP="00B51F29">
      <w:pPr>
        <w:pStyle w:val="Item"/>
      </w:pPr>
      <w:r w:rsidRPr="00123AAF">
        <w:t>Add:</w:t>
      </w:r>
    </w:p>
    <w:p w:rsidR="002F6361" w:rsidRPr="00123AAF" w:rsidRDefault="002F6361" w:rsidP="002F6361">
      <w:pPr>
        <w:pStyle w:val="ActHead5"/>
      </w:pPr>
      <w:bookmarkStart w:id="15" w:name="_Toc414878703"/>
      <w:r w:rsidRPr="00123AAF">
        <w:rPr>
          <w:rStyle w:val="CharSectno"/>
        </w:rPr>
        <w:t>11.23</w:t>
      </w:r>
      <w:r w:rsidRPr="00123AAF">
        <w:t xml:space="preserve">  </w:t>
      </w:r>
      <w:r w:rsidR="00431F45" w:rsidRPr="00123AAF">
        <w:t>Refund of fees in relation</w:t>
      </w:r>
      <w:r w:rsidR="008958EE" w:rsidRPr="00123AAF">
        <w:t xml:space="preserve"> to</w:t>
      </w:r>
      <w:r w:rsidR="00431F45" w:rsidRPr="00123AAF">
        <w:t xml:space="preserve"> inclu</w:t>
      </w:r>
      <w:r w:rsidR="008958EE" w:rsidRPr="00123AAF">
        <w:t>sion of</w:t>
      </w:r>
      <w:r w:rsidR="00431F45" w:rsidRPr="00123AAF">
        <w:t xml:space="preserve"> certain devices</w:t>
      </w:r>
      <w:r w:rsidR="0057429E" w:rsidRPr="00123AAF">
        <w:t xml:space="preserve"> in the Register</w:t>
      </w:r>
      <w:r w:rsidRPr="00123AAF">
        <w:t xml:space="preserve"> as Class III medical device</w:t>
      </w:r>
      <w:r w:rsidR="00B01809" w:rsidRPr="00123AAF">
        <w:t>s</w:t>
      </w:r>
      <w:bookmarkEnd w:id="15"/>
    </w:p>
    <w:p w:rsidR="00431F45" w:rsidRPr="00123AAF" w:rsidRDefault="002F6361" w:rsidP="002F6361">
      <w:pPr>
        <w:pStyle w:val="subsection"/>
      </w:pPr>
      <w:r w:rsidRPr="00123AAF">
        <w:tab/>
      </w:r>
      <w:r w:rsidR="0056007A" w:rsidRPr="00123AAF">
        <w:t>(1)</w:t>
      </w:r>
      <w:r w:rsidRPr="00123AAF">
        <w:tab/>
      </w:r>
      <w:r w:rsidR="00D3655C" w:rsidRPr="00123AAF">
        <w:t xml:space="preserve">This </w:t>
      </w:r>
      <w:r w:rsidR="0057429E" w:rsidRPr="00123AAF">
        <w:t>regulation</w:t>
      </w:r>
      <w:r w:rsidR="00D3655C" w:rsidRPr="00123AAF">
        <w:t xml:space="preserve"> applies </w:t>
      </w:r>
      <w:r w:rsidR="00431F45" w:rsidRPr="00123AAF">
        <w:t>in relation to an implantable medical device if:</w:t>
      </w:r>
    </w:p>
    <w:p w:rsidR="00431F45" w:rsidRPr="00123AAF" w:rsidRDefault="00431F45" w:rsidP="00431F45">
      <w:pPr>
        <w:pStyle w:val="paragraph"/>
      </w:pPr>
      <w:r w:rsidRPr="00123AAF">
        <w:tab/>
        <w:t>(a)</w:t>
      </w:r>
      <w:r w:rsidRPr="00123AAF">
        <w:tab/>
        <w:t>the device is of the kind referred to in subregulation</w:t>
      </w:r>
      <w:r w:rsidR="00123AAF" w:rsidRPr="00123AAF">
        <w:t> </w:t>
      </w:r>
      <w:r w:rsidRPr="00123AAF">
        <w:t>11.22(1) of the old Regulations; and</w:t>
      </w:r>
    </w:p>
    <w:p w:rsidR="00431F45" w:rsidRPr="00123AAF" w:rsidRDefault="00431F45" w:rsidP="00431F45">
      <w:pPr>
        <w:pStyle w:val="paragraph"/>
      </w:pPr>
      <w:r w:rsidRPr="00123AAF">
        <w:tab/>
        <w:t>(b)</w:t>
      </w:r>
      <w:r w:rsidRPr="00123AAF">
        <w:tab/>
        <w:t>the device is not a joint replacement medical device; and</w:t>
      </w:r>
    </w:p>
    <w:p w:rsidR="00431F45" w:rsidRPr="00123AAF" w:rsidRDefault="00431F45" w:rsidP="00431F45">
      <w:pPr>
        <w:pStyle w:val="paragraph"/>
      </w:pPr>
      <w:r w:rsidRPr="00123AAF">
        <w:tab/>
        <w:t>(c)</w:t>
      </w:r>
      <w:r w:rsidRPr="00123AAF">
        <w:tab/>
        <w:t>an application to include the device in the Register as a Class III medical device was made on or after 1</w:t>
      </w:r>
      <w:r w:rsidR="00123AAF" w:rsidRPr="00123AAF">
        <w:t> </w:t>
      </w:r>
      <w:r w:rsidRPr="00123AAF">
        <w:t>July 2012 and before the commencement of the amending Regulation.</w:t>
      </w:r>
    </w:p>
    <w:p w:rsidR="003664C2" w:rsidRPr="00123AAF" w:rsidRDefault="003664C2" w:rsidP="003664C2">
      <w:pPr>
        <w:pStyle w:val="notetext"/>
      </w:pPr>
      <w:r w:rsidRPr="00123AAF">
        <w:lastRenderedPageBreak/>
        <w:t>Note:</w:t>
      </w:r>
      <w:r w:rsidRPr="00123AAF">
        <w:tab/>
      </w:r>
      <w:r w:rsidR="00F76028" w:rsidRPr="00123AAF">
        <w:t>S</w:t>
      </w:r>
      <w:r w:rsidRPr="00123AAF">
        <w:t>ubregulation</w:t>
      </w:r>
      <w:r w:rsidR="00123AAF" w:rsidRPr="00123AAF">
        <w:t> </w:t>
      </w:r>
      <w:r w:rsidRPr="00123AAF">
        <w:t>11.22(1) of the old Regulations referred to an implantable medical device that is intended by the manufacturer to be any of the following:</w:t>
      </w:r>
    </w:p>
    <w:p w:rsidR="003664C2" w:rsidRPr="00123AAF" w:rsidRDefault="003664C2" w:rsidP="003664C2">
      <w:pPr>
        <w:pStyle w:val="notepara"/>
      </w:pPr>
      <w:r w:rsidRPr="00123AAF">
        <w:t>(a)</w:t>
      </w:r>
      <w:r w:rsidRPr="00123AAF">
        <w:tab/>
        <w:t>a total or partial shoulder joint replacement;</w:t>
      </w:r>
    </w:p>
    <w:p w:rsidR="003664C2" w:rsidRPr="00123AAF" w:rsidRDefault="003664C2" w:rsidP="003664C2">
      <w:pPr>
        <w:pStyle w:val="notepara"/>
      </w:pPr>
      <w:r w:rsidRPr="00123AAF">
        <w:t>(b)</w:t>
      </w:r>
      <w:r w:rsidRPr="00123AAF">
        <w:tab/>
        <w:t>a total or partial hip joint replacement;</w:t>
      </w:r>
    </w:p>
    <w:p w:rsidR="00F13A31" w:rsidRPr="00123AAF" w:rsidRDefault="003664C2" w:rsidP="00B51F29">
      <w:pPr>
        <w:pStyle w:val="notepara"/>
      </w:pPr>
      <w:r w:rsidRPr="00123AAF">
        <w:t>(c)</w:t>
      </w:r>
      <w:r w:rsidRPr="00123AAF">
        <w:tab/>
        <w:t>a total or partial knee joint replacement.</w:t>
      </w:r>
    </w:p>
    <w:p w:rsidR="00D3655C" w:rsidRPr="00123AAF" w:rsidRDefault="00F13A31" w:rsidP="00D3655C">
      <w:pPr>
        <w:pStyle w:val="subsection"/>
      </w:pPr>
      <w:r w:rsidRPr="00123AAF">
        <w:tab/>
      </w:r>
      <w:r w:rsidR="00D3655C" w:rsidRPr="00123AAF">
        <w:t>(2)</w:t>
      </w:r>
      <w:r w:rsidR="00D3655C" w:rsidRPr="00123AAF">
        <w:tab/>
        <w:t xml:space="preserve">The Secretary may refund </w:t>
      </w:r>
      <w:r w:rsidR="003664C2" w:rsidRPr="00123AAF">
        <w:t xml:space="preserve">any </w:t>
      </w:r>
      <w:r w:rsidR="00D3655C" w:rsidRPr="00123AAF">
        <w:t>fee</w:t>
      </w:r>
      <w:r w:rsidR="003664C2" w:rsidRPr="00123AAF">
        <w:t xml:space="preserve"> paid in relation to the application</w:t>
      </w:r>
      <w:r w:rsidR="00D3655C" w:rsidRPr="00123AAF">
        <w:t>.</w:t>
      </w:r>
    </w:p>
    <w:p w:rsidR="00C55743" w:rsidRPr="00123AAF" w:rsidRDefault="00C55743" w:rsidP="00D3655C">
      <w:pPr>
        <w:pStyle w:val="subsection"/>
      </w:pPr>
      <w:r w:rsidRPr="00123AAF">
        <w:tab/>
        <w:t>(3)</w:t>
      </w:r>
      <w:r w:rsidRPr="00123AAF">
        <w:tab/>
        <w:t xml:space="preserve">If </w:t>
      </w:r>
      <w:r w:rsidR="00174B10" w:rsidRPr="00123AAF">
        <w:t xml:space="preserve">any </w:t>
      </w:r>
      <w:r w:rsidRPr="00123AAF">
        <w:t xml:space="preserve">annual charge has been paid </w:t>
      </w:r>
      <w:r w:rsidR="00174B10" w:rsidRPr="00123AAF">
        <w:t>in respect of</w:t>
      </w:r>
      <w:r w:rsidRPr="00123AAF">
        <w:t xml:space="preserve"> the inclusion of the device in the Register as a Class III medical device, the Secretary may refund the difference between the </w:t>
      </w:r>
      <w:r w:rsidR="00174B10" w:rsidRPr="00123AAF">
        <w:t>annual charge</w:t>
      </w:r>
      <w:r w:rsidRPr="00123AAF">
        <w:t xml:space="preserve"> paid and the </w:t>
      </w:r>
      <w:r w:rsidR="00174B10" w:rsidRPr="00123AAF">
        <w:t>annual charge</w:t>
      </w:r>
      <w:r w:rsidRPr="00123AAF">
        <w:t xml:space="preserve"> that would have been pa</w:t>
      </w:r>
      <w:r w:rsidR="00174B10" w:rsidRPr="00123AAF">
        <w:t>yable</w:t>
      </w:r>
      <w:r w:rsidRPr="00123AAF">
        <w:t xml:space="preserve"> </w:t>
      </w:r>
      <w:r w:rsidR="00174B10" w:rsidRPr="00123AAF">
        <w:t>in respect of</w:t>
      </w:r>
      <w:r w:rsidRPr="00123AAF">
        <w:t xml:space="preserve"> the inclusion of the device in the Register as a Class IIb medical device.</w:t>
      </w:r>
    </w:p>
    <w:p w:rsidR="00035F2F" w:rsidRPr="00123AAF" w:rsidRDefault="00035F2F" w:rsidP="00D3655C">
      <w:pPr>
        <w:pStyle w:val="subsection"/>
      </w:pPr>
      <w:r w:rsidRPr="00123AAF">
        <w:tab/>
        <w:t>(</w:t>
      </w:r>
      <w:r w:rsidR="00C55743" w:rsidRPr="00123AAF">
        <w:t>4</w:t>
      </w:r>
      <w:r w:rsidRPr="00123AAF">
        <w:t>)</w:t>
      </w:r>
      <w:r w:rsidRPr="00123AAF">
        <w:tab/>
        <w:t>In this regulation:</w:t>
      </w:r>
    </w:p>
    <w:p w:rsidR="00035F2F" w:rsidRPr="00123AAF" w:rsidRDefault="00035F2F" w:rsidP="00035F2F">
      <w:pPr>
        <w:pStyle w:val="Definition"/>
        <w:rPr>
          <w:i/>
        </w:rPr>
      </w:pPr>
      <w:r w:rsidRPr="00123AAF">
        <w:rPr>
          <w:b/>
          <w:i/>
        </w:rPr>
        <w:t>amending Regulation</w:t>
      </w:r>
      <w:r w:rsidRPr="00123AAF">
        <w:t xml:space="preserve"> means the </w:t>
      </w:r>
      <w:r w:rsidRPr="00123AAF">
        <w:rPr>
          <w:i/>
        </w:rPr>
        <w:t>Therapeutic Goods (Medical Devices) Amendment (Joint Replacements) Regulation</w:t>
      </w:r>
      <w:r w:rsidR="00123AAF" w:rsidRPr="00123AAF">
        <w:rPr>
          <w:i/>
        </w:rPr>
        <w:t> </w:t>
      </w:r>
      <w:r w:rsidRPr="00123AAF">
        <w:rPr>
          <w:i/>
        </w:rPr>
        <w:t>2015.</w:t>
      </w:r>
    </w:p>
    <w:p w:rsidR="0057429E" w:rsidRPr="00123AAF" w:rsidRDefault="00823030" w:rsidP="00B51F29">
      <w:pPr>
        <w:pStyle w:val="Definition"/>
      </w:pPr>
      <w:r w:rsidRPr="00123AAF">
        <w:rPr>
          <w:b/>
          <w:i/>
        </w:rPr>
        <w:t>old Regulations</w:t>
      </w:r>
      <w:r w:rsidRPr="00123AAF">
        <w:t xml:space="preserve"> means these Regulations as in force immediately before the commencement of the amending Regulation</w:t>
      </w:r>
      <w:r w:rsidR="003664C2" w:rsidRPr="00123AAF">
        <w:t>.</w:t>
      </w:r>
    </w:p>
    <w:p w:rsidR="00EB20D5" w:rsidRPr="00123AAF" w:rsidRDefault="00C75FD8" w:rsidP="005874F6">
      <w:pPr>
        <w:pStyle w:val="ItemHead"/>
      </w:pPr>
      <w:r w:rsidRPr="00123AAF">
        <w:t>4</w:t>
      </w:r>
      <w:r w:rsidR="005874F6" w:rsidRPr="00123AAF">
        <w:t xml:space="preserve">  Subclause</w:t>
      </w:r>
      <w:r w:rsidR="00123AAF" w:rsidRPr="00123AAF">
        <w:t> </w:t>
      </w:r>
      <w:r w:rsidR="005874F6" w:rsidRPr="00123AAF">
        <w:t>3.4(2) of Schedule</w:t>
      </w:r>
      <w:r w:rsidR="00123AAF" w:rsidRPr="00123AAF">
        <w:t> </w:t>
      </w:r>
      <w:r w:rsidR="005874F6" w:rsidRPr="00123AAF">
        <w:t>2</w:t>
      </w:r>
    </w:p>
    <w:p w:rsidR="005874F6" w:rsidRPr="00123AAF" w:rsidRDefault="005874F6" w:rsidP="005874F6">
      <w:pPr>
        <w:pStyle w:val="Item"/>
      </w:pPr>
      <w:r w:rsidRPr="00123AAF">
        <w:t>Omit “(3) and (4)”, substitute “(3), (4) and (4A)”.</w:t>
      </w:r>
    </w:p>
    <w:p w:rsidR="005874F6" w:rsidRPr="00123AAF" w:rsidRDefault="00C75FD8" w:rsidP="005874F6">
      <w:pPr>
        <w:pStyle w:val="ItemHead"/>
      </w:pPr>
      <w:r w:rsidRPr="00123AAF">
        <w:t>5</w:t>
      </w:r>
      <w:r w:rsidR="005874F6" w:rsidRPr="00123AAF">
        <w:t xml:space="preserve">  Paragraph 3.4(4)(e) of Schedule</w:t>
      </w:r>
      <w:r w:rsidR="00123AAF" w:rsidRPr="00123AAF">
        <w:t> </w:t>
      </w:r>
      <w:r w:rsidR="005874F6" w:rsidRPr="00123AAF">
        <w:t>2</w:t>
      </w:r>
    </w:p>
    <w:p w:rsidR="005874F6" w:rsidRPr="00123AAF" w:rsidRDefault="005874F6" w:rsidP="005874F6">
      <w:pPr>
        <w:pStyle w:val="Item"/>
      </w:pPr>
      <w:r w:rsidRPr="00123AAF">
        <w:t>Omit “or”.</w:t>
      </w:r>
    </w:p>
    <w:p w:rsidR="005874F6" w:rsidRPr="00123AAF" w:rsidRDefault="00C75FD8" w:rsidP="005874F6">
      <w:pPr>
        <w:pStyle w:val="ItemHead"/>
      </w:pPr>
      <w:r w:rsidRPr="00123AAF">
        <w:t>6</w:t>
      </w:r>
      <w:r w:rsidR="005874F6" w:rsidRPr="00123AAF">
        <w:t xml:space="preserve">  Paragraph 3.4(4)(f) of Schedule</w:t>
      </w:r>
      <w:r w:rsidR="00123AAF" w:rsidRPr="00123AAF">
        <w:t> </w:t>
      </w:r>
      <w:r w:rsidR="005874F6" w:rsidRPr="00123AAF">
        <w:t>2</w:t>
      </w:r>
    </w:p>
    <w:p w:rsidR="005874F6" w:rsidRPr="00123AAF" w:rsidRDefault="005874F6" w:rsidP="005874F6">
      <w:pPr>
        <w:pStyle w:val="Item"/>
      </w:pPr>
      <w:r w:rsidRPr="00123AAF">
        <w:t>Repeal the paragraph.</w:t>
      </w:r>
    </w:p>
    <w:p w:rsidR="005874F6" w:rsidRPr="00123AAF" w:rsidRDefault="00C75FD8" w:rsidP="005874F6">
      <w:pPr>
        <w:pStyle w:val="ItemHead"/>
      </w:pPr>
      <w:r w:rsidRPr="00123AAF">
        <w:t>7</w:t>
      </w:r>
      <w:r w:rsidR="005874F6" w:rsidRPr="00123AAF">
        <w:t xml:space="preserve">  After subclause</w:t>
      </w:r>
      <w:r w:rsidR="00123AAF" w:rsidRPr="00123AAF">
        <w:t> </w:t>
      </w:r>
      <w:r w:rsidR="005874F6" w:rsidRPr="00123AAF">
        <w:t>3.4(4) of Schedule</w:t>
      </w:r>
      <w:r w:rsidR="00123AAF" w:rsidRPr="00123AAF">
        <w:t> </w:t>
      </w:r>
      <w:r w:rsidR="005874F6" w:rsidRPr="00123AAF">
        <w:t>2</w:t>
      </w:r>
    </w:p>
    <w:p w:rsidR="005874F6" w:rsidRPr="00123AAF" w:rsidRDefault="005874F6" w:rsidP="005874F6">
      <w:pPr>
        <w:pStyle w:val="Item"/>
      </w:pPr>
      <w:r w:rsidRPr="00123AAF">
        <w:t>Insert:</w:t>
      </w:r>
    </w:p>
    <w:p w:rsidR="005874F6" w:rsidRPr="00123AAF" w:rsidRDefault="005874F6" w:rsidP="005874F6">
      <w:pPr>
        <w:pStyle w:val="subsection"/>
      </w:pPr>
      <w:r w:rsidRPr="00123AAF">
        <w:tab/>
        <w:t>(4A)</w:t>
      </w:r>
      <w:r w:rsidRPr="00123AAF">
        <w:tab/>
        <w:t>If the device is a</w:t>
      </w:r>
      <w:r w:rsidR="008A25B6" w:rsidRPr="00123AAF">
        <w:t xml:space="preserve"> </w:t>
      </w:r>
      <w:r w:rsidR="0057429E" w:rsidRPr="00123AAF">
        <w:t>joint replacement medical device</w:t>
      </w:r>
      <w:r w:rsidRPr="00123AAF">
        <w:t>, the device is classified as Class III.</w:t>
      </w:r>
    </w:p>
    <w:p w:rsidR="005874F6" w:rsidRPr="00123AAF" w:rsidRDefault="00C75FD8" w:rsidP="00081096">
      <w:pPr>
        <w:pStyle w:val="ItemHead"/>
      </w:pPr>
      <w:r w:rsidRPr="00123AAF">
        <w:t>8</w:t>
      </w:r>
      <w:r w:rsidR="00081096" w:rsidRPr="00123AAF">
        <w:t xml:space="preserve">  Dictionary</w:t>
      </w:r>
    </w:p>
    <w:p w:rsidR="00081096" w:rsidRPr="00123AAF" w:rsidRDefault="00081096" w:rsidP="00081096">
      <w:pPr>
        <w:pStyle w:val="Item"/>
      </w:pPr>
      <w:r w:rsidRPr="00123AAF">
        <w:t>Insert:</w:t>
      </w:r>
    </w:p>
    <w:p w:rsidR="0082319B" w:rsidRPr="00123AAF" w:rsidRDefault="0082319B" w:rsidP="00081096">
      <w:pPr>
        <w:pStyle w:val="Definition"/>
      </w:pPr>
      <w:r w:rsidRPr="00123AAF">
        <w:rPr>
          <w:b/>
          <w:i/>
        </w:rPr>
        <w:lastRenderedPageBreak/>
        <w:t>ancillary medical device</w:t>
      </w:r>
      <w:r w:rsidRPr="00123AAF">
        <w:t xml:space="preserve"> means an implantable medical device that:</w:t>
      </w:r>
    </w:p>
    <w:p w:rsidR="0082319B" w:rsidRPr="00123AAF" w:rsidRDefault="0082319B" w:rsidP="0082319B">
      <w:pPr>
        <w:pStyle w:val="paragraph"/>
      </w:pPr>
      <w:r w:rsidRPr="00123AAF">
        <w:tab/>
        <w:t>(a)</w:t>
      </w:r>
      <w:r w:rsidRPr="00123AAF">
        <w:tab/>
        <w:t>consists of screws, plates or wedges; or</w:t>
      </w:r>
    </w:p>
    <w:p w:rsidR="0082319B" w:rsidRPr="00123AAF" w:rsidRDefault="0082319B" w:rsidP="0082319B">
      <w:pPr>
        <w:pStyle w:val="paragraph"/>
      </w:pPr>
      <w:r w:rsidRPr="00123AAF">
        <w:tab/>
        <w:t>(b)</w:t>
      </w:r>
      <w:r w:rsidRPr="00123AAF">
        <w:tab/>
        <w:t>is intended by the manufacturer to be used to:</w:t>
      </w:r>
    </w:p>
    <w:p w:rsidR="0082319B" w:rsidRPr="00123AAF" w:rsidRDefault="0082319B" w:rsidP="0082319B">
      <w:pPr>
        <w:pStyle w:val="paragraphsub"/>
      </w:pPr>
      <w:r w:rsidRPr="00123AAF">
        <w:tab/>
        <w:t>(i)</w:t>
      </w:r>
      <w:r w:rsidRPr="00123AAF">
        <w:tab/>
        <w:t xml:space="preserve">provide stability for </w:t>
      </w:r>
      <w:r w:rsidR="00141EDA" w:rsidRPr="00123AAF">
        <w:t>a</w:t>
      </w:r>
      <w:r w:rsidR="00B51F29" w:rsidRPr="00123AAF">
        <w:t>n implantable</w:t>
      </w:r>
      <w:r w:rsidR="00141EDA" w:rsidRPr="00123AAF">
        <w:t xml:space="preserve"> medical device that is intended to</w:t>
      </w:r>
      <w:r w:rsidR="00B51F29" w:rsidRPr="00123AAF">
        <w:t xml:space="preserve"> (either alone or together with one or more other implantable medical devices)</w:t>
      </w:r>
      <w:r w:rsidR="00141EDA" w:rsidRPr="00123AAF">
        <w:t xml:space="preserve"> replace the shoulder joint, hip joint or knee joint</w:t>
      </w:r>
      <w:r w:rsidRPr="00123AAF">
        <w:t>; or</w:t>
      </w:r>
    </w:p>
    <w:p w:rsidR="0082319B" w:rsidRPr="00123AAF" w:rsidRDefault="0082319B" w:rsidP="0082319B">
      <w:pPr>
        <w:pStyle w:val="paragraphsub"/>
      </w:pPr>
      <w:r w:rsidRPr="00123AAF">
        <w:tab/>
        <w:t>(ii)</w:t>
      </w:r>
      <w:r w:rsidRPr="00123AAF">
        <w:tab/>
        <w:t xml:space="preserve">provide bone substitution </w:t>
      </w:r>
      <w:r w:rsidR="00C75FD8" w:rsidRPr="00123AAF">
        <w:t xml:space="preserve">in relation to, </w:t>
      </w:r>
      <w:r w:rsidRPr="00123AAF">
        <w:t>or additional fixation for</w:t>
      </w:r>
      <w:r w:rsidR="00C75FD8" w:rsidRPr="00123AAF">
        <w:t>,</w:t>
      </w:r>
      <w:r w:rsidRPr="00123AAF">
        <w:t xml:space="preserve"> any such device; or</w:t>
      </w:r>
    </w:p>
    <w:p w:rsidR="0082319B" w:rsidRPr="00123AAF" w:rsidRDefault="0082319B" w:rsidP="0082319B">
      <w:pPr>
        <w:pStyle w:val="paragraphsub"/>
      </w:pPr>
      <w:r w:rsidRPr="00123AAF">
        <w:tab/>
        <w:t>(iii)</w:t>
      </w:r>
      <w:r w:rsidRPr="00123AAF">
        <w:tab/>
        <w:t>otherwise assist any such device;</w:t>
      </w:r>
    </w:p>
    <w:p w:rsidR="0082319B" w:rsidRPr="00123AAF" w:rsidRDefault="001E4E70" w:rsidP="001E4E70">
      <w:pPr>
        <w:pStyle w:val="paragraph"/>
      </w:pPr>
      <w:r w:rsidRPr="00123AAF">
        <w:tab/>
      </w:r>
      <w:r w:rsidRPr="00123AAF">
        <w:tab/>
      </w:r>
      <w:r w:rsidR="0082319B" w:rsidRPr="00123AAF">
        <w:t>where the individual requirements of a patient make it appropriate to do so.</w:t>
      </w:r>
    </w:p>
    <w:p w:rsidR="00DA35E2" w:rsidRPr="00123AAF" w:rsidRDefault="00DA35E2" w:rsidP="00081096">
      <w:pPr>
        <w:pStyle w:val="Definition"/>
      </w:pPr>
      <w:r w:rsidRPr="00123AAF">
        <w:rPr>
          <w:b/>
          <w:i/>
        </w:rPr>
        <w:t>hip joint</w:t>
      </w:r>
      <w:r w:rsidRPr="00123AAF">
        <w:t xml:space="preserve"> means the ball and socket formed by the reception of the head of the femur into the cup</w:t>
      </w:r>
      <w:r w:rsidR="00123AAF">
        <w:noBreakHyphen/>
      </w:r>
      <w:r w:rsidRPr="00123AAF">
        <w:t>shaped cavity of the acetabulum.</w:t>
      </w:r>
    </w:p>
    <w:p w:rsidR="00FD0AC8" w:rsidRPr="00123AAF" w:rsidRDefault="00FD0AC8" w:rsidP="00FD0AC8">
      <w:pPr>
        <w:pStyle w:val="Definition"/>
      </w:pPr>
      <w:r w:rsidRPr="00123AAF">
        <w:rPr>
          <w:b/>
          <w:i/>
        </w:rPr>
        <w:t>joint replacement medical device</w:t>
      </w:r>
      <w:r w:rsidRPr="00123AAF">
        <w:t xml:space="preserve"> mean</w:t>
      </w:r>
      <w:r w:rsidR="00DC7F85" w:rsidRPr="00123AAF">
        <w:t>s an implantable medical device</w:t>
      </w:r>
      <w:r w:rsidRPr="00123AAF">
        <w:t>:</w:t>
      </w:r>
    </w:p>
    <w:p w:rsidR="00FD0AC8" w:rsidRPr="00123AAF" w:rsidRDefault="00FD0AC8" w:rsidP="00FD0AC8">
      <w:pPr>
        <w:pStyle w:val="paragraph"/>
      </w:pPr>
      <w:r w:rsidRPr="00123AAF">
        <w:tab/>
        <w:t>(a)</w:t>
      </w:r>
      <w:r w:rsidRPr="00123AAF">
        <w:tab/>
      </w:r>
      <w:r w:rsidR="00B61BCD" w:rsidRPr="00123AAF">
        <w:t xml:space="preserve">that </w:t>
      </w:r>
      <w:r w:rsidR="00C75FD8" w:rsidRPr="00123AAF">
        <w:t xml:space="preserve">is intended by the manufacturer </w:t>
      </w:r>
      <w:r w:rsidRPr="00123AAF">
        <w:t>to operate</w:t>
      </w:r>
      <w:r w:rsidR="00B61BCD" w:rsidRPr="00123AAF">
        <w:t xml:space="preserve"> (</w:t>
      </w:r>
      <w:r w:rsidRPr="00123AAF">
        <w:t>either alone or together with one or more other implantable medical devices</w:t>
      </w:r>
      <w:r w:rsidR="00B61BCD" w:rsidRPr="00123AAF">
        <w:t>)</w:t>
      </w:r>
      <w:r w:rsidR="00C75FD8" w:rsidRPr="00123AAF">
        <w:t xml:space="preserve"> as a replacement </w:t>
      </w:r>
      <w:r w:rsidRPr="00123AAF">
        <w:t xml:space="preserve">(in whole or in part) </w:t>
      </w:r>
      <w:r w:rsidR="00C75FD8" w:rsidRPr="00123AAF">
        <w:t xml:space="preserve">for </w:t>
      </w:r>
      <w:r w:rsidRPr="00123AAF">
        <w:t>the shoulder joint, hip joint or knee joint; and</w:t>
      </w:r>
    </w:p>
    <w:p w:rsidR="00FD0AC8" w:rsidRPr="00123AAF" w:rsidRDefault="00FD0AC8" w:rsidP="00FD0AC8">
      <w:pPr>
        <w:pStyle w:val="paragraph"/>
      </w:pPr>
      <w:r w:rsidRPr="00123AAF">
        <w:tab/>
        <w:t>(b)</w:t>
      </w:r>
      <w:r w:rsidRPr="00123AAF">
        <w:tab/>
      </w:r>
      <w:r w:rsidR="00B61BCD" w:rsidRPr="00123AAF">
        <w:t>that (</w:t>
      </w:r>
      <w:r w:rsidRPr="00123AAF">
        <w:t>either alone or together with one or more other implantable medical devices</w:t>
      </w:r>
      <w:r w:rsidR="00B61BCD" w:rsidRPr="00123AAF">
        <w:t>)</w:t>
      </w:r>
      <w:r w:rsidRPr="00123AAF">
        <w:t>:</w:t>
      </w:r>
    </w:p>
    <w:p w:rsidR="00FD0AC8" w:rsidRPr="00123AAF" w:rsidRDefault="00FD0AC8" w:rsidP="00FD0AC8">
      <w:pPr>
        <w:pStyle w:val="paragraphsub"/>
      </w:pPr>
      <w:r w:rsidRPr="00123AAF">
        <w:tab/>
        <w:t>(i)</w:t>
      </w:r>
      <w:r w:rsidRPr="00123AAF">
        <w:tab/>
        <w:t>replaces or substitutes for the articulating surface of a shoulder joint, hip joint or knee joint (in whole or in part); or</w:t>
      </w:r>
    </w:p>
    <w:p w:rsidR="00FD0AC8" w:rsidRPr="00123AAF" w:rsidRDefault="00FD0AC8" w:rsidP="00FD0AC8">
      <w:pPr>
        <w:pStyle w:val="paragraphsub"/>
      </w:pPr>
      <w:r w:rsidRPr="00123AAF">
        <w:tab/>
        <w:t>(ii)</w:t>
      </w:r>
      <w:r w:rsidRPr="00123AAF">
        <w:tab/>
        <w:t>provides primary fixation to the bone for the replacement articulating surface; or</w:t>
      </w:r>
    </w:p>
    <w:p w:rsidR="00FD0AC8" w:rsidRPr="00123AAF" w:rsidRDefault="00FD0AC8" w:rsidP="00FD0AC8">
      <w:pPr>
        <w:pStyle w:val="paragraphsub"/>
      </w:pPr>
      <w:r w:rsidRPr="00123AAF">
        <w:tab/>
        <w:t>(iii)</w:t>
      </w:r>
      <w:r w:rsidRPr="00123AAF">
        <w:tab/>
        <w:t xml:space="preserve">connects directly or indirectly with an implantable medical device that has a function mentioned in </w:t>
      </w:r>
      <w:r w:rsidR="00123AAF" w:rsidRPr="00123AAF">
        <w:t>subparagraph (</w:t>
      </w:r>
      <w:r w:rsidR="00F6657A" w:rsidRPr="00123AAF">
        <w:t>i</w:t>
      </w:r>
      <w:r w:rsidRPr="00123AAF">
        <w:t>) or (</w:t>
      </w:r>
      <w:r w:rsidR="00F6657A" w:rsidRPr="00123AAF">
        <w:t>ii</w:t>
      </w:r>
      <w:r w:rsidRPr="00123AAF">
        <w:t>) and operates as an intrinsic element of the joint replacement;</w:t>
      </w:r>
    </w:p>
    <w:p w:rsidR="00F6657A" w:rsidRPr="00123AAF" w:rsidRDefault="00FD0AC8" w:rsidP="00C75FD8">
      <w:pPr>
        <w:pStyle w:val="subsection2"/>
      </w:pPr>
      <w:r w:rsidRPr="00123AAF">
        <w:t>but does not include an ancillary medical device.</w:t>
      </w:r>
    </w:p>
    <w:p w:rsidR="00F12743" w:rsidRPr="00123AAF" w:rsidRDefault="00F12743" w:rsidP="00F12743">
      <w:pPr>
        <w:pStyle w:val="Definition"/>
      </w:pPr>
      <w:r w:rsidRPr="00123AAF">
        <w:rPr>
          <w:b/>
          <w:i/>
        </w:rPr>
        <w:t>knee joint</w:t>
      </w:r>
      <w:r w:rsidRPr="00123AAF">
        <w:t xml:space="preserve"> means the joint consisting of:</w:t>
      </w:r>
    </w:p>
    <w:p w:rsidR="00F12743" w:rsidRPr="00123AAF" w:rsidRDefault="00F12743" w:rsidP="00F12743">
      <w:pPr>
        <w:pStyle w:val="paragraph"/>
      </w:pPr>
      <w:r w:rsidRPr="00123AAF">
        <w:tab/>
        <w:t>(a)</w:t>
      </w:r>
      <w:r w:rsidRPr="00123AAF">
        <w:tab/>
        <w:t>the articulations between each of the 2 condyles of the femur and the corresponding surface of the tibia; and</w:t>
      </w:r>
    </w:p>
    <w:p w:rsidR="00F12743" w:rsidRPr="00123AAF" w:rsidRDefault="00F12743" w:rsidP="00F12743">
      <w:pPr>
        <w:pStyle w:val="paragraph"/>
      </w:pPr>
      <w:r w:rsidRPr="00123AAF">
        <w:tab/>
        <w:t>(b)</w:t>
      </w:r>
      <w:r w:rsidRPr="00123AAF">
        <w:tab/>
        <w:t>the articulation between the patella and the trochlear groove of the femur.</w:t>
      </w:r>
    </w:p>
    <w:p w:rsidR="00EB20D5" w:rsidRPr="00123AAF" w:rsidRDefault="00DA35E2" w:rsidP="00FD0AC8">
      <w:pPr>
        <w:pStyle w:val="Definition"/>
      </w:pPr>
      <w:r w:rsidRPr="00123AAF">
        <w:rPr>
          <w:b/>
          <w:i/>
        </w:rPr>
        <w:lastRenderedPageBreak/>
        <w:t>shoulder joint</w:t>
      </w:r>
      <w:r w:rsidRPr="00123AAF">
        <w:t xml:space="preserve"> means the ball and socket formed by the reception of the head of the humerus onto </w:t>
      </w:r>
      <w:r w:rsidR="00177E36" w:rsidRPr="00123AAF">
        <w:t>the</w:t>
      </w:r>
      <w:r w:rsidRPr="00123AAF">
        <w:t xml:space="preserve"> glenoid cavity of the scapula.</w:t>
      </w:r>
    </w:p>
    <w:sectPr w:rsidR="00EB20D5" w:rsidRPr="00123AAF" w:rsidSect="001B031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0A" w:rsidRDefault="00A5230A" w:rsidP="0048364F">
      <w:pPr>
        <w:spacing w:line="240" w:lineRule="auto"/>
      </w:pPr>
      <w:r>
        <w:separator/>
      </w:r>
    </w:p>
  </w:endnote>
  <w:endnote w:type="continuationSeparator" w:id="0">
    <w:p w:rsidR="00A5230A" w:rsidRDefault="00A5230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1B031B" w:rsidRDefault="00A5230A" w:rsidP="001B031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B031B">
      <w:rPr>
        <w:i/>
        <w:sz w:val="18"/>
      </w:rPr>
      <w:t xml:space="preserve"> </w:t>
    </w:r>
    <w:r w:rsidR="001B031B" w:rsidRPr="001B031B">
      <w:rPr>
        <w:i/>
        <w:sz w:val="18"/>
      </w:rPr>
      <w:t>OPC60761 -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1B" w:rsidRDefault="001B031B" w:rsidP="001B031B">
    <w:pPr>
      <w:pStyle w:val="Footer"/>
    </w:pPr>
    <w:r w:rsidRPr="001B031B">
      <w:rPr>
        <w:i/>
        <w:sz w:val="18"/>
      </w:rPr>
      <w:t>OPC60761 -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1B031B" w:rsidRDefault="00A5230A" w:rsidP="00486382">
    <w:pPr>
      <w:pStyle w:val="Footer"/>
      <w:rPr>
        <w:sz w:val="18"/>
      </w:rPr>
    </w:pPr>
  </w:p>
  <w:p w:rsidR="00A5230A" w:rsidRPr="001B031B" w:rsidRDefault="001B031B" w:rsidP="001B031B">
    <w:pPr>
      <w:pStyle w:val="Footer"/>
      <w:rPr>
        <w:sz w:val="18"/>
      </w:rPr>
    </w:pPr>
    <w:r w:rsidRPr="001B031B">
      <w:rPr>
        <w:i/>
        <w:sz w:val="18"/>
      </w:rPr>
      <w:t>OPC60761 -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1B031B" w:rsidRDefault="00A5230A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A5230A" w:rsidRPr="001B031B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5230A" w:rsidRPr="001B031B" w:rsidRDefault="00A5230A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B031B">
            <w:rPr>
              <w:rFonts w:cs="Times New Roman"/>
              <w:i/>
              <w:sz w:val="18"/>
            </w:rPr>
            <w:fldChar w:fldCharType="begin"/>
          </w:r>
          <w:r w:rsidRPr="001B031B">
            <w:rPr>
              <w:rFonts w:cs="Times New Roman"/>
              <w:i/>
              <w:sz w:val="18"/>
            </w:rPr>
            <w:instrText xml:space="preserve"> PAGE </w:instrText>
          </w:r>
          <w:r w:rsidRPr="001B031B">
            <w:rPr>
              <w:rFonts w:cs="Times New Roman"/>
              <w:i/>
              <w:sz w:val="18"/>
            </w:rPr>
            <w:fldChar w:fldCharType="separate"/>
          </w:r>
          <w:r w:rsidR="007B37D6">
            <w:rPr>
              <w:rFonts w:cs="Times New Roman"/>
              <w:i/>
              <w:noProof/>
              <w:sz w:val="18"/>
            </w:rPr>
            <w:t>ii</w:t>
          </w:r>
          <w:r w:rsidRPr="001B031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5230A" w:rsidRPr="001B031B" w:rsidRDefault="00A5230A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B031B">
            <w:rPr>
              <w:rFonts w:cs="Times New Roman"/>
              <w:i/>
              <w:sz w:val="18"/>
            </w:rPr>
            <w:fldChar w:fldCharType="begin"/>
          </w:r>
          <w:r w:rsidRPr="001B031B">
            <w:rPr>
              <w:rFonts w:cs="Times New Roman"/>
              <w:i/>
              <w:sz w:val="18"/>
            </w:rPr>
            <w:instrText xml:space="preserve"> DOCPROPERTY ShortT </w:instrText>
          </w:r>
          <w:r w:rsidRPr="001B031B">
            <w:rPr>
              <w:rFonts w:cs="Times New Roman"/>
              <w:i/>
              <w:sz w:val="18"/>
            </w:rPr>
            <w:fldChar w:fldCharType="separate"/>
          </w:r>
          <w:r w:rsidR="004D4B41">
            <w:rPr>
              <w:rFonts w:cs="Times New Roman"/>
              <w:i/>
              <w:sz w:val="18"/>
            </w:rPr>
            <w:t>Therapeutic Goods (Medical Devices) Amendment (Joint Replacements) Regulation 2015</w:t>
          </w:r>
          <w:r w:rsidRPr="001B031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5230A" w:rsidRPr="001B031B" w:rsidRDefault="00A5230A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B031B">
            <w:rPr>
              <w:rFonts w:cs="Times New Roman"/>
              <w:i/>
              <w:sz w:val="18"/>
            </w:rPr>
            <w:fldChar w:fldCharType="begin"/>
          </w:r>
          <w:r w:rsidRPr="001B031B">
            <w:rPr>
              <w:rFonts w:cs="Times New Roman"/>
              <w:i/>
              <w:sz w:val="18"/>
            </w:rPr>
            <w:instrText xml:space="preserve"> DOCPROPERTY ActNo </w:instrText>
          </w:r>
          <w:r w:rsidRPr="001B031B">
            <w:rPr>
              <w:rFonts w:cs="Times New Roman"/>
              <w:i/>
              <w:sz w:val="18"/>
            </w:rPr>
            <w:fldChar w:fldCharType="separate"/>
          </w:r>
          <w:r w:rsidR="004D4B41">
            <w:rPr>
              <w:rFonts w:cs="Times New Roman"/>
              <w:i/>
              <w:sz w:val="18"/>
            </w:rPr>
            <w:t>No. 46, 2015</w:t>
          </w:r>
          <w:r w:rsidRPr="001B031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A5230A" w:rsidRPr="001B031B" w:rsidRDefault="001B031B" w:rsidP="001B031B">
    <w:pPr>
      <w:rPr>
        <w:rFonts w:cs="Times New Roman"/>
        <w:i/>
        <w:sz w:val="18"/>
      </w:rPr>
    </w:pPr>
    <w:r w:rsidRPr="001B031B">
      <w:rPr>
        <w:rFonts w:cs="Times New Roman"/>
        <w:i/>
        <w:sz w:val="18"/>
      </w:rPr>
      <w:t>OPC60761 -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E33C1C" w:rsidRDefault="00A5230A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5230A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5230A" w:rsidRDefault="00A5230A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D4B41">
            <w:rPr>
              <w:i/>
              <w:sz w:val="18"/>
            </w:rPr>
            <w:t>No. 46,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5230A" w:rsidRDefault="00A5230A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B41">
            <w:rPr>
              <w:i/>
              <w:sz w:val="18"/>
            </w:rPr>
            <w:t>Therapeutic Goods (Medical Devices) Amendment (Joint Replacements)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5230A" w:rsidRDefault="00A5230A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54B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5230A" w:rsidRPr="00ED79B6" w:rsidRDefault="001B031B" w:rsidP="001B031B">
    <w:pPr>
      <w:rPr>
        <w:i/>
        <w:sz w:val="18"/>
      </w:rPr>
    </w:pPr>
    <w:r w:rsidRPr="001B031B">
      <w:rPr>
        <w:rFonts w:cs="Times New Roman"/>
        <w:i/>
        <w:sz w:val="18"/>
      </w:rPr>
      <w:t>OPC60761 -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1B031B" w:rsidRDefault="00A5230A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A5230A" w:rsidRPr="001B031B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5230A" w:rsidRPr="001B031B" w:rsidRDefault="00A5230A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B031B">
            <w:rPr>
              <w:rFonts w:cs="Times New Roman"/>
              <w:i/>
              <w:sz w:val="18"/>
            </w:rPr>
            <w:fldChar w:fldCharType="begin"/>
          </w:r>
          <w:r w:rsidRPr="001B031B">
            <w:rPr>
              <w:rFonts w:cs="Times New Roman"/>
              <w:i/>
              <w:sz w:val="18"/>
            </w:rPr>
            <w:instrText xml:space="preserve"> PAGE </w:instrText>
          </w:r>
          <w:r w:rsidRPr="001B031B">
            <w:rPr>
              <w:rFonts w:cs="Times New Roman"/>
              <w:i/>
              <w:sz w:val="18"/>
            </w:rPr>
            <w:fldChar w:fldCharType="separate"/>
          </w:r>
          <w:r w:rsidR="00D254BE">
            <w:rPr>
              <w:rFonts w:cs="Times New Roman"/>
              <w:i/>
              <w:noProof/>
              <w:sz w:val="18"/>
            </w:rPr>
            <w:t>4</w:t>
          </w:r>
          <w:r w:rsidRPr="001B031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5230A" w:rsidRPr="001B031B" w:rsidRDefault="00A5230A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B031B">
            <w:rPr>
              <w:rFonts w:cs="Times New Roman"/>
              <w:i/>
              <w:sz w:val="18"/>
            </w:rPr>
            <w:fldChar w:fldCharType="begin"/>
          </w:r>
          <w:r w:rsidRPr="001B031B">
            <w:rPr>
              <w:rFonts w:cs="Times New Roman"/>
              <w:i/>
              <w:sz w:val="18"/>
            </w:rPr>
            <w:instrText xml:space="preserve"> DOCPROPERTY ShortT </w:instrText>
          </w:r>
          <w:r w:rsidRPr="001B031B">
            <w:rPr>
              <w:rFonts w:cs="Times New Roman"/>
              <w:i/>
              <w:sz w:val="18"/>
            </w:rPr>
            <w:fldChar w:fldCharType="separate"/>
          </w:r>
          <w:r w:rsidR="004D4B41">
            <w:rPr>
              <w:rFonts w:cs="Times New Roman"/>
              <w:i/>
              <w:sz w:val="18"/>
            </w:rPr>
            <w:t>Therapeutic Goods (Medical Devices) Amendment (Joint Replacements) Regulation 2015</w:t>
          </w:r>
          <w:r w:rsidRPr="001B031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5230A" w:rsidRPr="001B031B" w:rsidRDefault="00A5230A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B031B">
            <w:rPr>
              <w:rFonts w:cs="Times New Roman"/>
              <w:i/>
              <w:sz w:val="18"/>
            </w:rPr>
            <w:fldChar w:fldCharType="begin"/>
          </w:r>
          <w:r w:rsidRPr="001B031B">
            <w:rPr>
              <w:rFonts w:cs="Times New Roman"/>
              <w:i/>
              <w:sz w:val="18"/>
            </w:rPr>
            <w:instrText xml:space="preserve"> DOCPROPERTY ActNo </w:instrText>
          </w:r>
          <w:r w:rsidRPr="001B031B">
            <w:rPr>
              <w:rFonts w:cs="Times New Roman"/>
              <w:i/>
              <w:sz w:val="18"/>
            </w:rPr>
            <w:fldChar w:fldCharType="separate"/>
          </w:r>
          <w:r w:rsidR="004D4B41">
            <w:rPr>
              <w:rFonts w:cs="Times New Roman"/>
              <w:i/>
              <w:sz w:val="18"/>
            </w:rPr>
            <w:t>No. 46, 2015</w:t>
          </w:r>
          <w:r w:rsidRPr="001B031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A5230A" w:rsidRPr="001B031B" w:rsidRDefault="001B031B" w:rsidP="001B031B">
    <w:pPr>
      <w:rPr>
        <w:rFonts w:cs="Times New Roman"/>
        <w:i/>
        <w:sz w:val="18"/>
      </w:rPr>
    </w:pPr>
    <w:r w:rsidRPr="001B031B">
      <w:rPr>
        <w:rFonts w:cs="Times New Roman"/>
        <w:i/>
        <w:sz w:val="18"/>
      </w:rPr>
      <w:t>OPC60761 -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E33C1C" w:rsidRDefault="00A5230A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5230A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5230A" w:rsidRDefault="00A5230A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D4B41">
            <w:rPr>
              <w:i/>
              <w:sz w:val="18"/>
            </w:rPr>
            <w:t>No. 46,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5230A" w:rsidRDefault="00A5230A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B41">
            <w:rPr>
              <w:i/>
              <w:sz w:val="18"/>
            </w:rPr>
            <w:t>Therapeutic Goods (Medical Devices) Amendment (Joint Replacements)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5230A" w:rsidRDefault="00A5230A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54BE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5230A" w:rsidRPr="00ED79B6" w:rsidRDefault="001B031B" w:rsidP="001B031B">
    <w:pPr>
      <w:rPr>
        <w:i/>
        <w:sz w:val="18"/>
      </w:rPr>
    </w:pPr>
    <w:r w:rsidRPr="001B031B">
      <w:rPr>
        <w:rFonts w:cs="Times New Roman"/>
        <w:i/>
        <w:sz w:val="18"/>
      </w:rPr>
      <w:t>OPC60761 -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E33C1C" w:rsidRDefault="00A5230A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A5230A" w:rsidTr="005E7FE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5230A" w:rsidRDefault="00A5230A" w:rsidP="005E7FE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D4B41">
            <w:rPr>
              <w:i/>
              <w:sz w:val="18"/>
            </w:rPr>
            <w:t>No. 46,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A5230A" w:rsidRDefault="00A5230A" w:rsidP="005E7F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D4B41">
            <w:rPr>
              <w:i/>
              <w:sz w:val="18"/>
            </w:rPr>
            <w:t>Therapeutic Goods (Medical Devices) Amendment (Joint Replacements)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A5230A" w:rsidRDefault="00A5230A" w:rsidP="005E7F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37D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5230A" w:rsidRPr="00ED79B6" w:rsidRDefault="00A5230A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0A" w:rsidRDefault="00A5230A" w:rsidP="0048364F">
      <w:pPr>
        <w:spacing w:line="240" w:lineRule="auto"/>
      </w:pPr>
      <w:r>
        <w:separator/>
      </w:r>
    </w:p>
  </w:footnote>
  <w:footnote w:type="continuationSeparator" w:id="0">
    <w:p w:rsidR="00A5230A" w:rsidRDefault="00A5230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5F1388" w:rsidRDefault="00A5230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5F1388" w:rsidRDefault="00A5230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5F1388" w:rsidRDefault="00A5230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ED79B6" w:rsidRDefault="00A5230A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ED79B6" w:rsidRDefault="00A5230A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ED79B6" w:rsidRDefault="00A5230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A961C4" w:rsidRDefault="00A5230A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254BE">
      <w:rPr>
        <w:b/>
        <w:sz w:val="20"/>
      </w:rPr>
      <w:fldChar w:fldCharType="separate"/>
    </w:r>
    <w:r w:rsidR="00D254B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254BE">
      <w:rPr>
        <w:sz w:val="20"/>
      </w:rPr>
      <w:fldChar w:fldCharType="separate"/>
    </w:r>
    <w:r w:rsidR="00D254BE">
      <w:rPr>
        <w:noProof/>
        <w:sz w:val="20"/>
      </w:rPr>
      <w:t>Amendments</w:t>
    </w:r>
    <w:r>
      <w:rPr>
        <w:sz w:val="20"/>
      </w:rPr>
      <w:fldChar w:fldCharType="end"/>
    </w:r>
  </w:p>
  <w:p w:rsidR="00A5230A" w:rsidRPr="00A961C4" w:rsidRDefault="00A5230A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5230A" w:rsidRPr="00A961C4" w:rsidRDefault="00A5230A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A961C4" w:rsidRDefault="00A5230A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254BE">
      <w:rPr>
        <w:sz w:val="20"/>
      </w:rPr>
      <w:fldChar w:fldCharType="separate"/>
    </w:r>
    <w:r w:rsidR="00D254B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254BE">
      <w:rPr>
        <w:b/>
        <w:sz w:val="20"/>
      </w:rPr>
      <w:fldChar w:fldCharType="separate"/>
    </w:r>
    <w:r w:rsidR="00D254B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A5230A" w:rsidRPr="00A961C4" w:rsidRDefault="00A5230A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A5230A" w:rsidRPr="00A961C4" w:rsidRDefault="00A5230A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0A" w:rsidRPr="00A961C4" w:rsidRDefault="00A5230A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C43326"/>
    <w:multiLevelType w:val="hybridMultilevel"/>
    <w:tmpl w:val="DAA8E90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42"/>
    <w:rsid w:val="000041C6"/>
    <w:rsid w:val="000063E4"/>
    <w:rsid w:val="00010129"/>
    <w:rsid w:val="00011222"/>
    <w:rsid w:val="000113BC"/>
    <w:rsid w:val="000136AF"/>
    <w:rsid w:val="00025060"/>
    <w:rsid w:val="00031EBD"/>
    <w:rsid w:val="00035F2F"/>
    <w:rsid w:val="0004044E"/>
    <w:rsid w:val="00044157"/>
    <w:rsid w:val="00056933"/>
    <w:rsid w:val="000614BF"/>
    <w:rsid w:val="000725D1"/>
    <w:rsid w:val="00081096"/>
    <w:rsid w:val="000C4E79"/>
    <w:rsid w:val="000D05EF"/>
    <w:rsid w:val="000E0133"/>
    <w:rsid w:val="000F21C1"/>
    <w:rsid w:val="000F7427"/>
    <w:rsid w:val="0010745C"/>
    <w:rsid w:val="00110E45"/>
    <w:rsid w:val="00116975"/>
    <w:rsid w:val="00123AAF"/>
    <w:rsid w:val="00126F1A"/>
    <w:rsid w:val="00141EDA"/>
    <w:rsid w:val="00152682"/>
    <w:rsid w:val="00154EAC"/>
    <w:rsid w:val="001643C9"/>
    <w:rsid w:val="00165568"/>
    <w:rsid w:val="00166C2F"/>
    <w:rsid w:val="001716C9"/>
    <w:rsid w:val="00171EAE"/>
    <w:rsid w:val="00174B10"/>
    <w:rsid w:val="00177E36"/>
    <w:rsid w:val="00191859"/>
    <w:rsid w:val="00193461"/>
    <w:rsid w:val="001939E1"/>
    <w:rsid w:val="00195382"/>
    <w:rsid w:val="001B031B"/>
    <w:rsid w:val="001B3097"/>
    <w:rsid w:val="001B7A5D"/>
    <w:rsid w:val="001C69C4"/>
    <w:rsid w:val="001D4229"/>
    <w:rsid w:val="001D6EC4"/>
    <w:rsid w:val="001D7F83"/>
    <w:rsid w:val="001E16D0"/>
    <w:rsid w:val="001E1A79"/>
    <w:rsid w:val="001E3590"/>
    <w:rsid w:val="001E4E70"/>
    <w:rsid w:val="001E562E"/>
    <w:rsid w:val="001E5AF7"/>
    <w:rsid w:val="001E7407"/>
    <w:rsid w:val="001F6924"/>
    <w:rsid w:val="00201D27"/>
    <w:rsid w:val="00223461"/>
    <w:rsid w:val="00231427"/>
    <w:rsid w:val="00240749"/>
    <w:rsid w:val="00247057"/>
    <w:rsid w:val="00261891"/>
    <w:rsid w:val="00265FBC"/>
    <w:rsid w:val="00266D05"/>
    <w:rsid w:val="002932B1"/>
    <w:rsid w:val="00295408"/>
    <w:rsid w:val="00297ECB"/>
    <w:rsid w:val="002A0FFD"/>
    <w:rsid w:val="002A60D0"/>
    <w:rsid w:val="002B2731"/>
    <w:rsid w:val="002B5B89"/>
    <w:rsid w:val="002B7D96"/>
    <w:rsid w:val="002C6D84"/>
    <w:rsid w:val="002D043A"/>
    <w:rsid w:val="002F34E0"/>
    <w:rsid w:val="002F6361"/>
    <w:rsid w:val="003031EF"/>
    <w:rsid w:val="00304E75"/>
    <w:rsid w:val="003072FA"/>
    <w:rsid w:val="0031713F"/>
    <w:rsid w:val="00317FF3"/>
    <w:rsid w:val="003415D3"/>
    <w:rsid w:val="00347C42"/>
    <w:rsid w:val="00351BDE"/>
    <w:rsid w:val="00352B0F"/>
    <w:rsid w:val="00361BD9"/>
    <w:rsid w:val="00363549"/>
    <w:rsid w:val="003664C2"/>
    <w:rsid w:val="003801D0"/>
    <w:rsid w:val="003845AD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3F71F9"/>
    <w:rsid w:val="004010E7"/>
    <w:rsid w:val="00401403"/>
    <w:rsid w:val="004116CD"/>
    <w:rsid w:val="00412B83"/>
    <w:rsid w:val="00424CA9"/>
    <w:rsid w:val="00431F45"/>
    <w:rsid w:val="00433910"/>
    <w:rsid w:val="0044291A"/>
    <w:rsid w:val="004541B9"/>
    <w:rsid w:val="00460499"/>
    <w:rsid w:val="0048067F"/>
    <w:rsid w:val="00480FB9"/>
    <w:rsid w:val="0048364F"/>
    <w:rsid w:val="00486382"/>
    <w:rsid w:val="00486D99"/>
    <w:rsid w:val="00496F97"/>
    <w:rsid w:val="004A2484"/>
    <w:rsid w:val="004C0255"/>
    <w:rsid w:val="004C5B5A"/>
    <w:rsid w:val="004C6444"/>
    <w:rsid w:val="004C6762"/>
    <w:rsid w:val="004C6DE1"/>
    <w:rsid w:val="004D4B41"/>
    <w:rsid w:val="004F1FAC"/>
    <w:rsid w:val="004F3A90"/>
    <w:rsid w:val="004F676E"/>
    <w:rsid w:val="004F7CE6"/>
    <w:rsid w:val="00516B8D"/>
    <w:rsid w:val="00530BBE"/>
    <w:rsid w:val="00537FBC"/>
    <w:rsid w:val="00540757"/>
    <w:rsid w:val="00543469"/>
    <w:rsid w:val="00557C7A"/>
    <w:rsid w:val="0056007A"/>
    <w:rsid w:val="0057429E"/>
    <w:rsid w:val="00577B79"/>
    <w:rsid w:val="005840C5"/>
    <w:rsid w:val="00584811"/>
    <w:rsid w:val="005851A5"/>
    <w:rsid w:val="0058646E"/>
    <w:rsid w:val="005874F6"/>
    <w:rsid w:val="00591E07"/>
    <w:rsid w:val="00593AA6"/>
    <w:rsid w:val="00594161"/>
    <w:rsid w:val="00594749"/>
    <w:rsid w:val="005A327B"/>
    <w:rsid w:val="005B4067"/>
    <w:rsid w:val="005C12DE"/>
    <w:rsid w:val="005C3F41"/>
    <w:rsid w:val="005D24AD"/>
    <w:rsid w:val="005E552A"/>
    <w:rsid w:val="005E7FE8"/>
    <w:rsid w:val="005F2717"/>
    <w:rsid w:val="00600219"/>
    <w:rsid w:val="006249E6"/>
    <w:rsid w:val="00630733"/>
    <w:rsid w:val="0064468A"/>
    <w:rsid w:val="00654CCA"/>
    <w:rsid w:val="00656DE9"/>
    <w:rsid w:val="00661F08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B378C"/>
    <w:rsid w:val="006B3F46"/>
    <w:rsid w:val="006C2C12"/>
    <w:rsid w:val="006C3FFF"/>
    <w:rsid w:val="006C7F8C"/>
    <w:rsid w:val="006D3667"/>
    <w:rsid w:val="006D4E91"/>
    <w:rsid w:val="006E004B"/>
    <w:rsid w:val="006E3B0C"/>
    <w:rsid w:val="006E7147"/>
    <w:rsid w:val="00700B2C"/>
    <w:rsid w:val="00701E6A"/>
    <w:rsid w:val="00713084"/>
    <w:rsid w:val="00722023"/>
    <w:rsid w:val="00731E00"/>
    <w:rsid w:val="007440B7"/>
    <w:rsid w:val="00753D2A"/>
    <w:rsid w:val="007634AD"/>
    <w:rsid w:val="007715C9"/>
    <w:rsid w:val="00772BD0"/>
    <w:rsid w:val="00774466"/>
    <w:rsid w:val="00774EDD"/>
    <w:rsid w:val="007757EC"/>
    <w:rsid w:val="007769D4"/>
    <w:rsid w:val="00785371"/>
    <w:rsid w:val="00785AFA"/>
    <w:rsid w:val="007903AC"/>
    <w:rsid w:val="007A7F9F"/>
    <w:rsid w:val="007B37D6"/>
    <w:rsid w:val="007C2276"/>
    <w:rsid w:val="007E7D4A"/>
    <w:rsid w:val="007F31C2"/>
    <w:rsid w:val="00823030"/>
    <w:rsid w:val="0082319B"/>
    <w:rsid w:val="008232A2"/>
    <w:rsid w:val="00826DA5"/>
    <w:rsid w:val="00833416"/>
    <w:rsid w:val="00856A31"/>
    <w:rsid w:val="00874B69"/>
    <w:rsid w:val="008754D0"/>
    <w:rsid w:val="00877D48"/>
    <w:rsid w:val="00880795"/>
    <w:rsid w:val="008958EE"/>
    <w:rsid w:val="0089783B"/>
    <w:rsid w:val="008A25B6"/>
    <w:rsid w:val="008B0187"/>
    <w:rsid w:val="008D0EE0"/>
    <w:rsid w:val="008D3D91"/>
    <w:rsid w:val="008F07E3"/>
    <w:rsid w:val="008F4F1C"/>
    <w:rsid w:val="00902776"/>
    <w:rsid w:val="00907271"/>
    <w:rsid w:val="00932377"/>
    <w:rsid w:val="00932A33"/>
    <w:rsid w:val="009343E7"/>
    <w:rsid w:val="009347EA"/>
    <w:rsid w:val="009634CB"/>
    <w:rsid w:val="009848EC"/>
    <w:rsid w:val="009B3629"/>
    <w:rsid w:val="009C1330"/>
    <w:rsid w:val="009C49D8"/>
    <w:rsid w:val="009D719F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5230A"/>
    <w:rsid w:val="00A64912"/>
    <w:rsid w:val="00A70A74"/>
    <w:rsid w:val="00A71C4E"/>
    <w:rsid w:val="00A87AB9"/>
    <w:rsid w:val="00AB3315"/>
    <w:rsid w:val="00AB661A"/>
    <w:rsid w:val="00AB7548"/>
    <w:rsid w:val="00AB7B41"/>
    <w:rsid w:val="00AC06B3"/>
    <w:rsid w:val="00AD5641"/>
    <w:rsid w:val="00AE50A2"/>
    <w:rsid w:val="00AE60A4"/>
    <w:rsid w:val="00AF0336"/>
    <w:rsid w:val="00AF6613"/>
    <w:rsid w:val="00B00902"/>
    <w:rsid w:val="00B01809"/>
    <w:rsid w:val="00B032D8"/>
    <w:rsid w:val="00B332B8"/>
    <w:rsid w:val="00B33B3C"/>
    <w:rsid w:val="00B44657"/>
    <w:rsid w:val="00B51F29"/>
    <w:rsid w:val="00B61BCD"/>
    <w:rsid w:val="00B61D2C"/>
    <w:rsid w:val="00B63BDE"/>
    <w:rsid w:val="00BA5026"/>
    <w:rsid w:val="00BA50CB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55743"/>
    <w:rsid w:val="00C63713"/>
    <w:rsid w:val="00C7573B"/>
    <w:rsid w:val="00C75FD8"/>
    <w:rsid w:val="00C76CF3"/>
    <w:rsid w:val="00C77E30"/>
    <w:rsid w:val="00C814F5"/>
    <w:rsid w:val="00C94CAB"/>
    <w:rsid w:val="00CB0180"/>
    <w:rsid w:val="00CB3470"/>
    <w:rsid w:val="00CB4023"/>
    <w:rsid w:val="00CD3FBE"/>
    <w:rsid w:val="00CD606E"/>
    <w:rsid w:val="00CD7ECB"/>
    <w:rsid w:val="00CF0BB2"/>
    <w:rsid w:val="00CF13F8"/>
    <w:rsid w:val="00D0104A"/>
    <w:rsid w:val="00D06C03"/>
    <w:rsid w:val="00D13441"/>
    <w:rsid w:val="00D16356"/>
    <w:rsid w:val="00D17B17"/>
    <w:rsid w:val="00D243A3"/>
    <w:rsid w:val="00D254BE"/>
    <w:rsid w:val="00D333D9"/>
    <w:rsid w:val="00D33440"/>
    <w:rsid w:val="00D3655C"/>
    <w:rsid w:val="00D40403"/>
    <w:rsid w:val="00D52EFE"/>
    <w:rsid w:val="00D63EF6"/>
    <w:rsid w:val="00D70DFB"/>
    <w:rsid w:val="00D766DF"/>
    <w:rsid w:val="00D8092E"/>
    <w:rsid w:val="00D83D21"/>
    <w:rsid w:val="00D84B58"/>
    <w:rsid w:val="00D925D1"/>
    <w:rsid w:val="00DA35E2"/>
    <w:rsid w:val="00DC7F85"/>
    <w:rsid w:val="00E05704"/>
    <w:rsid w:val="00E05C46"/>
    <w:rsid w:val="00E25A8A"/>
    <w:rsid w:val="00E26554"/>
    <w:rsid w:val="00E30206"/>
    <w:rsid w:val="00E33C1C"/>
    <w:rsid w:val="00E443FC"/>
    <w:rsid w:val="00E45FE7"/>
    <w:rsid w:val="00E476B8"/>
    <w:rsid w:val="00E54292"/>
    <w:rsid w:val="00E55BCD"/>
    <w:rsid w:val="00E63D69"/>
    <w:rsid w:val="00E73EC4"/>
    <w:rsid w:val="00E74DC7"/>
    <w:rsid w:val="00E76FAB"/>
    <w:rsid w:val="00E83E2E"/>
    <w:rsid w:val="00E84B32"/>
    <w:rsid w:val="00E87699"/>
    <w:rsid w:val="00EB20D5"/>
    <w:rsid w:val="00ED3A7D"/>
    <w:rsid w:val="00EF2E3A"/>
    <w:rsid w:val="00F047E2"/>
    <w:rsid w:val="00F078DC"/>
    <w:rsid w:val="00F12743"/>
    <w:rsid w:val="00F13A31"/>
    <w:rsid w:val="00F13E86"/>
    <w:rsid w:val="00F24C35"/>
    <w:rsid w:val="00F56759"/>
    <w:rsid w:val="00F6657A"/>
    <w:rsid w:val="00F677A9"/>
    <w:rsid w:val="00F76028"/>
    <w:rsid w:val="00F84CF5"/>
    <w:rsid w:val="00FA2116"/>
    <w:rsid w:val="00FA420B"/>
    <w:rsid w:val="00FB03B3"/>
    <w:rsid w:val="00FB192C"/>
    <w:rsid w:val="00FB3A61"/>
    <w:rsid w:val="00FC1CB2"/>
    <w:rsid w:val="00FD0AC8"/>
    <w:rsid w:val="00FD7CFE"/>
    <w:rsid w:val="00FF3089"/>
    <w:rsid w:val="00FF3B04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3AA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3AAF"/>
  </w:style>
  <w:style w:type="paragraph" w:customStyle="1" w:styleId="OPCParaBase">
    <w:name w:val="OPCParaBase"/>
    <w:qFormat/>
    <w:rsid w:val="00123A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3A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3A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3A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3A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3A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23A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3A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3A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3A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3A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3AAF"/>
  </w:style>
  <w:style w:type="paragraph" w:customStyle="1" w:styleId="Blocks">
    <w:name w:val="Blocks"/>
    <w:aliases w:val="bb"/>
    <w:basedOn w:val="OPCParaBase"/>
    <w:qFormat/>
    <w:rsid w:val="00123A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3A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3AAF"/>
    <w:rPr>
      <w:i/>
    </w:rPr>
  </w:style>
  <w:style w:type="paragraph" w:customStyle="1" w:styleId="BoxList">
    <w:name w:val="BoxList"/>
    <w:aliases w:val="bl"/>
    <w:basedOn w:val="BoxText"/>
    <w:qFormat/>
    <w:rsid w:val="00123A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3A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3A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3AAF"/>
    <w:pPr>
      <w:ind w:left="1985" w:hanging="851"/>
    </w:pPr>
  </w:style>
  <w:style w:type="character" w:customStyle="1" w:styleId="CharAmPartNo">
    <w:name w:val="CharAmPartNo"/>
    <w:basedOn w:val="OPCCharBase"/>
    <w:qFormat/>
    <w:rsid w:val="00123AAF"/>
  </w:style>
  <w:style w:type="character" w:customStyle="1" w:styleId="CharAmPartText">
    <w:name w:val="CharAmPartText"/>
    <w:basedOn w:val="OPCCharBase"/>
    <w:qFormat/>
    <w:rsid w:val="00123AAF"/>
  </w:style>
  <w:style w:type="character" w:customStyle="1" w:styleId="CharAmSchNo">
    <w:name w:val="CharAmSchNo"/>
    <w:basedOn w:val="OPCCharBase"/>
    <w:qFormat/>
    <w:rsid w:val="00123AAF"/>
  </w:style>
  <w:style w:type="character" w:customStyle="1" w:styleId="CharAmSchText">
    <w:name w:val="CharAmSchText"/>
    <w:basedOn w:val="OPCCharBase"/>
    <w:qFormat/>
    <w:rsid w:val="00123AAF"/>
  </w:style>
  <w:style w:type="character" w:customStyle="1" w:styleId="CharBoldItalic">
    <w:name w:val="CharBoldItalic"/>
    <w:basedOn w:val="OPCCharBase"/>
    <w:uiPriority w:val="1"/>
    <w:qFormat/>
    <w:rsid w:val="00123A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3AAF"/>
  </w:style>
  <w:style w:type="character" w:customStyle="1" w:styleId="CharChapText">
    <w:name w:val="CharChapText"/>
    <w:basedOn w:val="OPCCharBase"/>
    <w:uiPriority w:val="1"/>
    <w:qFormat/>
    <w:rsid w:val="00123AAF"/>
  </w:style>
  <w:style w:type="character" w:customStyle="1" w:styleId="CharDivNo">
    <w:name w:val="CharDivNo"/>
    <w:basedOn w:val="OPCCharBase"/>
    <w:uiPriority w:val="1"/>
    <w:qFormat/>
    <w:rsid w:val="00123AAF"/>
  </w:style>
  <w:style w:type="character" w:customStyle="1" w:styleId="CharDivText">
    <w:name w:val="CharDivText"/>
    <w:basedOn w:val="OPCCharBase"/>
    <w:uiPriority w:val="1"/>
    <w:qFormat/>
    <w:rsid w:val="00123AAF"/>
  </w:style>
  <w:style w:type="character" w:customStyle="1" w:styleId="CharItalic">
    <w:name w:val="CharItalic"/>
    <w:basedOn w:val="OPCCharBase"/>
    <w:uiPriority w:val="1"/>
    <w:qFormat/>
    <w:rsid w:val="00123AAF"/>
    <w:rPr>
      <w:i/>
    </w:rPr>
  </w:style>
  <w:style w:type="character" w:customStyle="1" w:styleId="CharPartNo">
    <w:name w:val="CharPartNo"/>
    <w:basedOn w:val="OPCCharBase"/>
    <w:uiPriority w:val="1"/>
    <w:qFormat/>
    <w:rsid w:val="00123AAF"/>
  </w:style>
  <w:style w:type="character" w:customStyle="1" w:styleId="CharPartText">
    <w:name w:val="CharPartText"/>
    <w:basedOn w:val="OPCCharBase"/>
    <w:uiPriority w:val="1"/>
    <w:qFormat/>
    <w:rsid w:val="00123AAF"/>
  </w:style>
  <w:style w:type="character" w:customStyle="1" w:styleId="CharSectno">
    <w:name w:val="CharSectno"/>
    <w:basedOn w:val="OPCCharBase"/>
    <w:qFormat/>
    <w:rsid w:val="00123AAF"/>
  </w:style>
  <w:style w:type="character" w:customStyle="1" w:styleId="CharSubdNo">
    <w:name w:val="CharSubdNo"/>
    <w:basedOn w:val="OPCCharBase"/>
    <w:uiPriority w:val="1"/>
    <w:qFormat/>
    <w:rsid w:val="00123AAF"/>
  </w:style>
  <w:style w:type="character" w:customStyle="1" w:styleId="CharSubdText">
    <w:name w:val="CharSubdText"/>
    <w:basedOn w:val="OPCCharBase"/>
    <w:uiPriority w:val="1"/>
    <w:qFormat/>
    <w:rsid w:val="00123AAF"/>
  </w:style>
  <w:style w:type="paragraph" w:customStyle="1" w:styleId="CTA--">
    <w:name w:val="CTA --"/>
    <w:basedOn w:val="OPCParaBase"/>
    <w:next w:val="Normal"/>
    <w:rsid w:val="00123A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3A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3A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3A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3A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3A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3A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3A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3A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3A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3A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3A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3A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3A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23A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3A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3A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3A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3A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3A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3A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3A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3A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3A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3A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3A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3A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3A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3A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3A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3A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3A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3A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3A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3A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3A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3A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3A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3A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3A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3A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3A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3A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3A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3A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3A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3A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3A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3A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3A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3A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3A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3A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3A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23AA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23AA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23AA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23AA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23AA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23AA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23AA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23AA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23AA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23A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3A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3A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3A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3A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3A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3A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3A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23AAF"/>
    <w:rPr>
      <w:sz w:val="16"/>
    </w:rPr>
  </w:style>
  <w:style w:type="table" w:customStyle="1" w:styleId="CFlag">
    <w:name w:val="CFlag"/>
    <w:basedOn w:val="TableNormal"/>
    <w:uiPriority w:val="99"/>
    <w:rsid w:val="00123AA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3AAF"/>
    <w:rPr>
      <w:color w:val="0000FF"/>
      <w:u w:val="single"/>
    </w:rPr>
  </w:style>
  <w:style w:type="table" w:styleId="TableGrid">
    <w:name w:val="Table Grid"/>
    <w:basedOn w:val="TableNormal"/>
    <w:uiPriority w:val="59"/>
    <w:rsid w:val="00123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23AA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23AA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23A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3AA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3A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3A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3AA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123AAF"/>
  </w:style>
  <w:style w:type="paragraph" w:customStyle="1" w:styleId="CompiledActNo">
    <w:name w:val="CompiledActNo"/>
    <w:basedOn w:val="OPCParaBase"/>
    <w:next w:val="Normal"/>
    <w:rsid w:val="00123AA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23A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3A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23AA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123A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3A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23A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3A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23A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3A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3A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3A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3A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3A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23A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3AA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23AAF"/>
  </w:style>
  <w:style w:type="character" w:customStyle="1" w:styleId="CharSubPartNoCASA">
    <w:name w:val="CharSubPartNo(CASA)"/>
    <w:basedOn w:val="OPCCharBase"/>
    <w:uiPriority w:val="1"/>
    <w:rsid w:val="00123AAF"/>
  </w:style>
  <w:style w:type="paragraph" w:customStyle="1" w:styleId="ENoteTTIndentHeadingSub">
    <w:name w:val="ENoteTTIndentHeadingSub"/>
    <w:aliases w:val="enTTHis"/>
    <w:basedOn w:val="OPCParaBase"/>
    <w:rsid w:val="00123A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3A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3A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3A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23A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3AAF"/>
    <w:rPr>
      <w:sz w:val="22"/>
    </w:rPr>
  </w:style>
  <w:style w:type="paragraph" w:customStyle="1" w:styleId="SOTextNote">
    <w:name w:val="SO TextNote"/>
    <w:aliases w:val="sont"/>
    <w:basedOn w:val="SOText"/>
    <w:qFormat/>
    <w:rsid w:val="00123A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3A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3AAF"/>
    <w:rPr>
      <w:sz w:val="22"/>
    </w:rPr>
  </w:style>
  <w:style w:type="paragraph" w:customStyle="1" w:styleId="FileName">
    <w:name w:val="FileName"/>
    <w:basedOn w:val="Normal"/>
    <w:rsid w:val="00123AAF"/>
  </w:style>
  <w:style w:type="paragraph" w:customStyle="1" w:styleId="TableHeading">
    <w:name w:val="TableHeading"/>
    <w:aliases w:val="th"/>
    <w:basedOn w:val="OPCParaBase"/>
    <w:next w:val="Tabletext"/>
    <w:rsid w:val="00123AA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3A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3A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3A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3A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3A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3A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3A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3AA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3AA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23AA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3AA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3AAF"/>
  </w:style>
  <w:style w:type="paragraph" w:customStyle="1" w:styleId="OPCParaBase">
    <w:name w:val="OPCParaBase"/>
    <w:qFormat/>
    <w:rsid w:val="00123A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3A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3A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3A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3A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3A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23A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3A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3A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3A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3A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3AAF"/>
  </w:style>
  <w:style w:type="paragraph" w:customStyle="1" w:styleId="Blocks">
    <w:name w:val="Blocks"/>
    <w:aliases w:val="bb"/>
    <w:basedOn w:val="OPCParaBase"/>
    <w:qFormat/>
    <w:rsid w:val="00123A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3A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3AAF"/>
    <w:rPr>
      <w:i/>
    </w:rPr>
  </w:style>
  <w:style w:type="paragraph" w:customStyle="1" w:styleId="BoxList">
    <w:name w:val="BoxList"/>
    <w:aliases w:val="bl"/>
    <w:basedOn w:val="BoxText"/>
    <w:qFormat/>
    <w:rsid w:val="00123A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3A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3A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3AAF"/>
    <w:pPr>
      <w:ind w:left="1985" w:hanging="851"/>
    </w:pPr>
  </w:style>
  <w:style w:type="character" w:customStyle="1" w:styleId="CharAmPartNo">
    <w:name w:val="CharAmPartNo"/>
    <w:basedOn w:val="OPCCharBase"/>
    <w:qFormat/>
    <w:rsid w:val="00123AAF"/>
  </w:style>
  <w:style w:type="character" w:customStyle="1" w:styleId="CharAmPartText">
    <w:name w:val="CharAmPartText"/>
    <w:basedOn w:val="OPCCharBase"/>
    <w:qFormat/>
    <w:rsid w:val="00123AAF"/>
  </w:style>
  <w:style w:type="character" w:customStyle="1" w:styleId="CharAmSchNo">
    <w:name w:val="CharAmSchNo"/>
    <w:basedOn w:val="OPCCharBase"/>
    <w:qFormat/>
    <w:rsid w:val="00123AAF"/>
  </w:style>
  <w:style w:type="character" w:customStyle="1" w:styleId="CharAmSchText">
    <w:name w:val="CharAmSchText"/>
    <w:basedOn w:val="OPCCharBase"/>
    <w:qFormat/>
    <w:rsid w:val="00123AAF"/>
  </w:style>
  <w:style w:type="character" w:customStyle="1" w:styleId="CharBoldItalic">
    <w:name w:val="CharBoldItalic"/>
    <w:basedOn w:val="OPCCharBase"/>
    <w:uiPriority w:val="1"/>
    <w:qFormat/>
    <w:rsid w:val="00123A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3AAF"/>
  </w:style>
  <w:style w:type="character" w:customStyle="1" w:styleId="CharChapText">
    <w:name w:val="CharChapText"/>
    <w:basedOn w:val="OPCCharBase"/>
    <w:uiPriority w:val="1"/>
    <w:qFormat/>
    <w:rsid w:val="00123AAF"/>
  </w:style>
  <w:style w:type="character" w:customStyle="1" w:styleId="CharDivNo">
    <w:name w:val="CharDivNo"/>
    <w:basedOn w:val="OPCCharBase"/>
    <w:uiPriority w:val="1"/>
    <w:qFormat/>
    <w:rsid w:val="00123AAF"/>
  </w:style>
  <w:style w:type="character" w:customStyle="1" w:styleId="CharDivText">
    <w:name w:val="CharDivText"/>
    <w:basedOn w:val="OPCCharBase"/>
    <w:uiPriority w:val="1"/>
    <w:qFormat/>
    <w:rsid w:val="00123AAF"/>
  </w:style>
  <w:style w:type="character" w:customStyle="1" w:styleId="CharItalic">
    <w:name w:val="CharItalic"/>
    <w:basedOn w:val="OPCCharBase"/>
    <w:uiPriority w:val="1"/>
    <w:qFormat/>
    <w:rsid w:val="00123AAF"/>
    <w:rPr>
      <w:i/>
    </w:rPr>
  </w:style>
  <w:style w:type="character" w:customStyle="1" w:styleId="CharPartNo">
    <w:name w:val="CharPartNo"/>
    <w:basedOn w:val="OPCCharBase"/>
    <w:uiPriority w:val="1"/>
    <w:qFormat/>
    <w:rsid w:val="00123AAF"/>
  </w:style>
  <w:style w:type="character" w:customStyle="1" w:styleId="CharPartText">
    <w:name w:val="CharPartText"/>
    <w:basedOn w:val="OPCCharBase"/>
    <w:uiPriority w:val="1"/>
    <w:qFormat/>
    <w:rsid w:val="00123AAF"/>
  </w:style>
  <w:style w:type="character" w:customStyle="1" w:styleId="CharSectno">
    <w:name w:val="CharSectno"/>
    <w:basedOn w:val="OPCCharBase"/>
    <w:qFormat/>
    <w:rsid w:val="00123AAF"/>
  </w:style>
  <w:style w:type="character" w:customStyle="1" w:styleId="CharSubdNo">
    <w:name w:val="CharSubdNo"/>
    <w:basedOn w:val="OPCCharBase"/>
    <w:uiPriority w:val="1"/>
    <w:qFormat/>
    <w:rsid w:val="00123AAF"/>
  </w:style>
  <w:style w:type="character" w:customStyle="1" w:styleId="CharSubdText">
    <w:name w:val="CharSubdText"/>
    <w:basedOn w:val="OPCCharBase"/>
    <w:uiPriority w:val="1"/>
    <w:qFormat/>
    <w:rsid w:val="00123AAF"/>
  </w:style>
  <w:style w:type="paragraph" w:customStyle="1" w:styleId="CTA--">
    <w:name w:val="CTA --"/>
    <w:basedOn w:val="OPCParaBase"/>
    <w:next w:val="Normal"/>
    <w:rsid w:val="00123A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3A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3A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3A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3A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3A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3A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3A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3A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3A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3A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3A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3A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3A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123A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3A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3A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3A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3A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3A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3A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3A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3A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3A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3A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3A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3A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3A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3A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3A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3A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3A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3A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3A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3A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3A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3A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3A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3A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3A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3A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3A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3A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3A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3A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3A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3A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3A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3A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3A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3A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3A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3A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3A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23AA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23AA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23AA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23AA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23AA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23AA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23AA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23AA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23AA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23A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3A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3A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3A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3A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3A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3A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3A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23AAF"/>
    <w:rPr>
      <w:sz w:val="16"/>
    </w:rPr>
  </w:style>
  <w:style w:type="table" w:customStyle="1" w:styleId="CFlag">
    <w:name w:val="CFlag"/>
    <w:basedOn w:val="TableNormal"/>
    <w:uiPriority w:val="99"/>
    <w:rsid w:val="00123AA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23AAF"/>
    <w:rPr>
      <w:color w:val="0000FF"/>
      <w:u w:val="single"/>
    </w:rPr>
  </w:style>
  <w:style w:type="table" w:styleId="TableGrid">
    <w:name w:val="Table Grid"/>
    <w:basedOn w:val="TableNormal"/>
    <w:uiPriority w:val="59"/>
    <w:rsid w:val="00123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123AA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23AA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123A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3AA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3A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3A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3AA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123AAF"/>
  </w:style>
  <w:style w:type="paragraph" w:customStyle="1" w:styleId="CompiledActNo">
    <w:name w:val="CompiledActNo"/>
    <w:basedOn w:val="OPCParaBase"/>
    <w:next w:val="Normal"/>
    <w:rsid w:val="00123AA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23A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3A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123AA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123A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3A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123A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3A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123A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3A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3A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3A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3A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3A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23A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3AA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23AAF"/>
  </w:style>
  <w:style w:type="character" w:customStyle="1" w:styleId="CharSubPartNoCASA">
    <w:name w:val="CharSubPartNo(CASA)"/>
    <w:basedOn w:val="OPCCharBase"/>
    <w:uiPriority w:val="1"/>
    <w:rsid w:val="00123AAF"/>
  </w:style>
  <w:style w:type="paragraph" w:customStyle="1" w:styleId="ENoteTTIndentHeadingSub">
    <w:name w:val="ENoteTTIndentHeadingSub"/>
    <w:aliases w:val="enTTHis"/>
    <w:basedOn w:val="OPCParaBase"/>
    <w:rsid w:val="00123A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3A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3A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3A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123A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3AAF"/>
    <w:rPr>
      <w:sz w:val="22"/>
    </w:rPr>
  </w:style>
  <w:style w:type="paragraph" w:customStyle="1" w:styleId="SOTextNote">
    <w:name w:val="SO TextNote"/>
    <w:aliases w:val="sont"/>
    <w:basedOn w:val="SOText"/>
    <w:qFormat/>
    <w:rsid w:val="00123A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3A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3AAF"/>
    <w:rPr>
      <w:sz w:val="22"/>
    </w:rPr>
  </w:style>
  <w:style w:type="paragraph" w:customStyle="1" w:styleId="FileName">
    <w:name w:val="FileName"/>
    <w:basedOn w:val="Normal"/>
    <w:rsid w:val="00123AAF"/>
  </w:style>
  <w:style w:type="paragraph" w:customStyle="1" w:styleId="TableHeading">
    <w:name w:val="TableHeading"/>
    <w:aliases w:val="th"/>
    <w:basedOn w:val="OPCParaBase"/>
    <w:next w:val="Tabletext"/>
    <w:rsid w:val="00123AA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3A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3A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3A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3A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3A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3A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3A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3AA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3AA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23AA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889</Words>
  <Characters>4679</Characters>
  <Application>Microsoft Office Word</Application>
  <DocSecurity>0</DocSecurity>
  <PresentationFormat/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(Medical Devices) Amendment (Joint Replacements) Regulation 2015</vt:lpstr>
    </vt:vector>
  </TitlesOfParts>
  <Manager/>
  <Company/>
  <LinksUpToDate>false</LinksUpToDate>
  <CharactersWithSpaces>5535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2015-03-18T07:39:00Z</cp:lastPrinted>
  <dcterms:created xsi:type="dcterms:W3CDTF">2015-04-13T05:48:00Z</dcterms:created>
  <dcterms:modified xsi:type="dcterms:W3CDTF">2015-04-13T05:48:00Z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46, 2015</vt:lpwstr>
  </property>
  <property fmtid="{D5CDD505-2E9C-101B-9397-08002B2CF9AE}" pid="3" name="ShortT">
    <vt:lpwstr>Therapeutic Goods (Medical Devices) Amendment (Joint Replacements)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16 April 2015</vt:lpwstr>
  </property>
  <property fmtid="{D5CDD505-2E9C-101B-9397-08002B2CF9AE}" pid="10" name="Authority">
    <vt:lpwstr/>
  </property>
  <property fmtid="{D5CDD505-2E9C-101B-9397-08002B2CF9AE}" pid="11" name="ID">
    <vt:lpwstr>OPC60761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Therapeutic Goods Act 1989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16 April 2015</vt:lpwstr>
  </property>
</Properties>
</file>