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618D4" w:rsidRDefault="00193461" w:rsidP="00C63713">
      <w:pPr>
        <w:rPr>
          <w:sz w:val="28"/>
        </w:rPr>
      </w:pPr>
      <w:r w:rsidRPr="00C618D4">
        <w:rPr>
          <w:noProof/>
          <w:lang w:eastAsia="en-AU"/>
        </w:rPr>
        <w:drawing>
          <wp:inline distT="0" distB="0" distL="0" distR="0" wp14:anchorId="0412BFF6" wp14:editId="5E5AFF0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618D4" w:rsidRDefault="0048364F" w:rsidP="0048364F">
      <w:pPr>
        <w:rPr>
          <w:sz w:val="19"/>
        </w:rPr>
      </w:pPr>
    </w:p>
    <w:p w:rsidR="0048364F" w:rsidRPr="00C618D4" w:rsidRDefault="008E719D" w:rsidP="0048364F">
      <w:pPr>
        <w:pStyle w:val="ShortT"/>
      </w:pPr>
      <w:r w:rsidRPr="00C618D4">
        <w:t xml:space="preserve">Migration Amendment (Resolving the Asylum </w:t>
      </w:r>
      <w:r w:rsidR="0022749E" w:rsidRPr="00C618D4">
        <w:t>L</w:t>
      </w:r>
      <w:r w:rsidRPr="00C618D4">
        <w:t>egacy Caseload) Regulation</w:t>
      </w:r>
      <w:r w:rsidR="00C618D4" w:rsidRPr="00C618D4">
        <w:t> </w:t>
      </w:r>
      <w:r w:rsidRPr="00C618D4">
        <w:t>2015</w:t>
      </w:r>
    </w:p>
    <w:p w:rsidR="0048364F" w:rsidRPr="00C618D4" w:rsidRDefault="0048364F" w:rsidP="0048364F"/>
    <w:p w:rsidR="0048364F" w:rsidRPr="00C618D4" w:rsidRDefault="004C68C6" w:rsidP="00680F17">
      <w:pPr>
        <w:pStyle w:val="InstNo"/>
      </w:pPr>
      <w:r w:rsidRPr="00C618D4">
        <w:t>Select Legislative Instrument</w:t>
      </w:r>
      <w:r w:rsidR="00EC0576" w:rsidRPr="00C618D4">
        <w:t xml:space="preserve"> </w:t>
      </w:r>
      <w:bookmarkStart w:id="0" w:name="BKCheck15B_1"/>
      <w:bookmarkEnd w:id="0"/>
      <w:r w:rsidR="006E03DF" w:rsidRPr="00C618D4">
        <w:fldChar w:fldCharType="begin"/>
      </w:r>
      <w:r w:rsidR="006E03DF" w:rsidRPr="00C618D4">
        <w:instrText xml:space="preserve"> DOCPROPERTY  ActNo </w:instrText>
      </w:r>
      <w:r w:rsidR="006E03DF" w:rsidRPr="00C618D4">
        <w:fldChar w:fldCharType="separate"/>
      </w:r>
      <w:r w:rsidR="00195470">
        <w:t>No. 48, 2015</w:t>
      </w:r>
      <w:r w:rsidR="006E03DF" w:rsidRPr="00C618D4">
        <w:fldChar w:fldCharType="end"/>
      </w:r>
    </w:p>
    <w:p w:rsidR="008E719D" w:rsidRPr="00C618D4" w:rsidRDefault="008E719D" w:rsidP="000C59BE">
      <w:pPr>
        <w:pStyle w:val="SignCoverPageStart"/>
        <w:spacing w:before="240"/>
        <w:rPr>
          <w:szCs w:val="22"/>
        </w:rPr>
      </w:pPr>
      <w:r w:rsidRPr="00C618D4">
        <w:rPr>
          <w:szCs w:val="22"/>
        </w:rPr>
        <w:t xml:space="preserve">I, General the Honourable Sir Peter Cosgrove AK MC (Ret’d), </w:t>
      </w:r>
      <w:r w:rsidR="00C618D4" w:rsidRPr="00C618D4">
        <w:rPr>
          <w:szCs w:val="22"/>
        </w:rPr>
        <w:t>Governor</w:t>
      </w:r>
      <w:r w:rsidR="00C618D4">
        <w:rPr>
          <w:szCs w:val="22"/>
        </w:rPr>
        <w:noBreakHyphen/>
      </w:r>
      <w:r w:rsidR="00C618D4" w:rsidRPr="00C618D4">
        <w:rPr>
          <w:szCs w:val="22"/>
        </w:rPr>
        <w:t>General</w:t>
      </w:r>
      <w:r w:rsidRPr="00C618D4">
        <w:rPr>
          <w:szCs w:val="22"/>
        </w:rPr>
        <w:t xml:space="preserve"> of the Commonwealth of Australia, acting with the advice of the Federal Executive Council, make the following regulation.</w:t>
      </w:r>
    </w:p>
    <w:p w:rsidR="008E719D" w:rsidRPr="00C618D4" w:rsidRDefault="008E719D" w:rsidP="000C59BE">
      <w:pPr>
        <w:keepNext/>
        <w:spacing w:before="720" w:line="240" w:lineRule="atLeast"/>
        <w:ind w:right="397"/>
        <w:jc w:val="both"/>
        <w:rPr>
          <w:szCs w:val="22"/>
        </w:rPr>
      </w:pPr>
      <w:r w:rsidRPr="00C618D4">
        <w:rPr>
          <w:szCs w:val="22"/>
        </w:rPr>
        <w:t xml:space="preserve">Dated </w:t>
      </w:r>
      <w:bookmarkStart w:id="1" w:name="BKCheck15B_2"/>
      <w:bookmarkEnd w:id="1"/>
      <w:r w:rsidRPr="00C618D4">
        <w:rPr>
          <w:szCs w:val="22"/>
        </w:rPr>
        <w:fldChar w:fldCharType="begin"/>
      </w:r>
      <w:r w:rsidRPr="00C618D4">
        <w:rPr>
          <w:szCs w:val="22"/>
        </w:rPr>
        <w:instrText xml:space="preserve"> DOCPROPERTY  DateMade </w:instrText>
      </w:r>
      <w:r w:rsidRPr="00C618D4">
        <w:rPr>
          <w:szCs w:val="22"/>
        </w:rPr>
        <w:fldChar w:fldCharType="separate"/>
      </w:r>
      <w:r w:rsidR="00195470">
        <w:rPr>
          <w:szCs w:val="22"/>
        </w:rPr>
        <w:t>16 April 2015</w:t>
      </w:r>
      <w:r w:rsidRPr="00C618D4">
        <w:rPr>
          <w:szCs w:val="22"/>
        </w:rPr>
        <w:fldChar w:fldCharType="end"/>
      </w:r>
    </w:p>
    <w:p w:rsidR="008E719D" w:rsidRPr="00C618D4" w:rsidRDefault="008E719D" w:rsidP="000C59B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618D4">
        <w:rPr>
          <w:szCs w:val="22"/>
        </w:rPr>
        <w:t>Peter Cosgrove</w:t>
      </w:r>
    </w:p>
    <w:p w:rsidR="008E719D" w:rsidRPr="00C618D4" w:rsidRDefault="00C618D4" w:rsidP="000C59B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618D4">
        <w:rPr>
          <w:szCs w:val="22"/>
        </w:rPr>
        <w:t>Governor</w:t>
      </w:r>
      <w:r>
        <w:rPr>
          <w:szCs w:val="22"/>
        </w:rPr>
        <w:noBreakHyphen/>
      </w:r>
      <w:r w:rsidRPr="00C618D4">
        <w:rPr>
          <w:szCs w:val="22"/>
        </w:rPr>
        <w:t>General</w:t>
      </w:r>
    </w:p>
    <w:p w:rsidR="008E719D" w:rsidRPr="00C618D4" w:rsidRDefault="008E719D" w:rsidP="0012637F">
      <w:pPr>
        <w:keepNext/>
        <w:tabs>
          <w:tab w:val="left" w:pos="3402"/>
        </w:tabs>
        <w:spacing w:before="600" w:after="1080" w:line="300" w:lineRule="atLeast"/>
        <w:ind w:right="397"/>
        <w:rPr>
          <w:szCs w:val="22"/>
        </w:rPr>
      </w:pPr>
      <w:r w:rsidRPr="00C618D4">
        <w:rPr>
          <w:szCs w:val="22"/>
        </w:rPr>
        <w:t>By His Excellency’s Command</w:t>
      </w:r>
    </w:p>
    <w:p w:rsidR="008E719D" w:rsidRPr="00C618D4" w:rsidRDefault="008E719D" w:rsidP="000C59B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618D4">
        <w:rPr>
          <w:szCs w:val="22"/>
        </w:rPr>
        <w:t>Peter Dutton</w:t>
      </w:r>
    </w:p>
    <w:p w:rsidR="008E719D" w:rsidRPr="00C618D4" w:rsidRDefault="008E719D" w:rsidP="000C59BE">
      <w:pPr>
        <w:pStyle w:val="SignCoverPageEnd"/>
        <w:rPr>
          <w:szCs w:val="22"/>
        </w:rPr>
      </w:pPr>
      <w:r w:rsidRPr="00C618D4">
        <w:rPr>
          <w:szCs w:val="22"/>
        </w:rPr>
        <w:t>Minister for Immigration and Border Protection</w:t>
      </w:r>
    </w:p>
    <w:p w:rsidR="008E719D" w:rsidRPr="00C618D4" w:rsidRDefault="008E719D" w:rsidP="008E719D"/>
    <w:p w:rsidR="0048364F" w:rsidRPr="00C618D4" w:rsidRDefault="0048364F" w:rsidP="0048364F">
      <w:pPr>
        <w:pStyle w:val="Header"/>
        <w:tabs>
          <w:tab w:val="clear" w:pos="4150"/>
          <w:tab w:val="clear" w:pos="8307"/>
        </w:tabs>
      </w:pPr>
      <w:r w:rsidRPr="00C618D4">
        <w:rPr>
          <w:rStyle w:val="CharAmSchNo"/>
        </w:rPr>
        <w:t xml:space="preserve"> </w:t>
      </w:r>
      <w:r w:rsidRPr="00C618D4">
        <w:rPr>
          <w:rStyle w:val="CharAmSchText"/>
        </w:rPr>
        <w:t xml:space="preserve"> </w:t>
      </w:r>
    </w:p>
    <w:p w:rsidR="0048364F" w:rsidRPr="00C618D4" w:rsidRDefault="0048364F" w:rsidP="0048364F">
      <w:pPr>
        <w:pStyle w:val="Header"/>
        <w:tabs>
          <w:tab w:val="clear" w:pos="4150"/>
          <w:tab w:val="clear" w:pos="8307"/>
        </w:tabs>
      </w:pPr>
      <w:r w:rsidRPr="00C618D4">
        <w:rPr>
          <w:rStyle w:val="CharAmPartNo"/>
        </w:rPr>
        <w:t xml:space="preserve"> </w:t>
      </w:r>
      <w:r w:rsidRPr="00C618D4">
        <w:rPr>
          <w:rStyle w:val="CharAmPartText"/>
        </w:rPr>
        <w:t xml:space="preserve"> </w:t>
      </w:r>
    </w:p>
    <w:p w:rsidR="0048364F" w:rsidRPr="00C618D4" w:rsidRDefault="0048364F" w:rsidP="0048364F">
      <w:pPr>
        <w:sectPr w:rsidR="0048364F" w:rsidRPr="00C618D4" w:rsidSect="009B5F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C618D4" w:rsidRDefault="0048364F" w:rsidP="004541AD">
      <w:pPr>
        <w:rPr>
          <w:sz w:val="36"/>
        </w:rPr>
      </w:pPr>
      <w:r w:rsidRPr="00C618D4">
        <w:rPr>
          <w:sz w:val="36"/>
        </w:rPr>
        <w:lastRenderedPageBreak/>
        <w:t>Contents</w:t>
      </w:r>
    </w:p>
    <w:bookmarkStart w:id="2" w:name="BKCheck15B_3"/>
    <w:bookmarkEnd w:id="2"/>
    <w:p w:rsidR="002A7D4A" w:rsidRPr="00C618D4" w:rsidRDefault="002A7D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18D4">
        <w:fldChar w:fldCharType="begin"/>
      </w:r>
      <w:r w:rsidRPr="00C618D4">
        <w:instrText xml:space="preserve"> TOC \o "1-9" </w:instrText>
      </w:r>
      <w:r w:rsidRPr="00C618D4">
        <w:fldChar w:fldCharType="separate"/>
      </w:r>
      <w:r w:rsidRPr="00C618D4">
        <w:rPr>
          <w:noProof/>
        </w:rPr>
        <w:t>1</w:t>
      </w:r>
      <w:r w:rsidRPr="00C618D4">
        <w:rPr>
          <w:noProof/>
        </w:rPr>
        <w:tab/>
        <w:t>Name</w:t>
      </w:r>
      <w:r w:rsidRPr="00C618D4">
        <w:rPr>
          <w:noProof/>
        </w:rPr>
        <w:tab/>
      </w:r>
      <w:r w:rsidRPr="00C618D4">
        <w:rPr>
          <w:noProof/>
        </w:rPr>
        <w:fldChar w:fldCharType="begin"/>
      </w:r>
      <w:r w:rsidRPr="00C618D4">
        <w:rPr>
          <w:noProof/>
        </w:rPr>
        <w:instrText xml:space="preserve"> PAGEREF _Toc415211997 \h </w:instrText>
      </w:r>
      <w:r w:rsidRPr="00C618D4">
        <w:rPr>
          <w:noProof/>
        </w:rPr>
      </w:r>
      <w:r w:rsidRPr="00C618D4">
        <w:rPr>
          <w:noProof/>
        </w:rPr>
        <w:fldChar w:fldCharType="separate"/>
      </w:r>
      <w:r w:rsidR="00195470">
        <w:rPr>
          <w:noProof/>
        </w:rPr>
        <w:t>1</w:t>
      </w:r>
      <w:r w:rsidRPr="00C618D4">
        <w:rPr>
          <w:noProof/>
        </w:rPr>
        <w:fldChar w:fldCharType="end"/>
      </w:r>
    </w:p>
    <w:p w:rsidR="002A7D4A" w:rsidRPr="00C618D4" w:rsidRDefault="002A7D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18D4">
        <w:rPr>
          <w:noProof/>
        </w:rPr>
        <w:t>2</w:t>
      </w:r>
      <w:r w:rsidRPr="00C618D4">
        <w:rPr>
          <w:noProof/>
        </w:rPr>
        <w:tab/>
        <w:t>Commencement</w:t>
      </w:r>
      <w:r w:rsidRPr="00C618D4">
        <w:rPr>
          <w:noProof/>
        </w:rPr>
        <w:tab/>
      </w:r>
      <w:r w:rsidRPr="00C618D4">
        <w:rPr>
          <w:noProof/>
        </w:rPr>
        <w:fldChar w:fldCharType="begin"/>
      </w:r>
      <w:r w:rsidRPr="00C618D4">
        <w:rPr>
          <w:noProof/>
        </w:rPr>
        <w:instrText xml:space="preserve"> PAGEREF _Toc415211998 \h </w:instrText>
      </w:r>
      <w:r w:rsidRPr="00C618D4">
        <w:rPr>
          <w:noProof/>
        </w:rPr>
      </w:r>
      <w:r w:rsidRPr="00C618D4">
        <w:rPr>
          <w:noProof/>
        </w:rPr>
        <w:fldChar w:fldCharType="separate"/>
      </w:r>
      <w:r w:rsidR="00195470">
        <w:rPr>
          <w:noProof/>
        </w:rPr>
        <w:t>1</w:t>
      </w:r>
      <w:r w:rsidRPr="00C618D4">
        <w:rPr>
          <w:noProof/>
        </w:rPr>
        <w:fldChar w:fldCharType="end"/>
      </w:r>
    </w:p>
    <w:p w:rsidR="002A7D4A" w:rsidRPr="00C618D4" w:rsidRDefault="002A7D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18D4">
        <w:rPr>
          <w:noProof/>
        </w:rPr>
        <w:t>3</w:t>
      </w:r>
      <w:r w:rsidRPr="00C618D4">
        <w:rPr>
          <w:noProof/>
        </w:rPr>
        <w:tab/>
        <w:t>Authority</w:t>
      </w:r>
      <w:r w:rsidRPr="00C618D4">
        <w:rPr>
          <w:noProof/>
        </w:rPr>
        <w:tab/>
      </w:r>
      <w:r w:rsidRPr="00C618D4">
        <w:rPr>
          <w:noProof/>
        </w:rPr>
        <w:fldChar w:fldCharType="begin"/>
      </w:r>
      <w:r w:rsidRPr="00C618D4">
        <w:rPr>
          <w:noProof/>
        </w:rPr>
        <w:instrText xml:space="preserve"> PAGEREF _Toc415211999 \h </w:instrText>
      </w:r>
      <w:r w:rsidRPr="00C618D4">
        <w:rPr>
          <w:noProof/>
        </w:rPr>
      </w:r>
      <w:r w:rsidRPr="00C618D4">
        <w:rPr>
          <w:noProof/>
        </w:rPr>
        <w:fldChar w:fldCharType="separate"/>
      </w:r>
      <w:r w:rsidR="00195470">
        <w:rPr>
          <w:noProof/>
        </w:rPr>
        <w:t>2</w:t>
      </w:r>
      <w:r w:rsidRPr="00C618D4">
        <w:rPr>
          <w:noProof/>
        </w:rPr>
        <w:fldChar w:fldCharType="end"/>
      </w:r>
    </w:p>
    <w:p w:rsidR="002A7D4A" w:rsidRPr="00C618D4" w:rsidRDefault="002A7D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18D4">
        <w:rPr>
          <w:noProof/>
        </w:rPr>
        <w:t>4</w:t>
      </w:r>
      <w:r w:rsidRPr="00C618D4">
        <w:rPr>
          <w:noProof/>
        </w:rPr>
        <w:tab/>
        <w:t>Schedules</w:t>
      </w:r>
      <w:r w:rsidRPr="00C618D4">
        <w:rPr>
          <w:noProof/>
        </w:rPr>
        <w:tab/>
      </w:r>
      <w:r w:rsidRPr="00C618D4">
        <w:rPr>
          <w:noProof/>
        </w:rPr>
        <w:fldChar w:fldCharType="begin"/>
      </w:r>
      <w:r w:rsidRPr="00C618D4">
        <w:rPr>
          <w:noProof/>
        </w:rPr>
        <w:instrText xml:space="preserve"> PAGEREF _Toc415212000 \h </w:instrText>
      </w:r>
      <w:r w:rsidRPr="00C618D4">
        <w:rPr>
          <w:noProof/>
        </w:rPr>
      </w:r>
      <w:r w:rsidRPr="00C618D4">
        <w:rPr>
          <w:noProof/>
        </w:rPr>
        <w:fldChar w:fldCharType="separate"/>
      </w:r>
      <w:r w:rsidR="00195470">
        <w:rPr>
          <w:noProof/>
        </w:rPr>
        <w:t>2</w:t>
      </w:r>
      <w:r w:rsidRPr="00C618D4">
        <w:rPr>
          <w:noProof/>
        </w:rPr>
        <w:fldChar w:fldCharType="end"/>
      </w:r>
    </w:p>
    <w:p w:rsidR="002A7D4A" w:rsidRPr="00C618D4" w:rsidRDefault="002A7D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18D4">
        <w:rPr>
          <w:noProof/>
        </w:rPr>
        <w:t>Schedule</w:t>
      </w:r>
      <w:r w:rsidR="00C618D4" w:rsidRPr="00C618D4">
        <w:rPr>
          <w:noProof/>
        </w:rPr>
        <w:t> </w:t>
      </w:r>
      <w:r w:rsidRPr="00C618D4">
        <w:rPr>
          <w:noProof/>
        </w:rPr>
        <w:t>1—Amendments relating to the fast track assessment process</w:t>
      </w:r>
      <w:r w:rsidRPr="00C618D4">
        <w:rPr>
          <w:b w:val="0"/>
          <w:noProof/>
          <w:sz w:val="18"/>
        </w:rPr>
        <w:tab/>
      </w:r>
      <w:r w:rsidRPr="00C618D4">
        <w:rPr>
          <w:b w:val="0"/>
          <w:noProof/>
          <w:sz w:val="18"/>
        </w:rPr>
        <w:fldChar w:fldCharType="begin"/>
      </w:r>
      <w:r w:rsidRPr="00C618D4">
        <w:rPr>
          <w:b w:val="0"/>
          <w:noProof/>
          <w:sz w:val="18"/>
        </w:rPr>
        <w:instrText xml:space="preserve"> PAGEREF _Toc415212001 \h </w:instrText>
      </w:r>
      <w:r w:rsidRPr="00C618D4">
        <w:rPr>
          <w:b w:val="0"/>
          <w:noProof/>
          <w:sz w:val="18"/>
        </w:rPr>
      </w:r>
      <w:r w:rsidRPr="00C618D4">
        <w:rPr>
          <w:b w:val="0"/>
          <w:noProof/>
          <w:sz w:val="18"/>
        </w:rPr>
        <w:fldChar w:fldCharType="separate"/>
      </w:r>
      <w:r w:rsidR="00195470">
        <w:rPr>
          <w:b w:val="0"/>
          <w:noProof/>
          <w:sz w:val="18"/>
        </w:rPr>
        <w:t>3</w:t>
      </w:r>
      <w:r w:rsidRPr="00C618D4">
        <w:rPr>
          <w:b w:val="0"/>
          <w:noProof/>
          <w:sz w:val="18"/>
        </w:rPr>
        <w:fldChar w:fldCharType="end"/>
      </w:r>
    </w:p>
    <w:p w:rsidR="002A7D4A" w:rsidRPr="00C618D4" w:rsidRDefault="002A7D4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18D4">
        <w:rPr>
          <w:noProof/>
        </w:rPr>
        <w:t>Part</w:t>
      </w:r>
      <w:r w:rsidR="00C618D4" w:rsidRPr="00C618D4">
        <w:rPr>
          <w:noProof/>
        </w:rPr>
        <w:t> </w:t>
      </w:r>
      <w:r w:rsidRPr="00C618D4">
        <w:rPr>
          <w:noProof/>
        </w:rPr>
        <w:t>1—Main amendments</w:t>
      </w:r>
      <w:r w:rsidRPr="00C618D4">
        <w:rPr>
          <w:noProof/>
          <w:sz w:val="18"/>
        </w:rPr>
        <w:tab/>
      </w:r>
      <w:r w:rsidRPr="00C618D4">
        <w:rPr>
          <w:noProof/>
          <w:sz w:val="18"/>
        </w:rPr>
        <w:fldChar w:fldCharType="begin"/>
      </w:r>
      <w:r w:rsidRPr="00C618D4">
        <w:rPr>
          <w:noProof/>
          <w:sz w:val="18"/>
        </w:rPr>
        <w:instrText xml:space="preserve"> PAGEREF _Toc415212002 \h </w:instrText>
      </w:r>
      <w:r w:rsidRPr="00C618D4">
        <w:rPr>
          <w:noProof/>
          <w:sz w:val="18"/>
        </w:rPr>
      </w:r>
      <w:r w:rsidRPr="00C618D4">
        <w:rPr>
          <w:noProof/>
          <w:sz w:val="18"/>
        </w:rPr>
        <w:fldChar w:fldCharType="separate"/>
      </w:r>
      <w:r w:rsidR="00195470">
        <w:rPr>
          <w:noProof/>
          <w:sz w:val="18"/>
        </w:rPr>
        <w:t>3</w:t>
      </w:r>
      <w:r w:rsidRPr="00C618D4">
        <w:rPr>
          <w:noProof/>
          <w:sz w:val="18"/>
        </w:rPr>
        <w:fldChar w:fldCharType="end"/>
      </w:r>
    </w:p>
    <w:p w:rsidR="002A7D4A" w:rsidRPr="00C618D4" w:rsidRDefault="002A7D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18D4">
        <w:rPr>
          <w:noProof/>
        </w:rPr>
        <w:t>Migration Regulations</w:t>
      </w:r>
      <w:r w:rsidR="00C618D4" w:rsidRPr="00C618D4">
        <w:rPr>
          <w:noProof/>
        </w:rPr>
        <w:t> </w:t>
      </w:r>
      <w:r w:rsidRPr="00C618D4">
        <w:rPr>
          <w:noProof/>
        </w:rPr>
        <w:t>1994</w:t>
      </w:r>
      <w:r w:rsidRPr="00C618D4">
        <w:rPr>
          <w:i w:val="0"/>
          <w:noProof/>
          <w:sz w:val="18"/>
        </w:rPr>
        <w:tab/>
      </w:r>
      <w:r w:rsidRPr="00C618D4">
        <w:rPr>
          <w:i w:val="0"/>
          <w:noProof/>
          <w:sz w:val="18"/>
        </w:rPr>
        <w:fldChar w:fldCharType="begin"/>
      </w:r>
      <w:r w:rsidRPr="00C618D4">
        <w:rPr>
          <w:i w:val="0"/>
          <w:noProof/>
          <w:sz w:val="18"/>
        </w:rPr>
        <w:instrText xml:space="preserve"> PAGEREF _Toc415212003 \h </w:instrText>
      </w:r>
      <w:r w:rsidRPr="00C618D4">
        <w:rPr>
          <w:i w:val="0"/>
          <w:noProof/>
          <w:sz w:val="18"/>
        </w:rPr>
      </w:r>
      <w:r w:rsidRPr="00C618D4">
        <w:rPr>
          <w:i w:val="0"/>
          <w:noProof/>
          <w:sz w:val="18"/>
        </w:rPr>
        <w:fldChar w:fldCharType="separate"/>
      </w:r>
      <w:r w:rsidR="00195470">
        <w:rPr>
          <w:i w:val="0"/>
          <w:noProof/>
          <w:sz w:val="18"/>
        </w:rPr>
        <w:t>3</w:t>
      </w:r>
      <w:r w:rsidRPr="00C618D4">
        <w:rPr>
          <w:i w:val="0"/>
          <w:noProof/>
          <w:sz w:val="18"/>
        </w:rPr>
        <w:fldChar w:fldCharType="end"/>
      </w:r>
    </w:p>
    <w:p w:rsidR="002A7D4A" w:rsidRPr="00C618D4" w:rsidRDefault="002A7D4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18D4">
        <w:rPr>
          <w:noProof/>
        </w:rPr>
        <w:t>Part</w:t>
      </w:r>
      <w:r w:rsidR="00C618D4" w:rsidRPr="00C618D4">
        <w:rPr>
          <w:noProof/>
        </w:rPr>
        <w:t> </w:t>
      </w:r>
      <w:r w:rsidRPr="00C618D4">
        <w:rPr>
          <w:noProof/>
        </w:rPr>
        <w:t>2—Other amendments</w:t>
      </w:r>
      <w:r w:rsidRPr="00C618D4">
        <w:rPr>
          <w:noProof/>
          <w:sz w:val="18"/>
        </w:rPr>
        <w:tab/>
      </w:r>
      <w:r w:rsidRPr="00C618D4">
        <w:rPr>
          <w:noProof/>
          <w:sz w:val="18"/>
        </w:rPr>
        <w:fldChar w:fldCharType="begin"/>
      </w:r>
      <w:r w:rsidRPr="00C618D4">
        <w:rPr>
          <w:noProof/>
          <w:sz w:val="18"/>
        </w:rPr>
        <w:instrText xml:space="preserve"> PAGEREF _Toc415212008 \h </w:instrText>
      </w:r>
      <w:r w:rsidRPr="00C618D4">
        <w:rPr>
          <w:noProof/>
          <w:sz w:val="18"/>
        </w:rPr>
      </w:r>
      <w:r w:rsidRPr="00C618D4">
        <w:rPr>
          <w:noProof/>
          <w:sz w:val="18"/>
        </w:rPr>
        <w:fldChar w:fldCharType="separate"/>
      </w:r>
      <w:r w:rsidR="00195470">
        <w:rPr>
          <w:noProof/>
          <w:sz w:val="18"/>
        </w:rPr>
        <w:t>7</w:t>
      </w:r>
      <w:r w:rsidRPr="00C618D4">
        <w:rPr>
          <w:noProof/>
          <w:sz w:val="18"/>
        </w:rPr>
        <w:fldChar w:fldCharType="end"/>
      </w:r>
    </w:p>
    <w:p w:rsidR="002A7D4A" w:rsidRPr="00C618D4" w:rsidRDefault="002A7D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18D4">
        <w:rPr>
          <w:noProof/>
        </w:rPr>
        <w:t>Migration Regulations</w:t>
      </w:r>
      <w:r w:rsidR="00C618D4" w:rsidRPr="00C618D4">
        <w:rPr>
          <w:noProof/>
        </w:rPr>
        <w:t> </w:t>
      </w:r>
      <w:r w:rsidRPr="00C618D4">
        <w:rPr>
          <w:noProof/>
        </w:rPr>
        <w:t>1994</w:t>
      </w:r>
      <w:r w:rsidRPr="00C618D4">
        <w:rPr>
          <w:i w:val="0"/>
          <w:noProof/>
          <w:sz w:val="18"/>
        </w:rPr>
        <w:tab/>
      </w:r>
      <w:r w:rsidRPr="00C618D4">
        <w:rPr>
          <w:i w:val="0"/>
          <w:noProof/>
          <w:sz w:val="18"/>
        </w:rPr>
        <w:fldChar w:fldCharType="begin"/>
      </w:r>
      <w:r w:rsidRPr="00C618D4">
        <w:rPr>
          <w:i w:val="0"/>
          <w:noProof/>
          <w:sz w:val="18"/>
        </w:rPr>
        <w:instrText xml:space="preserve"> PAGEREF _Toc415212009 \h </w:instrText>
      </w:r>
      <w:r w:rsidRPr="00C618D4">
        <w:rPr>
          <w:i w:val="0"/>
          <w:noProof/>
          <w:sz w:val="18"/>
        </w:rPr>
      </w:r>
      <w:r w:rsidRPr="00C618D4">
        <w:rPr>
          <w:i w:val="0"/>
          <w:noProof/>
          <w:sz w:val="18"/>
        </w:rPr>
        <w:fldChar w:fldCharType="separate"/>
      </w:r>
      <w:r w:rsidR="00195470">
        <w:rPr>
          <w:i w:val="0"/>
          <w:noProof/>
          <w:sz w:val="18"/>
        </w:rPr>
        <w:t>7</w:t>
      </w:r>
      <w:r w:rsidRPr="00C618D4">
        <w:rPr>
          <w:i w:val="0"/>
          <w:noProof/>
          <w:sz w:val="18"/>
        </w:rPr>
        <w:fldChar w:fldCharType="end"/>
      </w:r>
    </w:p>
    <w:p w:rsidR="002A7D4A" w:rsidRPr="00C618D4" w:rsidRDefault="002A7D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18D4">
        <w:rPr>
          <w:noProof/>
        </w:rPr>
        <w:t>Schedule</w:t>
      </w:r>
      <w:r w:rsidR="00C618D4" w:rsidRPr="00C618D4">
        <w:rPr>
          <w:noProof/>
        </w:rPr>
        <w:t> </w:t>
      </w:r>
      <w:r w:rsidRPr="00C618D4">
        <w:rPr>
          <w:noProof/>
        </w:rPr>
        <w:t>2—Amendments relating to the refugee framework</w:t>
      </w:r>
      <w:r w:rsidRPr="00C618D4">
        <w:rPr>
          <w:b w:val="0"/>
          <w:noProof/>
          <w:sz w:val="18"/>
        </w:rPr>
        <w:tab/>
      </w:r>
      <w:r w:rsidRPr="00C618D4">
        <w:rPr>
          <w:b w:val="0"/>
          <w:noProof/>
          <w:sz w:val="18"/>
        </w:rPr>
        <w:fldChar w:fldCharType="begin"/>
      </w:r>
      <w:r w:rsidRPr="00C618D4">
        <w:rPr>
          <w:b w:val="0"/>
          <w:noProof/>
          <w:sz w:val="18"/>
        </w:rPr>
        <w:instrText xml:space="preserve"> PAGEREF _Toc415212010 \h </w:instrText>
      </w:r>
      <w:r w:rsidRPr="00C618D4">
        <w:rPr>
          <w:b w:val="0"/>
          <w:noProof/>
          <w:sz w:val="18"/>
        </w:rPr>
      </w:r>
      <w:r w:rsidRPr="00C618D4">
        <w:rPr>
          <w:b w:val="0"/>
          <w:noProof/>
          <w:sz w:val="18"/>
        </w:rPr>
        <w:fldChar w:fldCharType="separate"/>
      </w:r>
      <w:r w:rsidR="00195470">
        <w:rPr>
          <w:b w:val="0"/>
          <w:noProof/>
          <w:sz w:val="18"/>
        </w:rPr>
        <w:t>8</w:t>
      </w:r>
      <w:r w:rsidRPr="00C618D4">
        <w:rPr>
          <w:b w:val="0"/>
          <w:noProof/>
          <w:sz w:val="18"/>
        </w:rPr>
        <w:fldChar w:fldCharType="end"/>
      </w:r>
    </w:p>
    <w:p w:rsidR="002A7D4A" w:rsidRPr="00C618D4" w:rsidRDefault="002A7D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18D4">
        <w:rPr>
          <w:noProof/>
        </w:rPr>
        <w:t>Migration Regulations</w:t>
      </w:r>
      <w:r w:rsidR="00C618D4" w:rsidRPr="00C618D4">
        <w:rPr>
          <w:noProof/>
        </w:rPr>
        <w:t> </w:t>
      </w:r>
      <w:r w:rsidRPr="00C618D4">
        <w:rPr>
          <w:noProof/>
        </w:rPr>
        <w:t>1994</w:t>
      </w:r>
      <w:r w:rsidRPr="00C618D4">
        <w:rPr>
          <w:i w:val="0"/>
          <w:noProof/>
          <w:sz w:val="18"/>
        </w:rPr>
        <w:tab/>
      </w:r>
      <w:r w:rsidRPr="00C618D4">
        <w:rPr>
          <w:i w:val="0"/>
          <w:noProof/>
          <w:sz w:val="18"/>
        </w:rPr>
        <w:fldChar w:fldCharType="begin"/>
      </w:r>
      <w:r w:rsidRPr="00C618D4">
        <w:rPr>
          <w:i w:val="0"/>
          <w:noProof/>
          <w:sz w:val="18"/>
        </w:rPr>
        <w:instrText xml:space="preserve"> PAGEREF _Toc415212011 \h </w:instrText>
      </w:r>
      <w:r w:rsidRPr="00C618D4">
        <w:rPr>
          <w:i w:val="0"/>
          <w:noProof/>
          <w:sz w:val="18"/>
        </w:rPr>
      </w:r>
      <w:r w:rsidRPr="00C618D4">
        <w:rPr>
          <w:i w:val="0"/>
          <w:noProof/>
          <w:sz w:val="18"/>
        </w:rPr>
        <w:fldChar w:fldCharType="separate"/>
      </w:r>
      <w:r w:rsidR="00195470">
        <w:rPr>
          <w:i w:val="0"/>
          <w:noProof/>
          <w:sz w:val="18"/>
        </w:rPr>
        <w:t>8</w:t>
      </w:r>
      <w:r w:rsidRPr="00C618D4">
        <w:rPr>
          <w:i w:val="0"/>
          <w:noProof/>
          <w:sz w:val="18"/>
        </w:rPr>
        <w:fldChar w:fldCharType="end"/>
      </w:r>
    </w:p>
    <w:p w:rsidR="002A7D4A" w:rsidRPr="00C618D4" w:rsidRDefault="002A7D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18D4">
        <w:rPr>
          <w:noProof/>
        </w:rPr>
        <w:t>Schedule</w:t>
      </w:r>
      <w:r w:rsidR="00C618D4" w:rsidRPr="00C618D4">
        <w:rPr>
          <w:noProof/>
        </w:rPr>
        <w:t> </w:t>
      </w:r>
      <w:r w:rsidRPr="00C618D4">
        <w:rPr>
          <w:noProof/>
        </w:rPr>
        <w:t>3—Safe haven enterprise visas</w:t>
      </w:r>
      <w:r w:rsidRPr="00C618D4">
        <w:rPr>
          <w:b w:val="0"/>
          <w:noProof/>
          <w:sz w:val="18"/>
        </w:rPr>
        <w:tab/>
      </w:r>
      <w:r w:rsidRPr="00C618D4">
        <w:rPr>
          <w:b w:val="0"/>
          <w:noProof/>
          <w:sz w:val="18"/>
        </w:rPr>
        <w:fldChar w:fldCharType="begin"/>
      </w:r>
      <w:r w:rsidRPr="00C618D4">
        <w:rPr>
          <w:b w:val="0"/>
          <w:noProof/>
          <w:sz w:val="18"/>
        </w:rPr>
        <w:instrText xml:space="preserve"> PAGEREF _Toc415212012 \h </w:instrText>
      </w:r>
      <w:r w:rsidRPr="00C618D4">
        <w:rPr>
          <w:b w:val="0"/>
          <w:noProof/>
          <w:sz w:val="18"/>
        </w:rPr>
      </w:r>
      <w:r w:rsidRPr="00C618D4">
        <w:rPr>
          <w:b w:val="0"/>
          <w:noProof/>
          <w:sz w:val="18"/>
        </w:rPr>
        <w:fldChar w:fldCharType="separate"/>
      </w:r>
      <w:r w:rsidR="00195470">
        <w:rPr>
          <w:b w:val="0"/>
          <w:noProof/>
          <w:sz w:val="18"/>
        </w:rPr>
        <w:t>10</w:t>
      </w:r>
      <w:r w:rsidRPr="00C618D4">
        <w:rPr>
          <w:b w:val="0"/>
          <w:noProof/>
          <w:sz w:val="18"/>
        </w:rPr>
        <w:fldChar w:fldCharType="end"/>
      </w:r>
    </w:p>
    <w:p w:rsidR="002A7D4A" w:rsidRPr="00C618D4" w:rsidRDefault="002A7D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18D4">
        <w:rPr>
          <w:noProof/>
        </w:rPr>
        <w:t>Migration Regulations</w:t>
      </w:r>
      <w:r w:rsidR="00C618D4" w:rsidRPr="00C618D4">
        <w:rPr>
          <w:noProof/>
        </w:rPr>
        <w:t> </w:t>
      </w:r>
      <w:r w:rsidRPr="00C618D4">
        <w:rPr>
          <w:noProof/>
        </w:rPr>
        <w:t>1994</w:t>
      </w:r>
      <w:r w:rsidRPr="00C618D4">
        <w:rPr>
          <w:i w:val="0"/>
          <w:noProof/>
          <w:sz w:val="18"/>
        </w:rPr>
        <w:tab/>
      </w:r>
      <w:r w:rsidRPr="00C618D4">
        <w:rPr>
          <w:i w:val="0"/>
          <w:noProof/>
          <w:sz w:val="18"/>
        </w:rPr>
        <w:fldChar w:fldCharType="begin"/>
      </w:r>
      <w:r w:rsidRPr="00C618D4">
        <w:rPr>
          <w:i w:val="0"/>
          <w:noProof/>
          <w:sz w:val="18"/>
        </w:rPr>
        <w:instrText xml:space="preserve"> PAGEREF _Toc415212013 \h </w:instrText>
      </w:r>
      <w:r w:rsidRPr="00C618D4">
        <w:rPr>
          <w:i w:val="0"/>
          <w:noProof/>
          <w:sz w:val="18"/>
        </w:rPr>
      </w:r>
      <w:r w:rsidRPr="00C618D4">
        <w:rPr>
          <w:i w:val="0"/>
          <w:noProof/>
          <w:sz w:val="18"/>
        </w:rPr>
        <w:fldChar w:fldCharType="separate"/>
      </w:r>
      <w:r w:rsidR="00195470">
        <w:rPr>
          <w:i w:val="0"/>
          <w:noProof/>
          <w:sz w:val="18"/>
        </w:rPr>
        <w:t>10</w:t>
      </w:r>
      <w:r w:rsidRPr="00C618D4">
        <w:rPr>
          <w:i w:val="0"/>
          <w:noProof/>
          <w:sz w:val="18"/>
        </w:rPr>
        <w:fldChar w:fldCharType="end"/>
      </w:r>
    </w:p>
    <w:p w:rsidR="002A7D4A" w:rsidRPr="00C618D4" w:rsidRDefault="002A7D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18D4">
        <w:rPr>
          <w:noProof/>
        </w:rPr>
        <w:t>Schedule</w:t>
      </w:r>
      <w:r w:rsidR="00C618D4" w:rsidRPr="00C618D4">
        <w:rPr>
          <w:noProof/>
        </w:rPr>
        <w:t> </w:t>
      </w:r>
      <w:r w:rsidRPr="00C618D4">
        <w:rPr>
          <w:noProof/>
        </w:rPr>
        <w:t>4—Application provisions</w:t>
      </w:r>
      <w:r w:rsidRPr="00C618D4">
        <w:rPr>
          <w:b w:val="0"/>
          <w:noProof/>
          <w:sz w:val="18"/>
        </w:rPr>
        <w:tab/>
      </w:r>
      <w:r w:rsidRPr="00C618D4">
        <w:rPr>
          <w:b w:val="0"/>
          <w:noProof/>
          <w:sz w:val="18"/>
        </w:rPr>
        <w:fldChar w:fldCharType="begin"/>
      </w:r>
      <w:r w:rsidRPr="00C618D4">
        <w:rPr>
          <w:b w:val="0"/>
          <w:noProof/>
          <w:sz w:val="18"/>
        </w:rPr>
        <w:instrText xml:space="preserve"> PAGEREF _Toc415212014 \h </w:instrText>
      </w:r>
      <w:r w:rsidRPr="00C618D4">
        <w:rPr>
          <w:b w:val="0"/>
          <w:noProof/>
          <w:sz w:val="18"/>
        </w:rPr>
      </w:r>
      <w:r w:rsidRPr="00C618D4">
        <w:rPr>
          <w:b w:val="0"/>
          <w:noProof/>
          <w:sz w:val="18"/>
        </w:rPr>
        <w:fldChar w:fldCharType="separate"/>
      </w:r>
      <w:r w:rsidR="00195470">
        <w:rPr>
          <w:b w:val="0"/>
          <w:noProof/>
          <w:sz w:val="18"/>
        </w:rPr>
        <w:t>14</w:t>
      </w:r>
      <w:r w:rsidRPr="00C618D4">
        <w:rPr>
          <w:b w:val="0"/>
          <w:noProof/>
          <w:sz w:val="18"/>
        </w:rPr>
        <w:fldChar w:fldCharType="end"/>
      </w:r>
    </w:p>
    <w:p w:rsidR="002A7D4A" w:rsidRPr="00C618D4" w:rsidRDefault="002A7D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18D4">
        <w:rPr>
          <w:noProof/>
        </w:rPr>
        <w:t>Migration Regulations</w:t>
      </w:r>
      <w:r w:rsidR="00C618D4" w:rsidRPr="00C618D4">
        <w:rPr>
          <w:noProof/>
        </w:rPr>
        <w:t> </w:t>
      </w:r>
      <w:r w:rsidRPr="00C618D4">
        <w:rPr>
          <w:noProof/>
        </w:rPr>
        <w:t>1994</w:t>
      </w:r>
      <w:r w:rsidRPr="00C618D4">
        <w:rPr>
          <w:i w:val="0"/>
          <w:noProof/>
          <w:sz w:val="18"/>
        </w:rPr>
        <w:tab/>
      </w:r>
      <w:r w:rsidRPr="00C618D4">
        <w:rPr>
          <w:i w:val="0"/>
          <w:noProof/>
          <w:sz w:val="18"/>
        </w:rPr>
        <w:fldChar w:fldCharType="begin"/>
      </w:r>
      <w:r w:rsidRPr="00C618D4">
        <w:rPr>
          <w:i w:val="0"/>
          <w:noProof/>
          <w:sz w:val="18"/>
        </w:rPr>
        <w:instrText xml:space="preserve"> PAGEREF _Toc415212015 \h </w:instrText>
      </w:r>
      <w:r w:rsidRPr="00C618D4">
        <w:rPr>
          <w:i w:val="0"/>
          <w:noProof/>
          <w:sz w:val="18"/>
        </w:rPr>
      </w:r>
      <w:r w:rsidRPr="00C618D4">
        <w:rPr>
          <w:i w:val="0"/>
          <w:noProof/>
          <w:sz w:val="18"/>
        </w:rPr>
        <w:fldChar w:fldCharType="separate"/>
      </w:r>
      <w:r w:rsidR="00195470">
        <w:rPr>
          <w:i w:val="0"/>
          <w:noProof/>
          <w:sz w:val="18"/>
        </w:rPr>
        <w:t>14</w:t>
      </w:r>
      <w:r w:rsidRPr="00C618D4">
        <w:rPr>
          <w:i w:val="0"/>
          <w:noProof/>
          <w:sz w:val="18"/>
        </w:rPr>
        <w:fldChar w:fldCharType="end"/>
      </w:r>
    </w:p>
    <w:p w:rsidR="00833416" w:rsidRPr="00C618D4" w:rsidRDefault="002A7D4A" w:rsidP="0048364F">
      <w:r w:rsidRPr="00C618D4">
        <w:fldChar w:fldCharType="end"/>
      </w:r>
    </w:p>
    <w:p w:rsidR="00722023" w:rsidRPr="00C618D4" w:rsidRDefault="00722023" w:rsidP="0048364F">
      <w:pPr>
        <w:sectPr w:rsidR="00722023" w:rsidRPr="00C618D4" w:rsidSect="009B5FA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C618D4" w:rsidRDefault="0048364F" w:rsidP="0048364F">
      <w:pPr>
        <w:pStyle w:val="ActHead5"/>
      </w:pPr>
      <w:bookmarkStart w:id="3" w:name="_Toc415211997"/>
      <w:r w:rsidRPr="00C618D4">
        <w:rPr>
          <w:rStyle w:val="CharSectno"/>
        </w:rPr>
        <w:lastRenderedPageBreak/>
        <w:t>1</w:t>
      </w:r>
      <w:r w:rsidRPr="00C618D4">
        <w:t xml:space="preserve">  </w:t>
      </w:r>
      <w:r w:rsidR="004F676E" w:rsidRPr="00C618D4">
        <w:t>Name</w:t>
      </w:r>
      <w:bookmarkEnd w:id="3"/>
    </w:p>
    <w:p w:rsidR="0048364F" w:rsidRPr="00C618D4" w:rsidRDefault="0048364F" w:rsidP="0048364F">
      <w:pPr>
        <w:pStyle w:val="subsection"/>
      </w:pPr>
      <w:r w:rsidRPr="00C618D4">
        <w:tab/>
      </w:r>
      <w:r w:rsidRPr="00C618D4">
        <w:tab/>
        <w:t>Th</w:t>
      </w:r>
      <w:r w:rsidR="00F24C35" w:rsidRPr="00C618D4">
        <w:t>is</w:t>
      </w:r>
      <w:r w:rsidRPr="00C618D4">
        <w:t xml:space="preserve"> </w:t>
      </w:r>
      <w:r w:rsidR="00F24C35" w:rsidRPr="00C618D4">
        <w:t>is</w:t>
      </w:r>
      <w:r w:rsidR="003801D0" w:rsidRPr="00C618D4">
        <w:t xml:space="preserve"> the</w:t>
      </w:r>
      <w:r w:rsidRPr="00C618D4">
        <w:t xml:space="preserve"> </w:t>
      </w:r>
      <w:bookmarkStart w:id="4" w:name="BKCheck15B_4"/>
      <w:bookmarkEnd w:id="4"/>
      <w:r w:rsidR="00CB0180" w:rsidRPr="00C618D4">
        <w:rPr>
          <w:i/>
        </w:rPr>
        <w:fldChar w:fldCharType="begin"/>
      </w:r>
      <w:r w:rsidR="00CB0180" w:rsidRPr="00C618D4">
        <w:rPr>
          <w:i/>
        </w:rPr>
        <w:instrText xml:space="preserve"> STYLEREF  ShortT </w:instrText>
      </w:r>
      <w:r w:rsidR="00CB0180" w:rsidRPr="00C618D4">
        <w:rPr>
          <w:i/>
        </w:rPr>
        <w:fldChar w:fldCharType="separate"/>
      </w:r>
      <w:r w:rsidR="00195470">
        <w:rPr>
          <w:i/>
          <w:noProof/>
        </w:rPr>
        <w:t>Migration Amendment (Resolving the Asylum Legacy Caseload) Regulation 2015</w:t>
      </w:r>
      <w:r w:rsidR="00CB0180" w:rsidRPr="00C618D4">
        <w:rPr>
          <w:i/>
        </w:rPr>
        <w:fldChar w:fldCharType="end"/>
      </w:r>
      <w:r w:rsidRPr="00C618D4">
        <w:t>.</w:t>
      </w:r>
    </w:p>
    <w:p w:rsidR="0048364F" w:rsidRPr="00C618D4" w:rsidRDefault="0048364F" w:rsidP="0048364F">
      <w:pPr>
        <w:pStyle w:val="ActHead5"/>
      </w:pPr>
      <w:bookmarkStart w:id="5" w:name="_Toc415211998"/>
      <w:r w:rsidRPr="00C618D4">
        <w:rPr>
          <w:rStyle w:val="CharSectno"/>
        </w:rPr>
        <w:t>2</w:t>
      </w:r>
      <w:r w:rsidRPr="00C618D4">
        <w:t xml:space="preserve">  Commencement</w:t>
      </w:r>
      <w:bookmarkEnd w:id="5"/>
    </w:p>
    <w:p w:rsidR="008E719D" w:rsidRPr="00C618D4" w:rsidRDefault="008E719D" w:rsidP="008E719D">
      <w:pPr>
        <w:pStyle w:val="subsection"/>
      </w:pPr>
      <w:bookmarkStart w:id="6" w:name="_GoBack"/>
      <w:r w:rsidRPr="00C618D4">
        <w:tab/>
      </w:r>
      <w:r w:rsidRPr="00C618D4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6"/>
    </w:p>
    <w:p w:rsidR="008E719D" w:rsidRPr="00C618D4" w:rsidRDefault="008E719D" w:rsidP="008E719D">
      <w:pPr>
        <w:pStyle w:val="Tabletext"/>
      </w:pPr>
    </w:p>
    <w:tbl>
      <w:tblPr>
        <w:tblW w:w="4854" w:type="pct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29"/>
        <w:gridCol w:w="4759"/>
      </w:tblGrid>
      <w:tr w:rsidR="008E719D" w:rsidRPr="00C618D4" w:rsidTr="00C618D4">
        <w:trPr>
          <w:tblHeader/>
        </w:trPr>
        <w:tc>
          <w:tcPr>
            <w:tcW w:w="708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E719D" w:rsidRPr="00C618D4" w:rsidRDefault="008E719D" w:rsidP="000C59BE">
            <w:pPr>
              <w:pStyle w:val="TableHeading"/>
            </w:pPr>
            <w:r w:rsidRPr="00C618D4">
              <w:t>Commencement information</w:t>
            </w:r>
          </w:p>
        </w:tc>
      </w:tr>
      <w:tr w:rsidR="008E719D" w:rsidRPr="00C618D4" w:rsidTr="00C618D4">
        <w:trPr>
          <w:tblHeader/>
        </w:trPr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E719D" w:rsidRPr="00C618D4" w:rsidRDefault="008E719D" w:rsidP="000C59BE">
            <w:pPr>
              <w:pStyle w:val="TableHeading"/>
            </w:pPr>
            <w:r w:rsidRPr="00C618D4">
              <w:t>Column 1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E719D" w:rsidRPr="00C618D4" w:rsidRDefault="008E719D" w:rsidP="000C59BE">
            <w:pPr>
              <w:pStyle w:val="TableHeading"/>
            </w:pPr>
            <w:r w:rsidRPr="00C618D4">
              <w:t>Column 2</w:t>
            </w:r>
          </w:p>
        </w:tc>
      </w:tr>
      <w:tr w:rsidR="008E719D" w:rsidRPr="00C618D4" w:rsidTr="00C618D4">
        <w:trPr>
          <w:tblHeader/>
        </w:trPr>
        <w:tc>
          <w:tcPr>
            <w:tcW w:w="232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E719D" w:rsidRPr="00C618D4" w:rsidRDefault="008E719D" w:rsidP="000C59BE">
            <w:pPr>
              <w:pStyle w:val="TableHeading"/>
            </w:pPr>
            <w:r w:rsidRPr="00C618D4">
              <w:t>Provisions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E719D" w:rsidRPr="00C618D4" w:rsidRDefault="008E719D" w:rsidP="000C59BE">
            <w:pPr>
              <w:pStyle w:val="TableHeading"/>
            </w:pPr>
            <w:r w:rsidRPr="00C618D4">
              <w:t>Commencement</w:t>
            </w:r>
          </w:p>
        </w:tc>
      </w:tr>
      <w:tr w:rsidR="008E719D" w:rsidRPr="00C618D4" w:rsidTr="00C618D4">
        <w:tc>
          <w:tcPr>
            <w:tcW w:w="232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E719D" w:rsidRPr="00C618D4" w:rsidRDefault="008E719D" w:rsidP="000C59BE">
            <w:pPr>
              <w:pStyle w:val="Tabletext"/>
            </w:pPr>
            <w:r w:rsidRPr="00C618D4">
              <w:t>1.  Sections</w:t>
            </w:r>
            <w:r w:rsidR="00C618D4" w:rsidRPr="00C618D4">
              <w:t> </w:t>
            </w:r>
            <w:r w:rsidRPr="00C618D4">
              <w:t>1 to 4 and anything in this instrument not elsewhere covered by this table</w:t>
            </w:r>
          </w:p>
        </w:tc>
        <w:tc>
          <w:tcPr>
            <w:tcW w:w="47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E719D" w:rsidRPr="00C618D4" w:rsidRDefault="008E719D" w:rsidP="000C59BE">
            <w:pPr>
              <w:pStyle w:val="Tabletext"/>
            </w:pPr>
            <w:r w:rsidRPr="00C618D4">
              <w:t>The day after this instrument is registered.</w:t>
            </w:r>
          </w:p>
        </w:tc>
      </w:tr>
      <w:tr w:rsidR="008E719D" w:rsidRPr="00C618D4" w:rsidTr="00C618D4">
        <w:tc>
          <w:tcPr>
            <w:tcW w:w="2329" w:type="dxa"/>
            <w:shd w:val="clear" w:color="auto" w:fill="auto"/>
            <w:hideMark/>
          </w:tcPr>
          <w:p w:rsidR="008E719D" w:rsidRPr="00C618D4" w:rsidRDefault="008E719D" w:rsidP="00AD1793">
            <w:pPr>
              <w:pStyle w:val="Tabletext"/>
            </w:pPr>
            <w:r w:rsidRPr="00C618D4">
              <w:t xml:space="preserve">2.  </w:t>
            </w:r>
            <w:r w:rsidR="00AD1793" w:rsidRPr="00C618D4">
              <w:t>S</w:t>
            </w:r>
            <w:r w:rsidRPr="00C618D4">
              <w:t>chedule</w:t>
            </w:r>
            <w:r w:rsidR="00C618D4" w:rsidRPr="00C618D4">
              <w:t> </w:t>
            </w:r>
            <w:r w:rsidR="00AD1793" w:rsidRPr="00C618D4">
              <w:t>1, Part</w:t>
            </w:r>
            <w:r w:rsidR="00C618D4" w:rsidRPr="00C618D4">
              <w:t> </w:t>
            </w:r>
            <w:r w:rsidR="00AD1793" w:rsidRPr="00C618D4">
              <w:t>1</w:t>
            </w:r>
          </w:p>
        </w:tc>
        <w:tc>
          <w:tcPr>
            <w:tcW w:w="4759" w:type="dxa"/>
            <w:shd w:val="clear" w:color="auto" w:fill="auto"/>
          </w:tcPr>
          <w:p w:rsidR="008E719D" w:rsidRPr="00C618D4" w:rsidRDefault="008E719D" w:rsidP="000C59BE">
            <w:pPr>
              <w:pStyle w:val="Tabletext"/>
            </w:pPr>
            <w:r w:rsidRPr="00C618D4">
              <w:t>The later of:</w:t>
            </w:r>
          </w:p>
          <w:p w:rsidR="008E719D" w:rsidRPr="00C618D4" w:rsidRDefault="008E719D" w:rsidP="000C59BE">
            <w:pPr>
              <w:pStyle w:val="Tablea"/>
            </w:pPr>
            <w:r w:rsidRPr="00C618D4">
              <w:t>(a) the</w:t>
            </w:r>
            <w:r w:rsidR="002F2000" w:rsidRPr="00C618D4">
              <w:t xml:space="preserve"> start of the </w:t>
            </w:r>
            <w:r w:rsidRPr="00C618D4">
              <w:t>day after this instrument is registered; and</w:t>
            </w:r>
          </w:p>
          <w:p w:rsidR="008E719D" w:rsidRPr="00C618D4" w:rsidRDefault="008E719D" w:rsidP="007D2E9B">
            <w:pPr>
              <w:pStyle w:val="Tablea"/>
            </w:pPr>
            <w:r w:rsidRPr="00C618D4">
              <w:t>(b)</w:t>
            </w:r>
            <w:r w:rsidRPr="00C618D4">
              <w:rPr>
                <w:b/>
                <w:i/>
              </w:rPr>
              <w:t xml:space="preserve"> </w:t>
            </w:r>
            <w:r w:rsidRPr="00C618D4">
              <w:t>the commencement of Schedule</w:t>
            </w:r>
            <w:r w:rsidR="00C618D4" w:rsidRPr="00C618D4">
              <w:t> </w:t>
            </w:r>
            <w:r w:rsidRPr="00C618D4">
              <w:t xml:space="preserve">4 to the </w:t>
            </w:r>
            <w:r w:rsidRPr="00C618D4">
              <w:rPr>
                <w:i/>
              </w:rPr>
              <w:t>Migration</w:t>
            </w:r>
            <w:r w:rsidRPr="00C618D4">
              <w:t xml:space="preserve"> </w:t>
            </w:r>
            <w:r w:rsidRPr="00C618D4">
              <w:rPr>
                <w:i/>
              </w:rPr>
              <w:t>and Maritime Powers Legislation Amendment (Resolving the Asylum Legacy Caseload) Act 2014</w:t>
            </w:r>
            <w:r w:rsidRPr="00C618D4">
              <w:t>.</w:t>
            </w:r>
          </w:p>
        </w:tc>
      </w:tr>
      <w:tr w:rsidR="002473A9" w:rsidRPr="00C618D4" w:rsidTr="00C618D4">
        <w:tc>
          <w:tcPr>
            <w:tcW w:w="2329" w:type="dxa"/>
            <w:shd w:val="clear" w:color="auto" w:fill="auto"/>
          </w:tcPr>
          <w:p w:rsidR="002473A9" w:rsidRPr="00C618D4" w:rsidRDefault="002473A9" w:rsidP="00AD1793">
            <w:pPr>
              <w:pStyle w:val="Tabletext"/>
            </w:pPr>
            <w:r w:rsidRPr="00C618D4">
              <w:t>3.  Schedule</w:t>
            </w:r>
            <w:r w:rsidR="00C618D4" w:rsidRPr="00C618D4">
              <w:t> </w:t>
            </w:r>
            <w:r w:rsidRPr="00C618D4">
              <w:t>1</w:t>
            </w:r>
            <w:r w:rsidR="00AD1793" w:rsidRPr="00C618D4">
              <w:t>, Part</w:t>
            </w:r>
            <w:r w:rsidR="00C618D4" w:rsidRPr="00C618D4">
              <w:t> </w:t>
            </w:r>
            <w:r w:rsidR="00AD1793" w:rsidRPr="00C618D4">
              <w:t>2</w:t>
            </w:r>
          </w:p>
        </w:tc>
        <w:tc>
          <w:tcPr>
            <w:tcW w:w="4759" w:type="dxa"/>
            <w:shd w:val="clear" w:color="auto" w:fill="auto"/>
          </w:tcPr>
          <w:p w:rsidR="002473A9" w:rsidRPr="00C618D4" w:rsidRDefault="002473A9" w:rsidP="00F93D88">
            <w:pPr>
              <w:pStyle w:val="Tabletext"/>
            </w:pPr>
            <w:r w:rsidRPr="00C618D4">
              <w:t>The later of:</w:t>
            </w:r>
          </w:p>
          <w:p w:rsidR="002473A9" w:rsidRPr="00C618D4" w:rsidRDefault="002473A9" w:rsidP="00F93D88">
            <w:pPr>
              <w:pStyle w:val="Tablea"/>
            </w:pPr>
            <w:r w:rsidRPr="00C618D4">
              <w:t>(a) the start of the day after this instrument is registered; and</w:t>
            </w:r>
          </w:p>
          <w:p w:rsidR="002473A9" w:rsidRPr="00C618D4" w:rsidRDefault="002473A9" w:rsidP="00F93D88">
            <w:pPr>
              <w:pStyle w:val="Tablea"/>
            </w:pPr>
            <w:r w:rsidRPr="00C618D4">
              <w:t>(b) the commencement of Schedule</w:t>
            </w:r>
            <w:r w:rsidR="00C618D4" w:rsidRPr="00C618D4">
              <w:t> </w:t>
            </w:r>
            <w:r w:rsidR="00E67888" w:rsidRPr="00C618D4">
              <w:t>4</w:t>
            </w:r>
            <w:r w:rsidRPr="00C618D4">
              <w:t xml:space="preserve"> to the </w:t>
            </w:r>
            <w:r w:rsidRPr="00C618D4">
              <w:rPr>
                <w:i/>
              </w:rPr>
              <w:t>Migration and Maritime Powers Legislation Amendment (Resolving the Asylum Legacy Caseload) Act 2014</w:t>
            </w:r>
            <w:r w:rsidRPr="00C618D4">
              <w:t>; and</w:t>
            </w:r>
          </w:p>
          <w:p w:rsidR="002473A9" w:rsidRPr="00C618D4" w:rsidRDefault="002473A9" w:rsidP="00F93D88">
            <w:pPr>
              <w:pStyle w:val="Tablea"/>
            </w:pPr>
            <w:r w:rsidRPr="00C618D4">
              <w:t>(c)</w:t>
            </w:r>
            <w:r w:rsidRPr="00C618D4">
              <w:rPr>
                <w:b/>
                <w:i/>
              </w:rPr>
              <w:t xml:space="preserve"> </w:t>
            </w:r>
            <w:r w:rsidRPr="00C618D4">
              <w:t>the commencement of Part</w:t>
            </w:r>
            <w:r w:rsidR="00C618D4" w:rsidRPr="00C618D4">
              <w:t> </w:t>
            </w:r>
            <w:r w:rsidRPr="00C618D4">
              <w:t>2 of Schedule</w:t>
            </w:r>
            <w:r w:rsidR="00C618D4" w:rsidRPr="00C618D4">
              <w:t> </w:t>
            </w:r>
            <w:r w:rsidRPr="00C618D4">
              <w:t xml:space="preserve">1 to the </w:t>
            </w:r>
            <w:r w:rsidRPr="00C618D4">
              <w:rPr>
                <w:i/>
              </w:rPr>
              <w:t>Migration</w:t>
            </w:r>
            <w:r w:rsidRPr="00C618D4">
              <w:t xml:space="preserve"> </w:t>
            </w:r>
            <w:r w:rsidRPr="00C618D4">
              <w:rPr>
                <w:i/>
              </w:rPr>
              <w:t>Amendment (Protection and Other Measures) Act 2015</w:t>
            </w:r>
            <w:r w:rsidRPr="00C618D4">
              <w:t>.</w:t>
            </w:r>
          </w:p>
          <w:p w:rsidR="002473A9" w:rsidRPr="00C618D4" w:rsidRDefault="002473A9" w:rsidP="00F93D88">
            <w:pPr>
              <w:pStyle w:val="Tabletext"/>
            </w:pPr>
            <w:r w:rsidRPr="00C618D4">
              <w:t xml:space="preserve">However, the provisions do not commence at all if the event mentioned in </w:t>
            </w:r>
            <w:r w:rsidR="00C618D4" w:rsidRPr="00C618D4">
              <w:t>paragraph (</w:t>
            </w:r>
            <w:r w:rsidRPr="00C618D4">
              <w:t>c) does not occur.</w:t>
            </w:r>
          </w:p>
        </w:tc>
      </w:tr>
      <w:tr w:rsidR="008E719D" w:rsidRPr="00C618D4" w:rsidTr="00C618D4">
        <w:tc>
          <w:tcPr>
            <w:tcW w:w="2329" w:type="dxa"/>
            <w:shd w:val="clear" w:color="auto" w:fill="auto"/>
          </w:tcPr>
          <w:p w:rsidR="008E719D" w:rsidRPr="00C618D4" w:rsidRDefault="002473A9" w:rsidP="004444EC">
            <w:pPr>
              <w:pStyle w:val="Tabletext"/>
            </w:pPr>
            <w:r w:rsidRPr="00C618D4">
              <w:t>4</w:t>
            </w:r>
            <w:r w:rsidR="008E719D" w:rsidRPr="00C618D4">
              <w:t>.  Schedule</w:t>
            </w:r>
            <w:r w:rsidR="00C618D4" w:rsidRPr="00C618D4">
              <w:t> </w:t>
            </w:r>
            <w:r w:rsidR="008E719D" w:rsidRPr="00C618D4">
              <w:t xml:space="preserve">2 </w:t>
            </w:r>
          </w:p>
        </w:tc>
        <w:tc>
          <w:tcPr>
            <w:tcW w:w="4759" w:type="dxa"/>
            <w:shd w:val="clear" w:color="auto" w:fill="auto"/>
          </w:tcPr>
          <w:p w:rsidR="008E719D" w:rsidRPr="00C618D4" w:rsidRDefault="008E719D" w:rsidP="008E719D">
            <w:pPr>
              <w:pStyle w:val="Tabletext"/>
            </w:pPr>
            <w:r w:rsidRPr="00C618D4">
              <w:t>The later of:</w:t>
            </w:r>
          </w:p>
          <w:p w:rsidR="008E719D" w:rsidRPr="00C618D4" w:rsidRDefault="008E719D" w:rsidP="008E719D">
            <w:pPr>
              <w:pStyle w:val="Tablea"/>
            </w:pPr>
            <w:r w:rsidRPr="00C618D4">
              <w:t xml:space="preserve">(a) the </w:t>
            </w:r>
            <w:r w:rsidR="002F2000" w:rsidRPr="00C618D4">
              <w:t xml:space="preserve">start of the </w:t>
            </w:r>
            <w:r w:rsidRPr="00C618D4">
              <w:t xml:space="preserve">day after this instrument is registered; </w:t>
            </w:r>
            <w:r w:rsidRPr="00C618D4">
              <w:lastRenderedPageBreak/>
              <w:t>and</w:t>
            </w:r>
          </w:p>
          <w:p w:rsidR="008E719D" w:rsidRPr="00C618D4" w:rsidRDefault="008E719D" w:rsidP="007D2E9B">
            <w:pPr>
              <w:pStyle w:val="Tablea"/>
            </w:pPr>
            <w:r w:rsidRPr="00C618D4">
              <w:t>(b)</w:t>
            </w:r>
            <w:r w:rsidRPr="00C618D4">
              <w:rPr>
                <w:b/>
                <w:i/>
              </w:rPr>
              <w:t xml:space="preserve"> </w:t>
            </w:r>
            <w:r w:rsidRPr="00C618D4">
              <w:t>the commencement of Part</w:t>
            </w:r>
            <w:r w:rsidR="00C618D4" w:rsidRPr="00C618D4">
              <w:t> </w:t>
            </w:r>
            <w:r w:rsidRPr="00C618D4">
              <w:t>2 of Schedule</w:t>
            </w:r>
            <w:r w:rsidR="00C618D4" w:rsidRPr="00C618D4">
              <w:t> </w:t>
            </w:r>
            <w:r w:rsidRPr="00C618D4">
              <w:t xml:space="preserve">5 to the </w:t>
            </w:r>
            <w:r w:rsidRPr="00C618D4">
              <w:rPr>
                <w:i/>
              </w:rPr>
              <w:t>Migration</w:t>
            </w:r>
            <w:r w:rsidRPr="00C618D4">
              <w:t xml:space="preserve"> </w:t>
            </w:r>
            <w:r w:rsidRPr="00C618D4">
              <w:rPr>
                <w:i/>
              </w:rPr>
              <w:t>and Maritime Powers Legislation Amendment (Resolving the Asylum Legacy Caseload) Act 2014</w:t>
            </w:r>
            <w:r w:rsidRPr="00C618D4">
              <w:t>.</w:t>
            </w:r>
          </w:p>
        </w:tc>
      </w:tr>
      <w:tr w:rsidR="007F4021" w:rsidRPr="00C618D4" w:rsidTr="00C618D4"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7F4021" w:rsidRPr="00C618D4" w:rsidRDefault="00FF0582" w:rsidP="00FF0582">
            <w:pPr>
              <w:pStyle w:val="Tabletext"/>
            </w:pPr>
            <w:r w:rsidRPr="00C618D4">
              <w:lastRenderedPageBreak/>
              <w:t>5</w:t>
            </w:r>
            <w:r w:rsidR="007F4021" w:rsidRPr="00C618D4">
              <w:t>.  Schedule</w:t>
            </w:r>
            <w:r w:rsidR="00C618D4" w:rsidRPr="00C618D4">
              <w:t> </w:t>
            </w:r>
            <w:r w:rsidRPr="00C618D4">
              <w:t>3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shd w:val="clear" w:color="auto" w:fill="auto"/>
          </w:tcPr>
          <w:p w:rsidR="007F4021" w:rsidRPr="00C618D4" w:rsidRDefault="007F4021" w:rsidP="007F4021">
            <w:pPr>
              <w:pStyle w:val="Tabletext"/>
            </w:pPr>
            <w:r w:rsidRPr="00C618D4">
              <w:t>The later of:</w:t>
            </w:r>
          </w:p>
          <w:p w:rsidR="007F4021" w:rsidRPr="00C618D4" w:rsidRDefault="007F4021" w:rsidP="007F4021">
            <w:pPr>
              <w:pStyle w:val="Tablea"/>
            </w:pPr>
            <w:r w:rsidRPr="00C618D4">
              <w:t xml:space="preserve">(a) the </w:t>
            </w:r>
            <w:r w:rsidR="00C6796C" w:rsidRPr="00C618D4">
              <w:t xml:space="preserve">start of the </w:t>
            </w:r>
            <w:r w:rsidRPr="00C618D4">
              <w:t>day after this instrument is registered; and</w:t>
            </w:r>
          </w:p>
          <w:p w:rsidR="007F4021" w:rsidRPr="00C618D4" w:rsidRDefault="007F4021" w:rsidP="007F4021">
            <w:pPr>
              <w:pStyle w:val="Tablea"/>
            </w:pPr>
            <w:r w:rsidRPr="00C618D4">
              <w:t>(b) immediately after the commencement of Division</w:t>
            </w:r>
            <w:r w:rsidR="00C618D4" w:rsidRPr="00C618D4">
              <w:t> </w:t>
            </w:r>
            <w:r w:rsidRPr="00C618D4">
              <w:t>2 of Part</w:t>
            </w:r>
            <w:r w:rsidR="00C618D4" w:rsidRPr="00C618D4">
              <w:t> </w:t>
            </w:r>
            <w:r w:rsidRPr="00C618D4">
              <w:t>1 of Schedule</w:t>
            </w:r>
            <w:r w:rsidR="00C618D4" w:rsidRPr="00C618D4">
              <w:t> </w:t>
            </w:r>
            <w:r w:rsidRPr="00C618D4">
              <w:t xml:space="preserve">2 to the </w:t>
            </w:r>
            <w:r w:rsidRPr="00C618D4">
              <w:rPr>
                <w:i/>
              </w:rPr>
              <w:t>Migration and Maritime Powers Legislation Amendment (Resolving the Asylum Legacy Caseload) Act 2014</w:t>
            </w:r>
            <w:r w:rsidRPr="00C618D4">
              <w:t>.</w:t>
            </w:r>
          </w:p>
        </w:tc>
      </w:tr>
      <w:tr w:rsidR="00A7086A" w:rsidRPr="00C618D4" w:rsidTr="00C618D4">
        <w:tc>
          <w:tcPr>
            <w:tcW w:w="2329" w:type="dxa"/>
            <w:tcBorders>
              <w:bottom w:val="single" w:sz="12" w:space="0" w:color="auto"/>
            </w:tcBorders>
            <w:shd w:val="clear" w:color="auto" w:fill="auto"/>
          </w:tcPr>
          <w:p w:rsidR="00A7086A" w:rsidRPr="00C618D4" w:rsidRDefault="00FF0582" w:rsidP="00FF0582">
            <w:pPr>
              <w:pStyle w:val="Tabletext"/>
            </w:pPr>
            <w:r w:rsidRPr="00C618D4">
              <w:t>6</w:t>
            </w:r>
            <w:r w:rsidR="002473A9" w:rsidRPr="00C618D4">
              <w:t>.  Schedule</w:t>
            </w:r>
            <w:r w:rsidR="00C618D4" w:rsidRPr="00C618D4">
              <w:t> </w:t>
            </w:r>
            <w:r w:rsidRPr="00C618D4">
              <w:t>4</w:t>
            </w:r>
          </w:p>
        </w:tc>
        <w:tc>
          <w:tcPr>
            <w:tcW w:w="4759" w:type="dxa"/>
            <w:tcBorders>
              <w:bottom w:val="single" w:sz="12" w:space="0" w:color="auto"/>
            </w:tcBorders>
            <w:shd w:val="clear" w:color="auto" w:fill="auto"/>
          </w:tcPr>
          <w:p w:rsidR="00C6796C" w:rsidRPr="00C618D4" w:rsidRDefault="00C6796C" w:rsidP="00C6796C">
            <w:pPr>
              <w:pStyle w:val="Tabletext"/>
            </w:pPr>
            <w:r w:rsidRPr="00C618D4">
              <w:t>The later of:</w:t>
            </w:r>
          </w:p>
          <w:p w:rsidR="00C6796C" w:rsidRPr="00C618D4" w:rsidRDefault="00C6796C" w:rsidP="00C6796C">
            <w:pPr>
              <w:pStyle w:val="Tablea"/>
            </w:pPr>
            <w:r w:rsidRPr="00C618D4">
              <w:t>(a) the start of the day after this instrument is registered; and</w:t>
            </w:r>
          </w:p>
          <w:p w:rsidR="00A7086A" w:rsidRPr="00C618D4" w:rsidRDefault="00C6796C" w:rsidP="00C6796C">
            <w:pPr>
              <w:pStyle w:val="Tabletext"/>
            </w:pPr>
            <w:r w:rsidRPr="00C618D4">
              <w:t>(b)</w:t>
            </w:r>
            <w:r w:rsidRPr="00C618D4">
              <w:rPr>
                <w:b/>
                <w:i/>
              </w:rPr>
              <w:t xml:space="preserve"> </w:t>
            </w:r>
            <w:r w:rsidRPr="00C618D4">
              <w:t>the commencement of Part</w:t>
            </w:r>
            <w:r w:rsidR="00C618D4" w:rsidRPr="00C618D4">
              <w:t> </w:t>
            </w:r>
            <w:r w:rsidRPr="00C618D4">
              <w:t>2 of Schedule</w:t>
            </w:r>
            <w:r w:rsidR="00C618D4" w:rsidRPr="00C618D4">
              <w:t> </w:t>
            </w:r>
            <w:r w:rsidRPr="00C618D4">
              <w:t xml:space="preserve">5 to the </w:t>
            </w:r>
            <w:r w:rsidRPr="00C618D4">
              <w:rPr>
                <w:i/>
              </w:rPr>
              <w:t>Migration</w:t>
            </w:r>
            <w:r w:rsidRPr="00C618D4">
              <w:t xml:space="preserve"> </w:t>
            </w:r>
            <w:r w:rsidRPr="00C618D4">
              <w:rPr>
                <w:i/>
              </w:rPr>
              <w:t>and Maritime Powers Legislation Amendment (Resolving the Asylum Legacy Caseload) Act 2014</w:t>
            </w:r>
            <w:bookmarkStart w:id="7" w:name="OPCCheckActTitles"/>
            <w:bookmarkEnd w:id="7"/>
            <w:r w:rsidRPr="00C618D4">
              <w:t>.</w:t>
            </w:r>
          </w:p>
        </w:tc>
      </w:tr>
    </w:tbl>
    <w:p w:rsidR="008E719D" w:rsidRPr="00C618D4" w:rsidRDefault="008E719D" w:rsidP="008E719D">
      <w:pPr>
        <w:pStyle w:val="Tabletext"/>
      </w:pPr>
    </w:p>
    <w:p w:rsidR="007769D4" w:rsidRPr="00C618D4" w:rsidRDefault="007769D4" w:rsidP="007769D4">
      <w:pPr>
        <w:pStyle w:val="ActHead5"/>
      </w:pPr>
      <w:bookmarkStart w:id="8" w:name="_Toc415211999"/>
      <w:r w:rsidRPr="00C618D4">
        <w:rPr>
          <w:rStyle w:val="CharSectno"/>
        </w:rPr>
        <w:t>3</w:t>
      </w:r>
      <w:r w:rsidRPr="00C618D4">
        <w:t xml:space="preserve">  Authority</w:t>
      </w:r>
      <w:bookmarkEnd w:id="8"/>
    </w:p>
    <w:p w:rsidR="007769D4" w:rsidRPr="00C618D4" w:rsidRDefault="007769D4" w:rsidP="007769D4">
      <w:pPr>
        <w:pStyle w:val="subsection"/>
      </w:pPr>
      <w:r w:rsidRPr="00C618D4">
        <w:tab/>
      </w:r>
      <w:r w:rsidRPr="00C618D4">
        <w:tab/>
      </w:r>
      <w:r w:rsidR="00AF0336" w:rsidRPr="00C618D4">
        <w:t xml:space="preserve">This </w:t>
      </w:r>
      <w:r w:rsidR="00011222" w:rsidRPr="00C618D4">
        <w:t>instrument</w:t>
      </w:r>
      <w:r w:rsidR="00AF0336" w:rsidRPr="00C618D4">
        <w:t xml:space="preserve"> is made under the </w:t>
      </w:r>
      <w:r w:rsidR="008E719D" w:rsidRPr="00C618D4">
        <w:rPr>
          <w:i/>
        </w:rPr>
        <w:t>Migration Act 1958</w:t>
      </w:r>
      <w:r w:rsidR="00D83D21" w:rsidRPr="00C618D4">
        <w:rPr>
          <w:i/>
        </w:rPr>
        <w:t>.</w:t>
      </w:r>
    </w:p>
    <w:p w:rsidR="00557C7A" w:rsidRPr="00C618D4" w:rsidRDefault="007769D4" w:rsidP="00557C7A">
      <w:pPr>
        <w:pStyle w:val="ActHead5"/>
      </w:pPr>
      <w:bookmarkStart w:id="9" w:name="_Toc415212000"/>
      <w:r w:rsidRPr="00C618D4">
        <w:rPr>
          <w:rStyle w:val="CharSectno"/>
        </w:rPr>
        <w:t>4</w:t>
      </w:r>
      <w:r w:rsidR="00557C7A" w:rsidRPr="00C618D4">
        <w:t xml:space="preserve">  </w:t>
      </w:r>
      <w:r w:rsidR="00B332B8" w:rsidRPr="00C618D4">
        <w:t>Schedules</w:t>
      </w:r>
      <w:bookmarkEnd w:id="9"/>
    </w:p>
    <w:p w:rsidR="00557C7A" w:rsidRPr="00C618D4" w:rsidRDefault="00557C7A" w:rsidP="00557C7A">
      <w:pPr>
        <w:pStyle w:val="subsection"/>
      </w:pPr>
      <w:r w:rsidRPr="00C618D4">
        <w:tab/>
      </w:r>
      <w:r w:rsidRPr="00C618D4">
        <w:tab/>
      </w:r>
      <w:r w:rsidR="00CD7ECB" w:rsidRPr="00C618D4">
        <w:t xml:space="preserve">Each instrument that is specified in a Schedule to </w:t>
      </w:r>
      <w:r w:rsidR="008E719D" w:rsidRPr="00C618D4">
        <w:t>this instrument</w:t>
      </w:r>
      <w:r w:rsidR="00C814F5" w:rsidRPr="00C618D4">
        <w:t xml:space="preserve"> </w:t>
      </w:r>
      <w:r w:rsidR="00CD7ECB" w:rsidRPr="00C618D4">
        <w:t xml:space="preserve">is amended or repealed as set out in the applicable items in the Schedule concerned, and any other item in a Schedule to </w:t>
      </w:r>
      <w:r w:rsidR="008E719D" w:rsidRPr="00C618D4">
        <w:t>this instrument</w:t>
      </w:r>
      <w:r w:rsidR="00CD7ECB" w:rsidRPr="00C618D4">
        <w:t xml:space="preserve"> has effect according to its terms.</w:t>
      </w:r>
    </w:p>
    <w:p w:rsidR="0048364F" w:rsidRPr="00C618D4" w:rsidRDefault="0048364F" w:rsidP="00FF3089">
      <w:pPr>
        <w:pStyle w:val="ActHead6"/>
        <w:pageBreakBefore/>
      </w:pPr>
      <w:bookmarkStart w:id="10" w:name="_Toc415212001"/>
      <w:bookmarkStart w:id="11" w:name="opcAmSched"/>
      <w:r w:rsidRPr="00C618D4">
        <w:rPr>
          <w:rStyle w:val="CharAmSchNo"/>
        </w:rPr>
        <w:lastRenderedPageBreak/>
        <w:t>Schedule</w:t>
      </w:r>
      <w:r w:rsidR="00C618D4" w:rsidRPr="00C618D4">
        <w:rPr>
          <w:rStyle w:val="CharAmSchNo"/>
        </w:rPr>
        <w:t> </w:t>
      </w:r>
      <w:r w:rsidRPr="00C618D4">
        <w:rPr>
          <w:rStyle w:val="CharAmSchNo"/>
        </w:rPr>
        <w:t>1</w:t>
      </w:r>
      <w:r w:rsidRPr="00C618D4">
        <w:t>—</w:t>
      </w:r>
      <w:r w:rsidR="00460499" w:rsidRPr="00C618D4">
        <w:rPr>
          <w:rStyle w:val="CharAmSchText"/>
        </w:rPr>
        <w:t>Amendments</w:t>
      </w:r>
      <w:r w:rsidR="008E719D" w:rsidRPr="00C618D4">
        <w:rPr>
          <w:rStyle w:val="CharAmSchText"/>
        </w:rPr>
        <w:t xml:space="preserve"> relating to </w:t>
      </w:r>
      <w:r w:rsidR="00FF3D46" w:rsidRPr="00C618D4">
        <w:rPr>
          <w:rStyle w:val="CharAmSchText"/>
        </w:rPr>
        <w:t xml:space="preserve">the </w:t>
      </w:r>
      <w:r w:rsidR="00C632E5" w:rsidRPr="00C618D4">
        <w:rPr>
          <w:rStyle w:val="CharAmSchText"/>
        </w:rPr>
        <w:t>fast track assessment process</w:t>
      </w:r>
      <w:bookmarkEnd w:id="10"/>
    </w:p>
    <w:p w:rsidR="00762870" w:rsidRPr="00C618D4" w:rsidRDefault="00AD1793" w:rsidP="00ED163F">
      <w:pPr>
        <w:pStyle w:val="ActHead7"/>
      </w:pPr>
      <w:bookmarkStart w:id="12" w:name="_Toc415212002"/>
      <w:bookmarkEnd w:id="11"/>
      <w:r w:rsidRPr="00C618D4">
        <w:rPr>
          <w:rStyle w:val="CharAmPartNo"/>
        </w:rPr>
        <w:t>Part</w:t>
      </w:r>
      <w:r w:rsidR="00C618D4" w:rsidRPr="00C618D4">
        <w:rPr>
          <w:rStyle w:val="CharAmPartNo"/>
        </w:rPr>
        <w:t> </w:t>
      </w:r>
      <w:r w:rsidRPr="00C618D4">
        <w:rPr>
          <w:rStyle w:val="CharAmPartNo"/>
        </w:rPr>
        <w:t>1</w:t>
      </w:r>
      <w:r w:rsidRPr="00C618D4">
        <w:t>—</w:t>
      </w:r>
      <w:r w:rsidRPr="00C618D4">
        <w:rPr>
          <w:rStyle w:val="CharAmPartText"/>
        </w:rPr>
        <w:t>Main amendments</w:t>
      </w:r>
      <w:bookmarkEnd w:id="12"/>
    </w:p>
    <w:p w:rsidR="008E719D" w:rsidRPr="00C618D4" w:rsidRDefault="008E719D" w:rsidP="008E719D">
      <w:pPr>
        <w:pStyle w:val="ActHead9"/>
      </w:pPr>
      <w:bookmarkStart w:id="13" w:name="_Toc415212003"/>
      <w:r w:rsidRPr="00C618D4">
        <w:t>Migration Regulations</w:t>
      </w:r>
      <w:r w:rsidR="00C618D4" w:rsidRPr="00C618D4">
        <w:t> </w:t>
      </w:r>
      <w:r w:rsidRPr="00C618D4">
        <w:t>1994</w:t>
      </w:r>
      <w:bookmarkEnd w:id="13"/>
    </w:p>
    <w:p w:rsidR="008E719D" w:rsidRPr="00C618D4" w:rsidRDefault="00820539" w:rsidP="00820539">
      <w:pPr>
        <w:pStyle w:val="ItemHead"/>
      </w:pPr>
      <w:r w:rsidRPr="00C618D4">
        <w:t xml:space="preserve">1  </w:t>
      </w:r>
      <w:r w:rsidR="008837B7" w:rsidRPr="00C618D4">
        <w:t>After sub</w:t>
      </w:r>
      <w:r w:rsidR="00C618D4">
        <w:noBreakHyphen/>
      </w:r>
      <w:r w:rsidR="008837B7" w:rsidRPr="00C618D4">
        <w:t>subparagraph</w:t>
      </w:r>
      <w:r w:rsidR="00C618D4" w:rsidRPr="00C618D4">
        <w:t> </w:t>
      </w:r>
      <w:r w:rsidR="008837B7" w:rsidRPr="00C618D4">
        <w:t>2.15(1)(b)(ii)(A)</w:t>
      </w:r>
    </w:p>
    <w:p w:rsidR="008837B7" w:rsidRPr="00C618D4" w:rsidRDefault="008837B7" w:rsidP="008837B7">
      <w:pPr>
        <w:pStyle w:val="Item"/>
      </w:pPr>
      <w:r w:rsidRPr="00C618D4">
        <w:t>Insert:</w:t>
      </w:r>
    </w:p>
    <w:p w:rsidR="008837B7" w:rsidRPr="00C618D4" w:rsidRDefault="008837B7" w:rsidP="008837B7">
      <w:pPr>
        <w:pStyle w:val="paragraphsub-sub"/>
      </w:pPr>
      <w:r w:rsidRPr="00C618D4">
        <w:tab/>
        <w:t>(B)</w:t>
      </w:r>
      <w:r w:rsidRPr="00C618D4">
        <w:tab/>
        <w:t>in the case of a fast track applicant—14 days after the applicant is notified of the invitation;</w:t>
      </w:r>
      <w:r w:rsidR="0068446F" w:rsidRPr="00C618D4">
        <w:t xml:space="preserve"> or</w:t>
      </w:r>
    </w:p>
    <w:p w:rsidR="0068446F" w:rsidRPr="00C618D4" w:rsidRDefault="0068446F" w:rsidP="0068446F">
      <w:pPr>
        <w:pStyle w:val="ItemHead"/>
      </w:pPr>
      <w:r w:rsidRPr="00C618D4">
        <w:t>2  After subparagraph</w:t>
      </w:r>
      <w:r w:rsidR="00C618D4" w:rsidRPr="00C618D4">
        <w:t> </w:t>
      </w:r>
      <w:r w:rsidRPr="00C618D4">
        <w:t>2.15(3)(b)(i)</w:t>
      </w:r>
    </w:p>
    <w:p w:rsidR="0068446F" w:rsidRPr="00C618D4" w:rsidRDefault="0068446F" w:rsidP="0068446F">
      <w:pPr>
        <w:pStyle w:val="Item"/>
      </w:pPr>
      <w:r w:rsidRPr="00C618D4">
        <w:t>Insert:</w:t>
      </w:r>
    </w:p>
    <w:p w:rsidR="0068446F" w:rsidRPr="00C618D4" w:rsidRDefault="0068446F" w:rsidP="00C538EE">
      <w:pPr>
        <w:pStyle w:val="paragraphsub"/>
      </w:pPr>
      <w:r w:rsidRPr="00C618D4">
        <w:tab/>
        <w:t>(ii)</w:t>
      </w:r>
      <w:r w:rsidRPr="00C618D4">
        <w:tab/>
        <w:t>in the case of a fast track applicant—14 days after the applicant is notified of the invitation; or</w:t>
      </w:r>
    </w:p>
    <w:p w:rsidR="0068446F" w:rsidRPr="00C618D4" w:rsidRDefault="002E7D91" w:rsidP="002E7D91">
      <w:pPr>
        <w:pStyle w:val="ItemHead"/>
      </w:pPr>
      <w:r w:rsidRPr="00C618D4">
        <w:t xml:space="preserve">3  </w:t>
      </w:r>
      <w:r w:rsidR="00F86A72" w:rsidRPr="00C618D4">
        <w:t>A</w:t>
      </w:r>
      <w:r w:rsidR="00B24CF4" w:rsidRPr="00C618D4">
        <w:t>t the end of Part</w:t>
      </w:r>
      <w:r w:rsidR="00C618D4" w:rsidRPr="00C618D4">
        <w:t> </w:t>
      </w:r>
      <w:r w:rsidR="00F86A72" w:rsidRPr="00C618D4">
        <w:t>4</w:t>
      </w:r>
    </w:p>
    <w:p w:rsidR="00F86A72" w:rsidRPr="00C618D4" w:rsidRDefault="00B24CF4" w:rsidP="00F86A72">
      <w:pPr>
        <w:pStyle w:val="Item"/>
      </w:pPr>
      <w:r w:rsidRPr="00C618D4">
        <w:t>Add</w:t>
      </w:r>
      <w:r w:rsidR="00F86A72" w:rsidRPr="00C618D4">
        <w:t>:</w:t>
      </w:r>
    </w:p>
    <w:p w:rsidR="00F86A72" w:rsidRPr="00C618D4" w:rsidRDefault="00F86A72" w:rsidP="00F86A72">
      <w:pPr>
        <w:pStyle w:val="ActHead3"/>
      </w:pPr>
      <w:bookmarkStart w:id="14" w:name="_Toc415212004"/>
      <w:r w:rsidRPr="00C618D4">
        <w:rPr>
          <w:rStyle w:val="CharDivNo"/>
        </w:rPr>
        <w:t>Division</w:t>
      </w:r>
      <w:r w:rsidR="00C618D4" w:rsidRPr="00C618D4">
        <w:rPr>
          <w:rStyle w:val="CharDivNo"/>
        </w:rPr>
        <w:t> </w:t>
      </w:r>
      <w:r w:rsidRPr="00C618D4">
        <w:rPr>
          <w:rStyle w:val="CharDivNo"/>
        </w:rPr>
        <w:t>4.</w:t>
      </w:r>
      <w:r w:rsidR="00B24CF4" w:rsidRPr="00C618D4">
        <w:rPr>
          <w:rStyle w:val="CharDivNo"/>
        </w:rPr>
        <w:t>4</w:t>
      </w:r>
      <w:r w:rsidRPr="00C618D4">
        <w:t>—</w:t>
      </w:r>
      <w:r w:rsidRPr="00C618D4">
        <w:rPr>
          <w:rStyle w:val="CharDivText"/>
        </w:rPr>
        <w:t xml:space="preserve">Review of protection visa decisions by </w:t>
      </w:r>
      <w:r w:rsidR="00C877CC" w:rsidRPr="00C618D4">
        <w:rPr>
          <w:rStyle w:val="CharDivText"/>
        </w:rPr>
        <w:t xml:space="preserve">the </w:t>
      </w:r>
      <w:r w:rsidRPr="00C618D4">
        <w:rPr>
          <w:rStyle w:val="CharDivText"/>
        </w:rPr>
        <w:t>Immigration Assessment Authority</w:t>
      </w:r>
      <w:bookmarkEnd w:id="14"/>
    </w:p>
    <w:p w:rsidR="00C44BF3" w:rsidRPr="00C618D4" w:rsidRDefault="00C44BF3" w:rsidP="00F86A72">
      <w:pPr>
        <w:pStyle w:val="ActHead5"/>
      </w:pPr>
      <w:bookmarkStart w:id="15" w:name="_Toc415212005"/>
      <w:r w:rsidRPr="00C618D4">
        <w:rPr>
          <w:rStyle w:val="CharSectno"/>
        </w:rPr>
        <w:t>4.41</w:t>
      </w:r>
      <w:r w:rsidRPr="00C618D4">
        <w:t xml:space="preserve">  New information not required to be given to referred applicant</w:t>
      </w:r>
      <w:bookmarkEnd w:id="15"/>
    </w:p>
    <w:p w:rsidR="00C44BF3" w:rsidRPr="00C618D4" w:rsidRDefault="00C44BF3" w:rsidP="00C44BF3">
      <w:pPr>
        <w:pStyle w:val="subsection"/>
      </w:pPr>
      <w:r w:rsidRPr="00C618D4">
        <w:tab/>
      </w:r>
      <w:r w:rsidRPr="00C618D4">
        <w:tab/>
        <w:t>For paragraph</w:t>
      </w:r>
      <w:r w:rsidR="00C618D4" w:rsidRPr="00C618D4">
        <w:t> </w:t>
      </w:r>
      <w:r w:rsidRPr="00C618D4">
        <w:t xml:space="preserve">473DE(3)(c) of the Act, new information given </w:t>
      </w:r>
      <w:r w:rsidR="00484ECA" w:rsidRPr="00C618D4">
        <w:t xml:space="preserve">to the Immigration Assessment Authority </w:t>
      </w:r>
      <w:r w:rsidRPr="00C618D4">
        <w:t xml:space="preserve">by </w:t>
      </w:r>
      <w:r w:rsidR="005E5694" w:rsidRPr="00C618D4">
        <w:t>a</w:t>
      </w:r>
      <w:r w:rsidRPr="00C618D4">
        <w:t xml:space="preserve"> </w:t>
      </w:r>
      <w:r w:rsidR="005E5694" w:rsidRPr="00C618D4">
        <w:t xml:space="preserve">referred </w:t>
      </w:r>
      <w:r w:rsidRPr="00C618D4">
        <w:t xml:space="preserve">applicant </w:t>
      </w:r>
      <w:r w:rsidR="005E5694" w:rsidRPr="00C618D4">
        <w:t xml:space="preserve">for the purposes of the Authority’s review of a fast track reviewable decision in relation to the referred applicant </w:t>
      </w:r>
      <w:r w:rsidRPr="00C618D4">
        <w:t>is prescribed.</w:t>
      </w:r>
    </w:p>
    <w:p w:rsidR="00F86A72" w:rsidRPr="00C618D4" w:rsidRDefault="00F86A72" w:rsidP="00F86A72">
      <w:pPr>
        <w:pStyle w:val="ActHead5"/>
      </w:pPr>
      <w:bookmarkStart w:id="16" w:name="_Toc415212006"/>
      <w:r w:rsidRPr="00C618D4">
        <w:rPr>
          <w:rStyle w:val="CharSectno"/>
        </w:rPr>
        <w:t>4.4</w:t>
      </w:r>
      <w:r w:rsidR="00C44BF3" w:rsidRPr="00C618D4">
        <w:rPr>
          <w:rStyle w:val="CharSectno"/>
        </w:rPr>
        <w:t>2</w:t>
      </w:r>
      <w:r w:rsidRPr="00C618D4">
        <w:t xml:space="preserve">  Periods for giving information or comments</w:t>
      </w:r>
      <w:bookmarkEnd w:id="16"/>
    </w:p>
    <w:p w:rsidR="00F86A72" w:rsidRPr="00C618D4" w:rsidRDefault="00F86A72" w:rsidP="00F86A72">
      <w:pPr>
        <w:pStyle w:val="subsection"/>
      </w:pPr>
      <w:r w:rsidRPr="00C618D4">
        <w:tab/>
      </w:r>
      <w:r w:rsidR="00684EC7" w:rsidRPr="00C618D4">
        <w:tab/>
      </w:r>
      <w:r w:rsidRPr="00C618D4">
        <w:t>For subsection</w:t>
      </w:r>
      <w:r w:rsidR="00C618D4" w:rsidRPr="00C618D4">
        <w:t> </w:t>
      </w:r>
      <w:r w:rsidRPr="00C618D4">
        <w:t xml:space="preserve">473DF(2) of the Act, the </w:t>
      </w:r>
      <w:r w:rsidR="00390D0B" w:rsidRPr="00C618D4">
        <w:t xml:space="preserve">period for giving information or comments in response to an invitation </w:t>
      </w:r>
      <w:r w:rsidR="00D25767" w:rsidRPr="00C618D4">
        <w:t>given by</w:t>
      </w:r>
      <w:r w:rsidR="00390D0B" w:rsidRPr="00C618D4">
        <w:t xml:space="preserve"> the Immigration Assessment Authority </w:t>
      </w:r>
      <w:r w:rsidR="00D25767" w:rsidRPr="00C618D4">
        <w:t xml:space="preserve">to a referred applicant </w:t>
      </w:r>
      <w:r w:rsidR="00C877CC" w:rsidRPr="00C618D4">
        <w:t>is</w:t>
      </w:r>
      <w:r w:rsidR="00390D0B" w:rsidRPr="00C618D4">
        <w:t xml:space="preserve"> as follows:</w:t>
      </w:r>
    </w:p>
    <w:p w:rsidR="00684EC7" w:rsidRPr="00C618D4" w:rsidRDefault="00390D0B" w:rsidP="00390D0B">
      <w:pPr>
        <w:pStyle w:val="paragraph"/>
      </w:pPr>
      <w:r w:rsidRPr="00C618D4">
        <w:lastRenderedPageBreak/>
        <w:tab/>
        <w:t>(a)</w:t>
      </w:r>
      <w:r w:rsidRPr="00C618D4">
        <w:tab/>
        <w:t>f</w:t>
      </w:r>
      <w:r w:rsidR="00465E00" w:rsidRPr="00C618D4">
        <w:t xml:space="preserve">or </w:t>
      </w:r>
      <w:r w:rsidR="00684EC7" w:rsidRPr="00C618D4">
        <w:t xml:space="preserve">a referred applicant in immigration detention—3 working days </w:t>
      </w:r>
      <w:r w:rsidR="00465E00" w:rsidRPr="00C618D4">
        <w:t xml:space="preserve">after the </w:t>
      </w:r>
      <w:r w:rsidR="00D25767" w:rsidRPr="00C618D4">
        <w:t xml:space="preserve">referred </w:t>
      </w:r>
      <w:r w:rsidR="00465E00" w:rsidRPr="00C618D4">
        <w:t xml:space="preserve">applicant is notified of the </w:t>
      </w:r>
      <w:r w:rsidR="00D25767" w:rsidRPr="00C618D4">
        <w:t>invitation</w:t>
      </w:r>
      <w:r w:rsidR="00684EC7" w:rsidRPr="00C618D4">
        <w:t>; and</w:t>
      </w:r>
    </w:p>
    <w:p w:rsidR="00684EC7" w:rsidRPr="00C618D4" w:rsidRDefault="00684EC7" w:rsidP="00390D0B">
      <w:pPr>
        <w:pStyle w:val="paragraph"/>
      </w:pPr>
      <w:r w:rsidRPr="00C618D4">
        <w:tab/>
        <w:t>(b)</w:t>
      </w:r>
      <w:r w:rsidRPr="00C618D4">
        <w:tab/>
        <w:t>in any other case:</w:t>
      </w:r>
    </w:p>
    <w:p w:rsidR="00390D0B" w:rsidRPr="00C618D4" w:rsidRDefault="00684EC7" w:rsidP="00390D0B">
      <w:pPr>
        <w:pStyle w:val="paragraphsub"/>
      </w:pPr>
      <w:r w:rsidRPr="00C618D4">
        <w:tab/>
      </w:r>
      <w:r w:rsidR="00390D0B" w:rsidRPr="00C618D4">
        <w:t>(i)</w:t>
      </w:r>
      <w:r w:rsidR="00390D0B" w:rsidRPr="00C618D4">
        <w:tab/>
        <w:t>for a</w:t>
      </w:r>
      <w:r w:rsidR="00C877CC" w:rsidRPr="00C618D4">
        <w:t>n oral</w:t>
      </w:r>
      <w:r w:rsidR="00390D0B" w:rsidRPr="00C618D4">
        <w:t xml:space="preserve"> invitation </w:t>
      </w:r>
      <w:r w:rsidRPr="00C618D4">
        <w:t>to give information or comments in writing</w:t>
      </w:r>
      <w:r w:rsidR="00390D0B" w:rsidRPr="00C618D4">
        <w:t xml:space="preserve">—7 days </w:t>
      </w:r>
      <w:r w:rsidR="00465E00" w:rsidRPr="00C618D4">
        <w:t>after the</w:t>
      </w:r>
      <w:r w:rsidR="00D25767" w:rsidRPr="00C618D4">
        <w:t xml:space="preserve"> </w:t>
      </w:r>
      <w:r w:rsidR="000B4FD2" w:rsidRPr="00C618D4">
        <w:t>invitation is given</w:t>
      </w:r>
      <w:r w:rsidR="00390D0B" w:rsidRPr="00C618D4">
        <w:t>; and</w:t>
      </w:r>
    </w:p>
    <w:p w:rsidR="000B4FD2" w:rsidRPr="00C618D4" w:rsidRDefault="000B4FD2" w:rsidP="00390D0B">
      <w:pPr>
        <w:pStyle w:val="paragraphsub"/>
      </w:pPr>
      <w:r w:rsidRPr="00C618D4">
        <w:tab/>
        <w:t>(ii)</w:t>
      </w:r>
      <w:r w:rsidRPr="00C618D4">
        <w:tab/>
        <w:t>for an oral invitation to give information or comments at an interview—14 days after invitation is given; and</w:t>
      </w:r>
    </w:p>
    <w:p w:rsidR="00DE17D0" w:rsidRPr="00C618D4" w:rsidRDefault="00390D0B" w:rsidP="00684EC7">
      <w:pPr>
        <w:pStyle w:val="paragraphsub"/>
      </w:pPr>
      <w:r w:rsidRPr="00C618D4">
        <w:tab/>
        <w:t>(</w:t>
      </w:r>
      <w:r w:rsidR="000B4FD2" w:rsidRPr="00C618D4">
        <w:t>i</w:t>
      </w:r>
      <w:r w:rsidRPr="00C618D4">
        <w:t>ii)</w:t>
      </w:r>
      <w:r w:rsidRPr="00C618D4">
        <w:tab/>
        <w:t>for a</w:t>
      </w:r>
      <w:r w:rsidR="00C877CC" w:rsidRPr="00C618D4">
        <w:t xml:space="preserve"> written </w:t>
      </w:r>
      <w:r w:rsidRPr="00C618D4">
        <w:t xml:space="preserve">invitation </w:t>
      </w:r>
      <w:r w:rsidR="00684EC7" w:rsidRPr="00C618D4">
        <w:t>to give information or comments in writing</w:t>
      </w:r>
      <w:r w:rsidR="000B4FD2" w:rsidRPr="00C618D4">
        <w:t xml:space="preserve"> or at an interview</w:t>
      </w:r>
      <w:r w:rsidRPr="00C618D4">
        <w:t xml:space="preserve">—14 days </w:t>
      </w:r>
      <w:r w:rsidR="00465E00" w:rsidRPr="00C618D4">
        <w:t xml:space="preserve">after the </w:t>
      </w:r>
      <w:r w:rsidR="00D25767" w:rsidRPr="00C618D4">
        <w:t xml:space="preserve">referred </w:t>
      </w:r>
      <w:r w:rsidR="00465E00" w:rsidRPr="00C618D4">
        <w:t>applicant is notified of t</w:t>
      </w:r>
      <w:r w:rsidRPr="00C618D4">
        <w:t>he invitation</w:t>
      </w:r>
      <w:r w:rsidR="000B4FD2" w:rsidRPr="00C618D4">
        <w:t>.</w:t>
      </w:r>
    </w:p>
    <w:p w:rsidR="00534F2A" w:rsidRPr="00C618D4" w:rsidRDefault="00534F2A" w:rsidP="00534F2A">
      <w:pPr>
        <w:pStyle w:val="ActHead5"/>
      </w:pPr>
      <w:bookmarkStart w:id="17" w:name="_Toc415212007"/>
      <w:r w:rsidRPr="00C618D4">
        <w:rPr>
          <w:rStyle w:val="CharSectno"/>
        </w:rPr>
        <w:t>4.4</w:t>
      </w:r>
      <w:r w:rsidR="008B2F6C" w:rsidRPr="00C618D4">
        <w:rPr>
          <w:rStyle w:val="CharSectno"/>
        </w:rPr>
        <w:t>3</w:t>
      </w:r>
      <w:r w:rsidRPr="00C618D4">
        <w:t xml:space="preserve">  </w:t>
      </w:r>
      <w:r w:rsidR="00BE27F9" w:rsidRPr="00C618D4">
        <w:t>Permissible directions on remittal</w:t>
      </w:r>
      <w:bookmarkEnd w:id="17"/>
    </w:p>
    <w:p w:rsidR="000607BE" w:rsidRPr="00C618D4" w:rsidRDefault="000607BE" w:rsidP="000607BE">
      <w:pPr>
        <w:pStyle w:val="subsection"/>
      </w:pPr>
      <w:r w:rsidRPr="00C618D4">
        <w:tab/>
        <w:t>(1)</w:t>
      </w:r>
      <w:r w:rsidRPr="00C618D4">
        <w:tab/>
        <w:t>For paragraph</w:t>
      </w:r>
      <w:r w:rsidR="00C618D4" w:rsidRPr="00C618D4">
        <w:t> </w:t>
      </w:r>
      <w:r w:rsidRPr="00C618D4">
        <w:t xml:space="preserve">473CC(2)(b) of the Act, </w:t>
      </w:r>
      <w:r w:rsidR="00105838" w:rsidRPr="00C618D4">
        <w:t xml:space="preserve">this regulation </w:t>
      </w:r>
      <w:r w:rsidR="0037308D" w:rsidRPr="00C618D4">
        <w:t>prescribes</w:t>
      </w:r>
      <w:r w:rsidR="00105838" w:rsidRPr="00C618D4">
        <w:t xml:space="preserve"> directions that the </w:t>
      </w:r>
      <w:r w:rsidRPr="00C618D4">
        <w:t>Immigration Assessment Authority is permitted to make</w:t>
      </w:r>
      <w:r w:rsidR="00105838" w:rsidRPr="00C618D4">
        <w:t xml:space="preserve"> in relation to the review of a fast track reviewable decision in re</w:t>
      </w:r>
      <w:r w:rsidR="00BE27F9" w:rsidRPr="00C618D4">
        <w:t>spect of a</w:t>
      </w:r>
      <w:r w:rsidR="00105838" w:rsidRPr="00C618D4">
        <w:t xml:space="preserve"> protection visa application by a referred applicant</w:t>
      </w:r>
      <w:r w:rsidRPr="00C618D4">
        <w:t>.</w:t>
      </w:r>
    </w:p>
    <w:p w:rsidR="008B368D" w:rsidRPr="00C618D4" w:rsidRDefault="002F72C6" w:rsidP="002F72C6">
      <w:pPr>
        <w:pStyle w:val="subsection"/>
      </w:pPr>
      <w:r w:rsidRPr="00C618D4">
        <w:tab/>
        <w:t>(2)</w:t>
      </w:r>
      <w:r w:rsidRPr="00C618D4">
        <w:tab/>
      </w:r>
      <w:r w:rsidR="008B368D" w:rsidRPr="00C618D4">
        <w:t>It is a permissible direction that:</w:t>
      </w:r>
    </w:p>
    <w:p w:rsidR="002F72C6" w:rsidRPr="00C618D4" w:rsidRDefault="008B368D" w:rsidP="008B368D">
      <w:pPr>
        <w:pStyle w:val="paragraph"/>
      </w:pPr>
      <w:r w:rsidRPr="00C618D4">
        <w:tab/>
        <w:t>(a)</w:t>
      </w:r>
      <w:r w:rsidRPr="00C618D4">
        <w:tab/>
      </w:r>
      <w:r w:rsidR="002F72C6" w:rsidRPr="00C618D4">
        <w:t>the referred applicant must be taken to have satisfied the criteria for the visa that are specified in the direction</w:t>
      </w:r>
      <w:r w:rsidRPr="00C618D4">
        <w:t>; or</w:t>
      </w:r>
    </w:p>
    <w:p w:rsidR="000607BE" w:rsidRPr="00C618D4" w:rsidRDefault="008B368D" w:rsidP="008B368D">
      <w:pPr>
        <w:pStyle w:val="paragraph"/>
      </w:pPr>
      <w:r w:rsidRPr="00C618D4">
        <w:tab/>
        <w:t>(b)</w:t>
      </w:r>
      <w:r w:rsidRPr="00C618D4">
        <w:tab/>
      </w:r>
      <w:r w:rsidR="000607BE" w:rsidRPr="00C618D4">
        <w:t xml:space="preserve">the </w:t>
      </w:r>
      <w:r w:rsidR="00105838" w:rsidRPr="00C618D4">
        <w:t xml:space="preserve">referred </w:t>
      </w:r>
      <w:r w:rsidR="000607BE" w:rsidRPr="00C618D4">
        <w:t xml:space="preserve">applicant </w:t>
      </w:r>
      <w:r w:rsidR="008E24C2" w:rsidRPr="00C618D4">
        <w:t>is a refugee within the meaning of subsection</w:t>
      </w:r>
      <w:r w:rsidR="00C618D4" w:rsidRPr="00C618D4">
        <w:t> </w:t>
      </w:r>
      <w:r w:rsidR="008E24C2" w:rsidRPr="00C618D4">
        <w:t>5H(1) of the Act</w:t>
      </w:r>
      <w:r w:rsidRPr="00C618D4">
        <w:t>; or</w:t>
      </w:r>
    </w:p>
    <w:p w:rsidR="00B94451" w:rsidRPr="00C618D4" w:rsidRDefault="008B368D" w:rsidP="008B368D">
      <w:pPr>
        <w:pStyle w:val="paragraph"/>
      </w:pPr>
      <w:r w:rsidRPr="00C618D4">
        <w:tab/>
        <w:t>(c)</w:t>
      </w:r>
      <w:r w:rsidRPr="00C618D4">
        <w:tab/>
      </w:r>
      <w:r w:rsidR="00B94451" w:rsidRPr="00C618D4">
        <w:t>subsection</w:t>
      </w:r>
      <w:r w:rsidR="00C618D4" w:rsidRPr="00C618D4">
        <w:t> </w:t>
      </w:r>
      <w:r w:rsidR="00B94451" w:rsidRPr="00C618D4">
        <w:t>36(3) of the Act does not apply to the referred applicant</w:t>
      </w:r>
      <w:r w:rsidRPr="00C618D4">
        <w:t>; or</w:t>
      </w:r>
    </w:p>
    <w:p w:rsidR="008B368D" w:rsidRPr="00C618D4" w:rsidRDefault="008B368D" w:rsidP="008B368D">
      <w:pPr>
        <w:pStyle w:val="paragraph"/>
      </w:pPr>
      <w:r w:rsidRPr="00C618D4">
        <w:tab/>
        <w:t>(d)</w:t>
      </w:r>
      <w:r w:rsidRPr="00C618D4">
        <w:tab/>
      </w:r>
      <w:r w:rsidR="00391437" w:rsidRPr="00C618D4">
        <w:t xml:space="preserve">the </w:t>
      </w:r>
      <w:r w:rsidR="00105838" w:rsidRPr="00C618D4">
        <w:t xml:space="preserve">referred </w:t>
      </w:r>
      <w:r w:rsidR="00391437" w:rsidRPr="00C618D4">
        <w:t xml:space="preserve">applicant satisfies each matter, specified in the direction, that relates to establishing whether </w:t>
      </w:r>
      <w:r w:rsidR="00BE27F9" w:rsidRPr="00C618D4">
        <w:t xml:space="preserve">the referred applicant is a person to whom Australia has protection obligations because </w:t>
      </w:r>
      <w:r w:rsidR="00C60FBE" w:rsidRPr="00C618D4">
        <w:t>the criterion mentioned in paragraph</w:t>
      </w:r>
      <w:r w:rsidR="00C618D4" w:rsidRPr="00C618D4">
        <w:t> </w:t>
      </w:r>
      <w:r w:rsidR="00C60FBE" w:rsidRPr="00C618D4">
        <w:t>36(2)(aa) of the Act is satisfied in relation to the applicant</w:t>
      </w:r>
      <w:r w:rsidRPr="00C618D4">
        <w:t>.</w:t>
      </w:r>
    </w:p>
    <w:p w:rsidR="008E24C2" w:rsidRPr="00C618D4" w:rsidRDefault="000971F9" w:rsidP="001F32C5">
      <w:pPr>
        <w:pStyle w:val="subsection"/>
      </w:pPr>
      <w:r w:rsidRPr="00C618D4">
        <w:tab/>
        <w:t>(</w:t>
      </w:r>
      <w:r w:rsidR="008B368D" w:rsidRPr="00C618D4">
        <w:t>3</w:t>
      </w:r>
      <w:r w:rsidRPr="00C618D4">
        <w:t>)</w:t>
      </w:r>
      <w:r w:rsidRPr="00C618D4">
        <w:tab/>
        <w:t>However, it is not a permissible direction that</w:t>
      </w:r>
      <w:r w:rsidR="001F32C5" w:rsidRPr="00C618D4">
        <w:t>:</w:t>
      </w:r>
    </w:p>
    <w:p w:rsidR="00267F8C" w:rsidRPr="00C618D4" w:rsidRDefault="001F32C5" w:rsidP="009D5EC6">
      <w:pPr>
        <w:pStyle w:val="paragraph"/>
      </w:pPr>
      <w:r w:rsidRPr="00C618D4">
        <w:tab/>
      </w:r>
      <w:r w:rsidR="00267F8C" w:rsidRPr="00C618D4">
        <w:t>(</w:t>
      </w:r>
      <w:r w:rsidR="009D5EC6" w:rsidRPr="00C618D4">
        <w:t>a</w:t>
      </w:r>
      <w:r w:rsidR="00267F8C" w:rsidRPr="00C618D4">
        <w:t>)</w:t>
      </w:r>
      <w:r w:rsidR="00267F8C" w:rsidRPr="00C618D4">
        <w:tab/>
        <w:t>subsection</w:t>
      </w:r>
      <w:r w:rsidR="00C618D4" w:rsidRPr="00C618D4">
        <w:t> </w:t>
      </w:r>
      <w:r w:rsidR="00267F8C" w:rsidRPr="00C618D4">
        <w:t xml:space="preserve">5H(1) of the Act applies to the </w:t>
      </w:r>
      <w:r w:rsidR="002F72C6" w:rsidRPr="00C618D4">
        <w:t xml:space="preserve">referred </w:t>
      </w:r>
      <w:r w:rsidR="00267F8C" w:rsidRPr="00C618D4">
        <w:t>applicant; or</w:t>
      </w:r>
    </w:p>
    <w:p w:rsidR="00267F8C" w:rsidRPr="00C618D4" w:rsidRDefault="00267F8C" w:rsidP="00267F8C">
      <w:pPr>
        <w:pStyle w:val="paragraph"/>
      </w:pPr>
      <w:r w:rsidRPr="00C618D4">
        <w:tab/>
        <w:t>(</w:t>
      </w:r>
      <w:r w:rsidR="009D5EC6" w:rsidRPr="00C618D4">
        <w:t>b</w:t>
      </w:r>
      <w:r w:rsidRPr="00C618D4">
        <w:t>)</w:t>
      </w:r>
      <w:r w:rsidRPr="00C618D4">
        <w:tab/>
        <w:t>subsection</w:t>
      </w:r>
      <w:r w:rsidR="00C618D4" w:rsidRPr="00C618D4">
        <w:t> </w:t>
      </w:r>
      <w:r w:rsidRPr="00C618D4">
        <w:t>5H(</w:t>
      </w:r>
      <w:r w:rsidR="00946A8A" w:rsidRPr="00C618D4">
        <w:t>1</w:t>
      </w:r>
      <w:r w:rsidRPr="00C618D4">
        <w:t xml:space="preserve">) does not apply to the </w:t>
      </w:r>
      <w:r w:rsidR="002F72C6" w:rsidRPr="00C618D4">
        <w:t xml:space="preserve">referred </w:t>
      </w:r>
      <w:r w:rsidRPr="00C618D4">
        <w:t>applicant because of subsection</w:t>
      </w:r>
      <w:r w:rsidR="00C618D4" w:rsidRPr="00C618D4">
        <w:t> </w:t>
      </w:r>
      <w:r w:rsidRPr="00C618D4">
        <w:t>5H(2); or</w:t>
      </w:r>
    </w:p>
    <w:p w:rsidR="001F32C5" w:rsidRPr="00C618D4" w:rsidRDefault="001F32C5" w:rsidP="007C7C59">
      <w:pPr>
        <w:pStyle w:val="paragraph"/>
      </w:pPr>
      <w:r w:rsidRPr="00C618D4">
        <w:tab/>
        <w:t>(</w:t>
      </w:r>
      <w:r w:rsidR="009D5EC6" w:rsidRPr="00C618D4">
        <w:t>c</w:t>
      </w:r>
      <w:r w:rsidRPr="00C618D4">
        <w:t>)</w:t>
      </w:r>
      <w:r w:rsidRPr="00C618D4">
        <w:tab/>
        <w:t xml:space="preserve">the </w:t>
      </w:r>
      <w:r w:rsidR="007C7C59" w:rsidRPr="00C618D4">
        <w:t xml:space="preserve">referred </w:t>
      </w:r>
      <w:r w:rsidRPr="00C618D4">
        <w:t>applicant satisfies, or does not satisfy, the criterion in subsection</w:t>
      </w:r>
      <w:r w:rsidR="00C618D4" w:rsidRPr="00C618D4">
        <w:t> </w:t>
      </w:r>
      <w:r w:rsidRPr="00C618D4">
        <w:t>36(1C)</w:t>
      </w:r>
      <w:r w:rsidR="00032890" w:rsidRPr="00C618D4">
        <w:t xml:space="preserve"> of the Act</w:t>
      </w:r>
      <w:r w:rsidR="007C7C59" w:rsidRPr="00C618D4">
        <w:t>; or</w:t>
      </w:r>
    </w:p>
    <w:p w:rsidR="000607BE" w:rsidRPr="00C618D4" w:rsidRDefault="00391437" w:rsidP="000607BE">
      <w:pPr>
        <w:pStyle w:val="paragraph"/>
      </w:pPr>
      <w:r w:rsidRPr="00C618D4">
        <w:lastRenderedPageBreak/>
        <w:tab/>
        <w:t>(</w:t>
      </w:r>
      <w:r w:rsidR="009D5EC6" w:rsidRPr="00C618D4">
        <w:t>d</w:t>
      </w:r>
      <w:r w:rsidRPr="00C618D4">
        <w:t>)</w:t>
      </w:r>
      <w:r w:rsidRPr="00C618D4">
        <w:tab/>
      </w:r>
      <w:r w:rsidR="007C7C59" w:rsidRPr="00C618D4">
        <w:t>the referred applicant satisfies a matter that relates to establishing whether there are serious reasons for considering that:</w:t>
      </w:r>
    </w:p>
    <w:p w:rsidR="000607BE" w:rsidRPr="00C618D4" w:rsidRDefault="000607BE" w:rsidP="000607BE">
      <w:pPr>
        <w:pStyle w:val="paragraphsub"/>
      </w:pPr>
      <w:r w:rsidRPr="00C618D4">
        <w:tab/>
        <w:t>(i)</w:t>
      </w:r>
      <w:r w:rsidRPr="00C618D4">
        <w:tab/>
        <w:t xml:space="preserve">the </w:t>
      </w:r>
      <w:r w:rsidR="00105838" w:rsidRPr="00C618D4">
        <w:t xml:space="preserve">referred </w:t>
      </w:r>
      <w:r w:rsidRPr="00C618D4">
        <w:t>applicant has committed a crime against peace, a war crime or a crime against humanity, as defined by an international instrument mentioned in regulation</w:t>
      </w:r>
      <w:r w:rsidR="00C618D4" w:rsidRPr="00C618D4">
        <w:t> </w:t>
      </w:r>
      <w:r w:rsidRPr="00C618D4">
        <w:t>2.03B; or</w:t>
      </w:r>
    </w:p>
    <w:p w:rsidR="000607BE" w:rsidRPr="00C618D4" w:rsidRDefault="000607BE" w:rsidP="000607BE">
      <w:pPr>
        <w:pStyle w:val="paragraphsub"/>
      </w:pPr>
      <w:r w:rsidRPr="00C618D4">
        <w:tab/>
        <w:t>(ii)</w:t>
      </w:r>
      <w:r w:rsidRPr="00C618D4">
        <w:tab/>
        <w:t>the</w:t>
      </w:r>
      <w:r w:rsidR="00105838" w:rsidRPr="00C618D4">
        <w:t xml:space="preserve"> referred</w:t>
      </w:r>
      <w:r w:rsidRPr="00C618D4">
        <w:t xml:space="preserve"> applicant committed a serious non</w:t>
      </w:r>
      <w:r w:rsidR="00C618D4">
        <w:noBreakHyphen/>
      </w:r>
      <w:r w:rsidRPr="00C618D4">
        <w:t>political crime before entering Australia; or</w:t>
      </w:r>
    </w:p>
    <w:p w:rsidR="000607BE" w:rsidRPr="00C618D4" w:rsidRDefault="000607BE" w:rsidP="000607BE">
      <w:pPr>
        <w:pStyle w:val="paragraphsub"/>
      </w:pPr>
      <w:r w:rsidRPr="00C618D4">
        <w:tab/>
        <w:t>(iii)</w:t>
      </w:r>
      <w:r w:rsidRPr="00C618D4">
        <w:tab/>
        <w:t xml:space="preserve">the </w:t>
      </w:r>
      <w:r w:rsidR="00105838" w:rsidRPr="00C618D4">
        <w:t xml:space="preserve">referred </w:t>
      </w:r>
      <w:r w:rsidRPr="00C618D4">
        <w:t>applicant has been guilty of acts contrary to the purposes and principles of the United Nations</w:t>
      </w:r>
      <w:r w:rsidR="00391437" w:rsidRPr="00C618D4">
        <w:t>; or</w:t>
      </w:r>
    </w:p>
    <w:p w:rsidR="000607BE" w:rsidRPr="00C618D4" w:rsidRDefault="000607BE" w:rsidP="000607BE">
      <w:pPr>
        <w:pStyle w:val="paragraph"/>
      </w:pPr>
      <w:r w:rsidRPr="00C618D4">
        <w:tab/>
      </w:r>
      <w:r w:rsidR="009D5EC6" w:rsidRPr="00C618D4">
        <w:t>(e)</w:t>
      </w:r>
      <w:r w:rsidR="009D5EC6" w:rsidRPr="00C618D4">
        <w:tab/>
      </w:r>
      <w:r w:rsidR="007C7C59" w:rsidRPr="00C618D4">
        <w:t xml:space="preserve">the referred applicant satisfies </w:t>
      </w:r>
      <w:r w:rsidRPr="00C618D4">
        <w:t>a matter that relates to establishing whether there are reasonable grounds that:</w:t>
      </w:r>
    </w:p>
    <w:p w:rsidR="000607BE" w:rsidRPr="00C618D4" w:rsidRDefault="000607BE" w:rsidP="000607BE">
      <w:pPr>
        <w:pStyle w:val="paragraphsub"/>
      </w:pPr>
      <w:r w:rsidRPr="00C618D4">
        <w:tab/>
        <w:t>(i)</w:t>
      </w:r>
      <w:r w:rsidRPr="00C618D4">
        <w:tab/>
        <w:t xml:space="preserve">the </w:t>
      </w:r>
      <w:r w:rsidR="00105838" w:rsidRPr="00C618D4">
        <w:t xml:space="preserve">referred </w:t>
      </w:r>
      <w:r w:rsidRPr="00C618D4">
        <w:t>applicant is a danger to Australia’s security; or</w:t>
      </w:r>
    </w:p>
    <w:p w:rsidR="000607BE" w:rsidRPr="00C618D4" w:rsidRDefault="000607BE" w:rsidP="00873562">
      <w:pPr>
        <w:pStyle w:val="paragraphsub"/>
      </w:pPr>
      <w:r w:rsidRPr="00C618D4">
        <w:tab/>
        <w:t>(ii)</w:t>
      </w:r>
      <w:r w:rsidRPr="00C618D4">
        <w:tab/>
        <w:t xml:space="preserve">the </w:t>
      </w:r>
      <w:r w:rsidR="00105838" w:rsidRPr="00C618D4">
        <w:t xml:space="preserve">referred </w:t>
      </w:r>
      <w:r w:rsidRPr="00C618D4">
        <w:t>applicant, having been convicted by a final judgment of a particularly serious crime, including a crime that consists of the commission of a serious Australian offence or serious foreign offence, is a danger to the Australian community.</w:t>
      </w:r>
    </w:p>
    <w:p w:rsidR="00487150" w:rsidRPr="00C618D4" w:rsidRDefault="00487150" w:rsidP="00487150">
      <w:pPr>
        <w:pStyle w:val="ItemHead"/>
      </w:pPr>
      <w:r w:rsidRPr="00C618D4">
        <w:t xml:space="preserve">4  </w:t>
      </w:r>
      <w:r w:rsidR="004B5198" w:rsidRPr="00C618D4">
        <w:t>After subparagraph</w:t>
      </w:r>
      <w:r w:rsidR="00C618D4" w:rsidRPr="00C618D4">
        <w:t> </w:t>
      </w:r>
      <w:r w:rsidR="004B5198" w:rsidRPr="00C618D4">
        <w:t>050.511(b)(iii) of Schedule</w:t>
      </w:r>
      <w:r w:rsidR="00C618D4" w:rsidRPr="00C618D4">
        <w:t> </w:t>
      </w:r>
      <w:r w:rsidR="004B5198" w:rsidRPr="00C618D4">
        <w:t>2</w:t>
      </w:r>
    </w:p>
    <w:p w:rsidR="004B5198" w:rsidRPr="00C618D4" w:rsidRDefault="004B5198" w:rsidP="004B5198">
      <w:pPr>
        <w:pStyle w:val="Item"/>
      </w:pPr>
      <w:r w:rsidRPr="00C618D4">
        <w:t>Insert:</w:t>
      </w:r>
    </w:p>
    <w:p w:rsidR="004B5198" w:rsidRPr="00C618D4" w:rsidRDefault="004B5198" w:rsidP="004B5198">
      <w:pPr>
        <w:pStyle w:val="paragraphsub"/>
      </w:pPr>
      <w:r w:rsidRPr="00C618D4">
        <w:tab/>
        <w:t>(iiia)</w:t>
      </w:r>
      <w:r w:rsidRPr="00C618D4">
        <w:tab/>
        <w:t>if the substantive visa application is refused and the refusal decision is referred to the Immigration Assessment Authority under section</w:t>
      </w:r>
      <w:r w:rsidR="00C618D4" w:rsidRPr="00C618D4">
        <w:t> </w:t>
      </w:r>
      <w:r w:rsidRPr="00C618D4">
        <w:t>473CA of the Act—28 days after notification by the Immigration Assessment Authority of its decision under subsection</w:t>
      </w:r>
      <w:r w:rsidR="00C618D4" w:rsidRPr="00C618D4">
        <w:t> </w:t>
      </w:r>
      <w:r w:rsidRPr="00C618D4">
        <w:t>473CC(2) of the Act; or</w:t>
      </w:r>
    </w:p>
    <w:p w:rsidR="004B5198" w:rsidRPr="00C618D4" w:rsidRDefault="004B5198" w:rsidP="004B5198">
      <w:pPr>
        <w:pStyle w:val="ItemHead"/>
      </w:pPr>
      <w:r w:rsidRPr="00C618D4">
        <w:t>5  Subparagraph 050.511(b)(vii) of Schedule</w:t>
      </w:r>
      <w:r w:rsidR="00C618D4" w:rsidRPr="00C618D4">
        <w:t> </w:t>
      </w:r>
      <w:r w:rsidRPr="00C618D4">
        <w:t>2</w:t>
      </w:r>
    </w:p>
    <w:p w:rsidR="00E34108" w:rsidRPr="00C618D4" w:rsidRDefault="004B5198" w:rsidP="004B5198">
      <w:pPr>
        <w:pStyle w:val="Item"/>
      </w:pPr>
      <w:r w:rsidRPr="00C618D4">
        <w:t>After “review authority”, insert “or the Immigration Assessment Authority”.</w:t>
      </w:r>
    </w:p>
    <w:p w:rsidR="00ED2365" w:rsidRPr="00C618D4" w:rsidRDefault="00ED2365" w:rsidP="00E34108">
      <w:pPr>
        <w:pStyle w:val="ItemHead"/>
      </w:pPr>
      <w:r w:rsidRPr="00C618D4">
        <w:t>6  After paragraph</w:t>
      </w:r>
      <w:r w:rsidR="00C618D4" w:rsidRPr="00C618D4">
        <w:t> </w:t>
      </w:r>
      <w:r w:rsidRPr="00C618D4">
        <w:t>051.511(b) of Schedule</w:t>
      </w:r>
      <w:r w:rsidR="00C618D4" w:rsidRPr="00C618D4">
        <w:t> </w:t>
      </w:r>
      <w:r w:rsidRPr="00C618D4">
        <w:t>2</w:t>
      </w:r>
    </w:p>
    <w:p w:rsidR="00ED2365" w:rsidRPr="00C618D4" w:rsidRDefault="00ED2365" w:rsidP="00ED2365">
      <w:pPr>
        <w:pStyle w:val="Item"/>
      </w:pPr>
      <w:r w:rsidRPr="00C618D4">
        <w:t>Insert:</w:t>
      </w:r>
    </w:p>
    <w:p w:rsidR="004B5198" w:rsidRPr="00C618D4" w:rsidRDefault="00ED2365" w:rsidP="00ED2365">
      <w:pPr>
        <w:pStyle w:val="paragraph"/>
      </w:pPr>
      <w:r w:rsidRPr="00C618D4">
        <w:tab/>
        <w:t>(ba)</w:t>
      </w:r>
      <w:r w:rsidRPr="00C618D4">
        <w:tab/>
        <w:t>if that application is refused and the refusal decision is referred to the Immigration Assessment Authority under section</w:t>
      </w:r>
      <w:r w:rsidR="00C618D4" w:rsidRPr="00C618D4">
        <w:t> </w:t>
      </w:r>
      <w:r w:rsidRPr="00C618D4">
        <w:t xml:space="preserve">473CA of the Act—28 days after notification by the </w:t>
      </w:r>
      <w:r w:rsidRPr="00C618D4">
        <w:lastRenderedPageBreak/>
        <w:t>Immigration Assessment Authority of its decision under subsection</w:t>
      </w:r>
      <w:r w:rsidR="00C618D4" w:rsidRPr="00C618D4">
        <w:t> </w:t>
      </w:r>
      <w:r w:rsidRPr="00C618D4">
        <w:t>473CC(2) of the Act; or</w:t>
      </w:r>
    </w:p>
    <w:p w:rsidR="00ED2365" w:rsidRPr="00C618D4" w:rsidRDefault="00ED2365" w:rsidP="00ED2365">
      <w:pPr>
        <w:pStyle w:val="ItemHead"/>
      </w:pPr>
      <w:r w:rsidRPr="00C618D4">
        <w:t>7  Paragraph 051.511(f) of Schedule</w:t>
      </w:r>
      <w:r w:rsidR="00C618D4" w:rsidRPr="00C618D4">
        <w:t> </w:t>
      </w:r>
      <w:r w:rsidRPr="00C618D4">
        <w:t>2</w:t>
      </w:r>
    </w:p>
    <w:p w:rsidR="00ED2365" w:rsidRPr="00C618D4" w:rsidRDefault="00ED2365" w:rsidP="00ED2365">
      <w:pPr>
        <w:pStyle w:val="Item"/>
      </w:pPr>
      <w:r w:rsidRPr="00C618D4">
        <w:t xml:space="preserve">After “review authority”, insert “or the Immigration Assessment </w:t>
      </w:r>
      <w:r w:rsidR="00B27C1D" w:rsidRPr="00C618D4">
        <w:t>Authority”.</w:t>
      </w:r>
    </w:p>
    <w:p w:rsidR="00E61F3F" w:rsidRPr="00C618D4" w:rsidRDefault="00E61F3F" w:rsidP="00E61F3F">
      <w:pPr>
        <w:pStyle w:val="ItemHead"/>
      </w:pPr>
      <w:r w:rsidRPr="00C618D4">
        <w:t>8  After paragraph</w:t>
      </w:r>
      <w:r w:rsidR="00C618D4" w:rsidRPr="00C618D4">
        <w:t> </w:t>
      </w:r>
      <w:r w:rsidRPr="00C618D4">
        <w:t>051.513(1)(b)</w:t>
      </w:r>
      <w:r w:rsidR="00AD7D21" w:rsidRPr="00C618D4">
        <w:t xml:space="preserve"> of Schedule</w:t>
      </w:r>
      <w:r w:rsidR="00C618D4" w:rsidRPr="00C618D4">
        <w:t> </w:t>
      </w:r>
      <w:r w:rsidR="00AD7D21" w:rsidRPr="00C618D4">
        <w:t>2</w:t>
      </w:r>
    </w:p>
    <w:p w:rsidR="00E61F3F" w:rsidRPr="00C618D4" w:rsidRDefault="00E61F3F" w:rsidP="00E61F3F">
      <w:pPr>
        <w:pStyle w:val="Item"/>
      </w:pPr>
      <w:r w:rsidRPr="00C618D4">
        <w:t>Insert:</w:t>
      </w:r>
    </w:p>
    <w:p w:rsidR="00E61F3F" w:rsidRPr="00C618D4" w:rsidRDefault="00E61F3F" w:rsidP="00E61F3F">
      <w:pPr>
        <w:pStyle w:val="paragraph"/>
      </w:pPr>
      <w:r w:rsidRPr="00C618D4">
        <w:tab/>
        <w:t>(ba)</w:t>
      </w:r>
      <w:r w:rsidRPr="00C618D4">
        <w:tab/>
        <w:t>if the protection visa application is refused and the refusal decision is referred to the Immigration Assessment Authority under section</w:t>
      </w:r>
      <w:r w:rsidR="00C618D4" w:rsidRPr="00C618D4">
        <w:t> </w:t>
      </w:r>
      <w:r w:rsidRPr="00C618D4">
        <w:t>473CA of the Act—28 days after notification by the Immigration Assessment Authority of its decision under subsection</w:t>
      </w:r>
      <w:r w:rsidR="00C618D4" w:rsidRPr="00C618D4">
        <w:t> </w:t>
      </w:r>
      <w:r w:rsidRPr="00C618D4">
        <w:t>473CC(2) of the Act; or</w:t>
      </w:r>
    </w:p>
    <w:p w:rsidR="002473A9" w:rsidRPr="00C618D4" w:rsidRDefault="002473A9" w:rsidP="002473A9">
      <w:pPr>
        <w:pStyle w:val="ActHead7"/>
        <w:pageBreakBefore/>
      </w:pPr>
      <w:bookmarkStart w:id="18" w:name="_Toc415212008"/>
      <w:r w:rsidRPr="00C618D4">
        <w:rPr>
          <w:rStyle w:val="CharAmPartNo"/>
        </w:rPr>
        <w:lastRenderedPageBreak/>
        <w:t>Part</w:t>
      </w:r>
      <w:r w:rsidR="00C618D4" w:rsidRPr="00C618D4">
        <w:rPr>
          <w:rStyle w:val="CharAmPartNo"/>
        </w:rPr>
        <w:t> </w:t>
      </w:r>
      <w:r w:rsidRPr="00C618D4">
        <w:rPr>
          <w:rStyle w:val="CharAmPartNo"/>
        </w:rPr>
        <w:t>2</w:t>
      </w:r>
      <w:r w:rsidRPr="00C618D4">
        <w:t>—</w:t>
      </w:r>
      <w:r w:rsidR="005E1332" w:rsidRPr="00C618D4">
        <w:rPr>
          <w:rStyle w:val="CharAmPartText"/>
        </w:rPr>
        <w:t>Other amendment</w:t>
      </w:r>
      <w:r w:rsidR="00817C7F" w:rsidRPr="00C618D4">
        <w:rPr>
          <w:rStyle w:val="CharAmPartText"/>
        </w:rPr>
        <w:t>s</w:t>
      </w:r>
      <w:bookmarkEnd w:id="18"/>
    </w:p>
    <w:p w:rsidR="00AD1793" w:rsidRPr="00C618D4" w:rsidRDefault="00AD1793" w:rsidP="00AD1793">
      <w:pPr>
        <w:pStyle w:val="ActHead9"/>
      </w:pPr>
      <w:bookmarkStart w:id="19" w:name="_Toc415212009"/>
      <w:r w:rsidRPr="00C618D4">
        <w:t>Migration Regulations</w:t>
      </w:r>
      <w:r w:rsidR="00C618D4" w:rsidRPr="00C618D4">
        <w:t> </w:t>
      </w:r>
      <w:r w:rsidRPr="00C618D4">
        <w:t>1994</w:t>
      </w:r>
      <w:bookmarkEnd w:id="19"/>
    </w:p>
    <w:p w:rsidR="002473A9" w:rsidRPr="00C618D4" w:rsidRDefault="00AD1793" w:rsidP="002473A9">
      <w:pPr>
        <w:pStyle w:val="ItemHead"/>
      </w:pPr>
      <w:r w:rsidRPr="00C618D4">
        <w:t>9</w:t>
      </w:r>
      <w:r w:rsidR="002473A9" w:rsidRPr="00C618D4">
        <w:t xml:space="preserve">  At the end of regulation</w:t>
      </w:r>
      <w:r w:rsidR="00C618D4" w:rsidRPr="00C618D4">
        <w:t> </w:t>
      </w:r>
      <w:r w:rsidR="002473A9" w:rsidRPr="00C618D4">
        <w:t>4.4</w:t>
      </w:r>
      <w:r w:rsidR="00102C84" w:rsidRPr="00C618D4">
        <w:t>3</w:t>
      </w:r>
    </w:p>
    <w:p w:rsidR="002473A9" w:rsidRPr="00C618D4" w:rsidRDefault="002473A9" w:rsidP="002473A9">
      <w:pPr>
        <w:pStyle w:val="Item"/>
      </w:pPr>
      <w:r w:rsidRPr="00C618D4">
        <w:t>Add:</w:t>
      </w:r>
    </w:p>
    <w:p w:rsidR="002473A9" w:rsidRPr="00C618D4" w:rsidRDefault="002473A9" w:rsidP="002473A9">
      <w:pPr>
        <w:pStyle w:val="subsection"/>
      </w:pPr>
      <w:r w:rsidRPr="00C618D4">
        <w:tab/>
        <w:t>(</w:t>
      </w:r>
      <w:r w:rsidR="00FF0582" w:rsidRPr="00C618D4">
        <w:t>4</w:t>
      </w:r>
      <w:r w:rsidRPr="00C618D4">
        <w:t>)</w:t>
      </w:r>
      <w:r w:rsidRPr="00C618D4">
        <w:tab/>
        <w:t>It is a permissible direction that the grant of the visa is not prevented by section</w:t>
      </w:r>
      <w:r w:rsidR="00C618D4" w:rsidRPr="00C618D4">
        <w:t> </w:t>
      </w:r>
      <w:r w:rsidRPr="00C618D4">
        <w:t>91WB of the Act.</w:t>
      </w:r>
    </w:p>
    <w:p w:rsidR="008852C9" w:rsidRPr="00C618D4" w:rsidRDefault="008E719D" w:rsidP="008852C9">
      <w:pPr>
        <w:pStyle w:val="ActHead6"/>
        <w:pageBreakBefore/>
      </w:pPr>
      <w:bookmarkStart w:id="20" w:name="_Toc415212010"/>
      <w:r w:rsidRPr="00C618D4">
        <w:rPr>
          <w:rStyle w:val="CharAmSchNo"/>
        </w:rPr>
        <w:lastRenderedPageBreak/>
        <w:t>Schedule</w:t>
      </w:r>
      <w:r w:rsidR="00C618D4" w:rsidRPr="00C618D4">
        <w:rPr>
          <w:rStyle w:val="CharAmSchNo"/>
        </w:rPr>
        <w:t> </w:t>
      </w:r>
      <w:r w:rsidRPr="00C618D4">
        <w:rPr>
          <w:rStyle w:val="CharAmSchNo"/>
        </w:rPr>
        <w:t>2</w:t>
      </w:r>
      <w:r w:rsidRPr="00C618D4">
        <w:t>—</w:t>
      </w:r>
      <w:r w:rsidRPr="00C618D4">
        <w:rPr>
          <w:rStyle w:val="CharAmSchText"/>
        </w:rPr>
        <w:t>Amendments relating to</w:t>
      </w:r>
      <w:r w:rsidR="00B33D12" w:rsidRPr="00C618D4">
        <w:rPr>
          <w:rStyle w:val="CharAmSchText"/>
        </w:rPr>
        <w:t xml:space="preserve"> </w:t>
      </w:r>
      <w:r w:rsidR="003F5FD1" w:rsidRPr="00C618D4">
        <w:rPr>
          <w:rStyle w:val="CharAmSchText"/>
        </w:rPr>
        <w:t>the refugee framework</w:t>
      </w:r>
      <w:bookmarkEnd w:id="20"/>
    </w:p>
    <w:p w:rsidR="008852C9" w:rsidRPr="00C618D4" w:rsidRDefault="008852C9" w:rsidP="008852C9">
      <w:pPr>
        <w:pStyle w:val="Header"/>
      </w:pPr>
      <w:r w:rsidRPr="00C618D4">
        <w:rPr>
          <w:rStyle w:val="CharAmPartNo"/>
        </w:rPr>
        <w:t xml:space="preserve"> </w:t>
      </w:r>
      <w:r w:rsidRPr="00C618D4">
        <w:rPr>
          <w:rStyle w:val="CharAmPartText"/>
        </w:rPr>
        <w:t xml:space="preserve"> </w:t>
      </w:r>
    </w:p>
    <w:p w:rsidR="008E719D" w:rsidRPr="00C618D4" w:rsidRDefault="008E719D" w:rsidP="008E719D">
      <w:pPr>
        <w:pStyle w:val="ActHead9"/>
      </w:pPr>
      <w:bookmarkStart w:id="21" w:name="_Toc415212011"/>
      <w:r w:rsidRPr="00C618D4">
        <w:t>Migration Regulations</w:t>
      </w:r>
      <w:r w:rsidR="00C618D4" w:rsidRPr="00C618D4">
        <w:t> </w:t>
      </w:r>
      <w:r w:rsidRPr="00C618D4">
        <w:t>1994</w:t>
      </w:r>
      <w:bookmarkEnd w:id="21"/>
    </w:p>
    <w:p w:rsidR="00F12A9B" w:rsidRPr="00C618D4" w:rsidRDefault="00F12A9B" w:rsidP="008E719D">
      <w:pPr>
        <w:pStyle w:val="ItemHead"/>
      </w:pPr>
      <w:r w:rsidRPr="00C618D4">
        <w:t>1  Regulation</w:t>
      </w:r>
      <w:r w:rsidR="00C618D4" w:rsidRPr="00C618D4">
        <w:t> </w:t>
      </w:r>
      <w:r w:rsidRPr="00C618D4">
        <w:t>2.03B</w:t>
      </w:r>
    </w:p>
    <w:p w:rsidR="00F12A9B" w:rsidRPr="00C618D4" w:rsidRDefault="00F12A9B" w:rsidP="00F12A9B">
      <w:pPr>
        <w:pStyle w:val="Item"/>
      </w:pPr>
      <w:r w:rsidRPr="00C618D4">
        <w:t>Before “subparagraph</w:t>
      </w:r>
      <w:r w:rsidR="00C618D4" w:rsidRPr="00C618D4">
        <w:t> </w:t>
      </w:r>
      <w:r w:rsidRPr="00C618D4">
        <w:t>36(2C)(a)(i)”, insert “paragraph</w:t>
      </w:r>
      <w:r w:rsidR="00C618D4" w:rsidRPr="00C618D4">
        <w:t> </w:t>
      </w:r>
      <w:r w:rsidRPr="00C618D4">
        <w:t>5H(2)(a) and”.</w:t>
      </w:r>
    </w:p>
    <w:p w:rsidR="008E719D" w:rsidRPr="00C618D4" w:rsidRDefault="00083798" w:rsidP="008E719D">
      <w:pPr>
        <w:pStyle w:val="ItemHead"/>
      </w:pPr>
      <w:r w:rsidRPr="00C618D4">
        <w:t>2</w:t>
      </w:r>
      <w:r w:rsidR="008E719D" w:rsidRPr="00C618D4">
        <w:t xml:space="preserve">  </w:t>
      </w:r>
      <w:r w:rsidR="00614D7A" w:rsidRPr="00C618D4">
        <w:t>Subregulation</w:t>
      </w:r>
      <w:r w:rsidR="00C618D4" w:rsidRPr="00C618D4">
        <w:t> </w:t>
      </w:r>
      <w:r w:rsidR="008E719D" w:rsidRPr="00C618D4">
        <w:t>4.31B(3)</w:t>
      </w:r>
    </w:p>
    <w:p w:rsidR="008E719D" w:rsidRPr="00C618D4" w:rsidRDefault="008E719D" w:rsidP="008E719D">
      <w:pPr>
        <w:pStyle w:val="Item"/>
      </w:pPr>
      <w:r w:rsidRPr="00C618D4">
        <w:t xml:space="preserve">Repeal the </w:t>
      </w:r>
      <w:r w:rsidR="00614D7A" w:rsidRPr="00C618D4">
        <w:t>subregulation</w:t>
      </w:r>
      <w:r w:rsidRPr="00C618D4">
        <w:t>, substitute:</w:t>
      </w:r>
    </w:p>
    <w:p w:rsidR="00614D7A" w:rsidRPr="00C618D4" w:rsidRDefault="00DA532E" w:rsidP="008E04E3">
      <w:pPr>
        <w:pStyle w:val="subsection"/>
      </w:pPr>
      <w:r w:rsidRPr="00C618D4">
        <w:tab/>
      </w:r>
      <w:r w:rsidR="00614D7A" w:rsidRPr="00C618D4">
        <w:t>(3)</w:t>
      </w:r>
      <w:r w:rsidR="00614D7A" w:rsidRPr="00C618D4">
        <w:tab/>
        <w:t xml:space="preserve">No fee is payable if the Tribunal </w:t>
      </w:r>
      <w:r w:rsidRPr="00C618D4">
        <w:t xml:space="preserve">remits </w:t>
      </w:r>
      <w:r w:rsidR="00D157AB" w:rsidRPr="00C618D4">
        <w:t xml:space="preserve">a matter to which the decision relates </w:t>
      </w:r>
      <w:r w:rsidRPr="00C618D4">
        <w:t xml:space="preserve">with a </w:t>
      </w:r>
      <w:r w:rsidR="008B368D" w:rsidRPr="00C618D4">
        <w:t xml:space="preserve">permissible </w:t>
      </w:r>
      <w:r w:rsidRPr="00C618D4">
        <w:t>direction</w:t>
      </w:r>
      <w:r w:rsidR="008E04E3" w:rsidRPr="00C618D4">
        <w:t xml:space="preserve"> </w:t>
      </w:r>
      <w:r w:rsidR="008B368D" w:rsidRPr="00C618D4">
        <w:t>under</w:t>
      </w:r>
      <w:r w:rsidR="008E04E3" w:rsidRPr="00C618D4">
        <w:t xml:space="preserve"> regulation</w:t>
      </w:r>
      <w:r w:rsidR="00C618D4" w:rsidRPr="00C618D4">
        <w:t> </w:t>
      </w:r>
      <w:r w:rsidR="008E04E3" w:rsidRPr="00C618D4">
        <w:t>4.33.</w:t>
      </w:r>
    </w:p>
    <w:p w:rsidR="008E719D" w:rsidRPr="00C618D4" w:rsidRDefault="00083798" w:rsidP="008E719D">
      <w:pPr>
        <w:pStyle w:val="ItemHead"/>
      </w:pPr>
      <w:r w:rsidRPr="00C618D4">
        <w:t>3</w:t>
      </w:r>
      <w:r w:rsidR="00D157AB" w:rsidRPr="00C618D4">
        <w:t xml:space="preserve">  P</w:t>
      </w:r>
      <w:r w:rsidR="008E719D" w:rsidRPr="00C618D4">
        <w:t>aragraph 4.31C(1)(a)</w:t>
      </w:r>
    </w:p>
    <w:p w:rsidR="00614D7A" w:rsidRPr="00C618D4" w:rsidRDefault="00614D7A" w:rsidP="00614D7A">
      <w:pPr>
        <w:pStyle w:val="Item"/>
      </w:pPr>
      <w:r w:rsidRPr="00C618D4">
        <w:t>Repeal the paragraph, substitute:</w:t>
      </w:r>
    </w:p>
    <w:p w:rsidR="00D157AB" w:rsidRPr="00C618D4" w:rsidRDefault="00614D7A" w:rsidP="00D157AB">
      <w:pPr>
        <w:pStyle w:val="paragraph"/>
      </w:pPr>
      <w:r w:rsidRPr="00C618D4">
        <w:tab/>
      </w:r>
      <w:r w:rsidR="00D157AB" w:rsidRPr="00C618D4">
        <w:t>(a)</w:t>
      </w:r>
      <w:r w:rsidR="00D157AB" w:rsidRPr="00C618D4">
        <w:tab/>
        <w:t>both:</w:t>
      </w:r>
    </w:p>
    <w:p w:rsidR="00D157AB" w:rsidRPr="00C618D4" w:rsidRDefault="00D157AB" w:rsidP="00D157AB">
      <w:pPr>
        <w:pStyle w:val="paragraphsub"/>
      </w:pPr>
      <w:r w:rsidRPr="00C618D4">
        <w:tab/>
        <w:t>(i)</w:t>
      </w:r>
      <w:r w:rsidRPr="00C618D4">
        <w:tab/>
        <w:t>on review by a court, the decision is remitted for reconsideration by the Tribunal; and</w:t>
      </w:r>
    </w:p>
    <w:p w:rsidR="00D157AB" w:rsidRPr="00C618D4" w:rsidRDefault="00D157AB" w:rsidP="00D157AB">
      <w:pPr>
        <w:pStyle w:val="paragraphsub"/>
      </w:pPr>
      <w:r w:rsidRPr="00C618D4">
        <w:tab/>
        <w:t>(ii)</w:t>
      </w:r>
      <w:r w:rsidRPr="00C618D4">
        <w:tab/>
        <w:t xml:space="preserve">the Tribunal remits a matter to which the decision relates with a </w:t>
      </w:r>
      <w:r w:rsidR="008B368D" w:rsidRPr="00C618D4">
        <w:t xml:space="preserve">permissible </w:t>
      </w:r>
      <w:r w:rsidRPr="00C618D4">
        <w:t xml:space="preserve">direction </w:t>
      </w:r>
      <w:r w:rsidR="008B368D" w:rsidRPr="00C618D4">
        <w:t xml:space="preserve">under </w:t>
      </w:r>
      <w:r w:rsidRPr="00C618D4">
        <w:t>regulation</w:t>
      </w:r>
      <w:r w:rsidR="00C618D4" w:rsidRPr="00C618D4">
        <w:t> </w:t>
      </w:r>
      <w:r w:rsidRPr="00C618D4">
        <w:t>4.33</w:t>
      </w:r>
      <w:r w:rsidR="002763F1" w:rsidRPr="00C618D4">
        <w:t>; or</w:t>
      </w:r>
    </w:p>
    <w:p w:rsidR="009D5EC6" w:rsidRPr="00C618D4" w:rsidRDefault="00083798" w:rsidP="009D5EC6">
      <w:pPr>
        <w:pStyle w:val="ItemHead"/>
      </w:pPr>
      <w:r w:rsidRPr="00C618D4">
        <w:t>4</w:t>
      </w:r>
      <w:r w:rsidR="009D5EC6" w:rsidRPr="00C618D4">
        <w:t xml:space="preserve">  Paragraph 4.31C(1)(aa)</w:t>
      </w:r>
    </w:p>
    <w:p w:rsidR="009D5EC6" w:rsidRPr="00C618D4" w:rsidRDefault="009D5EC6" w:rsidP="009D5EC6">
      <w:pPr>
        <w:pStyle w:val="Item"/>
      </w:pPr>
      <w:r w:rsidRPr="00C618D4">
        <w:t xml:space="preserve">Repeal the </w:t>
      </w:r>
      <w:r w:rsidR="00356934" w:rsidRPr="00C618D4">
        <w:t>paragraph</w:t>
      </w:r>
      <w:r w:rsidRPr="00C618D4">
        <w:t>.</w:t>
      </w:r>
    </w:p>
    <w:p w:rsidR="008E719D" w:rsidRPr="00C618D4" w:rsidRDefault="00083798" w:rsidP="008E719D">
      <w:pPr>
        <w:pStyle w:val="ItemHead"/>
      </w:pPr>
      <w:r w:rsidRPr="00C618D4">
        <w:t>5</w:t>
      </w:r>
      <w:r w:rsidR="008E719D" w:rsidRPr="00C618D4">
        <w:t xml:space="preserve">  Paragraph</w:t>
      </w:r>
      <w:r w:rsidR="008E24C2" w:rsidRPr="00C618D4">
        <w:t>s</w:t>
      </w:r>
      <w:r w:rsidR="008E719D" w:rsidRPr="00C618D4">
        <w:t xml:space="preserve"> 4.33(3)(a)</w:t>
      </w:r>
      <w:r w:rsidR="008E24C2" w:rsidRPr="00C618D4">
        <w:t xml:space="preserve"> and (b)</w:t>
      </w:r>
    </w:p>
    <w:p w:rsidR="008E24C2" w:rsidRPr="00C618D4" w:rsidRDefault="008E24C2" w:rsidP="008E24C2">
      <w:pPr>
        <w:pStyle w:val="Item"/>
      </w:pPr>
      <w:r w:rsidRPr="00C618D4">
        <w:t>Repeal the paragraphs, substitute:</w:t>
      </w:r>
    </w:p>
    <w:p w:rsidR="008E24C2" w:rsidRPr="00C618D4" w:rsidRDefault="008E24C2" w:rsidP="008E24C2">
      <w:pPr>
        <w:pStyle w:val="paragraph"/>
      </w:pPr>
      <w:r w:rsidRPr="00C618D4">
        <w:tab/>
        <w:t>(a)</w:t>
      </w:r>
      <w:r w:rsidRPr="00C618D4">
        <w:tab/>
        <w:t>it is a permissible direction that</w:t>
      </w:r>
      <w:r w:rsidR="00C31EDC" w:rsidRPr="00C618D4">
        <w:t xml:space="preserve"> </w:t>
      </w:r>
      <w:r w:rsidRPr="00C618D4">
        <w:t>the applicant is a refugee within the meaning of subsection</w:t>
      </w:r>
      <w:r w:rsidR="00C618D4" w:rsidRPr="00C618D4">
        <w:t> </w:t>
      </w:r>
      <w:r w:rsidRPr="00C618D4">
        <w:t xml:space="preserve">5H(1) of the Act; </w:t>
      </w:r>
      <w:r w:rsidR="005C33EB" w:rsidRPr="00C618D4">
        <w:t>and</w:t>
      </w:r>
    </w:p>
    <w:p w:rsidR="006969F8" w:rsidRPr="00C618D4" w:rsidRDefault="006969F8" w:rsidP="008E24C2">
      <w:pPr>
        <w:pStyle w:val="paragraph"/>
      </w:pPr>
      <w:r w:rsidRPr="00C618D4">
        <w:tab/>
        <w:t>(aa)</w:t>
      </w:r>
      <w:r w:rsidRPr="00C618D4">
        <w:tab/>
        <w:t>it is a permissible direction that subsection</w:t>
      </w:r>
      <w:r w:rsidR="00C618D4" w:rsidRPr="00C618D4">
        <w:t> </w:t>
      </w:r>
      <w:r w:rsidRPr="00C618D4">
        <w:t>36(3) of the Act does not apply to the applicant; and</w:t>
      </w:r>
    </w:p>
    <w:p w:rsidR="008E24C2" w:rsidRPr="00C618D4" w:rsidRDefault="008E24C2" w:rsidP="008E24C2">
      <w:pPr>
        <w:pStyle w:val="paragraph"/>
      </w:pPr>
      <w:r w:rsidRPr="00C618D4">
        <w:tab/>
        <w:t>(b)</w:t>
      </w:r>
      <w:r w:rsidRPr="00C618D4">
        <w:tab/>
        <w:t>it is not a permissible direction that:</w:t>
      </w:r>
    </w:p>
    <w:p w:rsidR="00267F8C" w:rsidRPr="00C618D4" w:rsidRDefault="008E24C2" w:rsidP="008E24C2">
      <w:pPr>
        <w:pStyle w:val="paragraphsub"/>
      </w:pPr>
      <w:r w:rsidRPr="00C618D4">
        <w:tab/>
        <w:t>(i)</w:t>
      </w:r>
      <w:r w:rsidRPr="00C618D4">
        <w:tab/>
        <w:t>subsection</w:t>
      </w:r>
      <w:r w:rsidR="00C618D4" w:rsidRPr="00C618D4">
        <w:t> </w:t>
      </w:r>
      <w:r w:rsidRPr="00C618D4">
        <w:t>5H(1) of the Act applies</w:t>
      </w:r>
      <w:r w:rsidR="00267F8C" w:rsidRPr="00C618D4">
        <w:t xml:space="preserve"> to the applicant; or</w:t>
      </w:r>
    </w:p>
    <w:p w:rsidR="008E24C2" w:rsidRPr="00C618D4" w:rsidRDefault="00267F8C" w:rsidP="008E24C2">
      <w:pPr>
        <w:pStyle w:val="paragraphsub"/>
      </w:pPr>
      <w:r w:rsidRPr="00C618D4">
        <w:tab/>
        <w:t>(ii)</w:t>
      </w:r>
      <w:r w:rsidRPr="00C618D4">
        <w:tab/>
        <w:t>subsection</w:t>
      </w:r>
      <w:r w:rsidR="00C618D4" w:rsidRPr="00C618D4">
        <w:t> </w:t>
      </w:r>
      <w:r w:rsidRPr="00C618D4">
        <w:t>5H(</w:t>
      </w:r>
      <w:r w:rsidR="00946A8A" w:rsidRPr="00C618D4">
        <w:t>1</w:t>
      </w:r>
      <w:r w:rsidRPr="00C618D4">
        <w:t>) does not apply to the applicant because of subsection</w:t>
      </w:r>
      <w:r w:rsidR="00C618D4" w:rsidRPr="00C618D4">
        <w:t> </w:t>
      </w:r>
      <w:r w:rsidRPr="00C618D4">
        <w:t>5H(2); or</w:t>
      </w:r>
    </w:p>
    <w:p w:rsidR="008E24C2" w:rsidRPr="00C618D4" w:rsidRDefault="008E24C2" w:rsidP="008E24C2">
      <w:pPr>
        <w:pStyle w:val="paragraphsub"/>
      </w:pPr>
      <w:r w:rsidRPr="00C618D4">
        <w:lastRenderedPageBreak/>
        <w:tab/>
        <w:t>(ii</w:t>
      </w:r>
      <w:r w:rsidR="000C427E" w:rsidRPr="00C618D4">
        <w:t>i</w:t>
      </w:r>
      <w:r w:rsidRPr="00C618D4">
        <w:t>)</w:t>
      </w:r>
      <w:r w:rsidRPr="00C618D4">
        <w:tab/>
        <w:t>the applicant satisfies, or does not satisfy, the criterion in subsection</w:t>
      </w:r>
      <w:r w:rsidR="00C618D4" w:rsidRPr="00C618D4">
        <w:t> </w:t>
      </w:r>
      <w:r w:rsidRPr="00C618D4">
        <w:t>36(1C) of the Act.</w:t>
      </w:r>
    </w:p>
    <w:p w:rsidR="008E719D" w:rsidRPr="00C618D4" w:rsidRDefault="00083798" w:rsidP="008E719D">
      <w:pPr>
        <w:pStyle w:val="ItemHead"/>
      </w:pPr>
      <w:r w:rsidRPr="00C618D4">
        <w:t>6</w:t>
      </w:r>
      <w:r w:rsidR="008E719D" w:rsidRPr="00C618D4">
        <w:t xml:space="preserve">  Clause</w:t>
      </w:r>
      <w:r w:rsidR="00C618D4" w:rsidRPr="00C618D4">
        <w:t> </w:t>
      </w:r>
      <w:r w:rsidR="008E719D" w:rsidRPr="00C618D4">
        <w:t>866.111 of Schedule</w:t>
      </w:r>
      <w:r w:rsidR="00C618D4" w:rsidRPr="00C618D4">
        <w:t> </w:t>
      </w:r>
      <w:r w:rsidR="008E719D" w:rsidRPr="00C618D4">
        <w:t>2</w:t>
      </w:r>
    </w:p>
    <w:p w:rsidR="006259F8" w:rsidRPr="00C618D4" w:rsidRDefault="008E719D" w:rsidP="00C6796C">
      <w:pPr>
        <w:pStyle w:val="Item"/>
      </w:pPr>
      <w:r w:rsidRPr="00C618D4">
        <w:t>Repeal the clause</w:t>
      </w:r>
      <w:r w:rsidR="00542701" w:rsidRPr="00C618D4">
        <w:t>, substitute:</w:t>
      </w:r>
    </w:p>
    <w:p w:rsidR="00542701" w:rsidRPr="00C618D4" w:rsidRDefault="00542701" w:rsidP="00542701">
      <w:pPr>
        <w:pStyle w:val="notetext"/>
      </w:pPr>
      <w:r w:rsidRPr="00C618D4">
        <w:t>Note 1:</w:t>
      </w:r>
      <w:r w:rsidRPr="00C618D4">
        <w:tab/>
        <w:t xml:space="preserve">For </w:t>
      </w:r>
      <w:r w:rsidRPr="00C618D4">
        <w:rPr>
          <w:b/>
          <w:i/>
        </w:rPr>
        <w:t>member of the same family unit</w:t>
      </w:r>
      <w:r w:rsidRPr="00C618D4">
        <w:t>, see subsection</w:t>
      </w:r>
      <w:r w:rsidR="00C618D4" w:rsidRPr="00C618D4">
        <w:t> </w:t>
      </w:r>
      <w:r w:rsidRPr="00C618D4">
        <w:t>5(1) of the Act.</w:t>
      </w:r>
    </w:p>
    <w:p w:rsidR="006E0654" w:rsidRPr="00C618D4" w:rsidRDefault="00542701" w:rsidP="00504CEF">
      <w:pPr>
        <w:pStyle w:val="notetext"/>
      </w:pPr>
      <w:r w:rsidRPr="00C618D4">
        <w:t>Note 2:</w:t>
      </w:r>
      <w:r w:rsidRPr="00C618D4">
        <w:tab/>
        <w:t>There are no interpretation provisions specific to this Part.</w:t>
      </w:r>
    </w:p>
    <w:p w:rsidR="007F4021" w:rsidRPr="00C618D4" w:rsidRDefault="007F4021" w:rsidP="002A7D4A">
      <w:pPr>
        <w:pStyle w:val="ActHead6"/>
        <w:pageBreakBefore/>
      </w:pPr>
      <w:bookmarkStart w:id="22" w:name="_Toc415212012"/>
      <w:r w:rsidRPr="00C618D4">
        <w:rPr>
          <w:rStyle w:val="CharAmSchNo"/>
        </w:rPr>
        <w:lastRenderedPageBreak/>
        <w:t>Schedule</w:t>
      </w:r>
      <w:r w:rsidR="00C618D4" w:rsidRPr="00C618D4">
        <w:rPr>
          <w:rStyle w:val="CharAmSchNo"/>
        </w:rPr>
        <w:t> </w:t>
      </w:r>
      <w:r w:rsidR="00FF0582" w:rsidRPr="00C618D4">
        <w:rPr>
          <w:rStyle w:val="CharAmSchNo"/>
        </w:rPr>
        <w:t>3</w:t>
      </w:r>
      <w:r w:rsidRPr="00C618D4">
        <w:t>—</w:t>
      </w:r>
      <w:r w:rsidRPr="00C618D4">
        <w:rPr>
          <w:rStyle w:val="CharAmSchText"/>
        </w:rPr>
        <w:t>Safe haven enterprise visas</w:t>
      </w:r>
      <w:bookmarkEnd w:id="22"/>
    </w:p>
    <w:p w:rsidR="007F4021" w:rsidRPr="00C618D4" w:rsidRDefault="007F4021" w:rsidP="007F4021">
      <w:pPr>
        <w:pStyle w:val="Header"/>
      </w:pPr>
      <w:r w:rsidRPr="00C618D4">
        <w:rPr>
          <w:rStyle w:val="CharAmPartNo"/>
        </w:rPr>
        <w:t xml:space="preserve"> </w:t>
      </w:r>
      <w:r w:rsidRPr="00C618D4">
        <w:rPr>
          <w:rStyle w:val="CharAmPartText"/>
        </w:rPr>
        <w:t xml:space="preserve"> </w:t>
      </w:r>
    </w:p>
    <w:p w:rsidR="007F4021" w:rsidRPr="00C618D4" w:rsidRDefault="007F4021" w:rsidP="007F4021">
      <w:pPr>
        <w:pStyle w:val="ActHead9"/>
      </w:pPr>
      <w:bookmarkStart w:id="23" w:name="_Toc415212013"/>
      <w:r w:rsidRPr="00C618D4">
        <w:t>Migration Regulations</w:t>
      </w:r>
      <w:r w:rsidR="00C618D4" w:rsidRPr="00C618D4">
        <w:t> </w:t>
      </w:r>
      <w:r w:rsidRPr="00C618D4">
        <w:t>1994</w:t>
      </w:r>
      <w:bookmarkEnd w:id="23"/>
    </w:p>
    <w:p w:rsidR="007F4021" w:rsidRPr="00C618D4" w:rsidRDefault="00DA7636" w:rsidP="007F4021">
      <w:pPr>
        <w:pStyle w:val="ItemHead"/>
      </w:pPr>
      <w:r w:rsidRPr="00C618D4">
        <w:t>1</w:t>
      </w:r>
      <w:r w:rsidR="007F4021" w:rsidRPr="00C618D4">
        <w:t xml:space="preserve">  Regulation</w:t>
      </w:r>
      <w:r w:rsidR="00C618D4" w:rsidRPr="00C618D4">
        <w:t> </w:t>
      </w:r>
      <w:r w:rsidR="007F4021" w:rsidRPr="00C618D4">
        <w:t xml:space="preserve">1.03 (at the end of the definition of </w:t>
      </w:r>
      <w:r w:rsidR="007F4021" w:rsidRPr="00C618D4">
        <w:rPr>
          <w:i/>
        </w:rPr>
        <w:t>member of the family unit</w:t>
      </w:r>
      <w:r w:rsidR="007F4021" w:rsidRPr="00C618D4">
        <w:t>)</w:t>
      </w:r>
    </w:p>
    <w:p w:rsidR="007F4021" w:rsidRPr="00C618D4" w:rsidRDefault="007F4021" w:rsidP="007F4021">
      <w:pPr>
        <w:pStyle w:val="Item"/>
      </w:pPr>
      <w:r w:rsidRPr="00C618D4">
        <w:t>Add:</w:t>
      </w:r>
    </w:p>
    <w:p w:rsidR="007F4021" w:rsidRPr="00C618D4" w:rsidRDefault="007F4021" w:rsidP="007F4021">
      <w:pPr>
        <w:pStyle w:val="notetext"/>
      </w:pPr>
      <w:r w:rsidRPr="00C618D4">
        <w:t>Note:</w:t>
      </w:r>
      <w:r w:rsidRPr="00C618D4">
        <w:tab/>
        <w:t xml:space="preserve">For </w:t>
      </w:r>
      <w:r w:rsidRPr="00C618D4">
        <w:rPr>
          <w:b/>
          <w:i/>
        </w:rPr>
        <w:t>member of the same family unit</w:t>
      </w:r>
      <w:r w:rsidRPr="00C618D4">
        <w:t>, see subsection</w:t>
      </w:r>
      <w:r w:rsidR="00C618D4" w:rsidRPr="00C618D4">
        <w:t> </w:t>
      </w:r>
      <w:r w:rsidRPr="00C618D4">
        <w:t>5(1) of the Act.</w:t>
      </w:r>
    </w:p>
    <w:p w:rsidR="007F4021" w:rsidRPr="00C618D4" w:rsidRDefault="00DA7636" w:rsidP="007F4021">
      <w:pPr>
        <w:pStyle w:val="ItemHead"/>
      </w:pPr>
      <w:r w:rsidRPr="00C618D4">
        <w:t>2</w:t>
      </w:r>
      <w:r w:rsidR="007F4021" w:rsidRPr="00C618D4">
        <w:t xml:space="preserve">  Subregulation</w:t>
      </w:r>
      <w:r w:rsidR="00C618D4" w:rsidRPr="00C618D4">
        <w:t> </w:t>
      </w:r>
      <w:r w:rsidR="007F4021" w:rsidRPr="00C618D4">
        <w:t>2.01(2) (after table item</w:t>
      </w:r>
      <w:r w:rsidR="00C618D4" w:rsidRPr="00C618D4">
        <w:t> </w:t>
      </w:r>
      <w:r w:rsidR="007F4021" w:rsidRPr="00C618D4">
        <w:t>3)</w:t>
      </w:r>
    </w:p>
    <w:p w:rsidR="007F4021" w:rsidRPr="00C618D4" w:rsidRDefault="007F4021" w:rsidP="007F4021">
      <w:pPr>
        <w:pStyle w:val="Item"/>
      </w:pPr>
      <w:r w:rsidRPr="00C618D4"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276"/>
        <w:gridCol w:w="1559"/>
        <w:gridCol w:w="1704"/>
      </w:tblGrid>
      <w:tr w:rsidR="007F4021" w:rsidRPr="00C618D4" w:rsidTr="00DA7636">
        <w:tc>
          <w:tcPr>
            <w:tcW w:w="704" w:type="dxa"/>
            <w:shd w:val="clear" w:color="auto" w:fill="auto"/>
          </w:tcPr>
          <w:p w:rsidR="007F4021" w:rsidRPr="00C618D4" w:rsidRDefault="007F4021" w:rsidP="00DA7636">
            <w:pPr>
              <w:pStyle w:val="Tabletext"/>
            </w:pPr>
            <w:r w:rsidRPr="00C618D4">
              <w:t>3A</w:t>
            </w:r>
          </w:p>
        </w:tc>
        <w:tc>
          <w:tcPr>
            <w:tcW w:w="1843" w:type="dxa"/>
            <w:shd w:val="clear" w:color="auto" w:fill="auto"/>
          </w:tcPr>
          <w:p w:rsidR="007F4021" w:rsidRPr="00C618D4" w:rsidRDefault="007F4021" w:rsidP="00DA7636">
            <w:pPr>
              <w:pStyle w:val="Tabletext"/>
            </w:pPr>
            <w:r w:rsidRPr="00C618D4">
              <w:t>subsection</w:t>
            </w:r>
            <w:r w:rsidR="00C618D4" w:rsidRPr="00C618D4">
              <w:t> </w:t>
            </w:r>
            <w:r w:rsidRPr="00C618D4">
              <w:t>35A(3A)</w:t>
            </w:r>
          </w:p>
        </w:tc>
        <w:tc>
          <w:tcPr>
            <w:tcW w:w="1276" w:type="dxa"/>
            <w:shd w:val="clear" w:color="auto" w:fill="auto"/>
          </w:tcPr>
          <w:p w:rsidR="007F4021" w:rsidRPr="00C618D4" w:rsidRDefault="007F4021" w:rsidP="00DA7636">
            <w:pPr>
              <w:pStyle w:val="Tabletext"/>
            </w:pPr>
            <w:r w:rsidRPr="00C618D4">
              <w:t>safe haven enterprise visas</w:t>
            </w:r>
          </w:p>
        </w:tc>
        <w:tc>
          <w:tcPr>
            <w:tcW w:w="1559" w:type="dxa"/>
            <w:shd w:val="clear" w:color="auto" w:fill="auto"/>
          </w:tcPr>
          <w:p w:rsidR="007F4021" w:rsidRPr="00C618D4" w:rsidRDefault="007F4021" w:rsidP="00DA7636">
            <w:pPr>
              <w:pStyle w:val="Tabletext"/>
            </w:pPr>
            <w:r w:rsidRPr="00C618D4">
              <w:t>Safe Haven Enterprise (Class XE)</w:t>
            </w:r>
          </w:p>
        </w:tc>
        <w:tc>
          <w:tcPr>
            <w:tcW w:w="1704" w:type="dxa"/>
            <w:shd w:val="clear" w:color="auto" w:fill="auto"/>
          </w:tcPr>
          <w:p w:rsidR="007F4021" w:rsidRPr="00C618D4" w:rsidRDefault="007F4021" w:rsidP="00DA7636">
            <w:pPr>
              <w:pStyle w:val="Tabletext"/>
            </w:pPr>
            <w:r w:rsidRPr="00C618D4">
              <w:t>Subclass 790 (Safe Haven Enterprise)</w:t>
            </w:r>
          </w:p>
        </w:tc>
      </w:tr>
    </w:tbl>
    <w:p w:rsidR="007F4021" w:rsidRPr="00C618D4" w:rsidRDefault="00DA7636" w:rsidP="007F4021">
      <w:pPr>
        <w:pStyle w:val="ItemHead"/>
      </w:pPr>
      <w:r w:rsidRPr="00C618D4">
        <w:t>3</w:t>
      </w:r>
      <w:r w:rsidR="007F4021" w:rsidRPr="00C618D4">
        <w:t xml:space="preserve">  After subregulation</w:t>
      </w:r>
      <w:r w:rsidR="00C618D4" w:rsidRPr="00C618D4">
        <w:t> </w:t>
      </w:r>
      <w:r w:rsidR="007F4021" w:rsidRPr="00C618D4">
        <w:t>2.05(4AA)</w:t>
      </w:r>
    </w:p>
    <w:p w:rsidR="007F4021" w:rsidRPr="00C618D4" w:rsidRDefault="007F4021" w:rsidP="007F4021">
      <w:pPr>
        <w:pStyle w:val="Item"/>
      </w:pPr>
      <w:r w:rsidRPr="00C618D4">
        <w:t>Insert:</w:t>
      </w:r>
    </w:p>
    <w:p w:rsidR="007F4021" w:rsidRPr="00C618D4" w:rsidRDefault="007F4021" w:rsidP="007F4021">
      <w:pPr>
        <w:pStyle w:val="subsection"/>
      </w:pPr>
      <w:r w:rsidRPr="00C618D4">
        <w:tab/>
        <w:t>(4AB)</w:t>
      </w:r>
      <w:r w:rsidRPr="00C618D4">
        <w:tab/>
        <w:t>For subsection</w:t>
      </w:r>
      <w:r w:rsidR="00C618D4" w:rsidRPr="00C618D4">
        <w:t> </w:t>
      </w:r>
      <w:r w:rsidRPr="00C618D4">
        <w:t>41(2A) of the Act, further circumstances in which the Minister may waive condition 8503 in relation to a visa are that the holder of the visa:</w:t>
      </w:r>
    </w:p>
    <w:p w:rsidR="007F4021" w:rsidRPr="00C618D4" w:rsidRDefault="007F4021" w:rsidP="007F4021">
      <w:pPr>
        <w:pStyle w:val="paragraph"/>
      </w:pPr>
      <w:r w:rsidRPr="00C618D4">
        <w:tab/>
        <w:t>(a)</w:t>
      </w:r>
      <w:r w:rsidRPr="00C618D4">
        <w:tab/>
        <w:t>either:</w:t>
      </w:r>
    </w:p>
    <w:p w:rsidR="007F4021" w:rsidRPr="00C618D4" w:rsidRDefault="007F4021" w:rsidP="007F4021">
      <w:pPr>
        <w:pStyle w:val="paragraphsub"/>
      </w:pPr>
      <w:r w:rsidRPr="00C618D4">
        <w:tab/>
        <w:t>(i)</w:t>
      </w:r>
      <w:r w:rsidRPr="00C618D4">
        <w:tab/>
        <w:t>holds a safe haven enterprise visa; or</w:t>
      </w:r>
    </w:p>
    <w:p w:rsidR="007F4021" w:rsidRPr="00C618D4" w:rsidRDefault="007F4021" w:rsidP="007F4021">
      <w:pPr>
        <w:pStyle w:val="paragraphsub"/>
      </w:pPr>
      <w:r w:rsidRPr="00C618D4">
        <w:tab/>
        <w:t>(ii)</w:t>
      </w:r>
      <w:r w:rsidRPr="00C618D4">
        <w:tab/>
        <w:t>is a lawful non</w:t>
      </w:r>
      <w:r w:rsidR="00C618D4">
        <w:noBreakHyphen/>
      </w:r>
      <w:r w:rsidRPr="00C618D4">
        <w:t>citizen who has ever held a safe haven enterprise visa; and</w:t>
      </w:r>
    </w:p>
    <w:p w:rsidR="007F4021" w:rsidRPr="00C618D4" w:rsidRDefault="007F4021" w:rsidP="007F4021">
      <w:pPr>
        <w:pStyle w:val="paragraph"/>
      </w:pPr>
      <w:r w:rsidRPr="00C618D4">
        <w:tab/>
        <w:t>(b)</w:t>
      </w:r>
      <w:r w:rsidRPr="00C618D4">
        <w:tab/>
        <w:t>satisfies the requirements of subregulation</w:t>
      </w:r>
      <w:r w:rsidR="00C618D4" w:rsidRPr="00C618D4">
        <w:t> </w:t>
      </w:r>
      <w:r w:rsidRPr="00C618D4">
        <w:t>2.06AAB(2).</w:t>
      </w:r>
    </w:p>
    <w:p w:rsidR="007F4021" w:rsidRPr="00C618D4" w:rsidRDefault="00DA7636" w:rsidP="007F4021">
      <w:pPr>
        <w:pStyle w:val="ItemHead"/>
      </w:pPr>
      <w:r w:rsidRPr="00C618D4">
        <w:t>4</w:t>
      </w:r>
      <w:r w:rsidR="007F4021" w:rsidRPr="00C618D4">
        <w:t xml:space="preserve">  At the end of subitem</w:t>
      </w:r>
      <w:r w:rsidR="00C618D4" w:rsidRPr="00C618D4">
        <w:t> </w:t>
      </w:r>
      <w:r w:rsidR="007F4021" w:rsidRPr="00C618D4">
        <w:t>1127AA(3) of Schedule</w:t>
      </w:r>
      <w:r w:rsidR="00C618D4" w:rsidRPr="00C618D4">
        <w:t> </w:t>
      </w:r>
      <w:r w:rsidR="007F4021" w:rsidRPr="00C618D4">
        <w:t>1</w:t>
      </w:r>
    </w:p>
    <w:p w:rsidR="007F4021" w:rsidRPr="00C618D4" w:rsidRDefault="007F4021" w:rsidP="007F4021">
      <w:pPr>
        <w:pStyle w:val="Item"/>
      </w:pPr>
      <w:r w:rsidRPr="00C618D4">
        <w:t>Add:</w:t>
      </w:r>
    </w:p>
    <w:p w:rsidR="007F4021" w:rsidRPr="00C618D4" w:rsidRDefault="007F4021" w:rsidP="007F4021">
      <w:pPr>
        <w:pStyle w:val="notetext"/>
      </w:pPr>
      <w:r w:rsidRPr="00C618D4">
        <w:t>Note:</w:t>
      </w:r>
      <w:r w:rsidRPr="00C618D4">
        <w:tab/>
        <w:t xml:space="preserve">For </w:t>
      </w:r>
      <w:r w:rsidRPr="00C618D4">
        <w:rPr>
          <w:b/>
          <w:i/>
        </w:rPr>
        <w:t>member of the same family unit</w:t>
      </w:r>
      <w:r w:rsidRPr="00C618D4">
        <w:t>, see subsection</w:t>
      </w:r>
      <w:r w:rsidR="00C618D4" w:rsidRPr="00C618D4">
        <w:t> </w:t>
      </w:r>
      <w:r w:rsidRPr="00C618D4">
        <w:t>5(1) of the Act.</w:t>
      </w:r>
    </w:p>
    <w:p w:rsidR="007F4021" w:rsidRPr="00C618D4" w:rsidRDefault="00DA7636" w:rsidP="007F4021">
      <w:pPr>
        <w:pStyle w:val="ItemHead"/>
      </w:pPr>
      <w:r w:rsidRPr="00C618D4">
        <w:t>5</w:t>
      </w:r>
      <w:r w:rsidR="007F4021" w:rsidRPr="00C618D4">
        <w:t xml:space="preserve">  Subitem</w:t>
      </w:r>
      <w:r w:rsidR="00C618D4" w:rsidRPr="00C618D4">
        <w:t> </w:t>
      </w:r>
      <w:r w:rsidR="007F4021" w:rsidRPr="00C618D4">
        <w:t>1127AA(5) of Schedule</w:t>
      </w:r>
      <w:r w:rsidR="00C618D4" w:rsidRPr="00C618D4">
        <w:t> </w:t>
      </w:r>
      <w:r w:rsidR="007F4021" w:rsidRPr="00C618D4">
        <w:t>1</w:t>
      </w:r>
    </w:p>
    <w:p w:rsidR="007F4021" w:rsidRPr="00C618D4" w:rsidRDefault="007F4021" w:rsidP="007F4021">
      <w:pPr>
        <w:pStyle w:val="Item"/>
      </w:pPr>
      <w:r w:rsidRPr="00C618D4">
        <w:t>Repeal the subitem.</w:t>
      </w:r>
    </w:p>
    <w:p w:rsidR="007F4021" w:rsidRPr="00C618D4" w:rsidRDefault="007F4021" w:rsidP="007F4021">
      <w:pPr>
        <w:pStyle w:val="ItemHead"/>
      </w:pPr>
      <w:r w:rsidRPr="00C618D4">
        <w:t>6  At the end of paragraph</w:t>
      </w:r>
      <w:r w:rsidR="00C618D4" w:rsidRPr="00C618D4">
        <w:t> </w:t>
      </w:r>
      <w:r w:rsidRPr="00C618D4">
        <w:t>1302(3)(bb) of Schedule</w:t>
      </w:r>
      <w:r w:rsidR="00C618D4" w:rsidRPr="00C618D4">
        <w:t> </w:t>
      </w:r>
      <w:r w:rsidRPr="00C618D4">
        <w:t>1</w:t>
      </w:r>
    </w:p>
    <w:p w:rsidR="007F4021" w:rsidRPr="00C618D4" w:rsidRDefault="007F4021" w:rsidP="007F4021">
      <w:pPr>
        <w:pStyle w:val="Item"/>
      </w:pPr>
      <w:r w:rsidRPr="00C618D4">
        <w:t>Add:</w:t>
      </w:r>
    </w:p>
    <w:p w:rsidR="007F4021" w:rsidRPr="00C618D4" w:rsidRDefault="007F4021" w:rsidP="007F4021">
      <w:pPr>
        <w:pStyle w:val="paragraphsub"/>
      </w:pPr>
      <w:r w:rsidRPr="00C618D4">
        <w:tab/>
        <w:t>;</w:t>
      </w:r>
      <w:r w:rsidR="00F15256" w:rsidRPr="00C618D4">
        <w:t xml:space="preserve"> </w:t>
      </w:r>
      <w:r w:rsidRPr="00C618D4">
        <w:t>or (iii)</w:t>
      </w:r>
      <w:r w:rsidRPr="00C618D4">
        <w:tab/>
        <w:t>the holder of a Subclass 790 (Safe Haven Enterprise) visa; or</w:t>
      </w:r>
    </w:p>
    <w:p w:rsidR="007F4021" w:rsidRPr="00C618D4" w:rsidRDefault="007F4021" w:rsidP="007F4021">
      <w:pPr>
        <w:pStyle w:val="paragraphsub"/>
      </w:pPr>
      <w:r w:rsidRPr="00C618D4">
        <w:lastRenderedPageBreak/>
        <w:tab/>
        <w:t>(iv)</w:t>
      </w:r>
      <w:r w:rsidRPr="00C618D4">
        <w:tab/>
        <w:t>a person whose last substantive visa was a Subclass 790 (Safe Haven Enterprise) visa.</w:t>
      </w:r>
    </w:p>
    <w:p w:rsidR="007F4021" w:rsidRPr="00C618D4" w:rsidRDefault="007F4021" w:rsidP="007F4021">
      <w:pPr>
        <w:pStyle w:val="ItemHead"/>
      </w:pPr>
      <w:r w:rsidRPr="00C618D4">
        <w:t>7  At the end of subitem</w:t>
      </w:r>
      <w:r w:rsidR="00C618D4" w:rsidRPr="00C618D4">
        <w:t> </w:t>
      </w:r>
      <w:r w:rsidRPr="00C618D4">
        <w:t>1403(3) of Schedule</w:t>
      </w:r>
      <w:r w:rsidR="00C618D4" w:rsidRPr="00C618D4">
        <w:t> </w:t>
      </w:r>
      <w:r w:rsidRPr="00C618D4">
        <w:t>1</w:t>
      </w:r>
    </w:p>
    <w:p w:rsidR="007F4021" w:rsidRPr="00C618D4" w:rsidRDefault="007F4021" w:rsidP="007F4021">
      <w:pPr>
        <w:pStyle w:val="Item"/>
      </w:pPr>
      <w:r w:rsidRPr="00C618D4">
        <w:t>Add:</w:t>
      </w:r>
    </w:p>
    <w:p w:rsidR="007F4021" w:rsidRPr="00C618D4" w:rsidRDefault="007F4021" w:rsidP="007F4021">
      <w:pPr>
        <w:pStyle w:val="paragraph"/>
      </w:pPr>
      <w:r w:rsidRPr="00C618D4">
        <w:tab/>
        <w:t>(e)</w:t>
      </w:r>
      <w:r w:rsidRPr="00C618D4">
        <w:tab/>
        <w:t>Either:</w:t>
      </w:r>
    </w:p>
    <w:p w:rsidR="007F4021" w:rsidRPr="00C618D4" w:rsidRDefault="007F4021" w:rsidP="007F4021">
      <w:pPr>
        <w:pStyle w:val="paragraphsub"/>
      </w:pPr>
      <w:r w:rsidRPr="00C618D4">
        <w:tab/>
        <w:t>(i)</w:t>
      </w:r>
      <w:r w:rsidRPr="00C618D4">
        <w:tab/>
        <w:t xml:space="preserve">the applicant has not made a valid application for a Safe Haven Enterprise (Class XE) visa (a </w:t>
      </w:r>
      <w:r w:rsidRPr="00C618D4">
        <w:rPr>
          <w:b/>
          <w:i/>
        </w:rPr>
        <w:t>SHEV</w:t>
      </w:r>
      <w:r w:rsidRPr="00C618D4">
        <w:t>); or</w:t>
      </w:r>
    </w:p>
    <w:p w:rsidR="007F4021" w:rsidRPr="00C618D4" w:rsidRDefault="007F4021" w:rsidP="007F4021">
      <w:pPr>
        <w:pStyle w:val="paragraphsub"/>
      </w:pPr>
      <w:r w:rsidRPr="00C618D4">
        <w:tab/>
        <w:t>(ii)</w:t>
      </w:r>
      <w:r w:rsidRPr="00C618D4">
        <w:tab/>
        <w:t>the applicant has made a valid application for a SHEV and the SHEV application has been refused (whether or not it has been finally determined) or withdrawn; or</w:t>
      </w:r>
    </w:p>
    <w:p w:rsidR="007F4021" w:rsidRPr="00C618D4" w:rsidRDefault="007F4021" w:rsidP="007F4021">
      <w:pPr>
        <w:pStyle w:val="paragraphsub"/>
      </w:pPr>
      <w:r w:rsidRPr="00C618D4">
        <w:tab/>
        <w:t>(iii)</w:t>
      </w:r>
      <w:r w:rsidRPr="00C618D4">
        <w:tab/>
        <w:t>a SHEV has been granted to the applicant.</w:t>
      </w:r>
    </w:p>
    <w:p w:rsidR="007F4021" w:rsidRPr="00C618D4" w:rsidRDefault="007F4021" w:rsidP="00850B70">
      <w:pPr>
        <w:pStyle w:val="noteToPara"/>
      </w:pPr>
      <w:r w:rsidRPr="00C618D4">
        <w:t>Note:</w:t>
      </w:r>
      <w:r w:rsidRPr="00C618D4">
        <w:tab/>
        <w:t xml:space="preserve">A person to whom </w:t>
      </w:r>
      <w:r w:rsidR="00C618D4" w:rsidRPr="00C618D4">
        <w:t>subparagraph (</w:t>
      </w:r>
      <w:r w:rsidRPr="00C618D4">
        <w:t>ii) applies, whose SHEV application has been refused, is prevented by section</w:t>
      </w:r>
      <w:r w:rsidR="00C618D4" w:rsidRPr="00C618D4">
        <w:t> </w:t>
      </w:r>
      <w:r w:rsidRPr="00C618D4">
        <w:t>48A of the Act from making the Temporary Protection visa application unless the Minister has made a determination in relation to the person under section</w:t>
      </w:r>
      <w:r w:rsidR="00C618D4" w:rsidRPr="00C618D4">
        <w:t> </w:t>
      </w:r>
      <w:r w:rsidRPr="00C618D4">
        <w:t>48B of the Act.</w:t>
      </w:r>
    </w:p>
    <w:p w:rsidR="007F4021" w:rsidRPr="00C618D4" w:rsidRDefault="007F4021" w:rsidP="007F4021">
      <w:pPr>
        <w:pStyle w:val="paragraph"/>
      </w:pPr>
      <w:r w:rsidRPr="00C618D4">
        <w:tab/>
        <w:t>(f)</w:t>
      </w:r>
      <w:r w:rsidRPr="00C618D4">
        <w:tab/>
        <w:t>The application for the visa was not made at the same time as an application for a SHEV.</w:t>
      </w:r>
    </w:p>
    <w:p w:rsidR="007F4021" w:rsidRPr="00C618D4" w:rsidRDefault="00DA7636" w:rsidP="007F4021">
      <w:pPr>
        <w:pStyle w:val="ItemHead"/>
      </w:pPr>
      <w:r w:rsidRPr="00C618D4">
        <w:t>8</w:t>
      </w:r>
      <w:r w:rsidR="007F4021" w:rsidRPr="00C618D4">
        <w:t xml:space="preserve">  Subitem</w:t>
      </w:r>
      <w:r w:rsidR="00C618D4" w:rsidRPr="00C618D4">
        <w:t> </w:t>
      </w:r>
      <w:r w:rsidR="007F4021" w:rsidRPr="00C618D4">
        <w:t>1404(1) of Schedule</w:t>
      </w:r>
      <w:r w:rsidR="00C618D4" w:rsidRPr="00C618D4">
        <w:t> </w:t>
      </w:r>
      <w:r w:rsidR="007F4021" w:rsidRPr="00C618D4">
        <w:t>1</w:t>
      </w:r>
    </w:p>
    <w:p w:rsidR="007F4021" w:rsidRPr="00C618D4" w:rsidRDefault="007F4021" w:rsidP="007F4021">
      <w:pPr>
        <w:pStyle w:val="Item"/>
      </w:pPr>
      <w:r w:rsidRPr="00C618D4">
        <w:t>Repeal the subitem, substitute:</w:t>
      </w:r>
    </w:p>
    <w:p w:rsidR="007F4021" w:rsidRPr="00C618D4" w:rsidRDefault="007F4021" w:rsidP="007F4021">
      <w:pPr>
        <w:pStyle w:val="subsection"/>
      </w:pPr>
      <w:r w:rsidRPr="00C618D4">
        <w:tab/>
        <w:t>(1)</w:t>
      </w:r>
      <w:r w:rsidRPr="00C618D4">
        <w:tab/>
        <w:t>Form:   The approved form specified by the Minister in a legislative instrument made for this item under subregulation</w:t>
      </w:r>
      <w:r w:rsidR="00C618D4" w:rsidRPr="00C618D4">
        <w:t> </w:t>
      </w:r>
      <w:r w:rsidRPr="00C618D4">
        <w:t>2.07(5).</w:t>
      </w:r>
    </w:p>
    <w:p w:rsidR="007F4021" w:rsidRPr="00C618D4" w:rsidRDefault="00DA7636" w:rsidP="007F4021">
      <w:pPr>
        <w:pStyle w:val="ItemHead"/>
      </w:pPr>
      <w:r w:rsidRPr="00C618D4">
        <w:t>9</w:t>
      </w:r>
      <w:r w:rsidR="007F4021" w:rsidRPr="00C618D4">
        <w:t xml:space="preserve">  Paragraph 1404(3)(a) of Schedule</w:t>
      </w:r>
      <w:r w:rsidR="00C618D4" w:rsidRPr="00C618D4">
        <w:t> </w:t>
      </w:r>
      <w:r w:rsidR="007F4021" w:rsidRPr="00C618D4">
        <w:t>1</w:t>
      </w:r>
    </w:p>
    <w:p w:rsidR="007F4021" w:rsidRPr="00C618D4" w:rsidRDefault="007F4021" w:rsidP="007F4021">
      <w:pPr>
        <w:pStyle w:val="Item"/>
      </w:pPr>
      <w:r w:rsidRPr="00C618D4">
        <w:t>Repeal the paragraph, substitute:</w:t>
      </w:r>
    </w:p>
    <w:p w:rsidR="007F4021" w:rsidRPr="00C618D4" w:rsidRDefault="007F4021" w:rsidP="007F4021">
      <w:pPr>
        <w:pStyle w:val="paragraph"/>
      </w:pPr>
      <w:r w:rsidRPr="00C618D4">
        <w:tab/>
        <w:t>(a)</w:t>
      </w:r>
      <w:r w:rsidRPr="00C618D4">
        <w:tab/>
        <w:t>An application must be made at the place, and in the manner, (if any) specified by the Minister in a legislative instrument made for this item under subregulation</w:t>
      </w:r>
      <w:r w:rsidR="00C618D4" w:rsidRPr="00C618D4">
        <w:t> </w:t>
      </w:r>
      <w:r w:rsidRPr="00C618D4">
        <w:t>2.07(5).</w:t>
      </w:r>
    </w:p>
    <w:p w:rsidR="007F4021" w:rsidRPr="00C618D4" w:rsidRDefault="00DA7636" w:rsidP="007F4021">
      <w:pPr>
        <w:pStyle w:val="ItemHead"/>
      </w:pPr>
      <w:r w:rsidRPr="00C618D4">
        <w:t>10</w:t>
      </w:r>
      <w:r w:rsidR="007F4021" w:rsidRPr="00C618D4">
        <w:t xml:space="preserve">  Paragraph 1404(3)(e) of Schedule</w:t>
      </w:r>
      <w:r w:rsidR="00C618D4" w:rsidRPr="00C618D4">
        <w:t> </w:t>
      </w:r>
      <w:r w:rsidR="007F4021" w:rsidRPr="00C618D4">
        <w:t>1</w:t>
      </w:r>
    </w:p>
    <w:p w:rsidR="007F4021" w:rsidRPr="00C618D4" w:rsidRDefault="007F4021" w:rsidP="007F4021">
      <w:pPr>
        <w:pStyle w:val="Item"/>
      </w:pPr>
      <w:r w:rsidRPr="00C618D4">
        <w:t>Repeal the paragraph, substitute:</w:t>
      </w:r>
    </w:p>
    <w:p w:rsidR="007F4021" w:rsidRPr="00C618D4" w:rsidRDefault="007F4021" w:rsidP="007F4021">
      <w:pPr>
        <w:pStyle w:val="paragraph"/>
      </w:pPr>
      <w:r w:rsidRPr="00C618D4">
        <w:tab/>
        <w:t>(e)</w:t>
      </w:r>
      <w:r w:rsidRPr="00C618D4">
        <w:tab/>
        <w:t xml:space="preserve">The application includes an indication, in writing, that the applicant, or a member of the same family unit as the applicant who is also an applicant for a Safe Haven Enterprise (Class XE) visa, intends to work or study while accessing minimum social security benefits in a regional area specified under </w:t>
      </w:r>
      <w:r w:rsidR="00C618D4" w:rsidRPr="00C618D4">
        <w:t>subclause (</w:t>
      </w:r>
      <w:r w:rsidRPr="00C618D4">
        <w:t>4).</w:t>
      </w:r>
    </w:p>
    <w:p w:rsidR="007F4021" w:rsidRPr="00C618D4" w:rsidRDefault="007F4021" w:rsidP="007F4021">
      <w:pPr>
        <w:pStyle w:val="ItemHead"/>
      </w:pPr>
      <w:r w:rsidRPr="00C618D4">
        <w:lastRenderedPageBreak/>
        <w:t>1</w:t>
      </w:r>
      <w:r w:rsidR="00DA7636" w:rsidRPr="00C618D4">
        <w:t>1</w:t>
      </w:r>
      <w:r w:rsidRPr="00C618D4">
        <w:t xml:space="preserve">  At the end of subitem</w:t>
      </w:r>
      <w:r w:rsidR="00C618D4" w:rsidRPr="00C618D4">
        <w:t> </w:t>
      </w:r>
      <w:r w:rsidRPr="00C618D4">
        <w:t>1404(3) of Schedule</w:t>
      </w:r>
      <w:r w:rsidR="00C618D4" w:rsidRPr="00C618D4">
        <w:t> </w:t>
      </w:r>
      <w:r w:rsidRPr="00C618D4">
        <w:t>1</w:t>
      </w:r>
    </w:p>
    <w:p w:rsidR="007F4021" w:rsidRPr="00C618D4" w:rsidRDefault="007F4021" w:rsidP="007F4021">
      <w:pPr>
        <w:pStyle w:val="Item"/>
      </w:pPr>
      <w:r w:rsidRPr="00C618D4">
        <w:t>Add:</w:t>
      </w:r>
    </w:p>
    <w:p w:rsidR="007F4021" w:rsidRPr="00C618D4" w:rsidRDefault="007F4021" w:rsidP="007F4021">
      <w:pPr>
        <w:pStyle w:val="paragraph"/>
      </w:pPr>
      <w:r w:rsidRPr="00C618D4">
        <w:tab/>
        <w:t>(f)</w:t>
      </w:r>
      <w:r w:rsidRPr="00C618D4">
        <w:tab/>
        <w:t>Either:</w:t>
      </w:r>
    </w:p>
    <w:p w:rsidR="007F4021" w:rsidRPr="00C618D4" w:rsidRDefault="007F4021" w:rsidP="007F4021">
      <w:pPr>
        <w:pStyle w:val="paragraphsub"/>
      </w:pPr>
      <w:r w:rsidRPr="00C618D4">
        <w:tab/>
        <w:t>(i)</w:t>
      </w:r>
      <w:r w:rsidRPr="00C618D4">
        <w:tab/>
        <w:t xml:space="preserve">the applicant has not made a valid application for a Temporary Protection (Class XD) visa (a </w:t>
      </w:r>
      <w:r w:rsidRPr="00C618D4">
        <w:rPr>
          <w:b/>
          <w:i/>
        </w:rPr>
        <w:t>TPV</w:t>
      </w:r>
      <w:r w:rsidRPr="00C618D4">
        <w:t>); or</w:t>
      </w:r>
    </w:p>
    <w:p w:rsidR="007F4021" w:rsidRPr="00C618D4" w:rsidRDefault="007F4021" w:rsidP="007F4021">
      <w:pPr>
        <w:pStyle w:val="paragraphsub"/>
      </w:pPr>
      <w:r w:rsidRPr="00C618D4">
        <w:tab/>
        <w:t>(ii)</w:t>
      </w:r>
      <w:r w:rsidRPr="00C618D4">
        <w:tab/>
        <w:t>the applicant has made a valid application for a TPV, and the TPV application has been refused (whether or not it has been finally determined) or withdrawn; or</w:t>
      </w:r>
    </w:p>
    <w:p w:rsidR="007F4021" w:rsidRPr="00C618D4" w:rsidRDefault="007F4021" w:rsidP="007F4021">
      <w:pPr>
        <w:pStyle w:val="paragraphsub"/>
      </w:pPr>
      <w:r w:rsidRPr="00C618D4">
        <w:tab/>
        <w:t>(iii)</w:t>
      </w:r>
      <w:r w:rsidRPr="00C618D4">
        <w:tab/>
        <w:t>a TPV has been granted to the applicant; or</w:t>
      </w:r>
    </w:p>
    <w:p w:rsidR="007F4021" w:rsidRPr="00C618D4" w:rsidRDefault="007F4021" w:rsidP="007F4021">
      <w:pPr>
        <w:pStyle w:val="paragraphsub"/>
      </w:pPr>
      <w:r w:rsidRPr="00C618D4">
        <w:tab/>
        <w:t>(iv)</w:t>
      </w:r>
      <w:r w:rsidRPr="00C618D4">
        <w:tab/>
        <w:t>the application for the Safe Haven Enterprise (Class XE) visa is made at the same time as an application for a TPV.</w:t>
      </w:r>
    </w:p>
    <w:p w:rsidR="007F4021" w:rsidRPr="00C618D4" w:rsidRDefault="007F4021" w:rsidP="007F4021">
      <w:pPr>
        <w:pStyle w:val="notetext"/>
      </w:pPr>
      <w:r w:rsidRPr="00C618D4">
        <w:t>Note 1:</w:t>
      </w:r>
      <w:r w:rsidRPr="00C618D4">
        <w:tab/>
        <w:t xml:space="preserve">A person to whom </w:t>
      </w:r>
      <w:r w:rsidR="00C618D4" w:rsidRPr="00C618D4">
        <w:t>subparagraph (</w:t>
      </w:r>
      <w:r w:rsidRPr="00C618D4">
        <w:t>ii) applies, whose TPV application has been refused, is prevented by section</w:t>
      </w:r>
      <w:r w:rsidR="00C618D4" w:rsidRPr="00C618D4">
        <w:t> </w:t>
      </w:r>
      <w:r w:rsidRPr="00C618D4">
        <w:t>48A of the Act from making the Safe Haven Enterprise visa application unless the Minister has made a determination in relation to the person under section</w:t>
      </w:r>
      <w:r w:rsidR="00C618D4" w:rsidRPr="00C618D4">
        <w:t> </w:t>
      </w:r>
      <w:r w:rsidRPr="00C618D4">
        <w:t>48B of the Act.</w:t>
      </w:r>
    </w:p>
    <w:p w:rsidR="007F4021" w:rsidRPr="00C618D4" w:rsidRDefault="007F4021" w:rsidP="007F4021">
      <w:pPr>
        <w:pStyle w:val="notetext"/>
      </w:pPr>
      <w:r w:rsidRPr="00C618D4">
        <w:t>Note 2:</w:t>
      </w:r>
      <w:r w:rsidRPr="00C618D4">
        <w:tab/>
        <w:t xml:space="preserve">If </w:t>
      </w:r>
      <w:r w:rsidR="00C618D4" w:rsidRPr="00C618D4">
        <w:t>subparagraph (</w:t>
      </w:r>
      <w:r w:rsidRPr="00C618D4">
        <w:t>iii) applies, the TPV application will be invalid: see paragraph</w:t>
      </w:r>
      <w:r w:rsidR="00C618D4" w:rsidRPr="00C618D4">
        <w:t> </w:t>
      </w:r>
      <w:r w:rsidRPr="00C618D4">
        <w:t>1403(3)(f)).</w:t>
      </w:r>
    </w:p>
    <w:p w:rsidR="007F4021" w:rsidRPr="00C618D4" w:rsidRDefault="007F4021" w:rsidP="007F4021">
      <w:pPr>
        <w:pStyle w:val="ItemHead"/>
      </w:pPr>
      <w:r w:rsidRPr="00C618D4">
        <w:t>1</w:t>
      </w:r>
      <w:r w:rsidR="00DA7636" w:rsidRPr="00C618D4">
        <w:t>2</w:t>
      </w:r>
      <w:r w:rsidRPr="00C618D4">
        <w:t xml:space="preserve">  Clause</w:t>
      </w:r>
      <w:r w:rsidR="00C618D4" w:rsidRPr="00C618D4">
        <w:t> </w:t>
      </w:r>
      <w:r w:rsidRPr="00C618D4">
        <w:t>785.111 of Schedule</w:t>
      </w:r>
      <w:r w:rsidR="00C618D4" w:rsidRPr="00C618D4">
        <w:t> </w:t>
      </w:r>
      <w:r w:rsidRPr="00C618D4">
        <w:t>2</w:t>
      </w:r>
    </w:p>
    <w:p w:rsidR="007F4021" w:rsidRPr="00C618D4" w:rsidRDefault="007F4021" w:rsidP="007F4021">
      <w:pPr>
        <w:pStyle w:val="Item"/>
      </w:pPr>
      <w:r w:rsidRPr="00C618D4">
        <w:t>Repeal the clause, substitute:</w:t>
      </w:r>
    </w:p>
    <w:p w:rsidR="007F4021" w:rsidRPr="00C618D4" w:rsidRDefault="007F4021" w:rsidP="007F4021">
      <w:pPr>
        <w:pStyle w:val="notetext"/>
      </w:pPr>
      <w:r w:rsidRPr="00C618D4">
        <w:t>Note 1:</w:t>
      </w:r>
      <w:r w:rsidRPr="00C618D4">
        <w:tab/>
        <w:t xml:space="preserve">For </w:t>
      </w:r>
      <w:r w:rsidRPr="00C618D4">
        <w:rPr>
          <w:b/>
          <w:i/>
        </w:rPr>
        <w:t>member of the same family unit</w:t>
      </w:r>
      <w:r w:rsidRPr="00C618D4">
        <w:t>, see subsection</w:t>
      </w:r>
      <w:r w:rsidR="00C618D4" w:rsidRPr="00C618D4">
        <w:t> </w:t>
      </w:r>
      <w:r w:rsidRPr="00C618D4">
        <w:t>5(1) of the Act.</w:t>
      </w:r>
    </w:p>
    <w:p w:rsidR="007F4021" w:rsidRPr="00C618D4" w:rsidRDefault="007F4021" w:rsidP="007F4021">
      <w:pPr>
        <w:pStyle w:val="notetext"/>
      </w:pPr>
      <w:r w:rsidRPr="00C618D4">
        <w:t>Note 2:</w:t>
      </w:r>
      <w:r w:rsidRPr="00C618D4">
        <w:tab/>
        <w:t>There are no interpretation provisions specific to this Part.</w:t>
      </w:r>
    </w:p>
    <w:p w:rsidR="007F4021" w:rsidRPr="00C618D4" w:rsidRDefault="007F4021" w:rsidP="007F4021">
      <w:pPr>
        <w:pStyle w:val="ItemHead"/>
      </w:pPr>
      <w:r w:rsidRPr="00C618D4">
        <w:t>1</w:t>
      </w:r>
      <w:r w:rsidR="00DA7636" w:rsidRPr="00C618D4">
        <w:t>3</w:t>
      </w:r>
      <w:r w:rsidRPr="00C618D4">
        <w:t xml:space="preserve">  Paragraph 785.511(a) of Schedule</w:t>
      </w:r>
      <w:r w:rsidR="00C618D4" w:rsidRPr="00C618D4">
        <w:t> </w:t>
      </w:r>
      <w:r w:rsidRPr="00C618D4">
        <w:t>2</w:t>
      </w:r>
    </w:p>
    <w:p w:rsidR="007F4021" w:rsidRPr="00C618D4" w:rsidRDefault="007F4021" w:rsidP="007F4021">
      <w:pPr>
        <w:pStyle w:val="Item"/>
      </w:pPr>
      <w:r w:rsidRPr="00C618D4">
        <w:t>Repeal the paragraph, substitute:</w:t>
      </w:r>
    </w:p>
    <w:p w:rsidR="007F4021" w:rsidRPr="00C618D4" w:rsidRDefault="007F4021" w:rsidP="007F4021">
      <w:pPr>
        <w:pStyle w:val="paragraph"/>
      </w:pPr>
      <w:r w:rsidRPr="00C618D4">
        <w:tab/>
        <w:t>(a)</w:t>
      </w:r>
      <w:r w:rsidRPr="00C618D4">
        <w:tab/>
        <w:t xml:space="preserve">in a case in which the holder of the temporary visa (the </w:t>
      </w:r>
      <w:r w:rsidRPr="00C618D4">
        <w:rPr>
          <w:b/>
          <w:i/>
        </w:rPr>
        <w:t>first visa</w:t>
      </w:r>
      <w:r w:rsidRPr="00C618D4">
        <w:t>) makes a valid application for another Subclass 785 (Temporary Protection) visa, or a Subclass 790 (Safe Haven Enterprise) visa, within 3 years after the grant of the first visa:</w:t>
      </w:r>
    </w:p>
    <w:p w:rsidR="007F4021" w:rsidRPr="00C618D4" w:rsidRDefault="007F4021" w:rsidP="007F4021">
      <w:pPr>
        <w:pStyle w:val="paragraphsub"/>
      </w:pPr>
      <w:r w:rsidRPr="00C618D4">
        <w:tab/>
        <w:t>(i)</w:t>
      </w:r>
      <w:r w:rsidRPr="00C618D4">
        <w:tab/>
        <w:t>if the application is withdrawn—the later of:</w:t>
      </w:r>
    </w:p>
    <w:p w:rsidR="007F4021" w:rsidRPr="00C618D4" w:rsidRDefault="007F4021" w:rsidP="007F4021">
      <w:pPr>
        <w:pStyle w:val="paragraphsub-sub"/>
      </w:pPr>
      <w:r w:rsidRPr="00C618D4">
        <w:tab/>
        <w:t>(A)</w:t>
      </w:r>
      <w:r w:rsidRPr="00C618D4">
        <w:tab/>
        <w:t>the day the application is withdrawn; or</w:t>
      </w:r>
    </w:p>
    <w:p w:rsidR="007F4021" w:rsidRPr="00C618D4" w:rsidRDefault="007F4021" w:rsidP="007F4021">
      <w:pPr>
        <w:pStyle w:val="paragraphsub-sub"/>
      </w:pPr>
      <w:r w:rsidRPr="00C618D4">
        <w:tab/>
        <w:t>(B)</w:t>
      </w:r>
      <w:r w:rsidRPr="00C618D4">
        <w:tab/>
        <w:t>the end of 3 years from the date of the grant of the first visa, or the end of any shorter period specified by the Minister, whichever occurs earlier; and</w:t>
      </w:r>
    </w:p>
    <w:p w:rsidR="007F4021" w:rsidRPr="00C618D4" w:rsidRDefault="007F4021" w:rsidP="007F4021">
      <w:pPr>
        <w:pStyle w:val="paragraphsub"/>
      </w:pPr>
      <w:r w:rsidRPr="00C618D4">
        <w:lastRenderedPageBreak/>
        <w:tab/>
        <w:t>(ii)</w:t>
      </w:r>
      <w:r w:rsidRPr="00C618D4">
        <w:tab/>
        <w:t>if the application is not withdrawn—the day the application is finally determined; and</w:t>
      </w:r>
    </w:p>
    <w:p w:rsidR="007F4021" w:rsidRPr="00C618D4" w:rsidRDefault="007F4021" w:rsidP="007F4021">
      <w:pPr>
        <w:pStyle w:val="ItemHead"/>
      </w:pPr>
      <w:r w:rsidRPr="00C618D4">
        <w:t>1</w:t>
      </w:r>
      <w:r w:rsidR="00DA7636" w:rsidRPr="00C618D4">
        <w:t>4</w:t>
      </w:r>
      <w:r w:rsidRPr="00C618D4">
        <w:t xml:space="preserve">  Clause</w:t>
      </w:r>
      <w:r w:rsidR="00C618D4" w:rsidRPr="00C618D4">
        <w:t> </w:t>
      </w:r>
      <w:r w:rsidRPr="00C618D4">
        <w:t>790.111 of Schedule</w:t>
      </w:r>
      <w:r w:rsidR="00C618D4" w:rsidRPr="00C618D4">
        <w:t> </w:t>
      </w:r>
      <w:r w:rsidRPr="00C618D4">
        <w:t>2</w:t>
      </w:r>
    </w:p>
    <w:p w:rsidR="007F4021" w:rsidRPr="00C618D4" w:rsidRDefault="007F4021" w:rsidP="007F4021">
      <w:pPr>
        <w:pStyle w:val="Item"/>
      </w:pPr>
      <w:r w:rsidRPr="00C618D4">
        <w:t>Repeal the clause, substitute:</w:t>
      </w:r>
    </w:p>
    <w:p w:rsidR="007F4021" w:rsidRPr="00C618D4" w:rsidRDefault="007F4021" w:rsidP="007F4021">
      <w:pPr>
        <w:pStyle w:val="notetext"/>
      </w:pPr>
      <w:r w:rsidRPr="00C618D4">
        <w:t>Note 1:</w:t>
      </w:r>
      <w:r w:rsidRPr="00C618D4">
        <w:tab/>
        <w:t xml:space="preserve">For </w:t>
      </w:r>
      <w:r w:rsidRPr="00C618D4">
        <w:rPr>
          <w:b/>
          <w:i/>
        </w:rPr>
        <w:t>member of the same family unit</w:t>
      </w:r>
      <w:r w:rsidRPr="00C618D4">
        <w:t>, see subsection</w:t>
      </w:r>
      <w:r w:rsidR="00C618D4" w:rsidRPr="00C618D4">
        <w:t> </w:t>
      </w:r>
      <w:r w:rsidRPr="00C618D4">
        <w:t>5(1) of the Act.</w:t>
      </w:r>
    </w:p>
    <w:p w:rsidR="007F4021" w:rsidRPr="00C618D4" w:rsidRDefault="007F4021" w:rsidP="007F4021">
      <w:pPr>
        <w:pStyle w:val="notetext"/>
      </w:pPr>
      <w:r w:rsidRPr="00C618D4">
        <w:t>Note 2:</w:t>
      </w:r>
      <w:r w:rsidRPr="00C618D4">
        <w:tab/>
        <w:t>There are no interpretation provisions specific to this Part.</w:t>
      </w:r>
    </w:p>
    <w:p w:rsidR="007F4021" w:rsidRPr="00C618D4" w:rsidRDefault="007F4021" w:rsidP="007F4021">
      <w:pPr>
        <w:pStyle w:val="ItemHead"/>
      </w:pPr>
      <w:r w:rsidRPr="00C618D4">
        <w:t>1</w:t>
      </w:r>
      <w:r w:rsidR="00DA7636" w:rsidRPr="00C618D4">
        <w:t>5</w:t>
      </w:r>
      <w:r w:rsidRPr="00C618D4">
        <w:t xml:space="preserve">  Paragraph 790.511(a) of Schedule</w:t>
      </w:r>
      <w:r w:rsidR="00C618D4" w:rsidRPr="00C618D4">
        <w:t> </w:t>
      </w:r>
      <w:r w:rsidRPr="00C618D4">
        <w:t>2</w:t>
      </w:r>
    </w:p>
    <w:p w:rsidR="007F4021" w:rsidRPr="00C618D4" w:rsidRDefault="007F4021" w:rsidP="007F4021">
      <w:pPr>
        <w:pStyle w:val="Item"/>
      </w:pPr>
      <w:r w:rsidRPr="00C618D4">
        <w:t>Repeal the paragraph, substitute:</w:t>
      </w:r>
    </w:p>
    <w:p w:rsidR="007F4021" w:rsidRPr="00C618D4" w:rsidRDefault="007F4021" w:rsidP="007F4021">
      <w:pPr>
        <w:pStyle w:val="paragraph"/>
      </w:pPr>
      <w:r w:rsidRPr="00C618D4">
        <w:tab/>
        <w:t>(a)</w:t>
      </w:r>
      <w:r w:rsidRPr="00C618D4">
        <w:tab/>
        <w:t xml:space="preserve">in a case in which the holder of the temporary visa (the </w:t>
      </w:r>
      <w:r w:rsidRPr="00C618D4">
        <w:rPr>
          <w:b/>
          <w:i/>
        </w:rPr>
        <w:t>first visa</w:t>
      </w:r>
      <w:r w:rsidRPr="00C618D4">
        <w:t>) makes a valid application for another Subclass 790 (Safe Haven Enterprise) visa or a Subclass 785 (Temporary Protection) visa, within 5 years after the grant of the first visa:</w:t>
      </w:r>
    </w:p>
    <w:p w:rsidR="007F4021" w:rsidRPr="00C618D4" w:rsidRDefault="007F4021" w:rsidP="007F4021">
      <w:pPr>
        <w:pStyle w:val="paragraphsub"/>
      </w:pPr>
      <w:r w:rsidRPr="00C618D4">
        <w:tab/>
        <w:t>(i)</w:t>
      </w:r>
      <w:r w:rsidRPr="00C618D4">
        <w:tab/>
        <w:t>if the application is withdrawn—the later of the day the application is withdrawn, and the end of 5 years from the date of the grant of the first visa; and</w:t>
      </w:r>
    </w:p>
    <w:p w:rsidR="007F4021" w:rsidRPr="00C618D4" w:rsidRDefault="007F4021" w:rsidP="007F4021">
      <w:pPr>
        <w:pStyle w:val="paragraphsub"/>
      </w:pPr>
      <w:r w:rsidRPr="00C618D4">
        <w:tab/>
        <w:t>(ii)</w:t>
      </w:r>
      <w:r w:rsidRPr="00C618D4">
        <w:tab/>
        <w:t>if the application is not withdrawn—the day the application is finally determined</w:t>
      </w:r>
      <w:r w:rsidR="00BD5E39" w:rsidRPr="00C618D4">
        <w:t>; or</w:t>
      </w:r>
    </w:p>
    <w:p w:rsidR="007F4021" w:rsidRPr="00C618D4" w:rsidRDefault="007F4021" w:rsidP="007F4021">
      <w:pPr>
        <w:pStyle w:val="ItemHead"/>
      </w:pPr>
      <w:r w:rsidRPr="00C618D4">
        <w:t>1</w:t>
      </w:r>
      <w:r w:rsidR="00112908" w:rsidRPr="00C618D4">
        <w:t>6</w:t>
      </w:r>
      <w:r w:rsidR="0052481C" w:rsidRPr="00C618D4">
        <w:t xml:space="preserve"> </w:t>
      </w:r>
      <w:r w:rsidRPr="00C618D4">
        <w:t xml:space="preserve"> Clause</w:t>
      </w:r>
      <w:r w:rsidR="00C618D4" w:rsidRPr="00C618D4">
        <w:t> </w:t>
      </w:r>
      <w:r w:rsidRPr="00C618D4">
        <w:t>866.112 of Schedule</w:t>
      </w:r>
      <w:r w:rsidR="00C618D4" w:rsidRPr="00C618D4">
        <w:t> </w:t>
      </w:r>
      <w:r w:rsidRPr="00C618D4">
        <w:t>2</w:t>
      </w:r>
    </w:p>
    <w:p w:rsidR="007F4021" w:rsidRPr="00C618D4" w:rsidRDefault="007F4021" w:rsidP="007F4021">
      <w:pPr>
        <w:pStyle w:val="Item"/>
      </w:pPr>
      <w:r w:rsidRPr="00C618D4">
        <w:t>Repeal the clause.</w:t>
      </w:r>
    </w:p>
    <w:p w:rsidR="007F4021" w:rsidRPr="00C618D4" w:rsidRDefault="007F4021" w:rsidP="007F4021">
      <w:pPr>
        <w:pStyle w:val="ItemHead"/>
      </w:pPr>
      <w:r w:rsidRPr="00C618D4">
        <w:t>1</w:t>
      </w:r>
      <w:r w:rsidR="00112908" w:rsidRPr="00C618D4">
        <w:t>7</w:t>
      </w:r>
      <w:r w:rsidRPr="00C618D4">
        <w:t xml:space="preserve">  Subparagraphs</w:t>
      </w:r>
      <w:r w:rsidR="00C618D4" w:rsidRPr="00C618D4">
        <w:t> </w:t>
      </w:r>
      <w:r w:rsidRPr="00C618D4">
        <w:t>8570(a)(i) and (ii) of Schedule</w:t>
      </w:r>
      <w:r w:rsidR="00C618D4" w:rsidRPr="00C618D4">
        <w:t> </w:t>
      </w:r>
      <w:r w:rsidRPr="00C618D4">
        <w:t>8</w:t>
      </w:r>
    </w:p>
    <w:p w:rsidR="007F4021" w:rsidRPr="00C618D4" w:rsidRDefault="007F4021" w:rsidP="007F4021">
      <w:pPr>
        <w:pStyle w:val="Item"/>
      </w:pPr>
      <w:r w:rsidRPr="00C618D4">
        <w:t>Omit “to whom”, substitute “in respect of whom”.</w:t>
      </w:r>
    </w:p>
    <w:p w:rsidR="00A7086A" w:rsidRPr="00C618D4" w:rsidRDefault="00A7086A" w:rsidP="002A7D4A">
      <w:pPr>
        <w:pStyle w:val="ActHead6"/>
        <w:pageBreakBefore/>
      </w:pPr>
      <w:bookmarkStart w:id="24" w:name="_Toc415212014"/>
      <w:bookmarkStart w:id="25" w:name="opcCurrentFind"/>
      <w:r w:rsidRPr="00C618D4">
        <w:rPr>
          <w:rStyle w:val="CharAmSchNo"/>
        </w:rPr>
        <w:lastRenderedPageBreak/>
        <w:t>Schedule</w:t>
      </w:r>
      <w:r w:rsidR="00C618D4" w:rsidRPr="00C618D4">
        <w:rPr>
          <w:rStyle w:val="CharAmSchNo"/>
        </w:rPr>
        <w:t> </w:t>
      </w:r>
      <w:r w:rsidR="00FF0582" w:rsidRPr="00C618D4">
        <w:rPr>
          <w:rStyle w:val="CharAmSchNo"/>
        </w:rPr>
        <w:t>4</w:t>
      </w:r>
      <w:r w:rsidRPr="00C618D4">
        <w:t>—</w:t>
      </w:r>
      <w:r w:rsidRPr="00C618D4">
        <w:rPr>
          <w:rStyle w:val="CharAmSchText"/>
        </w:rPr>
        <w:t>Application provisions</w:t>
      </w:r>
      <w:bookmarkEnd w:id="24"/>
    </w:p>
    <w:bookmarkEnd w:id="25"/>
    <w:p w:rsidR="00B66E33" w:rsidRPr="00C618D4" w:rsidRDefault="00B66E33" w:rsidP="00B66E33">
      <w:pPr>
        <w:pStyle w:val="Header"/>
      </w:pPr>
      <w:r w:rsidRPr="00C618D4">
        <w:rPr>
          <w:rStyle w:val="CharAmPartNo"/>
        </w:rPr>
        <w:t xml:space="preserve"> </w:t>
      </w:r>
      <w:r w:rsidRPr="00C618D4">
        <w:rPr>
          <w:rStyle w:val="CharAmPartText"/>
        </w:rPr>
        <w:t xml:space="preserve"> </w:t>
      </w:r>
    </w:p>
    <w:p w:rsidR="00B66E33" w:rsidRPr="00C618D4" w:rsidRDefault="00B66E33" w:rsidP="00B66E33">
      <w:pPr>
        <w:pStyle w:val="ActHead9"/>
      </w:pPr>
      <w:bookmarkStart w:id="26" w:name="_Toc415212015"/>
      <w:r w:rsidRPr="00C618D4">
        <w:t>Migration Regulations</w:t>
      </w:r>
      <w:r w:rsidR="00C618D4" w:rsidRPr="00C618D4">
        <w:t> </w:t>
      </w:r>
      <w:r w:rsidRPr="00C618D4">
        <w:t>1994</w:t>
      </w:r>
      <w:bookmarkEnd w:id="26"/>
    </w:p>
    <w:p w:rsidR="00297461" w:rsidRPr="00C618D4" w:rsidRDefault="00A7086A" w:rsidP="006C6399">
      <w:pPr>
        <w:pStyle w:val="ItemHead"/>
      </w:pPr>
      <w:r w:rsidRPr="00C618D4">
        <w:t>1</w:t>
      </w:r>
      <w:r w:rsidR="00297461" w:rsidRPr="00C618D4">
        <w:t xml:space="preserve">  Schedule</w:t>
      </w:r>
      <w:r w:rsidR="00C618D4" w:rsidRPr="00C618D4">
        <w:t> </w:t>
      </w:r>
      <w:r w:rsidR="00297461" w:rsidRPr="00C618D4">
        <w:t>13</w:t>
      </w:r>
    </w:p>
    <w:p w:rsidR="00297461" w:rsidRPr="00C618D4" w:rsidRDefault="00297461" w:rsidP="00297461">
      <w:pPr>
        <w:pStyle w:val="Item"/>
      </w:pPr>
      <w:r w:rsidRPr="00C618D4">
        <w:t>Insert in its appropriate numerical position:</w:t>
      </w:r>
    </w:p>
    <w:p w:rsidR="00A7086A" w:rsidRPr="00C618D4" w:rsidRDefault="00A7086A" w:rsidP="00A7086A">
      <w:pPr>
        <w:pStyle w:val="ActHead2"/>
      </w:pPr>
      <w:bookmarkStart w:id="27" w:name="f_Check_Lines_above"/>
      <w:bookmarkStart w:id="28" w:name="_Toc415212016"/>
      <w:bookmarkEnd w:id="27"/>
      <w:r w:rsidRPr="00C618D4">
        <w:rPr>
          <w:rStyle w:val="CharPartNo"/>
        </w:rPr>
        <w:t>Part</w:t>
      </w:r>
      <w:r w:rsidR="00C618D4" w:rsidRPr="00C618D4">
        <w:rPr>
          <w:rStyle w:val="CharPartNo"/>
        </w:rPr>
        <w:t> </w:t>
      </w:r>
      <w:r w:rsidR="00DD7DD6" w:rsidRPr="00C618D4">
        <w:rPr>
          <w:rStyle w:val="CharPartNo"/>
        </w:rPr>
        <w:t>40</w:t>
      </w:r>
      <w:r w:rsidRPr="00C618D4">
        <w:t>—</w:t>
      </w:r>
      <w:r w:rsidRPr="00C618D4">
        <w:rPr>
          <w:rStyle w:val="CharPartText"/>
        </w:rPr>
        <w:t xml:space="preserve">Amendments made by </w:t>
      </w:r>
      <w:r w:rsidR="00F15256" w:rsidRPr="00C618D4">
        <w:rPr>
          <w:rStyle w:val="CharPartText"/>
        </w:rPr>
        <w:t xml:space="preserve">the </w:t>
      </w:r>
      <w:r w:rsidRPr="00C618D4">
        <w:rPr>
          <w:rStyle w:val="CharPartText"/>
        </w:rPr>
        <w:t>Migration Amendment (</w:t>
      </w:r>
      <w:r w:rsidR="00CE69BA" w:rsidRPr="00C618D4">
        <w:rPr>
          <w:rStyle w:val="CharPartText"/>
        </w:rPr>
        <w:t>Resolving the Asylum Legacy Caseload</w:t>
      </w:r>
      <w:r w:rsidRPr="00C618D4">
        <w:rPr>
          <w:rStyle w:val="CharPartText"/>
        </w:rPr>
        <w:t>) Regulation</w:t>
      </w:r>
      <w:r w:rsidR="00C618D4" w:rsidRPr="00C618D4">
        <w:rPr>
          <w:rStyle w:val="CharPartText"/>
        </w:rPr>
        <w:t> </w:t>
      </w:r>
      <w:r w:rsidRPr="00C618D4">
        <w:rPr>
          <w:rStyle w:val="CharPartText"/>
        </w:rPr>
        <w:t>2015</w:t>
      </w:r>
      <w:bookmarkEnd w:id="28"/>
    </w:p>
    <w:p w:rsidR="00B66E33" w:rsidRPr="00C618D4" w:rsidRDefault="00B66E33" w:rsidP="00B66E33">
      <w:pPr>
        <w:pStyle w:val="Header"/>
      </w:pPr>
      <w:r w:rsidRPr="00C618D4">
        <w:rPr>
          <w:rStyle w:val="CharDivNo"/>
        </w:rPr>
        <w:t xml:space="preserve"> </w:t>
      </w:r>
      <w:r w:rsidRPr="00C618D4">
        <w:rPr>
          <w:rStyle w:val="CharDivText"/>
        </w:rPr>
        <w:t xml:space="preserve"> </w:t>
      </w:r>
    </w:p>
    <w:p w:rsidR="00297461" w:rsidRPr="00C618D4" w:rsidRDefault="00DD7DD6" w:rsidP="00A7086A">
      <w:pPr>
        <w:pStyle w:val="ActHead5"/>
      </w:pPr>
      <w:bookmarkStart w:id="29" w:name="_Toc415212017"/>
      <w:r w:rsidRPr="00C618D4">
        <w:rPr>
          <w:rStyle w:val="CharSectno"/>
        </w:rPr>
        <w:t>40</w:t>
      </w:r>
      <w:r w:rsidR="00A7086A" w:rsidRPr="00C618D4">
        <w:rPr>
          <w:rStyle w:val="CharSectno"/>
        </w:rPr>
        <w:t>0</w:t>
      </w:r>
      <w:r w:rsidR="0093728C" w:rsidRPr="00C618D4">
        <w:rPr>
          <w:rStyle w:val="CharSectno"/>
        </w:rPr>
        <w:t>1</w:t>
      </w:r>
      <w:r w:rsidR="00297461" w:rsidRPr="00C618D4">
        <w:t xml:space="preserve"> </w:t>
      </w:r>
      <w:r w:rsidR="00A7086A" w:rsidRPr="00C618D4">
        <w:t xml:space="preserve"> Operation of Schedule</w:t>
      </w:r>
      <w:r w:rsidR="00C618D4" w:rsidRPr="00C618D4">
        <w:t> </w:t>
      </w:r>
      <w:r w:rsidR="00A7086A" w:rsidRPr="00C618D4">
        <w:t>2</w:t>
      </w:r>
      <w:bookmarkEnd w:id="29"/>
    </w:p>
    <w:p w:rsidR="005318E4" w:rsidRPr="00C618D4" w:rsidRDefault="00297461" w:rsidP="00297461">
      <w:pPr>
        <w:pStyle w:val="subsection"/>
      </w:pPr>
      <w:r w:rsidRPr="00C618D4">
        <w:tab/>
      </w:r>
      <w:r w:rsidR="005318E4" w:rsidRPr="00C618D4">
        <w:tab/>
        <w:t>The amendments of these Regulations made by Schedule</w:t>
      </w:r>
      <w:r w:rsidR="00C618D4" w:rsidRPr="00C618D4">
        <w:t> </w:t>
      </w:r>
      <w:r w:rsidR="00A7086A" w:rsidRPr="00C618D4">
        <w:t>2</w:t>
      </w:r>
      <w:r w:rsidR="005318E4" w:rsidRPr="00C618D4">
        <w:t xml:space="preserve"> </w:t>
      </w:r>
      <w:r w:rsidR="00D40116" w:rsidRPr="00C618D4">
        <w:t>t</w:t>
      </w:r>
      <w:r w:rsidR="005318E4" w:rsidRPr="00C618D4">
        <w:t xml:space="preserve">o the </w:t>
      </w:r>
      <w:bookmarkStart w:id="30" w:name="BKCheck15B_5"/>
      <w:bookmarkEnd w:id="30"/>
      <w:r w:rsidR="005318E4" w:rsidRPr="00C618D4">
        <w:rPr>
          <w:i/>
        </w:rPr>
        <w:fldChar w:fldCharType="begin"/>
      </w:r>
      <w:r w:rsidR="005318E4" w:rsidRPr="00C618D4">
        <w:rPr>
          <w:i/>
        </w:rPr>
        <w:instrText xml:space="preserve"> STYLEREF  ShortT </w:instrText>
      </w:r>
      <w:r w:rsidR="005318E4" w:rsidRPr="00C618D4">
        <w:rPr>
          <w:i/>
        </w:rPr>
        <w:fldChar w:fldCharType="separate"/>
      </w:r>
      <w:r w:rsidR="00195470">
        <w:rPr>
          <w:i/>
          <w:noProof/>
        </w:rPr>
        <w:t>Migration Amendment (Resolving the Asylum Legacy Caseload) Regulation 2015</w:t>
      </w:r>
      <w:r w:rsidR="005318E4" w:rsidRPr="00C618D4">
        <w:rPr>
          <w:i/>
        </w:rPr>
        <w:fldChar w:fldCharType="end"/>
      </w:r>
      <w:r w:rsidR="005318E4" w:rsidRPr="00C618D4">
        <w:rPr>
          <w:i/>
        </w:rPr>
        <w:t xml:space="preserve"> </w:t>
      </w:r>
      <w:r w:rsidR="005318E4" w:rsidRPr="00C618D4">
        <w:t xml:space="preserve">apply in relation to </w:t>
      </w:r>
      <w:r w:rsidR="00C72CF5" w:rsidRPr="00C618D4">
        <w:t xml:space="preserve">the review of </w:t>
      </w:r>
      <w:r w:rsidR="00591C56" w:rsidRPr="00C618D4">
        <w:t>an RRT</w:t>
      </w:r>
      <w:r w:rsidR="00C618D4">
        <w:noBreakHyphen/>
      </w:r>
      <w:r w:rsidR="00591C56" w:rsidRPr="00C618D4">
        <w:t>reviewable</w:t>
      </w:r>
      <w:r w:rsidR="005318E4" w:rsidRPr="00C618D4">
        <w:t xml:space="preserve"> decision made on or after </w:t>
      </w:r>
      <w:r w:rsidR="00591C56" w:rsidRPr="00C618D4">
        <w:t>the commencement of that Schedule</w:t>
      </w:r>
      <w:r w:rsidR="005318E4" w:rsidRPr="00C618D4">
        <w:t xml:space="preserve"> in relation to an application for a protection visa made on or after 16</w:t>
      </w:r>
      <w:r w:rsidR="00C618D4" w:rsidRPr="00C618D4">
        <w:t> </w:t>
      </w:r>
      <w:r w:rsidR="005318E4" w:rsidRPr="00C618D4">
        <w:t>December 2014.</w:t>
      </w:r>
    </w:p>
    <w:sectPr w:rsidR="005318E4" w:rsidRPr="00C618D4" w:rsidSect="009B5F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4A" w:rsidRDefault="002A7D4A" w:rsidP="0048364F">
      <w:pPr>
        <w:spacing w:line="240" w:lineRule="auto"/>
      </w:pPr>
      <w:r>
        <w:separator/>
      </w:r>
    </w:p>
  </w:endnote>
  <w:endnote w:type="continuationSeparator" w:id="0">
    <w:p w:rsidR="002A7D4A" w:rsidRDefault="002A7D4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9B5FAC" w:rsidRDefault="002A7D4A" w:rsidP="009B5FA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B5FAC">
      <w:rPr>
        <w:i/>
        <w:sz w:val="18"/>
      </w:rPr>
      <w:t xml:space="preserve"> </w:t>
    </w:r>
    <w:r w:rsidR="009B5FAC" w:rsidRPr="009B5FAC">
      <w:rPr>
        <w:i/>
        <w:sz w:val="18"/>
      </w:rPr>
      <w:t>OPC61108 -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AC" w:rsidRDefault="009B5FAC" w:rsidP="009B5FAC">
    <w:pPr>
      <w:pStyle w:val="Footer"/>
    </w:pPr>
    <w:r w:rsidRPr="009B5FAC">
      <w:rPr>
        <w:i/>
        <w:sz w:val="18"/>
      </w:rPr>
      <w:t>OPC61108 -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9B5FAC" w:rsidRDefault="002A7D4A" w:rsidP="00486382">
    <w:pPr>
      <w:pStyle w:val="Footer"/>
      <w:rPr>
        <w:sz w:val="18"/>
      </w:rPr>
    </w:pPr>
  </w:p>
  <w:p w:rsidR="002A7D4A" w:rsidRPr="009B5FAC" w:rsidRDefault="009B5FAC" w:rsidP="009B5FAC">
    <w:pPr>
      <w:pStyle w:val="Footer"/>
      <w:rPr>
        <w:sz w:val="18"/>
      </w:rPr>
    </w:pPr>
    <w:r w:rsidRPr="009B5FAC">
      <w:rPr>
        <w:i/>
        <w:sz w:val="18"/>
      </w:rPr>
      <w:t>OPC61108 -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9B5FAC" w:rsidRDefault="002A7D4A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A7D4A" w:rsidRPr="009B5FA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A7D4A" w:rsidRPr="009B5FAC" w:rsidRDefault="002A7D4A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9B5FAC">
            <w:rPr>
              <w:rFonts w:cs="Times New Roman"/>
              <w:i/>
              <w:sz w:val="18"/>
            </w:rPr>
            <w:fldChar w:fldCharType="begin"/>
          </w:r>
          <w:r w:rsidRPr="009B5FAC">
            <w:rPr>
              <w:rFonts w:cs="Times New Roman"/>
              <w:i/>
              <w:sz w:val="18"/>
            </w:rPr>
            <w:instrText xml:space="preserve"> PAGE </w:instrText>
          </w:r>
          <w:r w:rsidRPr="009B5FAC">
            <w:rPr>
              <w:rFonts w:cs="Times New Roman"/>
              <w:i/>
              <w:sz w:val="18"/>
            </w:rPr>
            <w:fldChar w:fldCharType="separate"/>
          </w:r>
          <w:r w:rsidR="00AF5522">
            <w:rPr>
              <w:rFonts w:cs="Times New Roman"/>
              <w:i/>
              <w:noProof/>
              <w:sz w:val="18"/>
            </w:rPr>
            <w:t>xiv</w:t>
          </w:r>
          <w:r w:rsidRPr="009B5F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A7D4A" w:rsidRPr="009B5FAC" w:rsidRDefault="002A7D4A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B5FAC">
            <w:rPr>
              <w:rFonts w:cs="Times New Roman"/>
              <w:i/>
              <w:sz w:val="18"/>
            </w:rPr>
            <w:fldChar w:fldCharType="begin"/>
          </w:r>
          <w:r w:rsidRPr="009B5FAC">
            <w:rPr>
              <w:rFonts w:cs="Times New Roman"/>
              <w:i/>
              <w:sz w:val="18"/>
            </w:rPr>
            <w:instrText xml:space="preserve"> DOCPROPERTY ShortT </w:instrText>
          </w:r>
          <w:r w:rsidRPr="009B5FAC">
            <w:rPr>
              <w:rFonts w:cs="Times New Roman"/>
              <w:i/>
              <w:sz w:val="18"/>
            </w:rPr>
            <w:fldChar w:fldCharType="separate"/>
          </w:r>
          <w:r w:rsidR="00195470">
            <w:rPr>
              <w:rFonts w:cs="Times New Roman"/>
              <w:i/>
              <w:sz w:val="18"/>
            </w:rPr>
            <w:t>Migration Amendment (Resolving the Asylum Legacy Caseload) Regulation 2015</w:t>
          </w:r>
          <w:r w:rsidRPr="009B5F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A7D4A" w:rsidRPr="009B5FAC" w:rsidRDefault="002A7D4A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B5FAC">
            <w:rPr>
              <w:rFonts w:cs="Times New Roman"/>
              <w:i/>
              <w:sz w:val="18"/>
            </w:rPr>
            <w:fldChar w:fldCharType="begin"/>
          </w:r>
          <w:r w:rsidRPr="009B5FAC">
            <w:rPr>
              <w:rFonts w:cs="Times New Roman"/>
              <w:i/>
              <w:sz w:val="18"/>
            </w:rPr>
            <w:instrText xml:space="preserve"> DOCPROPERTY ActNo </w:instrText>
          </w:r>
          <w:r w:rsidRPr="009B5FAC">
            <w:rPr>
              <w:rFonts w:cs="Times New Roman"/>
              <w:i/>
              <w:sz w:val="18"/>
            </w:rPr>
            <w:fldChar w:fldCharType="separate"/>
          </w:r>
          <w:r w:rsidR="00195470">
            <w:rPr>
              <w:rFonts w:cs="Times New Roman"/>
              <w:i/>
              <w:sz w:val="18"/>
            </w:rPr>
            <w:t>No. 48, 2015</w:t>
          </w:r>
          <w:r w:rsidRPr="009B5FA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2A7D4A" w:rsidRPr="009B5FAC" w:rsidRDefault="009B5FAC" w:rsidP="009B5FAC">
    <w:pPr>
      <w:rPr>
        <w:rFonts w:cs="Times New Roman"/>
        <w:i/>
        <w:sz w:val="18"/>
      </w:rPr>
    </w:pPr>
    <w:r w:rsidRPr="009B5FAC">
      <w:rPr>
        <w:rFonts w:cs="Times New Roman"/>
        <w:i/>
        <w:sz w:val="18"/>
      </w:rPr>
      <w:t>OPC61108 -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E33C1C" w:rsidRDefault="002A7D4A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A7D4A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95470">
            <w:rPr>
              <w:i/>
              <w:sz w:val="18"/>
            </w:rPr>
            <w:t>No. 48,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5470">
            <w:rPr>
              <w:i/>
              <w:sz w:val="18"/>
            </w:rPr>
            <w:t>Migration Amendment (Resolving the Asylum Legacy Caseload)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31BC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A7D4A" w:rsidRPr="00ED79B6" w:rsidRDefault="009B5FAC" w:rsidP="009B5FAC">
    <w:pPr>
      <w:rPr>
        <w:i/>
        <w:sz w:val="18"/>
      </w:rPr>
    </w:pPr>
    <w:r w:rsidRPr="009B5FAC">
      <w:rPr>
        <w:rFonts w:cs="Times New Roman"/>
        <w:i/>
        <w:sz w:val="18"/>
      </w:rPr>
      <w:t>OPC61108 -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9B5FAC" w:rsidRDefault="002A7D4A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A7D4A" w:rsidRPr="009B5FA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A7D4A" w:rsidRPr="009B5FAC" w:rsidRDefault="002A7D4A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9B5FAC">
            <w:rPr>
              <w:rFonts w:cs="Times New Roman"/>
              <w:i/>
              <w:sz w:val="18"/>
            </w:rPr>
            <w:fldChar w:fldCharType="begin"/>
          </w:r>
          <w:r w:rsidRPr="009B5FAC">
            <w:rPr>
              <w:rFonts w:cs="Times New Roman"/>
              <w:i/>
              <w:sz w:val="18"/>
            </w:rPr>
            <w:instrText xml:space="preserve"> PAGE </w:instrText>
          </w:r>
          <w:r w:rsidRPr="009B5FAC">
            <w:rPr>
              <w:rFonts w:cs="Times New Roman"/>
              <w:i/>
              <w:sz w:val="18"/>
            </w:rPr>
            <w:fldChar w:fldCharType="separate"/>
          </w:r>
          <w:r w:rsidR="00D31BCD">
            <w:rPr>
              <w:rFonts w:cs="Times New Roman"/>
              <w:i/>
              <w:noProof/>
              <w:sz w:val="18"/>
            </w:rPr>
            <w:t>14</w:t>
          </w:r>
          <w:r w:rsidRPr="009B5F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A7D4A" w:rsidRPr="009B5FAC" w:rsidRDefault="002A7D4A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B5FAC">
            <w:rPr>
              <w:rFonts w:cs="Times New Roman"/>
              <w:i/>
              <w:sz w:val="18"/>
            </w:rPr>
            <w:fldChar w:fldCharType="begin"/>
          </w:r>
          <w:r w:rsidRPr="009B5FAC">
            <w:rPr>
              <w:rFonts w:cs="Times New Roman"/>
              <w:i/>
              <w:sz w:val="18"/>
            </w:rPr>
            <w:instrText xml:space="preserve"> DOCPROPERTY ShortT </w:instrText>
          </w:r>
          <w:r w:rsidRPr="009B5FAC">
            <w:rPr>
              <w:rFonts w:cs="Times New Roman"/>
              <w:i/>
              <w:sz w:val="18"/>
            </w:rPr>
            <w:fldChar w:fldCharType="separate"/>
          </w:r>
          <w:r w:rsidR="00195470">
            <w:rPr>
              <w:rFonts w:cs="Times New Roman"/>
              <w:i/>
              <w:sz w:val="18"/>
            </w:rPr>
            <w:t>Migration Amendment (Resolving the Asylum Legacy Caseload) Regulation 2015</w:t>
          </w:r>
          <w:r w:rsidRPr="009B5F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A7D4A" w:rsidRPr="009B5FAC" w:rsidRDefault="002A7D4A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B5FAC">
            <w:rPr>
              <w:rFonts w:cs="Times New Roman"/>
              <w:i/>
              <w:sz w:val="18"/>
            </w:rPr>
            <w:fldChar w:fldCharType="begin"/>
          </w:r>
          <w:r w:rsidRPr="009B5FAC">
            <w:rPr>
              <w:rFonts w:cs="Times New Roman"/>
              <w:i/>
              <w:sz w:val="18"/>
            </w:rPr>
            <w:instrText xml:space="preserve"> DOCPROPERTY ActNo </w:instrText>
          </w:r>
          <w:r w:rsidRPr="009B5FAC">
            <w:rPr>
              <w:rFonts w:cs="Times New Roman"/>
              <w:i/>
              <w:sz w:val="18"/>
            </w:rPr>
            <w:fldChar w:fldCharType="separate"/>
          </w:r>
          <w:r w:rsidR="00195470">
            <w:rPr>
              <w:rFonts w:cs="Times New Roman"/>
              <w:i/>
              <w:sz w:val="18"/>
            </w:rPr>
            <w:t>No. 48, 2015</w:t>
          </w:r>
          <w:r w:rsidRPr="009B5FA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2A7D4A" w:rsidRPr="009B5FAC" w:rsidRDefault="009B5FAC" w:rsidP="009B5FAC">
    <w:pPr>
      <w:rPr>
        <w:rFonts w:cs="Times New Roman"/>
        <w:i/>
        <w:sz w:val="18"/>
      </w:rPr>
    </w:pPr>
    <w:r w:rsidRPr="009B5FAC">
      <w:rPr>
        <w:rFonts w:cs="Times New Roman"/>
        <w:i/>
        <w:sz w:val="18"/>
      </w:rPr>
      <w:t>OPC61108 -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E33C1C" w:rsidRDefault="002A7D4A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A7D4A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95470">
            <w:rPr>
              <w:i/>
              <w:sz w:val="18"/>
            </w:rPr>
            <w:t>No. 48,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5470">
            <w:rPr>
              <w:i/>
              <w:sz w:val="18"/>
            </w:rPr>
            <w:t>Migration Amendment (Resolving the Asylum Legacy Caseload)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31BCD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A7D4A" w:rsidRPr="00ED79B6" w:rsidRDefault="009B5FAC" w:rsidP="009B5FAC">
    <w:pPr>
      <w:rPr>
        <w:i/>
        <w:sz w:val="18"/>
      </w:rPr>
    </w:pPr>
    <w:r w:rsidRPr="009B5FAC">
      <w:rPr>
        <w:rFonts w:cs="Times New Roman"/>
        <w:i/>
        <w:sz w:val="18"/>
      </w:rPr>
      <w:t>OPC61108 -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E33C1C" w:rsidRDefault="002A7D4A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A7D4A" w:rsidTr="000C59B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0C59BE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95470">
            <w:rPr>
              <w:i/>
              <w:sz w:val="18"/>
            </w:rPr>
            <w:t>No. 48,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0C59B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5470">
            <w:rPr>
              <w:i/>
              <w:sz w:val="18"/>
            </w:rPr>
            <w:t>Migration Amendment (Resolving the Asylum Legacy Caseload)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A7D4A" w:rsidRDefault="002A7D4A" w:rsidP="000C59B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F5522"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A7D4A" w:rsidRPr="00ED79B6" w:rsidRDefault="002A7D4A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4A" w:rsidRDefault="002A7D4A" w:rsidP="0048364F">
      <w:pPr>
        <w:spacing w:line="240" w:lineRule="auto"/>
      </w:pPr>
      <w:r>
        <w:separator/>
      </w:r>
    </w:p>
  </w:footnote>
  <w:footnote w:type="continuationSeparator" w:id="0">
    <w:p w:rsidR="002A7D4A" w:rsidRDefault="002A7D4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5F1388" w:rsidRDefault="002A7D4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5F1388" w:rsidRDefault="002A7D4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5F1388" w:rsidRDefault="002A7D4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ED79B6" w:rsidRDefault="002A7D4A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ED79B6" w:rsidRDefault="002A7D4A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ED79B6" w:rsidRDefault="002A7D4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A961C4" w:rsidRDefault="002A7D4A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31BCD">
      <w:rPr>
        <w:b/>
        <w:sz w:val="20"/>
      </w:rPr>
      <w:fldChar w:fldCharType="separate"/>
    </w:r>
    <w:r w:rsidR="00D31BCD">
      <w:rPr>
        <w:b/>
        <w:noProof/>
        <w:sz w:val="20"/>
      </w:rPr>
      <w:t>Schedule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31BCD">
      <w:rPr>
        <w:sz w:val="20"/>
      </w:rPr>
      <w:fldChar w:fldCharType="separate"/>
    </w:r>
    <w:r w:rsidR="00D31BCD">
      <w:rPr>
        <w:noProof/>
        <w:sz w:val="20"/>
      </w:rPr>
      <w:t>Application provisions</w:t>
    </w:r>
    <w:r>
      <w:rPr>
        <w:sz w:val="20"/>
      </w:rPr>
      <w:fldChar w:fldCharType="end"/>
    </w:r>
  </w:p>
  <w:p w:rsidR="002A7D4A" w:rsidRPr="00A961C4" w:rsidRDefault="002A7D4A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A7D4A" w:rsidRPr="00A961C4" w:rsidRDefault="002A7D4A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A961C4" w:rsidRDefault="002A7D4A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31BCD">
      <w:rPr>
        <w:sz w:val="20"/>
      </w:rPr>
      <w:fldChar w:fldCharType="separate"/>
    </w:r>
    <w:r w:rsidR="00D31BCD">
      <w:rPr>
        <w:noProof/>
        <w:sz w:val="20"/>
      </w:rPr>
      <w:t>Safe haven enterprise visas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31BCD">
      <w:rPr>
        <w:b/>
        <w:sz w:val="20"/>
      </w:rPr>
      <w:fldChar w:fldCharType="separate"/>
    </w:r>
    <w:r w:rsidR="00D31BCD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2A7D4A" w:rsidRPr="00A961C4" w:rsidRDefault="002A7D4A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A7D4A" w:rsidRPr="00A961C4" w:rsidRDefault="002A7D4A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A961C4" w:rsidRDefault="002A7D4A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45E6C0E"/>
    <w:multiLevelType w:val="hybridMultilevel"/>
    <w:tmpl w:val="48F67D1A"/>
    <w:lvl w:ilvl="0" w:tplc="71CAC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9D"/>
    <w:rsid w:val="000009AA"/>
    <w:rsid w:val="000041C6"/>
    <w:rsid w:val="000063E4"/>
    <w:rsid w:val="0000767A"/>
    <w:rsid w:val="00011222"/>
    <w:rsid w:val="000113BC"/>
    <w:rsid w:val="000136AF"/>
    <w:rsid w:val="000154FC"/>
    <w:rsid w:val="000229BB"/>
    <w:rsid w:val="00025060"/>
    <w:rsid w:val="00032890"/>
    <w:rsid w:val="00033BFB"/>
    <w:rsid w:val="0004044E"/>
    <w:rsid w:val="00050E3D"/>
    <w:rsid w:val="00056383"/>
    <w:rsid w:val="000607BE"/>
    <w:rsid w:val="000614BF"/>
    <w:rsid w:val="00082138"/>
    <w:rsid w:val="00083798"/>
    <w:rsid w:val="00085225"/>
    <w:rsid w:val="000971F9"/>
    <w:rsid w:val="000A209F"/>
    <w:rsid w:val="000B4FD2"/>
    <w:rsid w:val="000B6796"/>
    <w:rsid w:val="000B74E9"/>
    <w:rsid w:val="000C427E"/>
    <w:rsid w:val="000C4CBC"/>
    <w:rsid w:val="000C4E79"/>
    <w:rsid w:val="000C59BE"/>
    <w:rsid w:val="000D05EF"/>
    <w:rsid w:val="000E1B26"/>
    <w:rsid w:val="000E51BF"/>
    <w:rsid w:val="000E60F1"/>
    <w:rsid w:val="000F21C1"/>
    <w:rsid w:val="000F3E7B"/>
    <w:rsid w:val="000F7427"/>
    <w:rsid w:val="001000BF"/>
    <w:rsid w:val="00102C84"/>
    <w:rsid w:val="00105838"/>
    <w:rsid w:val="0010745C"/>
    <w:rsid w:val="00112908"/>
    <w:rsid w:val="00116975"/>
    <w:rsid w:val="00117D7E"/>
    <w:rsid w:val="0012637F"/>
    <w:rsid w:val="00126F1A"/>
    <w:rsid w:val="00131DC5"/>
    <w:rsid w:val="00137637"/>
    <w:rsid w:val="00140298"/>
    <w:rsid w:val="00140AE7"/>
    <w:rsid w:val="00143636"/>
    <w:rsid w:val="00154EAC"/>
    <w:rsid w:val="001643C9"/>
    <w:rsid w:val="00165568"/>
    <w:rsid w:val="00166219"/>
    <w:rsid w:val="00166C2F"/>
    <w:rsid w:val="00170166"/>
    <w:rsid w:val="001716A1"/>
    <w:rsid w:val="001716C9"/>
    <w:rsid w:val="00171EAE"/>
    <w:rsid w:val="00173516"/>
    <w:rsid w:val="001813B0"/>
    <w:rsid w:val="00191859"/>
    <w:rsid w:val="00193461"/>
    <w:rsid w:val="001939E1"/>
    <w:rsid w:val="00195382"/>
    <w:rsid w:val="00195470"/>
    <w:rsid w:val="001B3097"/>
    <w:rsid w:val="001B44DC"/>
    <w:rsid w:val="001B7A5D"/>
    <w:rsid w:val="001C6159"/>
    <w:rsid w:val="001C6722"/>
    <w:rsid w:val="001C69C4"/>
    <w:rsid w:val="001D4229"/>
    <w:rsid w:val="001D7F83"/>
    <w:rsid w:val="001E16D0"/>
    <w:rsid w:val="001E3590"/>
    <w:rsid w:val="001E562E"/>
    <w:rsid w:val="001E60E6"/>
    <w:rsid w:val="001E7407"/>
    <w:rsid w:val="001F32C5"/>
    <w:rsid w:val="001F6924"/>
    <w:rsid w:val="00201D27"/>
    <w:rsid w:val="002165EE"/>
    <w:rsid w:val="002201DB"/>
    <w:rsid w:val="0022749E"/>
    <w:rsid w:val="00231427"/>
    <w:rsid w:val="00240749"/>
    <w:rsid w:val="0024242E"/>
    <w:rsid w:val="002473A9"/>
    <w:rsid w:val="00257A00"/>
    <w:rsid w:val="00265FBC"/>
    <w:rsid w:val="00266D05"/>
    <w:rsid w:val="00267F8C"/>
    <w:rsid w:val="0027022A"/>
    <w:rsid w:val="002763F1"/>
    <w:rsid w:val="00276F24"/>
    <w:rsid w:val="00290CD2"/>
    <w:rsid w:val="002932B1"/>
    <w:rsid w:val="00295408"/>
    <w:rsid w:val="00297461"/>
    <w:rsid w:val="00297ECB"/>
    <w:rsid w:val="002A0FFD"/>
    <w:rsid w:val="002A7D4A"/>
    <w:rsid w:val="002B2042"/>
    <w:rsid w:val="002B2731"/>
    <w:rsid w:val="002B5B89"/>
    <w:rsid w:val="002B7D96"/>
    <w:rsid w:val="002C1ECD"/>
    <w:rsid w:val="002C223A"/>
    <w:rsid w:val="002D043A"/>
    <w:rsid w:val="002E7D91"/>
    <w:rsid w:val="002F2000"/>
    <w:rsid w:val="002F4F7D"/>
    <w:rsid w:val="002F72C6"/>
    <w:rsid w:val="003022DC"/>
    <w:rsid w:val="00304E75"/>
    <w:rsid w:val="003072FA"/>
    <w:rsid w:val="003153E5"/>
    <w:rsid w:val="0031713F"/>
    <w:rsid w:val="003415D3"/>
    <w:rsid w:val="00345A15"/>
    <w:rsid w:val="00352B0F"/>
    <w:rsid w:val="00356934"/>
    <w:rsid w:val="00361BD9"/>
    <w:rsid w:val="00363549"/>
    <w:rsid w:val="0037308D"/>
    <w:rsid w:val="00380010"/>
    <w:rsid w:val="003801D0"/>
    <w:rsid w:val="00385BFD"/>
    <w:rsid w:val="00390D0B"/>
    <w:rsid w:val="003911E7"/>
    <w:rsid w:val="00391437"/>
    <w:rsid w:val="0039228E"/>
    <w:rsid w:val="003926B5"/>
    <w:rsid w:val="003B04EC"/>
    <w:rsid w:val="003B4FA1"/>
    <w:rsid w:val="003C2471"/>
    <w:rsid w:val="003C5F2B"/>
    <w:rsid w:val="003D0BFE"/>
    <w:rsid w:val="003D3910"/>
    <w:rsid w:val="003D44C3"/>
    <w:rsid w:val="003D5700"/>
    <w:rsid w:val="003D7DD0"/>
    <w:rsid w:val="003E47B0"/>
    <w:rsid w:val="003E5FF5"/>
    <w:rsid w:val="003F4CA9"/>
    <w:rsid w:val="003F567B"/>
    <w:rsid w:val="003F5FD1"/>
    <w:rsid w:val="004000B9"/>
    <w:rsid w:val="004010E7"/>
    <w:rsid w:val="00401403"/>
    <w:rsid w:val="004116CD"/>
    <w:rsid w:val="004126B2"/>
    <w:rsid w:val="00412B83"/>
    <w:rsid w:val="00424CA9"/>
    <w:rsid w:val="00433910"/>
    <w:rsid w:val="0044291A"/>
    <w:rsid w:val="004444EC"/>
    <w:rsid w:val="004500E2"/>
    <w:rsid w:val="00451492"/>
    <w:rsid w:val="00452EAE"/>
    <w:rsid w:val="004541AD"/>
    <w:rsid w:val="004541B9"/>
    <w:rsid w:val="00460499"/>
    <w:rsid w:val="004625B2"/>
    <w:rsid w:val="00465E00"/>
    <w:rsid w:val="00471ADE"/>
    <w:rsid w:val="00480FB9"/>
    <w:rsid w:val="0048364F"/>
    <w:rsid w:val="00484EB8"/>
    <w:rsid w:val="00484ECA"/>
    <w:rsid w:val="00485CB1"/>
    <w:rsid w:val="00486382"/>
    <w:rsid w:val="00487150"/>
    <w:rsid w:val="00487B04"/>
    <w:rsid w:val="00494CF4"/>
    <w:rsid w:val="00496F97"/>
    <w:rsid w:val="004A2484"/>
    <w:rsid w:val="004A698B"/>
    <w:rsid w:val="004B1603"/>
    <w:rsid w:val="004B1F45"/>
    <w:rsid w:val="004B5198"/>
    <w:rsid w:val="004C0255"/>
    <w:rsid w:val="004C5B5A"/>
    <w:rsid w:val="004C6444"/>
    <w:rsid w:val="004C68C6"/>
    <w:rsid w:val="004C6DE1"/>
    <w:rsid w:val="004D45E8"/>
    <w:rsid w:val="004E270D"/>
    <w:rsid w:val="004F1FAC"/>
    <w:rsid w:val="004F3A90"/>
    <w:rsid w:val="004F4F0A"/>
    <w:rsid w:val="004F60A7"/>
    <w:rsid w:val="004F676E"/>
    <w:rsid w:val="00500CB3"/>
    <w:rsid w:val="00504CEF"/>
    <w:rsid w:val="00512C81"/>
    <w:rsid w:val="00516B8D"/>
    <w:rsid w:val="0052481C"/>
    <w:rsid w:val="0052604D"/>
    <w:rsid w:val="00526302"/>
    <w:rsid w:val="005309A9"/>
    <w:rsid w:val="005318E4"/>
    <w:rsid w:val="00533EA1"/>
    <w:rsid w:val="00534F2A"/>
    <w:rsid w:val="00536E08"/>
    <w:rsid w:val="00537FBC"/>
    <w:rsid w:val="00542701"/>
    <w:rsid w:val="00543469"/>
    <w:rsid w:val="00557C7A"/>
    <w:rsid w:val="00557E57"/>
    <w:rsid w:val="00561DBE"/>
    <w:rsid w:val="00584811"/>
    <w:rsid w:val="005851A5"/>
    <w:rsid w:val="0058646E"/>
    <w:rsid w:val="005918AF"/>
    <w:rsid w:val="00591C56"/>
    <w:rsid w:val="00591E07"/>
    <w:rsid w:val="00593AA6"/>
    <w:rsid w:val="00594161"/>
    <w:rsid w:val="00594749"/>
    <w:rsid w:val="005B4067"/>
    <w:rsid w:val="005C12DE"/>
    <w:rsid w:val="005C33EB"/>
    <w:rsid w:val="005C3F41"/>
    <w:rsid w:val="005D3E4B"/>
    <w:rsid w:val="005E0853"/>
    <w:rsid w:val="005E1332"/>
    <w:rsid w:val="005E552A"/>
    <w:rsid w:val="005E5694"/>
    <w:rsid w:val="005E71B9"/>
    <w:rsid w:val="005F5D55"/>
    <w:rsid w:val="005F74AF"/>
    <w:rsid w:val="00600219"/>
    <w:rsid w:val="006019A0"/>
    <w:rsid w:val="00612DD9"/>
    <w:rsid w:val="006141A9"/>
    <w:rsid w:val="00614D7A"/>
    <w:rsid w:val="006233D5"/>
    <w:rsid w:val="006249E6"/>
    <w:rsid w:val="006259F8"/>
    <w:rsid w:val="00627093"/>
    <w:rsid w:val="00630733"/>
    <w:rsid w:val="006335F2"/>
    <w:rsid w:val="0064468A"/>
    <w:rsid w:val="0064661A"/>
    <w:rsid w:val="00654CCA"/>
    <w:rsid w:val="00656DE9"/>
    <w:rsid w:val="00663BDD"/>
    <w:rsid w:val="0066751A"/>
    <w:rsid w:val="006755E6"/>
    <w:rsid w:val="00677CC2"/>
    <w:rsid w:val="00680F17"/>
    <w:rsid w:val="0068446F"/>
    <w:rsid w:val="00684EC7"/>
    <w:rsid w:val="00685F42"/>
    <w:rsid w:val="006919EC"/>
    <w:rsid w:val="0069207B"/>
    <w:rsid w:val="006937E2"/>
    <w:rsid w:val="0069392E"/>
    <w:rsid w:val="006969F8"/>
    <w:rsid w:val="006977FB"/>
    <w:rsid w:val="00697979"/>
    <w:rsid w:val="006B262A"/>
    <w:rsid w:val="006B7662"/>
    <w:rsid w:val="006B7EA4"/>
    <w:rsid w:val="006C2C12"/>
    <w:rsid w:val="006C3EDD"/>
    <w:rsid w:val="006C3FFF"/>
    <w:rsid w:val="006C6399"/>
    <w:rsid w:val="006C7F8C"/>
    <w:rsid w:val="006D3667"/>
    <w:rsid w:val="006D4E91"/>
    <w:rsid w:val="006D5C3C"/>
    <w:rsid w:val="006E004B"/>
    <w:rsid w:val="006E03DF"/>
    <w:rsid w:val="006E0654"/>
    <w:rsid w:val="006E7147"/>
    <w:rsid w:val="006F2076"/>
    <w:rsid w:val="006F4FDF"/>
    <w:rsid w:val="006F5DFC"/>
    <w:rsid w:val="00700B2C"/>
    <w:rsid w:val="00701E6A"/>
    <w:rsid w:val="00705E60"/>
    <w:rsid w:val="00713084"/>
    <w:rsid w:val="00715E2E"/>
    <w:rsid w:val="00722023"/>
    <w:rsid w:val="00731E00"/>
    <w:rsid w:val="00736D7B"/>
    <w:rsid w:val="007440B7"/>
    <w:rsid w:val="007445EE"/>
    <w:rsid w:val="00762870"/>
    <w:rsid w:val="007634AD"/>
    <w:rsid w:val="007715C9"/>
    <w:rsid w:val="00774EDD"/>
    <w:rsid w:val="007751FC"/>
    <w:rsid w:val="007757EC"/>
    <w:rsid w:val="007769D4"/>
    <w:rsid w:val="00785AFA"/>
    <w:rsid w:val="007903AC"/>
    <w:rsid w:val="007A1DD1"/>
    <w:rsid w:val="007A62E5"/>
    <w:rsid w:val="007A7707"/>
    <w:rsid w:val="007A7F9F"/>
    <w:rsid w:val="007C7C59"/>
    <w:rsid w:val="007D2E9B"/>
    <w:rsid w:val="007E7173"/>
    <w:rsid w:val="007E7D4A"/>
    <w:rsid w:val="007F4021"/>
    <w:rsid w:val="00807176"/>
    <w:rsid w:val="00812DAA"/>
    <w:rsid w:val="00817C7F"/>
    <w:rsid w:val="00820539"/>
    <w:rsid w:val="008228C7"/>
    <w:rsid w:val="00826DA5"/>
    <w:rsid w:val="008305FF"/>
    <w:rsid w:val="00833416"/>
    <w:rsid w:val="00850879"/>
    <w:rsid w:val="00850B70"/>
    <w:rsid w:val="00856A31"/>
    <w:rsid w:val="00865CB3"/>
    <w:rsid w:val="00873562"/>
    <w:rsid w:val="00874B69"/>
    <w:rsid w:val="008754D0"/>
    <w:rsid w:val="00877D48"/>
    <w:rsid w:val="00880053"/>
    <w:rsid w:val="00880795"/>
    <w:rsid w:val="008837B7"/>
    <w:rsid w:val="008852C9"/>
    <w:rsid w:val="0089783B"/>
    <w:rsid w:val="008A53CB"/>
    <w:rsid w:val="008B2F6C"/>
    <w:rsid w:val="008B368D"/>
    <w:rsid w:val="008B3EC9"/>
    <w:rsid w:val="008C0BFD"/>
    <w:rsid w:val="008C4838"/>
    <w:rsid w:val="008D0EE0"/>
    <w:rsid w:val="008E04E3"/>
    <w:rsid w:val="008E24C2"/>
    <w:rsid w:val="008E719D"/>
    <w:rsid w:val="008F07E3"/>
    <w:rsid w:val="008F4F1C"/>
    <w:rsid w:val="00904333"/>
    <w:rsid w:val="00904726"/>
    <w:rsid w:val="00907271"/>
    <w:rsid w:val="00912667"/>
    <w:rsid w:val="00915636"/>
    <w:rsid w:val="00922F67"/>
    <w:rsid w:val="009273B5"/>
    <w:rsid w:val="00932377"/>
    <w:rsid w:val="00932A33"/>
    <w:rsid w:val="0093728C"/>
    <w:rsid w:val="00941B4A"/>
    <w:rsid w:val="00946A8A"/>
    <w:rsid w:val="00964D7D"/>
    <w:rsid w:val="0096706C"/>
    <w:rsid w:val="009848EC"/>
    <w:rsid w:val="00990F55"/>
    <w:rsid w:val="009B3629"/>
    <w:rsid w:val="009B5720"/>
    <w:rsid w:val="009B5FAC"/>
    <w:rsid w:val="009C49D8"/>
    <w:rsid w:val="009D0F2B"/>
    <w:rsid w:val="009D404F"/>
    <w:rsid w:val="009D5EC6"/>
    <w:rsid w:val="009E017D"/>
    <w:rsid w:val="009E3601"/>
    <w:rsid w:val="009F727E"/>
    <w:rsid w:val="00A018EC"/>
    <w:rsid w:val="00A1027A"/>
    <w:rsid w:val="00A2057D"/>
    <w:rsid w:val="00A231E2"/>
    <w:rsid w:val="00A25160"/>
    <w:rsid w:val="00A2550D"/>
    <w:rsid w:val="00A261F8"/>
    <w:rsid w:val="00A269B7"/>
    <w:rsid w:val="00A26DBE"/>
    <w:rsid w:val="00A326A4"/>
    <w:rsid w:val="00A33ADF"/>
    <w:rsid w:val="00A34FC8"/>
    <w:rsid w:val="00A4169B"/>
    <w:rsid w:val="00A4361F"/>
    <w:rsid w:val="00A448FA"/>
    <w:rsid w:val="00A5197F"/>
    <w:rsid w:val="00A52CDF"/>
    <w:rsid w:val="00A64912"/>
    <w:rsid w:val="00A7086A"/>
    <w:rsid w:val="00A70A74"/>
    <w:rsid w:val="00A71C4E"/>
    <w:rsid w:val="00A77291"/>
    <w:rsid w:val="00A8440B"/>
    <w:rsid w:val="00A87AB9"/>
    <w:rsid w:val="00A92B13"/>
    <w:rsid w:val="00AB3315"/>
    <w:rsid w:val="00AB7B41"/>
    <w:rsid w:val="00AC06B3"/>
    <w:rsid w:val="00AD1058"/>
    <w:rsid w:val="00AD1312"/>
    <w:rsid w:val="00AD1793"/>
    <w:rsid w:val="00AD4F91"/>
    <w:rsid w:val="00AD5641"/>
    <w:rsid w:val="00AD7D21"/>
    <w:rsid w:val="00AE50A2"/>
    <w:rsid w:val="00AF0336"/>
    <w:rsid w:val="00AF5522"/>
    <w:rsid w:val="00AF6613"/>
    <w:rsid w:val="00B00902"/>
    <w:rsid w:val="00B032D8"/>
    <w:rsid w:val="00B05DA5"/>
    <w:rsid w:val="00B217B0"/>
    <w:rsid w:val="00B24CF4"/>
    <w:rsid w:val="00B27C1D"/>
    <w:rsid w:val="00B332B8"/>
    <w:rsid w:val="00B33B3C"/>
    <w:rsid w:val="00B33D12"/>
    <w:rsid w:val="00B5225B"/>
    <w:rsid w:val="00B53621"/>
    <w:rsid w:val="00B61D2C"/>
    <w:rsid w:val="00B63BDE"/>
    <w:rsid w:val="00B66E33"/>
    <w:rsid w:val="00B71620"/>
    <w:rsid w:val="00B94451"/>
    <w:rsid w:val="00BA5026"/>
    <w:rsid w:val="00BB464C"/>
    <w:rsid w:val="00BB6E79"/>
    <w:rsid w:val="00BC4F91"/>
    <w:rsid w:val="00BD5E39"/>
    <w:rsid w:val="00BD60E6"/>
    <w:rsid w:val="00BE253A"/>
    <w:rsid w:val="00BE27F9"/>
    <w:rsid w:val="00BE52B1"/>
    <w:rsid w:val="00BE6B47"/>
    <w:rsid w:val="00BE719A"/>
    <w:rsid w:val="00BE720A"/>
    <w:rsid w:val="00BF4533"/>
    <w:rsid w:val="00BF5C50"/>
    <w:rsid w:val="00C067E5"/>
    <w:rsid w:val="00C12662"/>
    <w:rsid w:val="00C15528"/>
    <w:rsid w:val="00C164CA"/>
    <w:rsid w:val="00C21B63"/>
    <w:rsid w:val="00C23A02"/>
    <w:rsid w:val="00C24138"/>
    <w:rsid w:val="00C31EDC"/>
    <w:rsid w:val="00C371BE"/>
    <w:rsid w:val="00C37663"/>
    <w:rsid w:val="00C42BF8"/>
    <w:rsid w:val="00C44BF3"/>
    <w:rsid w:val="00C45095"/>
    <w:rsid w:val="00C460AE"/>
    <w:rsid w:val="00C50043"/>
    <w:rsid w:val="00C538EE"/>
    <w:rsid w:val="00C57575"/>
    <w:rsid w:val="00C60FBE"/>
    <w:rsid w:val="00C618D4"/>
    <w:rsid w:val="00C632E5"/>
    <w:rsid w:val="00C63713"/>
    <w:rsid w:val="00C6796C"/>
    <w:rsid w:val="00C72CF5"/>
    <w:rsid w:val="00C738FD"/>
    <w:rsid w:val="00C75508"/>
    <w:rsid w:val="00C7573B"/>
    <w:rsid w:val="00C76CF3"/>
    <w:rsid w:val="00C77E30"/>
    <w:rsid w:val="00C814F5"/>
    <w:rsid w:val="00C852AA"/>
    <w:rsid w:val="00C85DB7"/>
    <w:rsid w:val="00C877CC"/>
    <w:rsid w:val="00C91B4A"/>
    <w:rsid w:val="00CA1866"/>
    <w:rsid w:val="00CB0180"/>
    <w:rsid w:val="00CB3470"/>
    <w:rsid w:val="00CC2488"/>
    <w:rsid w:val="00CD606E"/>
    <w:rsid w:val="00CD7ECB"/>
    <w:rsid w:val="00CE58EC"/>
    <w:rsid w:val="00CE69BA"/>
    <w:rsid w:val="00CF0BB2"/>
    <w:rsid w:val="00D0104A"/>
    <w:rsid w:val="00D046DE"/>
    <w:rsid w:val="00D13441"/>
    <w:rsid w:val="00D157AB"/>
    <w:rsid w:val="00D169EE"/>
    <w:rsid w:val="00D17B17"/>
    <w:rsid w:val="00D23F05"/>
    <w:rsid w:val="00D243A3"/>
    <w:rsid w:val="00D25767"/>
    <w:rsid w:val="00D31BCD"/>
    <w:rsid w:val="00D333D9"/>
    <w:rsid w:val="00D33440"/>
    <w:rsid w:val="00D3456B"/>
    <w:rsid w:val="00D35419"/>
    <w:rsid w:val="00D40116"/>
    <w:rsid w:val="00D40403"/>
    <w:rsid w:val="00D4673F"/>
    <w:rsid w:val="00D52EFE"/>
    <w:rsid w:val="00D5334D"/>
    <w:rsid w:val="00D63EF6"/>
    <w:rsid w:val="00D6778F"/>
    <w:rsid w:val="00D704A4"/>
    <w:rsid w:val="00D70DFB"/>
    <w:rsid w:val="00D742EC"/>
    <w:rsid w:val="00D766DF"/>
    <w:rsid w:val="00D779A6"/>
    <w:rsid w:val="00D815C3"/>
    <w:rsid w:val="00D83D21"/>
    <w:rsid w:val="00D84B58"/>
    <w:rsid w:val="00D925D1"/>
    <w:rsid w:val="00D930E2"/>
    <w:rsid w:val="00DA168F"/>
    <w:rsid w:val="00DA39A8"/>
    <w:rsid w:val="00DA532E"/>
    <w:rsid w:val="00DA7636"/>
    <w:rsid w:val="00DA78DB"/>
    <w:rsid w:val="00DB5D73"/>
    <w:rsid w:val="00DC25E9"/>
    <w:rsid w:val="00DC3319"/>
    <w:rsid w:val="00DD6A35"/>
    <w:rsid w:val="00DD7DD6"/>
    <w:rsid w:val="00DE17D0"/>
    <w:rsid w:val="00DE1F75"/>
    <w:rsid w:val="00E05704"/>
    <w:rsid w:val="00E05C46"/>
    <w:rsid w:val="00E20C6A"/>
    <w:rsid w:val="00E24B83"/>
    <w:rsid w:val="00E25600"/>
    <w:rsid w:val="00E30206"/>
    <w:rsid w:val="00E33C1C"/>
    <w:rsid w:val="00E34108"/>
    <w:rsid w:val="00E443FC"/>
    <w:rsid w:val="00E45FE7"/>
    <w:rsid w:val="00E476B8"/>
    <w:rsid w:val="00E54292"/>
    <w:rsid w:val="00E55BCD"/>
    <w:rsid w:val="00E61F3F"/>
    <w:rsid w:val="00E67849"/>
    <w:rsid w:val="00E67888"/>
    <w:rsid w:val="00E72B5F"/>
    <w:rsid w:val="00E7348F"/>
    <w:rsid w:val="00E73DC9"/>
    <w:rsid w:val="00E73EC4"/>
    <w:rsid w:val="00E74DC7"/>
    <w:rsid w:val="00E76FAB"/>
    <w:rsid w:val="00E83E2E"/>
    <w:rsid w:val="00E84B32"/>
    <w:rsid w:val="00E8504B"/>
    <w:rsid w:val="00E87699"/>
    <w:rsid w:val="00E92562"/>
    <w:rsid w:val="00E94CFB"/>
    <w:rsid w:val="00E94D06"/>
    <w:rsid w:val="00EB4BF7"/>
    <w:rsid w:val="00EC0576"/>
    <w:rsid w:val="00EC0684"/>
    <w:rsid w:val="00EC64A2"/>
    <w:rsid w:val="00ED163F"/>
    <w:rsid w:val="00ED2365"/>
    <w:rsid w:val="00ED3750"/>
    <w:rsid w:val="00ED3A7D"/>
    <w:rsid w:val="00ED5139"/>
    <w:rsid w:val="00EF2E3A"/>
    <w:rsid w:val="00F03111"/>
    <w:rsid w:val="00F047E2"/>
    <w:rsid w:val="00F078DC"/>
    <w:rsid w:val="00F123C1"/>
    <w:rsid w:val="00F12A9B"/>
    <w:rsid w:val="00F13E86"/>
    <w:rsid w:val="00F14B55"/>
    <w:rsid w:val="00F15256"/>
    <w:rsid w:val="00F24C35"/>
    <w:rsid w:val="00F26C78"/>
    <w:rsid w:val="00F32395"/>
    <w:rsid w:val="00F56759"/>
    <w:rsid w:val="00F623DA"/>
    <w:rsid w:val="00F63E1B"/>
    <w:rsid w:val="00F677A9"/>
    <w:rsid w:val="00F74196"/>
    <w:rsid w:val="00F84CF5"/>
    <w:rsid w:val="00F86A72"/>
    <w:rsid w:val="00F93D88"/>
    <w:rsid w:val="00FA09F9"/>
    <w:rsid w:val="00FA2857"/>
    <w:rsid w:val="00FA420B"/>
    <w:rsid w:val="00FB03B3"/>
    <w:rsid w:val="00FB192C"/>
    <w:rsid w:val="00FB452A"/>
    <w:rsid w:val="00FD6F05"/>
    <w:rsid w:val="00FD7480"/>
    <w:rsid w:val="00FD7CFE"/>
    <w:rsid w:val="00FF0582"/>
    <w:rsid w:val="00FF3089"/>
    <w:rsid w:val="00FF3B0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8D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618D4"/>
  </w:style>
  <w:style w:type="paragraph" w:customStyle="1" w:styleId="OPCParaBase">
    <w:name w:val="OPCParaBase"/>
    <w:qFormat/>
    <w:rsid w:val="00C618D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618D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618D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618D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618D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618D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618D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618D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618D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618D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618D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618D4"/>
  </w:style>
  <w:style w:type="paragraph" w:customStyle="1" w:styleId="Blocks">
    <w:name w:val="Blocks"/>
    <w:aliases w:val="bb"/>
    <w:basedOn w:val="OPCParaBase"/>
    <w:qFormat/>
    <w:rsid w:val="00C618D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618D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618D4"/>
    <w:rPr>
      <w:i/>
    </w:rPr>
  </w:style>
  <w:style w:type="paragraph" w:customStyle="1" w:styleId="BoxList">
    <w:name w:val="BoxList"/>
    <w:aliases w:val="bl"/>
    <w:basedOn w:val="BoxText"/>
    <w:qFormat/>
    <w:rsid w:val="00C618D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618D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618D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618D4"/>
    <w:pPr>
      <w:ind w:left="1985" w:hanging="851"/>
    </w:pPr>
  </w:style>
  <w:style w:type="character" w:customStyle="1" w:styleId="CharAmPartNo">
    <w:name w:val="CharAmPartNo"/>
    <w:basedOn w:val="OPCCharBase"/>
    <w:qFormat/>
    <w:rsid w:val="00C618D4"/>
  </w:style>
  <w:style w:type="character" w:customStyle="1" w:styleId="CharAmPartText">
    <w:name w:val="CharAmPartText"/>
    <w:basedOn w:val="OPCCharBase"/>
    <w:qFormat/>
    <w:rsid w:val="00C618D4"/>
  </w:style>
  <w:style w:type="character" w:customStyle="1" w:styleId="CharAmSchNo">
    <w:name w:val="CharAmSchNo"/>
    <w:basedOn w:val="OPCCharBase"/>
    <w:qFormat/>
    <w:rsid w:val="00C618D4"/>
  </w:style>
  <w:style w:type="character" w:customStyle="1" w:styleId="CharAmSchText">
    <w:name w:val="CharAmSchText"/>
    <w:basedOn w:val="OPCCharBase"/>
    <w:qFormat/>
    <w:rsid w:val="00C618D4"/>
  </w:style>
  <w:style w:type="character" w:customStyle="1" w:styleId="CharBoldItalic">
    <w:name w:val="CharBoldItalic"/>
    <w:basedOn w:val="OPCCharBase"/>
    <w:uiPriority w:val="1"/>
    <w:qFormat/>
    <w:rsid w:val="00C618D4"/>
    <w:rPr>
      <w:b/>
      <w:i/>
    </w:rPr>
  </w:style>
  <w:style w:type="character" w:customStyle="1" w:styleId="CharChapNo">
    <w:name w:val="CharChapNo"/>
    <w:basedOn w:val="OPCCharBase"/>
    <w:uiPriority w:val="1"/>
    <w:qFormat/>
    <w:rsid w:val="00C618D4"/>
  </w:style>
  <w:style w:type="character" w:customStyle="1" w:styleId="CharChapText">
    <w:name w:val="CharChapText"/>
    <w:basedOn w:val="OPCCharBase"/>
    <w:uiPriority w:val="1"/>
    <w:qFormat/>
    <w:rsid w:val="00C618D4"/>
  </w:style>
  <w:style w:type="character" w:customStyle="1" w:styleId="CharDivNo">
    <w:name w:val="CharDivNo"/>
    <w:basedOn w:val="OPCCharBase"/>
    <w:uiPriority w:val="1"/>
    <w:qFormat/>
    <w:rsid w:val="00C618D4"/>
  </w:style>
  <w:style w:type="character" w:customStyle="1" w:styleId="CharDivText">
    <w:name w:val="CharDivText"/>
    <w:basedOn w:val="OPCCharBase"/>
    <w:uiPriority w:val="1"/>
    <w:qFormat/>
    <w:rsid w:val="00C618D4"/>
  </w:style>
  <w:style w:type="character" w:customStyle="1" w:styleId="CharItalic">
    <w:name w:val="CharItalic"/>
    <w:basedOn w:val="OPCCharBase"/>
    <w:uiPriority w:val="1"/>
    <w:qFormat/>
    <w:rsid w:val="00C618D4"/>
    <w:rPr>
      <w:i/>
    </w:rPr>
  </w:style>
  <w:style w:type="character" w:customStyle="1" w:styleId="CharPartNo">
    <w:name w:val="CharPartNo"/>
    <w:basedOn w:val="OPCCharBase"/>
    <w:uiPriority w:val="1"/>
    <w:qFormat/>
    <w:rsid w:val="00C618D4"/>
  </w:style>
  <w:style w:type="character" w:customStyle="1" w:styleId="CharPartText">
    <w:name w:val="CharPartText"/>
    <w:basedOn w:val="OPCCharBase"/>
    <w:uiPriority w:val="1"/>
    <w:qFormat/>
    <w:rsid w:val="00C618D4"/>
  </w:style>
  <w:style w:type="character" w:customStyle="1" w:styleId="CharSectno">
    <w:name w:val="CharSectno"/>
    <w:basedOn w:val="OPCCharBase"/>
    <w:qFormat/>
    <w:rsid w:val="00C618D4"/>
  </w:style>
  <w:style w:type="character" w:customStyle="1" w:styleId="CharSubdNo">
    <w:name w:val="CharSubdNo"/>
    <w:basedOn w:val="OPCCharBase"/>
    <w:uiPriority w:val="1"/>
    <w:qFormat/>
    <w:rsid w:val="00C618D4"/>
  </w:style>
  <w:style w:type="character" w:customStyle="1" w:styleId="CharSubdText">
    <w:name w:val="CharSubdText"/>
    <w:basedOn w:val="OPCCharBase"/>
    <w:uiPriority w:val="1"/>
    <w:qFormat/>
    <w:rsid w:val="00C618D4"/>
  </w:style>
  <w:style w:type="paragraph" w:customStyle="1" w:styleId="CTA--">
    <w:name w:val="CTA --"/>
    <w:basedOn w:val="OPCParaBase"/>
    <w:next w:val="Normal"/>
    <w:rsid w:val="00C618D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618D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618D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618D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618D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618D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618D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618D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618D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618D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618D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618D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618D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618D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618D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618D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618D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618D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618D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618D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618D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618D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618D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618D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618D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618D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618D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618D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618D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618D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618D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618D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618D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618D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618D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618D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618D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618D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618D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618D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618D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618D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618D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618D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618D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618D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618D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618D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618D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618D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618D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618D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618D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618D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618D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618D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618D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618D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618D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618D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618D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618D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618D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618D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618D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618D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618D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618D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618D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618D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618D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618D4"/>
    <w:rPr>
      <w:sz w:val="16"/>
    </w:rPr>
  </w:style>
  <w:style w:type="table" w:customStyle="1" w:styleId="CFlag">
    <w:name w:val="CFlag"/>
    <w:basedOn w:val="TableNormal"/>
    <w:uiPriority w:val="99"/>
    <w:rsid w:val="00C618D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8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table" w:styleId="TableGrid">
    <w:name w:val="Table Grid"/>
    <w:basedOn w:val="TableNormal"/>
    <w:uiPriority w:val="59"/>
    <w:rsid w:val="00C6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618D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618D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618D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618D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618D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618D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618D4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C618D4"/>
  </w:style>
  <w:style w:type="paragraph" w:customStyle="1" w:styleId="CompiledActNo">
    <w:name w:val="CompiledActNo"/>
    <w:basedOn w:val="OPCParaBase"/>
    <w:next w:val="Normal"/>
    <w:rsid w:val="00C618D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618D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618D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618D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C618D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618D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C618D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618D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C618D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618D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618D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618D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618D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618D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618D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618D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618D4"/>
  </w:style>
  <w:style w:type="character" w:customStyle="1" w:styleId="CharSubPartNoCASA">
    <w:name w:val="CharSubPartNo(CASA)"/>
    <w:basedOn w:val="OPCCharBase"/>
    <w:uiPriority w:val="1"/>
    <w:rsid w:val="00C618D4"/>
  </w:style>
  <w:style w:type="paragraph" w:customStyle="1" w:styleId="ENoteTTIndentHeadingSub">
    <w:name w:val="ENoteTTIndentHeadingSub"/>
    <w:aliases w:val="enTTHis"/>
    <w:basedOn w:val="OPCParaBase"/>
    <w:rsid w:val="00C618D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618D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618D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618D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618D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618D4"/>
    <w:rPr>
      <w:sz w:val="22"/>
    </w:rPr>
  </w:style>
  <w:style w:type="paragraph" w:customStyle="1" w:styleId="SOTextNote">
    <w:name w:val="SO TextNote"/>
    <w:aliases w:val="sont"/>
    <w:basedOn w:val="SOText"/>
    <w:qFormat/>
    <w:rsid w:val="00C618D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618D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618D4"/>
    <w:rPr>
      <w:sz w:val="22"/>
    </w:rPr>
  </w:style>
  <w:style w:type="paragraph" w:customStyle="1" w:styleId="FileName">
    <w:name w:val="FileName"/>
    <w:basedOn w:val="Normal"/>
    <w:rsid w:val="00C618D4"/>
  </w:style>
  <w:style w:type="paragraph" w:customStyle="1" w:styleId="TableHeading">
    <w:name w:val="TableHeading"/>
    <w:aliases w:val="th"/>
    <w:basedOn w:val="OPCParaBase"/>
    <w:next w:val="Tabletext"/>
    <w:rsid w:val="00C618D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618D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618D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618D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618D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618D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618D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618D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618D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618D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618D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E719D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0607BE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7F4021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8D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618D4"/>
  </w:style>
  <w:style w:type="paragraph" w:customStyle="1" w:styleId="OPCParaBase">
    <w:name w:val="OPCParaBase"/>
    <w:qFormat/>
    <w:rsid w:val="00C618D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618D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618D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618D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618D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618D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618D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618D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618D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618D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618D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618D4"/>
  </w:style>
  <w:style w:type="paragraph" w:customStyle="1" w:styleId="Blocks">
    <w:name w:val="Blocks"/>
    <w:aliases w:val="bb"/>
    <w:basedOn w:val="OPCParaBase"/>
    <w:qFormat/>
    <w:rsid w:val="00C618D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618D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618D4"/>
    <w:rPr>
      <w:i/>
    </w:rPr>
  </w:style>
  <w:style w:type="paragraph" w:customStyle="1" w:styleId="BoxList">
    <w:name w:val="BoxList"/>
    <w:aliases w:val="bl"/>
    <w:basedOn w:val="BoxText"/>
    <w:qFormat/>
    <w:rsid w:val="00C618D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618D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618D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618D4"/>
    <w:pPr>
      <w:ind w:left="1985" w:hanging="851"/>
    </w:pPr>
  </w:style>
  <w:style w:type="character" w:customStyle="1" w:styleId="CharAmPartNo">
    <w:name w:val="CharAmPartNo"/>
    <w:basedOn w:val="OPCCharBase"/>
    <w:qFormat/>
    <w:rsid w:val="00C618D4"/>
  </w:style>
  <w:style w:type="character" w:customStyle="1" w:styleId="CharAmPartText">
    <w:name w:val="CharAmPartText"/>
    <w:basedOn w:val="OPCCharBase"/>
    <w:qFormat/>
    <w:rsid w:val="00C618D4"/>
  </w:style>
  <w:style w:type="character" w:customStyle="1" w:styleId="CharAmSchNo">
    <w:name w:val="CharAmSchNo"/>
    <w:basedOn w:val="OPCCharBase"/>
    <w:qFormat/>
    <w:rsid w:val="00C618D4"/>
  </w:style>
  <w:style w:type="character" w:customStyle="1" w:styleId="CharAmSchText">
    <w:name w:val="CharAmSchText"/>
    <w:basedOn w:val="OPCCharBase"/>
    <w:qFormat/>
    <w:rsid w:val="00C618D4"/>
  </w:style>
  <w:style w:type="character" w:customStyle="1" w:styleId="CharBoldItalic">
    <w:name w:val="CharBoldItalic"/>
    <w:basedOn w:val="OPCCharBase"/>
    <w:uiPriority w:val="1"/>
    <w:qFormat/>
    <w:rsid w:val="00C618D4"/>
    <w:rPr>
      <w:b/>
      <w:i/>
    </w:rPr>
  </w:style>
  <w:style w:type="character" w:customStyle="1" w:styleId="CharChapNo">
    <w:name w:val="CharChapNo"/>
    <w:basedOn w:val="OPCCharBase"/>
    <w:uiPriority w:val="1"/>
    <w:qFormat/>
    <w:rsid w:val="00C618D4"/>
  </w:style>
  <w:style w:type="character" w:customStyle="1" w:styleId="CharChapText">
    <w:name w:val="CharChapText"/>
    <w:basedOn w:val="OPCCharBase"/>
    <w:uiPriority w:val="1"/>
    <w:qFormat/>
    <w:rsid w:val="00C618D4"/>
  </w:style>
  <w:style w:type="character" w:customStyle="1" w:styleId="CharDivNo">
    <w:name w:val="CharDivNo"/>
    <w:basedOn w:val="OPCCharBase"/>
    <w:uiPriority w:val="1"/>
    <w:qFormat/>
    <w:rsid w:val="00C618D4"/>
  </w:style>
  <w:style w:type="character" w:customStyle="1" w:styleId="CharDivText">
    <w:name w:val="CharDivText"/>
    <w:basedOn w:val="OPCCharBase"/>
    <w:uiPriority w:val="1"/>
    <w:qFormat/>
    <w:rsid w:val="00C618D4"/>
  </w:style>
  <w:style w:type="character" w:customStyle="1" w:styleId="CharItalic">
    <w:name w:val="CharItalic"/>
    <w:basedOn w:val="OPCCharBase"/>
    <w:uiPriority w:val="1"/>
    <w:qFormat/>
    <w:rsid w:val="00C618D4"/>
    <w:rPr>
      <w:i/>
    </w:rPr>
  </w:style>
  <w:style w:type="character" w:customStyle="1" w:styleId="CharPartNo">
    <w:name w:val="CharPartNo"/>
    <w:basedOn w:val="OPCCharBase"/>
    <w:uiPriority w:val="1"/>
    <w:qFormat/>
    <w:rsid w:val="00C618D4"/>
  </w:style>
  <w:style w:type="character" w:customStyle="1" w:styleId="CharPartText">
    <w:name w:val="CharPartText"/>
    <w:basedOn w:val="OPCCharBase"/>
    <w:uiPriority w:val="1"/>
    <w:qFormat/>
    <w:rsid w:val="00C618D4"/>
  </w:style>
  <w:style w:type="character" w:customStyle="1" w:styleId="CharSectno">
    <w:name w:val="CharSectno"/>
    <w:basedOn w:val="OPCCharBase"/>
    <w:qFormat/>
    <w:rsid w:val="00C618D4"/>
  </w:style>
  <w:style w:type="character" w:customStyle="1" w:styleId="CharSubdNo">
    <w:name w:val="CharSubdNo"/>
    <w:basedOn w:val="OPCCharBase"/>
    <w:uiPriority w:val="1"/>
    <w:qFormat/>
    <w:rsid w:val="00C618D4"/>
  </w:style>
  <w:style w:type="character" w:customStyle="1" w:styleId="CharSubdText">
    <w:name w:val="CharSubdText"/>
    <w:basedOn w:val="OPCCharBase"/>
    <w:uiPriority w:val="1"/>
    <w:qFormat/>
    <w:rsid w:val="00C618D4"/>
  </w:style>
  <w:style w:type="paragraph" w:customStyle="1" w:styleId="CTA--">
    <w:name w:val="CTA --"/>
    <w:basedOn w:val="OPCParaBase"/>
    <w:next w:val="Normal"/>
    <w:rsid w:val="00C618D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618D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618D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618D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618D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618D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618D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618D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618D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618D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618D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618D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618D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618D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618D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618D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618D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618D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618D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618D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618D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618D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618D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618D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618D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618D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618D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618D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618D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618D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618D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618D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618D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618D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618D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618D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618D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618D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618D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618D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618D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618D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618D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618D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618D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618D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618D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618D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618D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618D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618D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618D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618D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618D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618D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618D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618D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618D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618D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618D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618D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618D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618D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618D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618D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618D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618D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618D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618D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618D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618D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618D4"/>
    <w:rPr>
      <w:sz w:val="16"/>
    </w:rPr>
  </w:style>
  <w:style w:type="table" w:customStyle="1" w:styleId="CFlag">
    <w:name w:val="CFlag"/>
    <w:basedOn w:val="TableNormal"/>
    <w:uiPriority w:val="99"/>
    <w:rsid w:val="00C618D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8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table" w:styleId="TableGrid">
    <w:name w:val="Table Grid"/>
    <w:basedOn w:val="TableNormal"/>
    <w:uiPriority w:val="59"/>
    <w:rsid w:val="00C6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618D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618D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618D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618D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618D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618D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618D4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C618D4"/>
  </w:style>
  <w:style w:type="paragraph" w:customStyle="1" w:styleId="CompiledActNo">
    <w:name w:val="CompiledActNo"/>
    <w:basedOn w:val="OPCParaBase"/>
    <w:next w:val="Normal"/>
    <w:rsid w:val="00C618D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618D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618D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618D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C618D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618D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C618D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618D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C618D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618D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618D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618D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618D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618D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618D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618D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618D4"/>
  </w:style>
  <w:style w:type="character" w:customStyle="1" w:styleId="CharSubPartNoCASA">
    <w:name w:val="CharSubPartNo(CASA)"/>
    <w:basedOn w:val="OPCCharBase"/>
    <w:uiPriority w:val="1"/>
    <w:rsid w:val="00C618D4"/>
  </w:style>
  <w:style w:type="paragraph" w:customStyle="1" w:styleId="ENoteTTIndentHeadingSub">
    <w:name w:val="ENoteTTIndentHeadingSub"/>
    <w:aliases w:val="enTTHis"/>
    <w:basedOn w:val="OPCParaBase"/>
    <w:rsid w:val="00C618D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618D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618D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618D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618D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618D4"/>
    <w:rPr>
      <w:sz w:val="22"/>
    </w:rPr>
  </w:style>
  <w:style w:type="paragraph" w:customStyle="1" w:styleId="SOTextNote">
    <w:name w:val="SO TextNote"/>
    <w:aliases w:val="sont"/>
    <w:basedOn w:val="SOText"/>
    <w:qFormat/>
    <w:rsid w:val="00C618D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618D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618D4"/>
    <w:rPr>
      <w:sz w:val="22"/>
    </w:rPr>
  </w:style>
  <w:style w:type="paragraph" w:customStyle="1" w:styleId="FileName">
    <w:name w:val="FileName"/>
    <w:basedOn w:val="Normal"/>
    <w:rsid w:val="00C618D4"/>
  </w:style>
  <w:style w:type="paragraph" w:customStyle="1" w:styleId="TableHeading">
    <w:name w:val="TableHeading"/>
    <w:aliases w:val="th"/>
    <w:basedOn w:val="OPCParaBase"/>
    <w:next w:val="Tabletext"/>
    <w:rsid w:val="00C618D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618D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618D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618D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618D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618D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618D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618D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618D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618D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618D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618D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E719D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0607BE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7F4021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1E4D-0DB7-43D1-AC8C-B786CBE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18</Pages>
  <Words>2648</Words>
  <Characters>13546</Characters>
  <Application>Microsoft Office Word</Application>
  <DocSecurity>0</DocSecurity>
  <PresentationFormat/>
  <Lines>412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Amendment (Resolving the Asylum Legacy Caseload) Regulation 2015</vt:lpstr>
    </vt:vector>
  </TitlesOfParts>
  <Manager/>
  <Company/>
  <LinksUpToDate>false</LinksUpToDate>
  <CharactersWithSpaces>16077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2015-03-26T03:42:00Z</cp:lastPrinted>
  <dcterms:created xsi:type="dcterms:W3CDTF">2015-04-13T05:48:00Z</dcterms:created>
  <dcterms:modified xsi:type="dcterms:W3CDTF">2015-04-13T05:48:00Z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48, 2015</vt:lpwstr>
  </property>
  <property fmtid="{D5CDD505-2E9C-101B-9397-08002B2CF9AE}" pid="3" name="ShortT">
    <vt:lpwstr>Migration Amendment (Resolving the Asylum Legacy Caseload)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16 April 2015</vt:lpwstr>
  </property>
  <property fmtid="{D5CDD505-2E9C-101B-9397-08002B2CF9AE}" pid="10" name="Authority">
    <vt:lpwstr/>
  </property>
  <property fmtid="{D5CDD505-2E9C-101B-9397-08002B2CF9AE}" pid="11" name="ID">
    <vt:lpwstr>OPC61108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Migration Act 1958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16 April 2015</vt:lpwstr>
  </property>
</Properties>
</file>