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BE" w:rsidRPr="00C0014E" w:rsidRDefault="008C63BE" w:rsidP="008C63BE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4FBA8D21" wp14:editId="42C51443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BE" w:rsidRPr="006153A1" w:rsidRDefault="008C63BE" w:rsidP="008C63BE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8C63BE" w:rsidRPr="002A7834" w:rsidRDefault="008C63BE" w:rsidP="008C63BE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8C63BE" w:rsidRPr="00C0014E" w:rsidRDefault="008C63BE" w:rsidP="008C63BE">
      <w:pPr>
        <w:pBdr>
          <w:bottom w:val="single" w:sz="4" w:space="1" w:color="auto"/>
        </w:pBdr>
        <w:rPr>
          <w:b/>
        </w:rPr>
      </w:pPr>
    </w:p>
    <w:p w:rsidR="008C63BE" w:rsidRPr="008F2616" w:rsidRDefault="008C63BE" w:rsidP="008C63BE"/>
    <w:p w:rsidR="008C63BE" w:rsidRPr="00F85758" w:rsidRDefault="008C63BE" w:rsidP="008C63BE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8C63BE" w:rsidRPr="008F2616" w:rsidRDefault="008C63BE" w:rsidP="008C63BE"/>
    <w:p w:rsidR="008C63BE" w:rsidRPr="007B2098" w:rsidRDefault="008C63BE" w:rsidP="008C63BE">
      <w:r w:rsidRPr="007B2098">
        <w:t xml:space="preserve">Dated </w:t>
      </w:r>
      <w:r>
        <w:t>25</w:t>
      </w:r>
      <w:r w:rsidRPr="007B2098">
        <w:t xml:space="preserve"> March 2015</w:t>
      </w:r>
    </w:p>
    <w:p w:rsidR="008C63BE" w:rsidRPr="008F2616" w:rsidRDefault="008C63BE" w:rsidP="008C63BE">
      <w:r>
        <w:rPr>
          <w:noProof/>
          <w:lang w:val="en-AU"/>
        </w:rPr>
        <w:drawing>
          <wp:inline distT="0" distB="0" distL="0" distR="0" wp14:anchorId="0FC28BF0" wp14:editId="357F3C19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BE" w:rsidRPr="008F2616" w:rsidRDefault="008C63BE" w:rsidP="008C63BE">
      <w:r w:rsidRPr="008F2616">
        <w:t>Standards Management Officer</w:t>
      </w:r>
    </w:p>
    <w:p w:rsidR="008C63BE" w:rsidRPr="008F2616" w:rsidRDefault="008C63BE" w:rsidP="008C63BE">
      <w:r w:rsidRPr="008F2616">
        <w:t>Delegate of the Board of Food Standards Australia New Zealand</w:t>
      </w:r>
    </w:p>
    <w:p w:rsidR="008C63BE" w:rsidRDefault="008C63BE" w:rsidP="008C63BE"/>
    <w:p w:rsidR="008C63BE" w:rsidRDefault="008C63BE" w:rsidP="008C63BE"/>
    <w:p w:rsidR="008C63BE" w:rsidRDefault="008C63BE" w:rsidP="008C63BE"/>
    <w:p w:rsidR="008C63BE" w:rsidRDefault="008C63BE" w:rsidP="008C63BE"/>
    <w:p w:rsidR="008C63BE" w:rsidRDefault="008C63BE" w:rsidP="008C63BE"/>
    <w:p w:rsidR="008C63BE" w:rsidRPr="00574DE1" w:rsidRDefault="008C63BE" w:rsidP="008C63BE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8C63BE" w:rsidRPr="00574DE1" w:rsidRDefault="008C63BE" w:rsidP="008C63BE">
      <w:pPr>
        <w:pStyle w:val="EditorialNotetext"/>
        <w:rPr>
          <w:lang w:val="en-AU"/>
        </w:rPr>
      </w:pPr>
    </w:p>
    <w:p w:rsidR="008C63BE" w:rsidRPr="007B2098" w:rsidRDefault="008C63BE" w:rsidP="008C63BE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8C63BE" w:rsidRDefault="008C63BE" w:rsidP="008C63BE"/>
    <w:p w:rsidR="008C63BE" w:rsidRDefault="008C63BE" w:rsidP="008C63BE">
      <w:pPr>
        <w:sectPr w:rsidR="008C63BE" w:rsidSect="008C63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8D2BDB" w:rsidRPr="001D1563" w:rsidRDefault="008D2BDB" w:rsidP="008D2BDB">
      <w:pPr>
        <w:pStyle w:val="FSCh3Standard"/>
      </w:pPr>
      <w:r>
        <w:rPr>
          <w:lang w:val="en-GB"/>
        </w:rPr>
        <w:lastRenderedPageBreak/>
        <w:t>Standard</w:t>
      </w:r>
      <w:r w:rsidR="00D04310">
        <w:rPr>
          <w:lang w:val="en-GB"/>
        </w:rPr>
        <w:t xml:space="preserve"> 5.1.1</w:t>
      </w:r>
      <w:r w:rsidRPr="001D1563">
        <w:rPr>
          <w:lang w:val="en-GB"/>
        </w:rPr>
        <w:tab/>
        <w:t>Revocation and transitional provisions</w:t>
      </w:r>
      <w:r w:rsidR="00D04310">
        <w:rPr>
          <w:lang w:val="en-GB"/>
        </w:rPr>
        <w:t xml:space="preserve"> </w:t>
      </w:r>
      <w:r w:rsidR="00D04310">
        <w:rPr>
          <w:i/>
          <w:lang w:val="en-GB"/>
        </w:rPr>
        <w:t xml:space="preserve">– </w:t>
      </w:r>
      <w:r w:rsidRPr="001D1563">
        <w:rPr>
          <w:lang w:val="en-GB"/>
        </w:rPr>
        <w:t>2014 revision</w:t>
      </w:r>
    </w:p>
    <w:p w:rsidR="008D2BDB" w:rsidRPr="001D1563" w:rsidRDefault="008D2BDB" w:rsidP="008D2BDB">
      <w:pPr>
        <w:pStyle w:val="FSCh4Div"/>
        <w:rPr>
          <w:lang w:val="en-GB"/>
        </w:rPr>
      </w:pPr>
      <w:bookmarkStart w:id="1" w:name="_Toc371505757"/>
      <w:r w:rsidRPr="001D1563">
        <w:rPr>
          <w:lang w:val="en-GB"/>
        </w:rPr>
        <w:t>Division 1</w:t>
      </w:r>
      <w:r w:rsidRPr="001D1563">
        <w:rPr>
          <w:lang w:val="en-GB"/>
        </w:rPr>
        <w:tab/>
        <w:t>Preliminary</w:t>
      </w:r>
      <w:bookmarkEnd w:id="1"/>
    </w:p>
    <w:p w:rsidR="008D2BDB" w:rsidRPr="001D1563" w:rsidRDefault="008D2BDB" w:rsidP="008D2BDB">
      <w:pPr>
        <w:pStyle w:val="FSCh5Section"/>
        <w:rPr>
          <w:lang w:val="en-GB"/>
        </w:rPr>
      </w:pPr>
      <w:bookmarkStart w:id="2" w:name="_Toc371505758"/>
      <w:bookmarkStart w:id="3" w:name="_Toc400032379"/>
      <w:r w:rsidRPr="001D1563">
        <w:rPr>
          <w:lang w:val="en-GB"/>
        </w:rPr>
        <w:t>5.1.1—1</w:t>
      </w:r>
      <w:r w:rsidRPr="001D1563">
        <w:rPr>
          <w:lang w:val="en-GB"/>
        </w:rPr>
        <w:tab/>
        <w:t>Name</w:t>
      </w:r>
      <w:bookmarkEnd w:id="2"/>
      <w:bookmarkEnd w:id="3"/>
    </w:p>
    <w:p w:rsidR="008D2BDB" w:rsidRPr="00D04310" w:rsidRDefault="008D2BDB" w:rsidP="008D2BD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D04310" w:rsidRPr="00D04310">
        <w:rPr>
          <w:lang w:val="en-GB"/>
        </w:rPr>
        <w:t>–</w:t>
      </w:r>
      <w:r w:rsidRPr="00D04310">
        <w:rPr>
          <w:lang w:val="en-GB"/>
        </w:rPr>
        <w:t xml:space="preserve"> Standard 5.1.1 </w:t>
      </w:r>
      <w:r w:rsidR="00D04310" w:rsidRPr="00D04310">
        <w:rPr>
          <w:lang w:val="en-GB"/>
        </w:rPr>
        <w:t>–</w:t>
      </w:r>
      <w:r w:rsidRPr="00D04310">
        <w:rPr>
          <w:lang w:val="en-GB"/>
        </w:rPr>
        <w:t xml:space="preserve"> Revocation and Transitional Provisions </w:t>
      </w:r>
      <w:r w:rsidR="00D04310" w:rsidRPr="00D04310">
        <w:rPr>
          <w:lang w:val="en-GB"/>
        </w:rPr>
        <w:t>–</w:t>
      </w:r>
      <w:r w:rsidRPr="00D04310">
        <w:rPr>
          <w:lang w:val="en-GB"/>
        </w:rPr>
        <w:t xml:space="preserve"> 2014 revision.</w:t>
      </w:r>
    </w:p>
    <w:p w:rsidR="008D2BDB" w:rsidRPr="001D1563" w:rsidRDefault="008D2BDB" w:rsidP="008D2BD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8D2BDB" w:rsidRPr="001D1563" w:rsidRDefault="008D2BDB" w:rsidP="008D2BD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2</w:t>
      </w:r>
      <w:r w:rsidRPr="001D1563">
        <w:rPr>
          <w:lang w:val="en-GB"/>
        </w:rPr>
        <w:tab/>
        <w:t>This instrument is part of a revision of the Code made in 2014 in which most of the Standards are repealed and replaced by new versions.</w:t>
      </w:r>
    </w:p>
    <w:p w:rsidR="008D2BDB" w:rsidRPr="001D1563" w:rsidRDefault="008D2BDB" w:rsidP="008D2BD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3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8D2BDB" w:rsidRPr="001D1563" w:rsidRDefault="008D2BDB" w:rsidP="008D2BD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4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8D2BDB" w:rsidRPr="001D1563" w:rsidRDefault="008D2BDB" w:rsidP="008D2BDB">
      <w:pPr>
        <w:pStyle w:val="FSCh4Div"/>
        <w:rPr>
          <w:lang w:val="en-GB"/>
        </w:rPr>
      </w:pPr>
      <w:bookmarkStart w:id="4" w:name="_Toc371505760"/>
      <w:r w:rsidRPr="001D1563">
        <w:rPr>
          <w:lang w:val="en-GB"/>
        </w:rPr>
        <w:t>Division 2</w:t>
      </w:r>
      <w:r w:rsidRPr="001D1563">
        <w:rPr>
          <w:lang w:val="en-GB"/>
        </w:rPr>
        <w:tab/>
        <w:t>Revocations</w:t>
      </w:r>
      <w:bookmarkEnd w:id="4"/>
    </w:p>
    <w:p w:rsidR="008D2BDB" w:rsidRPr="001D1563" w:rsidRDefault="008D2BDB" w:rsidP="008D2BDB">
      <w:pPr>
        <w:pStyle w:val="FSCh5Section"/>
        <w:rPr>
          <w:lang w:val="en-GB"/>
        </w:rPr>
      </w:pPr>
      <w:bookmarkStart w:id="5" w:name="_Toc371505761"/>
      <w:bookmarkStart w:id="6" w:name="_Toc400032380"/>
      <w:r w:rsidRPr="001D1563">
        <w:rPr>
          <w:lang w:val="en-GB"/>
        </w:rPr>
        <w:t>5.1.1—2</w:t>
      </w:r>
      <w:r w:rsidRPr="001D1563">
        <w:rPr>
          <w:lang w:val="en-GB"/>
        </w:rPr>
        <w:tab/>
        <w:t>Revocation of standards</w:t>
      </w:r>
      <w:bookmarkEnd w:id="5"/>
      <w:bookmarkEnd w:id="6"/>
    </w:p>
    <w:p w:rsidR="008D2BDB" w:rsidRPr="001D1563" w:rsidRDefault="008D2BDB" w:rsidP="008D2BD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The following standards are revoked: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 xml:space="preserve">Standard 1.1.1—Preliminary Provisions </w:t>
      </w:r>
      <w:r w:rsidR="00D04310">
        <w:rPr>
          <w:lang w:val="en-GB"/>
        </w:rPr>
        <w:t>–</w:t>
      </w:r>
      <w:r w:rsidRPr="001D1563">
        <w:rPr>
          <w:lang w:val="en-GB"/>
        </w:rPr>
        <w:t xml:space="preserve"> Application, Interpretation and General Prohibitions;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Standard 1.1.2—Supplementary Definitions for Foods;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Standard 1.1A.6—Transitional Standard for Special purposes Foods (including Amino Acid Modified Foods);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(d)</w:t>
      </w:r>
      <w:r w:rsidRPr="001D1563">
        <w:rPr>
          <w:lang w:val="en-GB"/>
        </w:rPr>
        <w:tab/>
        <w:t>Standard 1.2.1—Application of Labelling and Other Information Requirements;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(e)</w:t>
      </w:r>
      <w:r w:rsidRPr="001D1563">
        <w:rPr>
          <w:lang w:val="en-GB"/>
        </w:rPr>
        <w:tab/>
        <w:t>Standard 1.2.2—Food Identification Requirements;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(f)</w:t>
      </w:r>
      <w:r w:rsidRPr="001D1563">
        <w:rPr>
          <w:lang w:val="en-GB"/>
        </w:rPr>
        <w:tab/>
        <w:t xml:space="preserve">Standard 1.2.3—Mandatory Warning and Advisory Statements and Declarations; 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(g)</w:t>
      </w:r>
      <w:r w:rsidRPr="001D1563">
        <w:rPr>
          <w:lang w:val="en-GB"/>
        </w:rPr>
        <w:tab/>
        <w:t>Standard 1.2.4—Labelling of Ingredients;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(h)</w:t>
      </w:r>
      <w:r w:rsidRPr="001D1563">
        <w:rPr>
          <w:lang w:val="en-GB"/>
        </w:rPr>
        <w:tab/>
        <w:t>Standard 1.2.5—Date Marking of Packaged Food;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Standard 1.2.6—Directions for Use and Storage;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(j)</w:t>
      </w:r>
      <w:r w:rsidRPr="001D1563">
        <w:rPr>
          <w:lang w:val="en-GB"/>
        </w:rPr>
        <w:tab/>
        <w:t>Standard 1.2.7—Nutrition and Health Claims;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(k)</w:t>
      </w:r>
      <w:r w:rsidRPr="001D1563">
        <w:rPr>
          <w:lang w:val="en-GB"/>
        </w:rPr>
        <w:tab/>
        <w:t>Standard 1.2.8—Nutrition Information Requirements;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(l)</w:t>
      </w:r>
      <w:r w:rsidRPr="001D1563">
        <w:rPr>
          <w:lang w:val="en-GB"/>
        </w:rPr>
        <w:tab/>
        <w:t>Standard 1.2.9—Legibility Requirements;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(m)</w:t>
      </w:r>
      <w:r w:rsidRPr="001D1563">
        <w:rPr>
          <w:lang w:val="en-GB"/>
        </w:rPr>
        <w:tab/>
        <w:t>Standard 1.2.10—Characterising Ingredients and Components of Food;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(n)</w:t>
      </w:r>
      <w:r w:rsidRPr="001D1563">
        <w:rPr>
          <w:lang w:val="en-GB"/>
        </w:rPr>
        <w:tab/>
        <w:t>Standard 1.2.11—Country of Origin Requirements;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(o)</w:t>
      </w:r>
      <w:r w:rsidRPr="001D1563">
        <w:rPr>
          <w:lang w:val="en-GB"/>
        </w:rPr>
        <w:tab/>
        <w:t>Standard 1.3.1—Food Additives;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(p)</w:t>
      </w:r>
      <w:r w:rsidRPr="001D1563">
        <w:rPr>
          <w:lang w:val="en-GB"/>
        </w:rPr>
        <w:tab/>
        <w:t>Standard 1.3.2—Vitamins and Minerals;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(q)</w:t>
      </w:r>
      <w:r w:rsidRPr="001D1563">
        <w:rPr>
          <w:lang w:val="en-GB"/>
        </w:rPr>
        <w:tab/>
        <w:t>Standard 1.3.3—Processing Aids;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(r)</w:t>
      </w:r>
      <w:r w:rsidRPr="001D1563">
        <w:rPr>
          <w:lang w:val="en-GB"/>
        </w:rPr>
        <w:tab/>
        <w:t>Standard 1.3.4—Identity and Purity;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(s)</w:t>
      </w:r>
      <w:r w:rsidRPr="001D1563">
        <w:rPr>
          <w:lang w:val="en-GB"/>
        </w:rPr>
        <w:tab/>
        <w:t>Standard 1.4.1—Contaminants and Natural Toxicants;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(t)</w:t>
      </w:r>
      <w:r w:rsidRPr="001D1563">
        <w:rPr>
          <w:lang w:val="en-GB"/>
        </w:rPr>
        <w:tab/>
        <w:t>Standard 1.4.2—Maximum Residue Limits;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(u)</w:t>
      </w:r>
      <w:r w:rsidRPr="001D1563">
        <w:rPr>
          <w:lang w:val="en-GB"/>
        </w:rPr>
        <w:tab/>
        <w:t>Standard 1.4.3—Articles and Materials in Contact with Food;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(v)</w:t>
      </w:r>
      <w:r w:rsidRPr="001D1563">
        <w:rPr>
          <w:lang w:val="en-GB"/>
        </w:rPr>
        <w:tab/>
        <w:t>Standard 1.4.4—Prohibited and Restricted Plants and Fungi;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(w)</w:t>
      </w:r>
      <w:r w:rsidRPr="001D1563">
        <w:rPr>
          <w:lang w:val="en-GB"/>
        </w:rPr>
        <w:tab/>
        <w:t>Standard 1.5.1—Novel Foods;</w:t>
      </w:r>
    </w:p>
    <w:p w:rsidR="00D04310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(x)</w:t>
      </w:r>
      <w:r w:rsidRPr="001D1563">
        <w:rPr>
          <w:lang w:val="en-GB"/>
        </w:rPr>
        <w:tab/>
        <w:t>Standard 1.5.2—Food produced using Gene Technology;</w:t>
      </w:r>
      <w:r w:rsidR="00D04310">
        <w:rPr>
          <w:lang w:val="en-GB"/>
        </w:rPr>
        <w:br w:type="page"/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lastRenderedPageBreak/>
        <w:tab/>
        <w:t>(y)</w:t>
      </w:r>
      <w:r w:rsidRPr="001D1563">
        <w:rPr>
          <w:lang w:val="en-GB"/>
        </w:rPr>
        <w:tab/>
        <w:t>Standard 1.5.3—Irradiation of Food;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(z)</w:t>
      </w:r>
      <w:r w:rsidRPr="001D1563">
        <w:rPr>
          <w:lang w:val="en-GB"/>
        </w:rPr>
        <w:tab/>
        <w:t>Standard 1.6.1—Microbiological Limits in Food;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(aa)</w:t>
      </w:r>
      <w:r w:rsidRPr="001D1563">
        <w:rPr>
          <w:lang w:val="en-GB"/>
        </w:rPr>
        <w:tab/>
        <w:t>Standard 1.6.2—Processing Requirements;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(bb)</w:t>
      </w:r>
      <w:r w:rsidRPr="001D1563">
        <w:rPr>
          <w:lang w:val="en-GB"/>
        </w:rPr>
        <w:tab/>
        <w:t>Standard 2.1.1—Cereals and Cereal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(cc)</w:t>
      </w:r>
      <w:r w:rsidRPr="001D1563">
        <w:rPr>
          <w:lang w:val="en-GB"/>
        </w:rPr>
        <w:tab/>
        <w:t>Standard 2.2.1—Meat and Meat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(dd)</w:t>
      </w:r>
      <w:r w:rsidRPr="001D1563">
        <w:rPr>
          <w:lang w:val="en-GB"/>
        </w:rPr>
        <w:tab/>
        <w:t>Standard 2.2.2—Egg and Egg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(ee)</w:t>
      </w:r>
      <w:r w:rsidRPr="001D1563">
        <w:rPr>
          <w:lang w:val="en-GB"/>
        </w:rPr>
        <w:tab/>
        <w:t>Standard 2.2.3—Fish and Fish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(ff)</w:t>
      </w:r>
      <w:r w:rsidRPr="001D1563">
        <w:rPr>
          <w:lang w:val="en-GB"/>
        </w:rPr>
        <w:tab/>
        <w:t>Standard 2.3.1—Fruit and Vegetables;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(gg)</w:t>
      </w:r>
      <w:r w:rsidRPr="001D1563">
        <w:rPr>
          <w:lang w:val="en-GB"/>
        </w:rPr>
        <w:tab/>
        <w:t>Standard 2.3.2—Jam;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(hh)</w:t>
      </w:r>
      <w:r w:rsidRPr="001D1563">
        <w:rPr>
          <w:lang w:val="en-GB"/>
        </w:rPr>
        <w:tab/>
        <w:t>Standard 2.4.1—Edible Oils;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Standard 2.4.2—Edible Oils Spreads;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(jj)</w:t>
      </w:r>
      <w:r w:rsidRPr="001D1563">
        <w:rPr>
          <w:lang w:val="en-GB"/>
        </w:rPr>
        <w:tab/>
        <w:t>Standard 2.5.1—Milk;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(kk)</w:t>
      </w:r>
      <w:r w:rsidRPr="001D1563">
        <w:rPr>
          <w:lang w:val="en-GB"/>
        </w:rPr>
        <w:tab/>
        <w:t>Standard 2.5.2—Cream;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(ll)</w:t>
      </w:r>
      <w:r w:rsidRPr="001D1563">
        <w:rPr>
          <w:lang w:val="en-GB"/>
        </w:rPr>
        <w:tab/>
        <w:t>Standard 2.5.3—Fermented Milk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(mm)</w:t>
      </w:r>
      <w:r w:rsidRPr="001D1563">
        <w:rPr>
          <w:lang w:val="en-GB"/>
        </w:rPr>
        <w:tab/>
        <w:t>Standard 2.5.4—Cheese;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(nn)</w:t>
      </w:r>
      <w:r w:rsidRPr="001D1563">
        <w:rPr>
          <w:lang w:val="en-GB"/>
        </w:rPr>
        <w:tab/>
        <w:t>Standard 2.5.5—Butter;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(oo)</w:t>
      </w:r>
      <w:r w:rsidRPr="001D1563">
        <w:rPr>
          <w:lang w:val="en-GB"/>
        </w:rPr>
        <w:tab/>
        <w:t>Standard 2.5.6—Ice Cream;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(pp)</w:t>
      </w:r>
      <w:r w:rsidRPr="001D1563">
        <w:rPr>
          <w:lang w:val="en-GB"/>
        </w:rPr>
        <w:tab/>
        <w:t>Standard 2.5.7—Dried Milks, Evaporated Milks and Condensed Milks;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(qq)</w:t>
      </w:r>
      <w:r w:rsidRPr="001D1563">
        <w:rPr>
          <w:lang w:val="en-GB"/>
        </w:rPr>
        <w:tab/>
        <w:t>Standard 2.6.1—Fruit Juice and Vegetable Juice;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(rr)</w:t>
      </w:r>
      <w:r w:rsidRPr="001D1563">
        <w:rPr>
          <w:lang w:val="en-GB"/>
        </w:rPr>
        <w:tab/>
        <w:t>Standard 2.6.2—Non-Alcoholic Beverages and Brewed Soft Drinks;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(ss)</w:t>
      </w:r>
      <w:r w:rsidRPr="001D1563">
        <w:rPr>
          <w:lang w:val="en-GB"/>
        </w:rPr>
        <w:tab/>
        <w:t>Standard 2.6.3—Kava;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(tt)</w:t>
      </w:r>
      <w:r w:rsidRPr="001D1563">
        <w:rPr>
          <w:lang w:val="en-GB"/>
        </w:rPr>
        <w:tab/>
        <w:t>Standard 2.6.4—Formulated Caffeinated Beverages;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uu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2.7.1—Labelling of Alcoholic Beverages and Food containing Alcohol;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vv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2.7.2—Beer;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ww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2.7.3—Fruit Wine and Vegetable Wine;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(xx)</w:t>
      </w:r>
      <w:r w:rsidRPr="001D1563">
        <w:rPr>
          <w:lang w:val="en-GB"/>
        </w:rPr>
        <w:tab/>
        <w:t>Standard 2.7.4—Wine and Wine Product;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yy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2.7.5—Spirits;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zz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2.8.1—Sugars;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aaa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2.8.2—Honey;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</w:t>
      </w:r>
      <w:proofErr w:type="spellStart"/>
      <w:r w:rsidRPr="001D1563">
        <w:rPr>
          <w:lang w:val="en-GB"/>
        </w:rPr>
        <w:t>bbb</w:t>
      </w:r>
      <w:proofErr w:type="spellEnd"/>
      <w:r w:rsidRPr="001D1563">
        <w:rPr>
          <w:lang w:val="en-GB"/>
        </w:rPr>
        <w:t>)</w:t>
      </w:r>
      <w:r w:rsidRPr="001D1563">
        <w:rPr>
          <w:lang w:val="en-GB"/>
        </w:rPr>
        <w:tab/>
        <w:t>Standard 2.9.1—Infant Formula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(ccc)</w:t>
      </w:r>
      <w:r w:rsidRPr="001D1563">
        <w:rPr>
          <w:lang w:val="en-GB"/>
        </w:rPr>
        <w:tab/>
        <w:t>Standard 2.9.2—Foods for Infants;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(ddd)</w:t>
      </w:r>
      <w:r w:rsidRPr="001D1563">
        <w:rPr>
          <w:lang w:val="en-GB"/>
        </w:rPr>
        <w:tab/>
        <w:t>Standard 2.9.3—Formulated Meal Replacements and Formulated Supplementary Foods;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(eee)</w:t>
      </w:r>
      <w:r w:rsidRPr="001D1563">
        <w:rPr>
          <w:lang w:val="en-GB"/>
        </w:rPr>
        <w:tab/>
        <w:t>Standard 2.9.4—Formulated Supplementary Sports Foods: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(fff)</w:t>
      </w:r>
      <w:r w:rsidRPr="001D1563">
        <w:rPr>
          <w:lang w:val="en-GB"/>
        </w:rPr>
        <w:tab/>
        <w:t>Standard 2.9.5—Food for Special Medical Purposes;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(ggg)</w:t>
      </w:r>
      <w:r w:rsidRPr="001D1563">
        <w:rPr>
          <w:lang w:val="en-GB"/>
        </w:rPr>
        <w:tab/>
        <w:t>Standard 2.10.1—Vinegar and Related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(hhh)</w:t>
      </w:r>
      <w:r w:rsidRPr="001D1563">
        <w:rPr>
          <w:lang w:val="en-GB"/>
        </w:rPr>
        <w:tab/>
        <w:t>Standard 2.10.2—Salt and Salt Products;</w:t>
      </w:r>
    </w:p>
    <w:p w:rsidR="008D2BDB" w:rsidRPr="001D1563" w:rsidRDefault="008D2BDB" w:rsidP="008D2BDB">
      <w:pPr>
        <w:pStyle w:val="FSCt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Standard 2.10.3—Chewing Gum.</w:t>
      </w:r>
    </w:p>
    <w:p w:rsidR="008D2BDB" w:rsidRPr="001D1563" w:rsidRDefault="008D2BDB" w:rsidP="008D2BDB">
      <w:pPr>
        <w:pStyle w:val="h5StandardEnd"/>
        <w:rPr>
          <w:lang w:val="en-GB"/>
        </w:rPr>
      </w:pPr>
      <w:bookmarkStart w:id="7" w:name="_Ref337556297"/>
      <w:r w:rsidRPr="001D1563">
        <w:rPr>
          <w:lang w:val="en-GB"/>
        </w:rPr>
        <w:t>____________________</w:t>
      </w:r>
    </w:p>
    <w:bookmarkEnd w:id="7"/>
    <w:p w:rsidR="00BA1167" w:rsidRPr="000F7093" w:rsidRDefault="00BA1167" w:rsidP="00E32E5E"/>
    <w:sectPr w:rsidR="00BA1167" w:rsidRPr="000F7093" w:rsidSect="008C63BE">
      <w:footerReference w:type="default" r:id="rId16"/>
      <w:footerReference w:type="first" r:id="rId17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DB" w:rsidRDefault="008D2BDB">
      <w:r>
        <w:separator/>
      </w:r>
    </w:p>
  </w:endnote>
  <w:endnote w:type="continuationSeparator" w:id="0">
    <w:p w:rsidR="008D2BDB" w:rsidRDefault="008D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E9" w:rsidRDefault="005C69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8C63BE" w:rsidRPr="00CF1834" w:rsidRDefault="008C63BE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E9" w:rsidRDefault="005C69E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5C69E9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D04310">
      <w:rPr>
        <w:rFonts w:cs="Arial"/>
        <w:noProof/>
        <w:sz w:val="18"/>
        <w:szCs w:val="18"/>
      </w:rPr>
      <w:t>Standard 5.1.1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DB" w:rsidRDefault="008D2BDB">
      <w:r>
        <w:separator/>
      </w:r>
    </w:p>
  </w:footnote>
  <w:footnote w:type="continuationSeparator" w:id="0">
    <w:p w:rsidR="008D2BDB" w:rsidRDefault="008D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E9" w:rsidRDefault="005C69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E9" w:rsidRDefault="005C69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E9" w:rsidRDefault="005C6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8D2BDB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045A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C69E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3BE"/>
    <w:rsid w:val="008C6C78"/>
    <w:rsid w:val="008D2BDB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4310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04310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04310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D04310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D04310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D04310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D04310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D0431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0431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0431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D04310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D04310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04310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04310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04310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04310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D04310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10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10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04310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D04310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D04310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4310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D043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310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D04310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D04310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D04310"/>
    <w:pPr>
      <w:ind w:right="1417"/>
    </w:pPr>
  </w:style>
  <w:style w:type="character" w:styleId="FootnoteReference">
    <w:name w:val="footnote reference"/>
    <w:basedOn w:val="DefaultParagraphFont"/>
    <w:semiHidden/>
    <w:rsid w:val="00D04310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D04310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4310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D04310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D04310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D04310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D04310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D04310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51045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D04310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51045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51045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D04310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D04310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D04310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310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D04310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D04310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D04310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D04310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D04310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D04310"/>
  </w:style>
  <w:style w:type="paragraph" w:customStyle="1" w:styleId="FSCsbMainSection">
    <w:name w:val="FSC_sb_Main_Section"/>
    <w:basedOn w:val="FSCsbFirstSection"/>
    <w:qFormat/>
    <w:rsid w:val="00D04310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D04310"/>
  </w:style>
  <w:style w:type="paragraph" w:customStyle="1" w:styleId="FSCtDefn">
    <w:name w:val="FSC_t_Defn"/>
    <w:aliases w:val="t1_Defn"/>
    <w:basedOn w:val="FSCtMain"/>
    <w:rsid w:val="00D04310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D04310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D04310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D04310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D04310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D04310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D04310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D04310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D04310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D04310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D04310"/>
    <w:rPr>
      <w:sz w:val="16"/>
    </w:rPr>
  </w:style>
  <w:style w:type="paragraph" w:customStyle="1" w:styleId="FSCoTitleofInstrument">
    <w:name w:val="FSC_o_Title_of_Instrument"/>
    <w:basedOn w:val="Normal"/>
    <w:rsid w:val="00D04310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D04310"/>
  </w:style>
  <w:style w:type="paragraph" w:styleId="BalloonText">
    <w:name w:val="Balloon Text"/>
    <w:basedOn w:val="Normal"/>
    <w:link w:val="BalloonTextChar"/>
    <w:uiPriority w:val="99"/>
    <w:semiHidden/>
    <w:unhideWhenUsed/>
    <w:rsid w:val="00D04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10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D04310"/>
    <w:pPr>
      <w:ind w:left="0" w:firstLine="0"/>
      <w:jc w:val="center"/>
    </w:pPr>
  </w:style>
  <w:style w:type="paragraph" w:customStyle="1" w:styleId="FSCbaseheading">
    <w:name w:val="FSC_base_heading"/>
    <w:rsid w:val="00D04310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D04310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D04310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D04310"/>
    <w:pPr>
      <w:jc w:val="center"/>
    </w:pPr>
    <w:rPr>
      <w:iCs w:val="0"/>
    </w:rPr>
  </w:style>
  <w:style w:type="paragraph" w:customStyle="1" w:styleId="FSCfooter">
    <w:name w:val="FSC_footer"/>
    <w:basedOn w:val="Normal"/>
    <w:rsid w:val="00D04310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D04310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D04310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D04310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D04310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D04310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D04310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D04310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D04310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D04310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D04310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D04310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D04310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D04310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D04310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D04310"/>
    <w:pPr>
      <w:ind w:left="1701"/>
    </w:pPr>
  </w:style>
  <w:style w:type="paragraph" w:customStyle="1" w:styleId="FSCbasetbl">
    <w:name w:val="FSC_base_tbl"/>
    <w:basedOn w:val="FSCbasepara"/>
    <w:qFormat/>
    <w:rsid w:val="00D04310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D04310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D04310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D04310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0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310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310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D04310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D04310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D04310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D04310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D04310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D04310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D04310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D04310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D04310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D04310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D04310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D04310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8C63BE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8C63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8C63BE"/>
    <w:rPr>
      <w:b w:val="0"/>
    </w:rPr>
  </w:style>
  <w:style w:type="character" w:customStyle="1" w:styleId="ClauseChar">
    <w:name w:val="Clause Char"/>
    <w:basedOn w:val="DefaultParagraphFont"/>
    <w:link w:val="Clause"/>
    <w:rsid w:val="008C63BE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8C63BE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63BE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04310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04310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D04310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D04310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D04310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D04310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D0431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0431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0431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D04310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D04310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04310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04310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04310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04310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D04310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10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10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04310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D04310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D04310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4310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D043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310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D04310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D04310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D04310"/>
    <w:pPr>
      <w:ind w:right="1417"/>
    </w:pPr>
  </w:style>
  <w:style w:type="character" w:styleId="FootnoteReference">
    <w:name w:val="footnote reference"/>
    <w:basedOn w:val="DefaultParagraphFont"/>
    <w:semiHidden/>
    <w:rsid w:val="00D04310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D04310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4310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D04310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D04310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D04310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D04310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D04310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51045A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D04310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51045A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51045A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D04310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D04310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D04310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310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D04310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D04310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D04310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D04310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D04310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D04310"/>
  </w:style>
  <w:style w:type="paragraph" w:customStyle="1" w:styleId="FSCsbMainSection">
    <w:name w:val="FSC_sb_Main_Section"/>
    <w:basedOn w:val="FSCsbFirstSection"/>
    <w:qFormat/>
    <w:rsid w:val="00D04310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D04310"/>
  </w:style>
  <w:style w:type="paragraph" w:customStyle="1" w:styleId="FSCtDefn">
    <w:name w:val="FSC_t_Defn"/>
    <w:aliases w:val="t1_Defn"/>
    <w:basedOn w:val="FSCtMain"/>
    <w:rsid w:val="00D04310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D04310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D04310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D04310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D04310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D04310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D04310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D04310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D04310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D04310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D04310"/>
    <w:rPr>
      <w:sz w:val="16"/>
    </w:rPr>
  </w:style>
  <w:style w:type="paragraph" w:customStyle="1" w:styleId="FSCoTitleofInstrument">
    <w:name w:val="FSC_o_Title_of_Instrument"/>
    <w:basedOn w:val="Normal"/>
    <w:rsid w:val="00D04310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D04310"/>
  </w:style>
  <w:style w:type="paragraph" w:styleId="BalloonText">
    <w:name w:val="Balloon Text"/>
    <w:basedOn w:val="Normal"/>
    <w:link w:val="BalloonTextChar"/>
    <w:uiPriority w:val="99"/>
    <w:semiHidden/>
    <w:unhideWhenUsed/>
    <w:rsid w:val="00D04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10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D04310"/>
    <w:pPr>
      <w:ind w:left="0" w:firstLine="0"/>
      <w:jc w:val="center"/>
    </w:pPr>
  </w:style>
  <w:style w:type="paragraph" w:customStyle="1" w:styleId="FSCbaseheading">
    <w:name w:val="FSC_base_heading"/>
    <w:rsid w:val="00D04310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D04310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D04310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D04310"/>
    <w:pPr>
      <w:jc w:val="center"/>
    </w:pPr>
    <w:rPr>
      <w:iCs w:val="0"/>
    </w:rPr>
  </w:style>
  <w:style w:type="paragraph" w:customStyle="1" w:styleId="FSCfooter">
    <w:name w:val="FSC_footer"/>
    <w:basedOn w:val="Normal"/>
    <w:rsid w:val="00D04310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D04310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D04310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D04310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D04310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D04310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D04310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D04310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D04310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D04310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D04310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D04310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D04310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D04310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D04310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D04310"/>
    <w:pPr>
      <w:ind w:left="1701"/>
    </w:pPr>
  </w:style>
  <w:style w:type="paragraph" w:customStyle="1" w:styleId="FSCbasetbl">
    <w:name w:val="FSC_base_tbl"/>
    <w:basedOn w:val="FSCbasepara"/>
    <w:qFormat/>
    <w:rsid w:val="00D04310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D04310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D04310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D04310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0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310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310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D04310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D04310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D04310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D04310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D04310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D04310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D04310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D04310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D04310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D04310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D04310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D04310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8C63BE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8C63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8C63BE"/>
    <w:rPr>
      <w:b w:val="0"/>
    </w:rPr>
  </w:style>
  <w:style w:type="character" w:customStyle="1" w:styleId="ClauseChar">
    <w:name w:val="Clause Char"/>
    <w:basedOn w:val="DefaultParagraphFont"/>
    <w:link w:val="Clause"/>
    <w:rsid w:val="008C63BE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8C63BE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63BE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2015-04-02T05:20:00Z</dcterms:created>
  <dcterms:modified xsi:type="dcterms:W3CDTF">2015-04-02T05:20:00Z</dcterms:modified>
</cp:coreProperties>
</file>