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5D" w:rsidRPr="00C0014E" w:rsidRDefault="009A6A5D" w:rsidP="009A6A5D">
      <w:pPr>
        <w:rPr>
          <w:noProof/>
          <w:lang w:val="en-AU"/>
        </w:rPr>
      </w:pPr>
      <w:bookmarkStart w:id="0" w:name="_Toc371505744"/>
      <w:bookmarkStart w:id="1" w:name="_Toc400032361"/>
      <w:bookmarkStart w:id="2" w:name="_GoBack"/>
      <w:bookmarkEnd w:id="2"/>
      <w:r w:rsidRPr="00C0014E">
        <w:rPr>
          <w:noProof/>
          <w:lang w:val="en-AU"/>
        </w:rPr>
        <w:drawing>
          <wp:inline distT="0" distB="0" distL="0" distR="0" wp14:anchorId="60ED1D21" wp14:editId="038369BC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5D" w:rsidRPr="006153A1" w:rsidRDefault="009A6A5D" w:rsidP="009A6A5D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9A6A5D" w:rsidRPr="002A7834" w:rsidRDefault="009A6A5D" w:rsidP="009A6A5D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9A6A5D" w:rsidRPr="00C0014E" w:rsidRDefault="009A6A5D" w:rsidP="009A6A5D">
      <w:pPr>
        <w:pBdr>
          <w:bottom w:val="single" w:sz="4" w:space="1" w:color="auto"/>
        </w:pBdr>
        <w:rPr>
          <w:b/>
        </w:rPr>
      </w:pPr>
    </w:p>
    <w:p w:rsidR="009A6A5D" w:rsidRPr="008F2616" w:rsidRDefault="009A6A5D" w:rsidP="009A6A5D"/>
    <w:p w:rsidR="009A6A5D" w:rsidRPr="00F85758" w:rsidRDefault="009A6A5D" w:rsidP="009A6A5D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9A6A5D" w:rsidRPr="008F2616" w:rsidRDefault="009A6A5D" w:rsidP="009A6A5D"/>
    <w:p w:rsidR="009A6A5D" w:rsidRPr="007B2098" w:rsidRDefault="009A6A5D" w:rsidP="009A6A5D">
      <w:r w:rsidRPr="007B2098">
        <w:t xml:space="preserve">Dated </w:t>
      </w:r>
      <w:r>
        <w:t>25</w:t>
      </w:r>
      <w:r w:rsidRPr="007B2098">
        <w:t xml:space="preserve"> March 2015</w:t>
      </w:r>
    </w:p>
    <w:p w:rsidR="009A6A5D" w:rsidRPr="008F2616" w:rsidRDefault="009A6A5D" w:rsidP="009A6A5D">
      <w:r>
        <w:rPr>
          <w:noProof/>
          <w:lang w:val="en-AU"/>
        </w:rPr>
        <w:drawing>
          <wp:inline distT="0" distB="0" distL="0" distR="0" wp14:anchorId="3F519B73" wp14:editId="38C552A2">
            <wp:extent cx="13430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5D" w:rsidRPr="008F2616" w:rsidRDefault="009A6A5D" w:rsidP="009A6A5D">
      <w:r w:rsidRPr="008F2616">
        <w:t>Standards Management Officer</w:t>
      </w:r>
    </w:p>
    <w:p w:rsidR="009A6A5D" w:rsidRPr="008F2616" w:rsidRDefault="009A6A5D" w:rsidP="009A6A5D">
      <w:r w:rsidRPr="008F2616">
        <w:t>Delegate of the Board of Food Standards Australia New Zealand</w:t>
      </w:r>
    </w:p>
    <w:p w:rsidR="009A6A5D" w:rsidRDefault="009A6A5D" w:rsidP="009A6A5D"/>
    <w:p w:rsidR="009A6A5D" w:rsidRDefault="009A6A5D" w:rsidP="009A6A5D"/>
    <w:p w:rsidR="009A6A5D" w:rsidRDefault="009A6A5D" w:rsidP="009A6A5D"/>
    <w:p w:rsidR="009A6A5D" w:rsidRDefault="009A6A5D" w:rsidP="009A6A5D"/>
    <w:p w:rsidR="009A6A5D" w:rsidRDefault="009A6A5D" w:rsidP="009A6A5D"/>
    <w:p w:rsidR="009A6A5D" w:rsidRPr="00574DE1" w:rsidRDefault="009A6A5D" w:rsidP="009A6A5D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9A6A5D" w:rsidRPr="00574DE1" w:rsidRDefault="009A6A5D" w:rsidP="009A6A5D">
      <w:pPr>
        <w:pStyle w:val="EditorialNotetext"/>
        <w:rPr>
          <w:lang w:val="en-AU"/>
        </w:rPr>
      </w:pPr>
    </w:p>
    <w:p w:rsidR="009A6A5D" w:rsidRPr="007B2098" w:rsidRDefault="009A6A5D" w:rsidP="009A6A5D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9A6A5D" w:rsidRDefault="009A6A5D" w:rsidP="009A6A5D"/>
    <w:p w:rsidR="009A6A5D" w:rsidRDefault="009A6A5D" w:rsidP="009A6A5D">
      <w:pPr>
        <w:sectPr w:rsidR="009A6A5D" w:rsidSect="009A6A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7D5998" w:rsidRPr="007D5998" w:rsidRDefault="007D5998" w:rsidP="007D5998">
      <w:pPr>
        <w:pStyle w:val="FSCh3Standard"/>
      </w:pPr>
      <w:r w:rsidRPr="007D5998">
        <w:lastRenderedPageBreak/>
        <w:t>Standard 2.10.3</w:t>
      </w:r>
      <w:r w:rsidRPr="007D5998">
        <w:tab/>
        <w:t>Chewing gum</w:t>
      </w:r>
      <w:bookmarkEnd w:id="0"/>
      <w:bookmarkEnd w:id="1"/>
    </w:p>
    <w:p w:rsidR="007D5998" w:rsidRPr="007D5998" w:rsidRDefault="007D5998" w:rsidP="007D5998">
      <w:pPr>
        <w:pStyle w:val="FSCnatHeading"/>
      </w:pPr>
      <w:bookmarkStart w:id="3" w:name="_Ref356891314"/>
      <w:r w:rsidRPr="007D5998">
        <w:rPr>
          <w:b/>
          <w:i/>
        </w:rPr>
        <w:t>Note 1</w:t>
      </w:r>
      <w:r w:rsidRPr="007D5998">
        <w:tab/>
        <w:t xml:space="preserve">This instrument is a standard under the </w:t>
      </w:r>
      <w:r w:rsidRPr="007D5998">
        <w:rPr>
          <w:i/>
        </w:rPr>
        <w:t>Food Standards Australia New Zealand Act 1991</w:t>
      </w:r>
      <w:r w:rsidRPr="007D5998">
        <w:t xml:space="preserve"> (Cth). The standards together make up the </w:t>
      </w:r>
      <w:r w:rsidRPr="007D5998">
        <w:rPr>
          <w:i/>
        </w:rPr>
        <w:t>Australia New Zealand Food Standards Code.</w:t>
      </w:r>
      <w:r w:rsidRPr="007D5998">
        <w:t xml:space="preserve"> See also section 1.1.1—3.</w:t>
      </w:r>
    </w:p>
    <w:p w:rsidR="007D5998" w:rsidRPr="007D5998" w:rsidRDefault="007D5998" w:rsidP="007D5998">
      <w:pPr>
        <w:pStyle w:val="FSCnatHeading"/>
      </w:pPr>
      <w:r w:rsidRPr="007D5998">
        <w:rPr>
          <w:b/>
          <w:i/>
        </w:rPr>
        <w:t>Note 2</w:t>
      </w:r>
      <w:r w:rsidRPr="007D5998">
        <w:tab/>
        <w:t xml:space="preserve">The provisions of the Code that apply in New Zealand are incorporated in, or adopted under, the </w:t>
      </w:r>
      <w:r w:rsidRPr="007D5998">
        <w:rPr>
          <w:i/>
        </w:rPr>
        <w:t>Food Act 2014</w:t>
      </w:r>
      <w:r w:rsidRPr="007D5998">
        <w:t xml:space="preserve"> (NZ). See also section 1.1.1—3.</w:t>
      </w:r>
    </w:p>
    <w:p w:rsidR="007D5998" w:rsidRPr="007D5998" w:rsidRDefault="007D5998" w:rsidP="007D5998">
      <w:pPr>
        <w:pStyle w:val="FSCh5Section"/>
      </w:pPr>
      <w:bookmarkStart w:id="4" w:name="_Toc400032362"/>
      <w:r w:rsidRPr="007D5998">
        <w:t>2.10.3—1</w:t>
      </w:r>
      <w:r w:rsidRPr="007D5998">
        <w:tab/>
        <w:t>Name</w:t>
      </w:r>
      <w:bookmarkEnd w:id="4"/>
    </w:p>
    <w:p w:rsidR="007D5998" w:rsidRPr="007D5998" w:rsidRDefault="007D5998" w:rsidP="007D5998">
      <w:pPr>
        <w:pStyle w:val="FSCtMain"/>
      </w:pPr>
      <w:r w:rsidRPr="007D5998">
        <w:tab/>
      </w:r>
      <w:r w:rsidRPr="007D5998">
        <w:tab/>
        <w:t xml:space="preserve">This Standard is </w:t>
      </w:r>
      <w:r w:rsidRPr="007D5998">
        <w:rPr>
          <w:i/>
        </w:rPr>
        <w:t xml:space="preserve">Australia New Zealand Food Standards Code </w:t>
      </w:r>
      <w:r w:rsidRPr="007D5998">
        <w:t>– Standard 2.10.3 – Chewing gum.</w:t>
      </w:r>
    </w:p>
    <w:p w:rsidR="007D5998" w:rsidRPr="007D5998" w:rsidRDefault="007D5998" w:rsidP="009437AE">
      <w:pPr>
        <w:pStyle w:val="FSCnMain"/>
      </w:pPr>
      <w:r w:rsidRPr="007D5998">
        <w:tab/>
      </w:r>
      <w:r w:rsidRPr="007D5998">
        <w:rPr>
          <w:b/>
          <w:i/>
        </w:rPr>
        <w:t>Note</w:t>
      </w:r>
      <w:r w:rsidRPr="007D5998">
        <w:rPr>
          <w:b/>
          <w:i/>
        </w:rPr>
        <w:tab/>
      </w:r>
      <w:r w:rsidRPr="007D5998">
        <w:t>Commencement:</w:t>
      </w:r>
      <w:r w:rsidRPr="007D5998">
        <w:rPr>
          <w:i/>
        </w:rPr>
        <w:br/>
      </w:r>
      <w:r w:rsidRPr="007D5998">
        <w:t xml:space="preserve">This Standard commences on 1 March 2016, being the date specified as the commencement date in notices in the </w:t>
      </w:r>
      <w:r w:rsidRPr="007D5998">
        <w:rPr>
          <w:i/>
        </w:rPr>
        <w:t>Gazette</w:t>
      </w:r>
      <w:r w:rsidRPr="007D5998">
        <w:t xml:space="preserve"> and the New Zealand Gazette under section 92 of the </w:t>
      </w:r>
      <w:r w:rsidRPr="007D5998">
        <w:rPr>
          <w:i/>
        </w:rPr>
        <w:t>Food Standards Australia New Zealand Act 1991</w:t>
      </w:r>
      <w:r w:rsidRPr="007D5998">
        <w:t xml:space="preserve"> (Cth). See also section 93 of that Act.</w:t>
      </w:r>
    </w:p>
    <w:p w:rsidR="007D5998" w:rsidRPr="007D5998" w:rsidRDefault="007D5998" w:rsidP="007D5998">
      <w:pPr>
        <w:pStyle w:val="FSCh5Section"/>
      </w:pPr>
      <w:bookmarkStart w:id="5" w:name="_Toc371505745"/>
      <w:bookmarkStart w:id="6" w:name="_Toc400032363"/>
      <w:r w:rsidRPr="007D5998">
        <w:t>2.10.3—2</w:t>
      </w:r>
      <w:r w:rsidRPr="007D5998">
        <w:tab/>
      </w:r>
      <w:bookmarkEnd w:id="3"/>
      <w:bookmarkEnd w:id="5"/>
      <w:r w:rsidRPr="007D5998">
        <w:t>Definition</w:t>
      </w:r>
      <w:bookmarkEnd w:id="6"/>
    </w:p>
    <w:p w:rsidR="007D5998" w:rsidRPr="007D5998" w:rsidRDefault="007D5998" w:rsidP="009437AE">
      <w:pPr>
        <w:pStyle w:val="FSCnatHeading"/>
      </w:pPr>
      <w:r w:rsidRPr="007D5998">
        <w:rPr>
          <w:b/>
          <w:i/>
        </w:rPr>
        <w:t>Note</w:t>
      </w:r>
      <w:r w:rsidRPr="007D5998">
        <w:tab/>
        <w:t>In this Code (see section 1.1.2—2):</w:t>
      </w:r>
    </w:p>
    <w:p w:rsidR="007D5998" w:rsidRPr="007D5998" w:rsidRDefault="007D5998" w:rsidP="009437AE">
      <w:pPr>
        <w:pStyle w:val="FSCnMain"/>
        <w:ind w:left="1701" w:hanging="1701"/>
      </w:pPr>
      <w:r w:rsidRPr="007D5998">
        <w:rPr>
          <w:b/>
          <w:i/>
        </w:rPr>
        <w:tab/>
        <w:t>releasable calcium</w:t>
      </w:r>
      <w:r w:rsidRPr="007D5998">
        <w:t xml:space="preserve">, </w:t>
      </w:r>
      <w:proofErr w:type="spellStart"/>
      <w:r w:rsidRPr="007D5998">
        <w:rPr>
          <w:b/>
          <w:i/>
        </w:rPr>
        <w:t>Ca</w:t>
      </w:r>
      <w:r w:rsidRPr="007D5998">
        <w:rPr>
          <w:rFonts w:ascii="Times New Roman Bold" w:hAnsi="Times New Roman Bold"/>
          <w:b/>
          <w:i/>
          <w:vertAlign w:val="subscript"/>
        </w:rPr>
        <w:t>R</w:t>
      </w:r>
      <w:proofErr w:type="spellEnd"/>
      <w:r w:rsidRPr="007D5998">
        <w:rPr>
          <w:rFonts w:ascii="Times New Roman Bold" w:hAnsi="Times New Roman Bold"/>
        </w:rPr>
        <w:t>,</w:t>
      </w:r>
      <w:r w:rsidRPr="007D5998">
        <w:t xml:space="preserve"> means the amount of calcium, in mg/g of chewing gum, released into the mouth during 20 minutes of chewing that is calculated using the following equation:</w:t>
      </w:r>
    </w:p>
    <w:p w:rsidR="007D5998" w:rsidRPr="007D5998" w:rsidRDefault="007D5998" w:rsidP="00396365">
      <w:pPr>
        <w:tabs>
          <w:tab w:val="right" w:pos="2211"/>
        </w:tabs>
        <w:spacing w:after="100"/>
        <w:ind w:left="1701" w:hanging="1701"/>
        <w:rPr>
          <w:rFonts w:ascii="Times New Roman" w:hAnsi="Times New Roman"/>
          <w:lang w:val="en-AU"/>
        </w:rPr>
      </w:pPr>
      <w:r w:rsidRPr="007D5998">
        <w:rPr>
          <w:rFonts w:ascii="Times New Roman" w:hAnsi="Times New Roman"/>
          <w:lang w:val="en-AU"/>
        </w:rPr>
        <w:tab/>
      </w:r>
      <w:r w:rsidRPr="007D5998">
        <w:rPr>
          <w:rFonts w:ascii="Times New Roman" w:hAnsi="Times New Roman"/>
          <w:lang w:val="en-AU"/>
        </w:rPr>
        <w:tab/>
      </w:r>
      <w:r w:rsidRPr="007D5998">
        <w:rPr>
          <w:rFonts w:ascii="Times New Roman" w:hAnsi="Times New Roman"/>
          <w:noProof/>
          <w:lang w:val="en-AU"/>
        </w:rPr>
        <w:drawing>
          <wp:inline distT="0" distB="0" distL="0" distR="0" wp14:anchorId="2C4B49E0" wp14:editId="5F5DF0F6">
            <wp:extent cx="2009775" cy="44831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8" w:rsidRPr="007D5998" w:rsidRDefault="007D5998" w:rsidP="009437AE">
      <w:pPr>
        <w:pStyle w:val="FSCnMain"/>
      </w:pPr>
      <w:r w:rsidRPr="007D5998">
        <w:tab/>
        <w:t>where:</w:t>
      </w:r>
    </w:p>
    <w:p w:rsidR="007D5998" w:rsidRPr="007D5998" w:rsidRDefault="007D5998" w:rsidP="009437AE">
      <w:pPr>
        <w:pStyle w:val="FSCnMain"/>
      </w:pPr>
      <w:r w:rsidRPr="007D5998">
        <w:rPr>
          <w:b/>
          <w:i/>
        </w:rPr>
        <w:tab/>
      </w:r>
      <w:proofErr w:type="spellStart"/>
      <w:r w:rsidRPr="007D5998">
        <w:rPr>
          <w:b/>
          <w:i/>
        </w:rPr>
        <w:t>Ca</w:t>
      </w:r>
      <w:r w:rsidRPr="007D5998">
        <w:rPr>
          <w:rFonts w:ascii="Times New Roman Bold" w:hAnsi="Times New Roman Bold"/>
          <w:b/>
          <w:i/>
          <w:vertAlign w:val="subscript"/>
        </w:rPr>
        <w:t>O</w:t>
      </w:r>
      <w:proofErr w:type="spellEnd"/>
      <w:r w:rsidRPr="007D5998">
        <w:t xml:space="preserve"> is the original calcium concentration in the chewing gum in mg/g of chewing gum.</w:t>
      </w:r>
    </w:p>
    <w:p w:rsidR="007D5998" w:rsidRPr="007D5998" w:rsidRDefault="007D5998" w:rsidP="009437AE">
      <w:pPr>
        <w:pStyle w:val="FSCnMain"/>
      </w:pPr>
      <w:r w:rsidRPr="007D5998">
        <w:rPr>
          <w:b/>
          <w:i/>
        </w:rPr>
        <w:tab/>
        <w:t>W</w:t>
      </w:r>
      <w:r w:rsidRPr="007D5998">
        <w:rPr>
          <w:rFonts w:ascii="Times New Roman Bold" w:hAnsi="Times New Roman Bold"/>
          <w:b/>
          <w:i/>
          <w:vertAlign w:val="subscript"/>
        </w:rPr>
        <w:t>O</w:t>
      </w:r>
      <w:r w:rsidRPr="007D5998">
        <w:t xml:space="preserve"> is the weight of the original chewing gum in g.</w:t>
      </w:r>
    </w:p>
    <w:p w:rsidR="007D5998" w:rsidRPr="007D5998" w:rsidRDefault="007D5998" w:rsidP="009437AE">
      <w:pPr>
        <w:pStyle w:val="FSCnMain"/>
      </w:pPr>
      <w:r w:rsidRPr="007D5998">
        <w:rPr>
          <w:b/>
          <w:i/>
        </w:rPr>
        <w:tab/>
      </w:r>
      <w:proofErr w:type="spellStart"/>
      <w:r w:rsidRPr="007D5998">
        <w:rPr>
          <w:b/>
          <w:i/>
        </w:rPr>
        <w:t>Ca</w:t>
      </w:r>
      <w:r w:rsidRPr="007D5998">
        <w:rPr>
          <w:rFonts w:ascii="Times New Roman Bold" w:hAnsi="Times New Roman Bold"/>
          <w:b/>
          <w:i/>
          <w:vertAlign w:val="subscript"/>
        </w:rPr>
        <w:t>C</w:t>
      </w:r>
      <w:proofErr w:type="spellEnd"/>
      <w:r w:rsidRPr="007D5998">
        <w:t xml:space="preserve"> is the residual calcium in the gum after it has been chewed for 20 minutes in mg/g of chewing gum.</w:t>
      </w:r>
    </w:p>
    <w:p w:rsidR="007D5998" w:rsidRPr="007D5998" w:rsidRDefault="007D5998" w:rsidP="009437AE">
      <w:pPr>
        <w:pStyle w:val="FSCnMain"/>
      </w:pPr>
      <w:r w:rsidRPr="007D5998">
        <w:rPr>
          <w:b/>
          <w:i/>
        </w:rPr>
        <w:tab/>
        <w:t>W</w:t>
      </w:r>
      <w:r w:rsidRPr="007D5998">
        <w:rPr>
          <w:rFonts w:ascii="Times New Roman Bold" w:hAnsi="Times New Roman Bold"/>
          <w:b/>
          <w:i/>
          <w:vertAlign w:val="subscript"/>
        </w:rPr>
        <w:t>C</w:t>
      </w:r>
      <w:r w:rsidRPr="007D5998">
        <w:t xml:space="preserve"> is the weight of the chewed gum in g.</w:t>
      </w:r>
    </w:p>
    <w:p w:rsidR="007D5998" w:rsidRPr="007D5998" w:rsidRDefault="007D5998" w:rsidP="009437AE">
      <w:pPr>
        <w:pStyle w:val="FSCnMain"/>
      </w:pPr>
      <w:r w:rsidRPr="007D5998">
        <w:rPr>
          <w:b/>
          <w:i/>
        </w:rPr>
        <w:t xml:space="preserve"> </w:t>
      </w:r>
      <w:r w:rsidRPr="007D5998">
        <w:rPr>
          <w:b/>
          <w:i/>
        </w:rPr>
        <w:tab/>
        <w:t xml:space="preserve">small package </w:t>
      </w:r>
      <w:r w:rsidRPr="007D5998">
        <w:t>means a package with a surface area of less than 100 cm</w:t>
      </w:r>
      <w:r w:rsidRPr="007D5998">
        <w:rPr>
          <w:vertAlign w:val="superscript"/>
        </w:rPr>
        <w:t>2</w:t>
      </w:r>
      <w:r w:rsidRPr="007D5998">
        <w:t>.</w:t>
      </w:r>
    </w:p>
    <w:p w:rsidR="007D5998" w:rsidRPr="007D5998" w:rsidRDefault="007D5998" w:rsidP="007D5998">
      <w:pPr>
        <w:pStyle w:val="FSCh5Section"/>
      </w:pPr>
      <w:bookmarkStart w:id="7" w:name="_Toc371505746"/>
      <w:bookmarkStart w:id="8" w:name="_Toc400032364"/>
      <w:r w:rsidRPr="007D5998">
        <w:t>2.10.3—3</w:t>
      </w:r>
      <w:r w:rsidRPr="007D5998">
        <w:tab/>
        <w:t>Addition of calcium to chewing gum</w:t>
      </w:r>
      <w:bookmarkEnd w:id="7"/>
      <w:bookmarkEnd w:id="8"/>
    </w:p>
    <w:p w:rsidR="007D5998" w:rsidRPr="007D5998" w:rsidRDefault="007D5998" w:rsidP="007D5998">
      <w:pPr>
        <w:pStyle w:val="FSCtMain"/>
      </w:pPr>
      <w:r w:rsidRPr="007D5998">
        <w:tab/>
      </w:r>
      <w:r w:rsidRPr="007D5998">
        <w:tab/>
        <w:t>Calcium may be added to chewing gum only if:</w:t>
      </w:r>
    </w:p>
    <w:p w:rsidR="007D5998" w:rsidRPr="007D5998" w:rsidRDefault="007D5998" w:rsidP="007D5998">
      <w:pPr>
        <w:pStyle w:val="FSCtPara"/>
      </w:pPr>
      <w:r w:rsidRPr="007D5998">
        <w:tab/>
        <w:t>(a)</w:t>
      </w:r>
      <w:r w:rsidRPr="007D5998">
        <w:tab/>
        <w:t>the chewing gum contains no more than 0.2% residual sugars; and</w:t>
      </w:r>
    </w:p>
    <w:p w:rsidR="007D5998" w:rsidRPr="007D5998" w:rsidRDefault="007D5998" w:rsidP="007D5998">
      <w:pPr>
        <w:pStyle w:val="FSCtPara"/>
      </w:pPr>
      <w:r w:rsidRPr="007D5998">
        <w:tab/>
        <w:t>(b)</w:t>
      </w:r>
      <w:r w:rsidRPr="007D5998">
        <w:tab/>
        <w:t>the calcium is in a permitted form specified in section S17—3.</w:t>
      </w:r>
    </w:p>
    <w:p w:rsidR="007D5998" w:rsidRPr="007D5998" w:rsidRDefault="007D5998" w:rsidP="007D5998">
      <w:pPr>
        <w:pStyle w:val="FSCh5Section"/>
      </w:pPr>
      <w:bookmarkStart w:id="9" w:name="_Toc400032365"/>
      <w:bookmarkStart w:id="10" w:name="_Ref333586960"/>
      <w:bookmarkStart w:id="11" w:name="_Toc371505747"/>
      <w:r w:rsidRPr="007D5998">
        <w:t>2.10.3—4</w:t>
      </w:r>
      <w:r w:rsidRPr="007D5998">
        <w:tab/>
        <w:t>Claims about the presence of calcium in chewing gum</w:t>
      </w:r>
      <w:bookmarkEnd w:id="9"/>
    </w:p>
    <w:p w:rsidR="007D5998" w:rsidRPr="007D5998" w:rsidRDefault="007D5998" w:rsidP="007D5998">
      <w:pPr>
        <w:pStyle w:val="FSCtMain"/>
      </w:pPr>
      <w:r w:rsidRPr="007D5998">
        <w:tab/>
        <w:t>(1)</w:t>
      </w:r>
      <w:r w:rsidRPr="007D5998">
        <w:tab/>
        <w:t>Despite subsection 1.2.7—12(1), a claim to the effect that chewing gum is a good source of calcium or *releasable calcium must not be made.</w:t>
      </w:r>
    </w:p>
    <w:p w:rsidR="007D5998" w:rsidRPr="007D5998" w:rsidRDefault="007D5998" w:rsidP="007D5998">
      <w:pPr>
        <w:pStyle w:val="FSCnMain"/>
      </w:pPr>
      <w:r w:rsidRPr="007D5998">
        <w:tab/>
      </w:r>
      <w:r w:rsidRPr="007D5998">
        <w:rPr>
          <w:b/>
          <w:i/>
        </w:rPr>
        <w:t>Note</w:t>
      </w:r>
      <w:r w:rsidRPr="007D5998">
        <w:tab/>
        <w:t>Subsection 1.2.7—12(1) and the table to section S4—3 regulate when nutrition content claims may be made, including nutrition content claims about a food being a good source of vitamins or minerals.</w:t>
      </w:r>
    </w:p>
    <w:p w:rsidR="007D5998" w:rsidRPr="007D5998" w:rsidRDefault="007D5998" w:rsidP="007D5998">
      <w:pPr>
        <w:pStyle w:val="FSCtMain"/>
      </w:pPr>
      <w:r w:rsidRPr="007D5998">
        <w:tab/>
        <w:t>(2)</w:t>
      </w:r>
      <w:r w:rsidRPr="007D5998">
        <w:tab/>
        <w:t>A claim about the presence of *releasable calcium in chewing gum may be made only if:</w:t>
      </w:r>
    </w:p>
    <w:bookmarkEnd w:id="10"/>
    <w:bookmarkEnd w:id="11"/>
    <w:p w:rsidR="007D5998" w:rsidRPr="007D5998" w:rsidRDefault="007D5998" w:rsidP="007D5998">
      <w:pPr>
        <w:pStyle w:val="FSCtPara"/>
      </w:pPr>
      <w:r w:rsidRPr="007D5998">
        <w:tab/>
        <w:t>(a)</w:t>
      </w:r>
      <w:r w:rsidRPr="007D5998">
        <w:tab/>
        <w:t>the chewing gum contains no more than 0.2% residual sugars; and</w:t>
      </w:r>
    </w:p>
    <w:p w:rsidR="007D5998" w:rsidRPr="007D5998" w:rsidRDefault="007D5998" w:rsidP="007D5998">
      <w:pPr>
        <w:pStyle w:val="FSCtPara"/>
      </w:pPr>
      <w:r w:rsidRPr="007D5998">
        <w:tab/>
        <w:t>(b)</w:t>
      </w:r>
      <w:r w:rsidRPr="007D5998">
        <w:tab/>
        <w:t>the chewing gum contains no less than 80 mg (10% RDI) of releasable calcium per serve; and</w:t>
      </w:r>
    </w:p>
    <w:p w:rsidR="007D5998" w:rsidRPr="007D5998" w:rsidRDefault="007D5998" w:rsidP="007D5998">
      <w:pPr>
        <w:pStyle w:val="FSCtPara"/>
      </w:pPr>
      <w:r w:rsidRPr="007D5998">
        <w:tab/>
        <w:t>(c)</w:t>
      </w:r>
      <w:r w:rsidRPr="007D5998">
        <w:tab/>
        <w:t>the amount claimed is no more than 200 mg (25% RDI) of releasable calcium per serve; and</w:t>
      </w:r>
    </w:p>
    <w:p w:rsidR="007D5998" w:rsidRPr="007D5998" w:rsidRDefault="007D5998" w:rsidP="007D5998">
      <w:pPr>
        <w:pStyle w:val="FSCtPara"/>
      </w:pPr>
      <w:r w:rsidRPr="007D5998">
        <w:tab/>
        <w:t>(d)</w:t>
      </w:r>
      <w:r w:rsidRPr="007D5998">
        <w:tab/>
        <w:t>the *supplier who makes the claim or includes it on a label or in an advertisement:</w:t>
      </w:r>
    </w:p>
    <w:p w:rsidR="007D5998" w:rsidRPr="007D5998" w:rsidRDefault="007D5998" w:rsidP="007D5998">
      <w:pPr>
        <w:pStyle w:val="FSCtSubpara"/>
      </w:pPr>
      <w:r w:rsidRPr="007D5998">
        <w:tab/>
        <w:t>(i)</w:t>
      </w:r>
      <w:r w:rsidRPr="007D5998">
        <w:tab/>
        <w:t>has records that substantiate the matters listed in paragraphs (b) and (c); and</w:t>
      </w:r>
    </w:p>
    <w:p w:rsidR="007D5998" w:rsidRPr="007D5998" w:rsidRDefault="007D5998" w:rsidP="007D5998">
      <w:pPr>
        <w:pStyle w:val="FSCtSubpara"/>
      </w:pPr>
      <w:r w:rsidRPr="007D5998">
        <w:tab/>
        <w:t>(ii)</w:t>
      </w:r>
      <w:r w:rsidRPr="007D5998">
        <w:tab/>
        <w:t>makes the records available to the *relevant authority upon request.</w:t>
      </w:r>
    </w:p>
    <w:p w:rsidR="007D5998" w:rsidRPr="007D5998" w:rsidRDefault="007D5998" w:rsidP="007D5998">
      <w:pPr>
        <w:pStyle w:val="FSCh5Section"/>
      </w:pPr>
      <w:bookmarkStart w:id="12" w:name="_Ref333761097"/>
      <w:bookmarkStart w:id="13" w:name="_Toc371505748"/>
      <w:bookmarkStart w:id="14" w:name="_Toc400032366"/>
      <w:r w:rsidRPr="007D5998">
        <w:lastRenderedPageBreak/>
        <w:t>2.10.3—5</w:t>
      </w:r>
      <w:r w:rsidRPr="007D5998">
        <w:tab/>
        <w:t>Labelling requirements</w:t>
      </w:r>
      <w:bookmarkEnd w:id="12"/>
      <w:bookmarkEnd w:id="13"/>
      <w:bookmarkEnd w:id="14"/>
    </w:p>
    <w:p w:rsidR="007D5998" w:rsidRPr="007D5998" w:rsidRDefault="007D5998" w:rsidP="007D5998">
      <w:pPr>
        <w:pStyle w:val="FSCtMain"/>
      </w:pPr>
      <w:r w:rsidRPr="007D5998">
        <w:tab/>
        <w:t>(1)</w:t>
      </w:r>
      <w:r w:rsidRPr="007D5998">
        <w:tab/>
        <w:t>If a claim is made in accordance with section 2.10.3—4, the nutrition information panel must include:</w:t>
      </w:r>
    </w:p>
    <w:p w:rsidR="007D5998" w:rsidRPr="007D5998" w:rsidRDefault="007D5998" w:rsidP="007D5998">
      <w:pPr>
        <w:pStyle w:val="FSCtPara"/>
      </w:pPr>
      <w:r w:rsidRPr="007D5998">
        <w:tab/>
        <w:t>(a)</w:t>
      </w:r>
      <w:r w:rsidRPr="007D5998">
        <w:tab/>
        <w:t>for chewing gum in a small package:</w:t>
      </w:r>
    </w:p>
    <w:p w:rsidR="007D5998" w:rsidRPr="007D5998" w:rsidRDefault="007D5998" w:rsidP="007D5998">
      <w:pPr>
        <w:pStyle w:val="FSCtSubpara"/>
      </w:pPr>
      <w:r w:rsidRPr="007D5998">
        <w:tab/>
        <w:t>(i)</w:t>
      </w:r>
      <w:r w:rsidRPr="007D5998">
        <w:tab/>
        <w:t>the *average quantity of *releasable calcium per serve; and</w:t>
      </w:r>
    </w:p>
    <w:p w:rsidR="007D5998" w:rsidRPr="007D5998" w:rsidRDefault="007D5998" w:rsidP="007D5998">
      <w:pPr>
        <w:pStyle w:val="FSCtSubpara"/>
      </w:pPr>
      <w:r w:rsidRPr="007D5998">
        <w:tab/>
        <w:t>(ii)</w:t>
      </w:r>
      <w:r w:rsidRPr="007D5998">
        <w:tab/>
        <w:t>the serving size; and</w:t>
      </w:r>
    </w:p>
    <w:p w:rsidR="007D5998" w:rsidRPr="007D5998" w:rsidRDefault="007D5998" w:rsidP="007D5998">
      <w:pPr>
        <w:pStyle w:val="FSCtPara"/>
      </w:pPr>
      <w:r w:rsidRPr="007D5998">
        <w:tab/>
        <w:t>(b)</w:t>
      </w:r>
      <w:r w:rsidRPr="007D5998">
        <w:tab/>
        <w:t>for chewing gum other than in a small package—the average quantity of releasable calcium per serve and per 100 g; and</w:t>
      </w:r>
    </w:p>
    <w:p w:rsidR="007D5998" w:rsidRPr="007D5998" w:rsidRDefault="007D5998" w:rsidP="007D5998">
      <w:pPr>
        <w:pStyle w:val="FSCtPara"/>
      </w:pPr>
      <w:r w:rsidRPr="007D5998">
        <w:tab/>
        <w:t>(c)</w:t>
      </w:r>
      <w:r w:rsidRPr="007D5998">
        <w:tab/>
        <w:t>in any case:</w:t>
      </w:r>
    </w:p>
    <w:p w:rsidR="007D5998" w:rsidRPr="007D5998" w:rsidRDefault="007D5998" w:rsidP="007D5998">
      <w:pPr>
        <w:pStyle w:val="FSCtSubpara"/>
      </w:pPr>
      <w:r w:rsidRPr="007D5998">
        <w:tab/>
        <w:t>(i)</w:t>
      </w:r>
      <w:r w:rsidRPr="007D5998">
        <w:tab/>
        <w:t>the proportion of the *RDI (for calcium) of releasable calcium per serve; and</w:t>
      </w:r>
    </w:p>
    <w:p w:rsidR="007D5998" w:rsidRPr="007D5998" w:rsidRDefault="007D5998" w:rsidP="007D5998">
      <w:pPr>
        <w:pStyle w:val="FSCtSubpara"/>
      </w:pPr>
      <w:r w:rsidRPr="007D5998">
        <w:tab/>
        <w:t>(ii)</w:t>
      </w:r>
      <w:r w:rsidRPr="007D5998">
        <w:tab/>
        <w:t>a statement to the effect that the average quantity of calcium is released during 20 minutes of chewing.</w:t>
      </w:r>
    </w:p>
    <w:p w:rsidR="007D5998" w:rsidRPr="007D5998" w:rsidRDefault="007D5998" w:rsidP="007D5998">
      <w:pPr>
        <w:pStyle w:val="FSCtMain"/>
      </w:pPr>
      <w:r w:rsidRPr="007D5998">
        <w:tab/>
        <w:t>(2)</w:t>
      </w:r>
      <w:r w:rsidRPr="007D5998">
        <w:tab/>
        <w:t>For chewing gum in a small package:</w:t>
      </w:r>
    </w:p>
    <w:p w:rsidR="007D5998" w:rsidRPr="007D5998" w:rsidRDefault="007D5998" w:rsidP="007D5998">
      <w:pPr>
        <w:pStyle w:val="FSCtPara"/>
      </w:pPr>
      <w:r w:rsidRPr="007D5998">
        <w:tab/>
        <w:t>(a)</w:t>
      </w:r>
      <w:r w:rsidRPr="007D5998">
        <w:tab/>
        <w:t>the information need not be set out in a nutrition information panel; and</w:t>
      </w:r>
    </w:p>
    <w:p w:rsidR="007D5998" w:rsidRPr="007D5998" w:rsidRDefault="007D5998" w:rsidP="007D5998">
      <w:pPr>
        <w:pStyle w:val="FSCtPara"/>
      </w:pPr>
      <w:r w:rsidRPr="007D5998">
        <w:tab/>
        <w:t>(b)</w:t>
      </w:r>
      <w:r w:rsidRPr="007D5998">
        <w:tab/>
        <w:t>to avoid doubt, paragraph 1.2.8—14(1)(b) does not apply in relation to a claim made in accordance with section 2.10.3—4.</w:t>
      </w:r>
    </w:p>
    <w:p w:rsidR="007D5998" w:rsidRPr="007D5998" w:rsidRDefault="007D5998" w:rsidP="007D5998">
      <w:pPr>
        <w:pStyle w:val="FSCtMain"/>
      </w:pPr>
      <w:r w:rsidRPr="007D5998">
        <w:tab/>
        <w:t>(3)</w:t>
      </w:r>
      <w:r w:rsidRPr="007D5998">
        <w:tab/>
        <w:t>For chewing gum other than in a small package, the nutrition information panel may be set out in the form specified in section S12—7.</w:t>
      </w:r>
    </w:p>
    <w:p w:rsidR="0090163B" w:rsidRPr="001D1563" w:rsidRDefault="0090163B" w:rsidP="0090163B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9A6A5D">
      <w:footerReference w:type="default" r:id="rId17"/>
      <w:footerReference w:type="first" r:id="rId18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3B" w:rsidRDefault="0090163B">
      <w:r>
        <w:separator/>
      </w:r>
    </w:p>
  </w:endnote>
  <w:endnote w:type="continuationSeparator" w:id="0">
    <w:p w:rsidR="0090163B" w:rsidRDefault="0090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8A" w:rsidRDefault="003A4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9A6A5D" w:rsidRPr="00CF1834" w:rsidRDefault="009A6A5D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8A" w:rsidRDefault="003A4D8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3A4D8A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7D5998">
      <w:rPr>
        <w:rFonts w:cs="Arial"/>
        <w:noProof/>
        <w:sz w:val="18"/>
        <w:szCs w:val="18"/>
      </w:rPr>
      <w:t>Standard 2.10.3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3B" w:rsidRDefault="0090163B">
      <w:r>
        <w:separator/>
      </w:r>
    </w:p>
  </w:footnote>
  <w:footnote w:type="continuationSeparator" w:id="0">
    <w:p w:rsidR="0090163B" w:rsidRDefault="0090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8A" w:rsidRDefault="003A4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8A" w:rsidRDefault="003A4D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8A" w:rsidRDefault="003A4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0163B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6365"/>
    <w:rsid w:val="0039749E"/>
    <w:rsid w:val="003A080E"/>
    <w:rsid w:val="003A34AE"/>
    <w:rsid w:val="003A4CFF"/>
    <w:rsid w:val="003A4D8A"/>
    <w:rsid w:val="003A72A8"/>
    <w:rsid w:val="003B114C"/>
    <w:rsid w:val="003B4E23"/>
    <w:rsid w:val="003B7386"/>
    <w:rsid w:val="003B777A"/>
    <w:rsid w:val="003C32EE"/>
    <w:rsid w:val="003C452F"/>
    <w:rsid w:val="003C6F2C"/>
    <w:rsid w:val="003D24AD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1D4A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5998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163B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437AE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A6A5D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9A6A5D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9A6A5D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9A6A5D"/>
    <w:rPr>
      <w:b w:val="0"/>
    </w:rPr>
  </w:style>
  <w:style w:type="character" w:customStyle="1" w:styleId="ClauseChar">
    <w:name w:val="Clause Char"/>
    <w:basedOn w:val="DefaultParagraphFont"/>
    <w:link w:val="Clause"/>
    <w:rsid w:val="009A6A5D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9A6A5D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6A5D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9A6A5D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9A6A5D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9A6A5D"/>
    <w:rPr>
      <w:b w:val="0"/>
    </w:rPr>
  </w:style>
  <w:style w:type="character" w:customStyle="1" w:styleId="ClauseChar">
    <w:name w:val="Clause Char"/>
    <w:basedOn w:val="DefaultParagraphFont"/>
    <w:link w:val="Clause"/>
    <w:rsid w:val="009A6A5D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9A6A5D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6A5D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2015-04-02T00:01:00Z</dcterms:created>
  <dcterms:modified xsi:type="dcterms:W3CDTF">2015-04-02T00:01:00Z</dcterms:modified>
</cp:coreProperties>
</file>