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A3" w:rsidRPr="00EB13A3" w:rsidRDefault="00EB13A3" w:rsidP="00EB13A3">
      <w:pPr>
        <w:rPr>
          <w:noProof/>
          <w:lang w:val="en-AU"/>
        </w:rPr>
      </w:pPr>
      <w:bookmarkStart w:id="0" w:name="_GoBack"/>
      <w:bookmarkEnd w:id="0"/>
      <w:r w:rsidRPr="00EB13A3">
        <w:rPr>
          <w:noProof/>
          <w:lang w:val="en-AU"/>
        </w:rPr>
        <w:drawing>
          <wp:inline distT="0" distB="0" distL="0" distR="0" wp14:anchorId="274C108D" wp14:editId="2C23B7E2">
            <wp:extent cx="2657475" cy="438150"/>
            <wp:effectExtent l="0" t="0" r="9525" b="0"/>
            <wp:docPr id="1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3A3" w:rsidRPr="00EB13A3" w:rsidRDefault="00EB13A3" w:rsidP="00EB13A3">
      <w:pPr>
        <w:widowControl w:val="0"/>
        <w:pBdr>
          <w:bottom w:val="single" w:sz="4" w:space="1" w:color="auto"/>
        </w:pBdr>
        <w:tabs>
          <w:tab w:val="left" w:pos="851"/>
        </w:tabs>
        <w:jc w:val="center"/>
        <w:rPr>
          <w:szCs w:val="20"/>
          <w:lang w:eastAsia="en-US"/>
        </w:rPr>
      </w:pPr>
    </w:p>
    <w:p w:rsidR="00EB13A3" w:rsidRPr="00EB13A3" w:rsidRDefault="00EB13A3" w:rsidP="00EB13A3">
      <w:pPr>
        <w:pBdr>
          <w:bottom w:val="single" w:sz="4" w:space="1" w:color="auto"/>
        </w:pBdr>
        <w:rPr>
          <w:b/>
        </w:rPr>
      </w:pPr>
      <w:r w:rsidRPr="00EB13A3">
        <w:rPr>
          <w:b/>
        </w:rPr>
        <w:t>Food Standards (Proposal P1025 – Code Revision) Variation</w:t>
      </w:r>
    </w:p>
    <w:p w:rsidR="00EB13A3" w:rsidRPr="00EB13A3" w:rsidRDefault="00EB13A3" w:rsidP="00EB13A3">
      <w:pPr>
        <w:pBdr>
          <w:bottom w:val="single" w:sz="4" w:space="1" w:color="auto"/>
        </w:pBdr>
        <w:rPr>
          <w:b/>
        </w:rPr>
      </w:pPr>
    </w:p>
    <w:p w:rsidR="00EB13A3" w:rsidRPr="00EB13A3" w:rsidRDefault="00EB13A3" w:rsidP="00EB13A3"/>
    <w:p w:rsidR="00EB13A3" w:rsidRPr="00EB13A3" w:rsidRDefault="00EB13A3" w:rsidP="00EB13A3">
      <w:pPr>
        <w:widowControl w:val="0"/>
        <w:tabs>
          <w:tab w:val="left" w:pos="851"/>
        </w:tabs>
        <w:rPr>
          <w:szCs w:val="20"/>
          <w:lang w:eastAsia="en-US"/>
        </w:rPr>
      </w:pPr>
      <w:r w:rsidRPr="00EB13A3">
        <w:rPr>
          <w:szCs w:val="20"/>
          <w:lang w:eastAsia="en-US"/>
        </w:rPr>
        <w:t xml:space="preserve">The Board of Food Standards Australia New Zealand gives notice of the making of this standard under section 92 of the </w:t>
      </w:r>
      <w:r w:rsidRPr="00EB13A3">
        <w:rPr>
          <w:i/>
          <w:szCs w:val="20"/>
          <w:lang w:eastAsia="en-US"/>
        </w:rPr>
        <w:t>Food Standards Australia New Zealand Act 1991</w:t>
      </w:r>
      <w:r w:rsidRPr="00EB13A3">
        <w:rPr>
          <w:szCs w:val="20"/>
          <w:lang w:eastAsia="en-US"/>
        </w:rPr>
        <w:t>. The Standard commences on 1 March 2016.</w:t>
      </w:r>
    </w:p>
    <w:p w:rsidR="00EB13A3" w:rsidRPr="00EB13A3" w:rsidRDefault="00EB13A3" w:rsidP="00EB13A3"/>
    <w:p w:rsidR="00EB13A3" w:rsidRPr="00EB13A3" w:rsidRDefault="00EB13A3" w:rsidP="00EB13A3">
      <w:r w:rsidRPr="00EB13A3">
        <w:t>Dated 25 March 2015</w:t>
      </w:r>
    </w:p>
    <w:p w:rsidR="00EB13A3" w:rsidRPr="00EB13A3" w:rsidRDefault="00EB13A3" w:rsidP="00EB13A3">
      <w:r w:rsidRPr="00EB13A3">
        <w:rPr>
          <w:noProof/>
          <w:lang w:val="en-AU"/>
        </w:rPr>
        <w:drawing>
          <wp:inline distT="0" distB="0" distL="0" distR="0" wp14:anchorId="64E3D28F" wp14:editId="1311AAAB">
            <wp:extent cx="134302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3A3" w:rsidRPr="00EB13A3" w:rsidRDefault="00EB13A3" w:rsidP="00EB13A3">
      <w:r w:rsidRPr="00EB13A3">
        <w:t>Standards Management Officer</w:t>
      </w:r>
    </w:p>
    <w:p w:rsidR="00EB13A3" w:rsidRPr="00EB13A3" w:rsidRDefault="00EB13A3" w:rsidP="00EB13A3">
      <w:r w:rsidRPr="00EB13A3">
        <w:t>Delegate of the Board of Food Standards Australia New Zealand</w:t>
      </w:r>
    </w:p>
    <w:p w:rsidR="00EB13A3" w:rsidRPr="00EB13A3" w:rsidRDefault="00EB13A3" w:rsidP="00EB13A3"/>
    <w:p w:rsidR="00EB13A3" w:rsidRPr="00EB13A3" w:rsidRDefault="00EB13A3" w:rsidP="00EB13A3"/>
    <w:p w:rsidR="00EB13A3" w:rsidRPr="00EB13A3" w:rsidRDefault="00EB13A3" w:rsidP="00EB13A3"/>
    <w:p w:rsidR="00EB13A3" w:rsidRPr="00EB13A3" w:rsidRDefault="00EB13A3" w:rsidP="00EB13A3"/>
    <w:p w:rsidR="00EB13A3" w:rsidRPr="00EB13A3" w:rsidRDefault="00EB13A3" w:rsidP="00EB13A3"/>
    <w:p w:rsidR="00EB13A3" w:rsidRPr="00EB13A3" w:rsidRDefault="00EB13A3" w:rsidP="00EB13A3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Cs w:val="20"/>
          <w:lang w:val="en-AU" w:eastAsia="en-US"/>
        </w:rPr>
      </w:pPr>
      <w:r w:rsidRPr="00EB13A3">
        <w:rPr>
          <w:b/>
          <w:szCs w:val="20"/>
          <w:lang w:val="en-AU" w:eastAsia="en-US"/>
        </w:rPr>
        <w:t xml:space="preserve">Note:  </w:t>
      </w:r>
    </w:p>
    <w:p w:rsidR="00EB13A3" w:rsidRPr="00EB13A3" w:rsidRDefault="00EB13A3" w:rsidP="00EB13A3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Cs w:val="20"/>
          <w:lang w:val="en-AU" w:eastAsia="en-US"/>
        </w:rPr>
      </w:pPr>
    </w:p>
    <w:p w:rsidR="00EB13A3" w:rsidRPr="00EB13A3" w:rsidRDefault="00EB13A3" w:rsidP="00EB13A3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Cs w:val="20"/>
          <w:lang w:val="en-AU" w:eastAsia="en-US"/>
        </w:rPr>
      </w:pPr>
      <w:r w:rsidRPr="00EB13A3">
        <w:rPr>
          <w:szCs w:val="20"/>
          <w:lang w:val="en-AU" w:eastAsia="en-US"/>
        </w:rPr>
        <w:t xml:space="preserve">This Standard will be published in the Commonwealth of Australia Gazette No. FSC 96 on 10 April 2015. </w:t>
      </w:r>
    </w:p>
    <w:p w:rsidR="00EB13A3" w:rsidRPr="00EB13A3" w:rsidRDefault="00EB13A3" w:rsidP="00EB13A3"/>
    <w:p w:rsidR="00EB13A3" w:rsidRPr="00EB13A3" w:rsidRDefault="00EB13A3" w:rsidP="00EB13A3">
      <w:pPr>
        <w:sectPr w:rsidR="00EB13A3" w:rsidRPr="00EB13A3" w:rsidSect="007F59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2102D4" w:rsidRPr="001D1563" w:rsidRDefault="002102D4" w:rsidP="002102D4">
      <w:pPr>
        <w:pStyle w:val="FSCh3Standard"/>
      </w:pPr>
      <w:r>
        <w:rPr>
          <w:lang w:val="en-GB"/>
        </w:rPr>
        <w:lastRenderedPageBreak/>
        <w:t>Schedule</w:t>
      </w:r>
      <w:r w:rsidR="00726070">
        <w:rPr>
          <w:lang w:val="en-GB"/>
        </w:rPr>
        <w:t xml:space="preserve"> 21</w:t>
      </w:r>
      <w:r w:rsidRPr="001D1563">
        <w:rPr>
          <w:lang w:val="en-GB"/>
        </w:rPr>
        <w:tab/>
        <w:t>Extraneous residue limits</w:t>
      </w:r>
    </w:p>
    <w:p w:rsidR="002102D4" w:rsidRPr="001D1563" w:rsidRDefault="002102D4" w:rsidP="002102D4">
      <w:pPr>
        <w:pStyle w:val="FSCnatHeading"/>
        <w:rPr>
          <w:lang w:val="en-GB"/>
        </w:rPr>
      </w:pPr>
      <w:r w:rsidRPr="002102D4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726070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2102D4" w:rsidRPr="001D1563" w:rsidRDefault="002102D4" w:rsidP="002102D4">
      <w:pPr>
        <w:pStyle w:val="FSCnatHeading"/>
        <w:rPr>
          <w:lang w:val="en-GB"/>
        </w:rPr>
      </w:pPr>
      <w:r w:rsidRPr="001D1563">
        <w:rPr>
          <w:lang w:val="en-GB"/>
        </w:rPr>
        <w:tab/>
        <w:t>Extraneous residue limits are regulated by subsection 1.1.1—10(5) and Standard 1.4.2. This Standard identifies *active constituents of agvet chemicals, and their permitted residues, for the purpose of section 1.4.2—5.</w:t>
      </w:r>
    </w:p>
    <w:p w:rsidR="002102D4" w:rsidRPr="001D1563" w:rsidRDefault="002102D4" w:rsidP="002102D4">
      <w:pPr>
        <w:pStyle w:val="FSCnatHeading"/>
        <w:rPr>
          <w:lang w:val="en-GB"/>
        </w:rPr>
      </w:pPr>
      <w:r w:rsidRPr="002102D4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>This Standard applies in Australia only. In New Zealand, extraneous residue limits for agricultural compounds are set out in a Maximum Residue Limits Standard.</w:t>
      </w:r>
    </w:p>
    <w:p w:rsidR="002102D4" w:rsidRPr="001D1563" w:rsidRDefault="002102D4" w:rsidP="002102D4">
      <w:pPr>
        <w:pStyle w:val="FSCh5Section"/>
        <w:rPr>
          <w:lang w:val="en-GB"/>
        </w:rPr>
      </w:pPr>
      <w:bookmarkStart w:id="1" w:name="_Toc400032512"/>
      <w:bookmarkStart w:id="2" w:name="_Toc371505875"/>
      <w:r w:rsidRPr="001D1563">
        <w:rPr>
          <w:rFonts w:ascii="Arial Bold" w:hAnsi="Arial Bold"/>
          <w:lang w:val="en-GB"/>
        </w:rPr>
        <w:t>S21—1</w:t>
      </w:r>
      <w:r w:rsidRPr="001D1563">
        <w:rPr>
          <w:lang w:val="en-GB"/>
        </w:rPr>
        <w:tab/>
        <w:t>Name</w:t>
      </w:r>
      <w:bookmarkEnd w:id="1"/>
    </w:p>
    <w:p w:rsidR="002102D4" w:rsidRPr="00726070" w:rsidRDefault="002102D4" w:rsidP="002102D4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726070" w:rsidRPr="00726070">
        <w:rPr>
          <w:lang w:val="en-GB"/>
        </w:rPr>
        <w:t>–</w:t>
      </w:r>
      <w:r w:rsidRPr="00726070">
        <w:rPr>
          <w:lang w:val="en-GB"/>
        </w:rPr>
        <w:t xml:space="preserve"> Schedule 21 </w:t>
      </w:r>
      <w:r w:rsidR="00726070" w:rsidRPr="00726070">
        <w:rPr>
          <w:lang w:val="en-GB"/>
        </w:rPr>
        <w:t>–</w:t>
      </w:r>
      <w:r w:rsidRPr="00726070">
        <w:rPr>
          <w:lang w:val="en-GB"/>
        </w:rPr>
        <w:t xml:space="preserve"> Extraneous residue limits.</w:t>
      </w:r>
    </w:p>
    <w:p w:rsidR="002102D4" w:rsidRPr="001D1563" w:rsidRDefault="002102D4" w:rsidP="002102D4">
      <w:pPr>
        <w:pStyle w:val="FSCnMain"/>
        <w:rPr>
          <w:lang w:val="en-GB"/>
        </w:rPr>
      </w:pPr>
      <w:bookmarkStart w:id="3" w:name="_Toc400032513"/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2102D4" w:rsidRPr="001D1563" w:rsidRDefault="002102D4" w:rsidP="002102D4">
      <w:pPr>
        <w:pStyle w:val="FSCh5Section"/>
        <w:rPr>
          <w:lang w:val="en-GB"/>
        </w:rPr>
      </w:pPr>
      <w:r w:rsidRPr="001D1563">
        <w:rPr>
          <w:rFonts w:ascii="Arial Bold" w:hAnsi="Arial Bold"/>
          <w:lang w:val="en-GB"/>
        </w:rPr>
        <w:t>S21—2</w:t>
      </w:r>
      <w:r w:rsidRPr="001D1563">
        <w:rPr>
          <w:lang w:val="en-GB"/>
        </w:rPr>
        <w:tab/>
        <w:t>Interpretation</w:t>
      </w:r>
      <w:bookmarkEnd w:id="3"/>
    </w:p>
    <w:p w:rsidR="002102D4" w:rsidRPr="001D1563" w:rsidRDefault="002102D4" w:rsidP="002102D4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In this Schedule:</w:t>
      </w:r>
    </w:p>
    <w:p w:rsidR="002102D4" w:rsidRPr="001D1563" w:rsidRDefault="002102D4" w:rsidP="002102D4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an asterisk (*) indicates that the *ERL is set at the limit of determination; and</w:t>
      </w:r>
    </w:p>
    <w:p w:rsidR="002102D4" w:rsidRPr="001D1563" w:rsidRDefault="002102D4" w:rsidP="002102D4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the symbol ‘T’ indicates that the ERL is a temporary ERL; and</w:t>
      </w:r>
    </w:p>
    <w:p w:rsidR="002102D4" w:rsidRPr="001D1563" w:rsidRDefault="002102D4" w:rsidP="002102D4">
      <w:pPr>
        <w:pStyle w:val="FSCt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the symbol ‘E’ indicates an ERL.</w:t>
      </w:r>
    </w:p>
    <w:p w:rsidR="002102D4" w:rsidRPr="001D1563" w:rsidRDefault="002102D4" w:rsidP="002102D4">
      <w:pPr>
        <w:pStyle w:val="FSCh5Section"/>
        <w:rPr>
          <w:lang w:val="en-GB"/>
        </w:rPr>
      </w:pPr>
      <w:bookmarkStart w:id="4" w:name="_Toc400032514"/>
      <w:r w:rsidRPr="001D1563">
        <w:rPr>
          <w:lang w:val="en-GB"/>
        </w:rPr>
        <w:t>S21—3</w:t>
      </w:r>
      <w:r w:rsidRPr="001D1563">
        <w:rPr>
          <w:lang w:val="en-GB"/>
        </w:rPr>
        <w:tab/>
        <w:t>Extraneous residue limits</w:t>
      </w:r>
      <w:bookmarkEnd w:id="2"/>
      <w:bookmarkEnd w:id="4"/>
    </w:p>
    <w:p w:rsidR="002102D4" w:rsidRPr="001D1563" w:rsidRDefault="002102D4" w:rsidP="002102D4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 1.4.2—5, the *agvet chemicals, permitted residues, and amounts are as follows, expressed in mg per kg:</w:t>
      </w:r>
    </w:p>
    <w:p w:rsidR="002102D4" w:rsidRPr="001D1563" w:rsidRDefault="002102D4" w:rsidP="00DA247F">
      <w:pPr>
        <w:pStyle w:val="FSCtblBh2"/>
      </w:pPr>
      <w:r w:rsidRPr="001D1563">
        <w:t>Extraneous residue limits</w:t>
      </w:r>
    </w:p>
    <w:p w:rsidR="002102D4" w:rsidRPr="001D1563" w:rsidRDefault="002102D4" w:rsidP="002102D4">
      <w:pPr>
        <w:pStyle w:val="PageBreak"/>
        <w:sectPr w:rsidR="002102D4" w:rsidRPr="001D1563" w:rsidSect="00EB13A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0"/>
      </w:tblGrid>
      <w:tr w:rsidR="007D03C0" w:rsidRPr="007D03C0" w:rsidTr="007D03C0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7D03C0" w:rsidRPr="007D03C0" w:rsidRDefault="007D03C0" w:rsidP="007D03C0">
            <w:pPr>
              <w:pStyle w:val="FSCtblAh3"/>
              <w:rPr>
                <w:bCs/>
                <w:iCs/>
              </w:rPr>
            </w:pPr>
            <w:r w:rsidRPr="007D03C0">
              <w:lastRenderedPageBreak/>
              <w:t xml:space="preserve">Agvet chemical: </w:t>
            </w:r>
            <w:r>
              <w:t xml:space="preserve"> </w:t>
            </w:r>
            <w:r w:rsidRPr="007D03C0">
              <w:t>Aldrin and Dieldrin</w:t>
            </w:r>
          </w:p>
        </w:tc>
      </w:tr>
      <w:tr w:rsidR="007D03C0" w:rsidRPr="007D03C0" w:rsidTr="007D03C0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7D03C0" w:rsidRPr="007D03C0" w:rsidRDefault="007D03C0" w:rsidP="007D03C0">
            <w:pPr>
              <w:pStyle w:val="FSCtblAh4"/>
            </w:pPr>
            <w:r w:rsidRPr="007D03C0">
              <w:t>Permitted residue:</w:t>
            </w:r>
            <w:r>
              <w:t xml:space="preserve">  </w:t>
            </w:r>
            <w:r w:rsidRPr="007D03C0">
              <w:t>Sum of HHDN and HEOD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7D03C0" w:rsidRPr="007D03C0" w:rsidRDefault="007D03C0" w:rsidP="007D03C0">
            <w:pPr>
              <w:pStyle w:val="FSCtblAMainMRL1"/>
            </w:pPr>
            <w:r w:rsidRPr="007D03C0"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Banana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Brassica (cole or cabbage) vegetables, Head cabbages, Flowerhead brassicas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Cereal grains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Citrus fruits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Crustaceans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Diadromous fish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Edible offal (mammalian)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E0.2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Egg plant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Eggs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Freshwater fish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Fruit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Fruiting vegetables, cucurbits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Lettuce, head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Lettuce, leaf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Marine fish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Meat (mammalian) (in the fat)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E0.2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Milks (in the fat)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E0.15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Molluscs (including cephalopods)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Onion, bulb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Peanut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Peppers, sweet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Pimento, fruit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lastRenderedPageBreak/>
              <w:t>Poultry, edible offal of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E0.2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Poultry meat (in the fat)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E0.2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Radish leaves (including radish tops)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</w:tcPr>
          <w:p w:rsidR="007D03C0" w:rsidRPr="007D03C0" w:rsidRDefault="007D03C0" w:rsidP="007D03C0">
            <w:pPr>
              <w:pStyle w:val="FSCtblAMainMRL1"/>
            </w:pPr>
            <w:r w:rsidRPr="007D03C0">
              <w:t>Root and tuber vegetables</w:t>
            </w:r>
          </w:p>
        </w:tc>
        <w:tc>
          <w:tcPr>
            <w:tcW w:w="1020" w:type="dxa"/>
          </w:tcPr>
          <w:p w:rsidR="007D03C0" w:rsidRPr="007D03C0" w:rsidRDefault="007D03C0" w:rsidP="007D03C0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7D03C0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7D03C0" w:rsidRPr="007D03C0" w:rsidRDefault="007D03C0" w:rsidP="007D03C0">
            <w:pPr>
              <w:pStyle w:val="FSCtblAMainMRL1"/>
            </w:pPr>
            <w:r w:rsidRPr="007D03C0"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7D03C0" w:rsidRPr="007D03C0" w:rsidRDefault="007D03C0" w:rsidP="007D03C0">
            <w:pPr>
              <w:pStyle w:val="FSCtblAMainMRL2"/>
            </w:pPr>
            <w:r w:rsidRPr="007D03C0">
              <w:t>E*0.01</w:t>
            </w:r>
          </w:p>
        </w:tc>
      </w:tr>
    </w:tbl>
    <w:p w:rsidR="002102D4" w:rsidRPr="001D1563" w:rsidRDefault="002102D4" w:rsidP="0082444A">
      <w:pPr>
        <w:pStyle w:val="FSCtblAMainMRL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1018"/>
      </w:tblGrid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A600C" w:rsidRPr="007D03C0" w:rsidRDefault="001A600C" w:rsidP="00FF3093">
            <w:pPr>
              <w:pStyle w:val="FSCtblAh3"/>
              <w:rPr>
                <w:b w:val="0"/>
                <w:bCs/>
                <w:i w:val="0"/>
                <w:iCs/>
              </w:rPr>
            </w:pPr>
            <w:r w:rsidRPr="007D03C0">
              <w:t xml:space="preserve">Agvet chemical: </w:t>
            </w:r>
            <w:r>
              <w:t xml:space="preserve"> </w:t>
            </w:r>
            <w:r w:rsidRPr="007D03C0">
              <w:t>BHC (other than the gamma isomer, Lindane)</w:t>
            </w:r>
          </w:p>
        </w:tc>
      </w:tr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A600C" w:rsidRPr="007D03C0" w:rsidRDefault="001A600C" w:rsidP="001A600C">
            <w:pPr>
              <w:pStyle w:val="FSCtblAh4"/>
            </w:pPr>
            <w:r w:rsidRPr="007D03C0">
              <w:t>Permitted residue:</w:t>
            </w:r>
            <w:r>
              <w:t xml:space="preserve">  </w:t>
            </w:r>
            <w:r w:rsidRPr="007D03C0">
              <w:t>Sum of isomers of 1,2,3,4,5,6-hexachlorocyclohexane, other than lindane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1"/>
            </w:pPr>
            <w:r w:rsidRPr="007D03C0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Crustaceans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Edible offal (mammalian)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E0.3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Eggs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Fish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 xml:space="preserve">Meat (mammalian) (in the fat) 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E0.3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Milks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Molluscs (including cephalopods)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Peanut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 xml:space="preserve">Poultry, edible offal of 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E0.3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 xml:space="preserve">Poultry meat (in the fat) 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E0.3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7D03C0" w:rsidRPr="007D03C0" w:rsidRDefault="007D03C0" w:rsidP="001A600C">
            <w:pPr>
              <w:pStyle w:val="FSCtblAMainMRL1"/>
            </w:pPr>
            <w:r w:rsidRPr="007D03C0"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7D03C0" w:rsidRPr="007D03C0" w:rsidRDefault="007D03C0" w:rsidP="001A600C">
            <w:pPr>
              <w:pStyle w:val="FSCtblAMainMRL2"/>
            </w:pPr>
            <w:r w:rsidRPr="007D03C0">
              <w:t>E0.005</w:t>
            </w:r>
          </w:p>
        </w:tc>
      </w:tr>
    </w:tbl>
    <w:p w:rsidR="002102D4" w:rsidRPr="001D1563" w:rsidRDefault="002102D4" w:rsidP="0082444A">
      <w:pPr>
        <w:pStyle w:val="FSCtblAMainMRL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1017"/>
      </w:tblGrid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A600C" w:rsidRPr="007D03C0" w:rsidRDefault="001A600C" w:rsidP="00587C0B">
            <w:pPr>
              <w:pStyle w:val="FSCtblAh3"/>
            </w:pPr>
            <w:r w:rsidRPr="007D03C0">
              <w:lastRenderedPageBreak/>
              <w:t xml:space="preserve">Agvet chemical: </w:t>
            </w:r>
            <w:r>
              <w:t xml:space="preserve"> </w:t>
            </w:r>
            <w:r w:rsidRPr="007D03C0">
              <w:t>Chlordane</w:t>
            </w:r>
          </w:p>
        </w:tc>
      </w:tr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A600C" w:rsidRPr="007D03C0" w:rsidRDefault="001A600C" w:rsidP="001A600C">
            <w:pPr>
              <w:pStyle w:val="FSCtblAh4"/>
            </w:pPr>
            <w:r w:rsidRPr="007D03C0">
              <w:t>Permitted residue:</w:t>
            </w:r>
            <w:r>
              <w:t xml:space="preserve">  </w:t>
            </w:r>
            <w:r w:rsidRPr="007D03C0">
              <w:t>Sum of cis- and trans-chlordane and in the case of animal products also includes ‘oxychlordane’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1"/>
            </w:pPr>
            <w:r w:rsidRPr="007D03C0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Citrus fruits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Cotton seed oil, crude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Cotton seed oil, edible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Crustaceans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Edible offal (mammalian)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Eggs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Fish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Fruiting vegetables, cucurbits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Linseed oil, crude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Meat (mammalian)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Milks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Molluscs (including cephalopods)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Pineapple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Pome fruits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Soya bean oil, crude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Soya bean oil, refined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Stone fruits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Sugar beet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7D03C0" w:rsidRPr="007D03C0" w:rsidRDefault="007D03C0" w:rsidP="001A600C">
            <w:pPr>
              <w:pStyle w:val="FSCtblAMainMRL1"/>
            </w:pPr>
            <w:r w:rsidRPr="007D03C0">
              <w:t>Vegetables [except as otherwise listed under this chemical]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</w:tbl>
    <w:p w:rsidR="002102D4" w:rsidRPr="001D1563" w:rsidRDefault="002102D4" w:rsidP="0082444A">
      <w:pPr>
        <w:pStyle w:val="FSCtblAMainMRL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1017"/>
      </w:tblGrid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A600C" w:rsidRPr="007D03C0" w:rsidRDefault="001A600C" w:rsidP="0049232F">
            <w:pPr>
              <w:pStyle w:val="FSCtblAh3"/>
            </w:pPr>
            <w:r w:rsidRPr="007D03C0">
              <w:t xml:space="preserve">Agvet chemical: </w:t>
            </w:r>
            <w:r>
              <w:t xml:space="preserve"> </w:t>
            </w:r>
            <w:r w:rsidRPr="007D03C0">
              <w:t>DDT</w:t>
            </w:r>
          </w:p>
        </w:tc>
      </w:tr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A600C" w:rsidRPr="007D03C0" w:rsidRDefault="001A600C" w:rsidP="001A600C">
            <w:pPr>
              <w:pStyle w:val="FSCtblAh4"/>
            </w:pPr>
            <w:r w:rsidRPr="007D03C0">
              <w:t>Permitted residue:</w:t>
            </w:r>
            <w:r>
              <w:t xml:space="preserve">  </w:t>
            </w:r>
            <w:r w:rsidRPr="007D03C0">
              <w:t>Sum of p,p ′-DDT; o,p ′-DDT; p,p ′-DDE and p,p ′-TDE (DDD)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1"/>
            </w:pPr>
            <w:r w:rsidRPr="007D03C0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Crustaceans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Edible offal (mammalian)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Eggs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Fish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Fruit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Meat (mammalian)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 xml:space="preserve">Milks (in the fat) 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E1.25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Molluscs (including cephalopods)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Peanut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Poultry, edible offal of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Poultry meat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Vegetable oils, edible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D03C0" w:rsidRPr="007D03C0" w:rsidRDefault="007D03C0" w:rsidP="001A600C">
            <w:pPr>
              <w:pStyle w:val="FSCtblAMainMRL1"/>
            </w:pPr>
            <w:r w:rsidRPr="007D03C0"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</w:tbl>
    <w:p w:rsidR="002102D4" w:rsidRPr="001D1563" w:rsidRDefault="002102D4" w:rsidP="0082444A">
      <w:pPr>
        <w:pStyle w:val="FSCtblAMainMRL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1017"/>
      </w:tblGrid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A600C" w:rsidRPr="007D03C0" w:rsidRDefault="001A600C" w:rsidP="001675F8">
            <w:pPr>
              <w:pStyle w:val="FSCtblAh3"/>
            </w:pPr>
            <w:r w:rsidRPr="007D03C0">
              <w:t xml:space="preserve">Agvet chemical: </w:t>
            </w:r>
            <w:r>
              <w:t xml:space="preserve"> </w:t>
            </w:r>
            <w:r w:rsidRPr="007D03C0">
              <w:t>HCB</w:t>
            </w:r>
          </w:p>
        </w:tc>
      </w:tr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A600C" w:rsidRPr="007D03C0" w:rsidRDefault="001A600C" w:rsidP="001A600C">
            <w:pPr>
              <w:pStyle w:val="FSCtblAh4"/>
            </w:pPr>
            <w:r w:rsidRPr="007D03C0">
              <w:t>Permitted residue:</w:t>
            </w:r>
            <w:r>
              <w:t xml:space="preserve">  </w:t>
            </w:r>
            <w:r w:rsidRPr="007D03C0">
              <w:t>Hexachlorobenzene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1"/>
            </w:pPr>
            <w:r w:rsidRPr="007D03C0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Crustaceans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Diadromous fish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Edible offal (mammalian)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Eggs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Freshwater fish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Marine fish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Meat (mammalian)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Milks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Molluscs (including cephalopods)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Peanut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Poultry, edible offal of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7D03C0" w:rsidRPr="007D03C0" w:rsidRDefault="007D03C0" w:rsidP="001A600C">
            <w:pPr>
              <w:pStyle w:val="FSCtblAMainMRL1"/>
            </w:pPr>
            <w:r w:rsidRPr="007D03C0">
              <w:t>Poultry meat (in the fat)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</w:tbl>
    <w:p w:rsidR="002102D4" w:rsidRPr="001D1563" w:rsidRDefault="002102D4" w:rsidP="0082444A">
      <w:pPr>
        <w:pStyle w:val="FSCtblAMainMRL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1017"/>
      </w:tblGrid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A600C" w:rsidRPr="007D03C0" w:rsidRDefault="001A600C" w:rsidP="00D87366">
            <w:pPr>
              <w:pStyle w:val="FSCtblAh3"/>
            </w:pPr>
            <w:r w:rsidRPr="007D03C0">
              <w:t xml:space="preserve">Agvet chemical: </w:t>
            </w:r>
            <w:r>
              <w:t xml:space="preserve"> </w:t>
            </w:r>
            <w:r w:rsidRPr="007D03C0">
              <w:t>Heptachlor</w:t>
            </w:r>
          </w:p>
        </w:tc>
      </w:tr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A600C" w:rsidRPr="007D03C0" w:rsidRDefault="001A600C" w:rsidP="001A600C">
            <w:pPr>
              <w:pStyle w:val="FSCtblAh4"/>
            </w:pPr>
            <w:r w:rsidRPr="007D03C0">
              <w:t>Permitted residue:</w:t>
            </w:r>
            <w:r>
              <w:t xml:space="preserve">  </w:t>
            </w:r>
            <w:r w:rsidRPr="007D03C0">
              <w:t>Sum of heptachlor and heptachlor epoxide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1"/>
            </w:pPr>
            <w:r w:rsidRPr="007D03C0">
              <w:t>Carrot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2"/>
            </w:pPr>
            <w:r w:rsidRPr="007D03C0">
              <w:t>E0.2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Cereal grains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Citrus fruits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Cotton seed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Crustaceans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Edible offal (mammalian)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Eggs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Fish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Meat (mammalian)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Milks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E0.15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Molluscs (including cephalopods)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Peanut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Pineapple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Poultry, edible offal of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Poultry meat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Soya bean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Soya bean oil, crude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Soya bean oil, refined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Sugar cane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Tomato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7D03C0" w:rsidRPr="007D03C0" w:rsidRDefault="007D03C0" w:rsidP="001A600C">
            <w:pPr>
              <w:pStyle w:val="FSCtblAMainMRL1"/>
            </w:pPr>
            <w:r w:rsidRPr="007D03C0">
              <w:t>Vegetables [except as otherwise listed under this chemical]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</w:tbl>
    <w:p w:rsidR="002102D4" w:rsidRPr="001D1563" w:rsidRDefault="002102D4" w:rsidP="0082444A">
      <w:pPr>
        <w:pStyle w:val="FSCtblAMainMRL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1018"/>
      </w:tblGrid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A600C" w:rsidRPr="007D03C0" w:rsidRDefault="001A600C" w:rsidP="001428B0">
            <w:pPr>
              <w:pStyle w:val="FSCtblAh3"/>
            </w:pPr>
            <w:r w:rsidRPr="007D03C0">
              <w:t xml:space="preserve">Agvet chemical: </w:t>
            </w:r>
            <w:r>
              <w:t xml:space="preserve"> </w:t>
            </w:r>
            <w:r w:rsidRPr="007D03C0">
              <w:t>Lindane</w:t>
            </w:r>
          </w:p>
        </w:tc>
      </w:tr>
      <w:tr w:rsidR="001A600C" w:rsidRPr="007D03C0" w:rsidTr="001A600C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A600C" w:rsidRPr="007D03C0" w:rsidRDefault="001A600C" w:rsidP="001A600C">
            <w:pPr>
              <w:pStyle w:val="FSCtblAh4"/>
            </w:pPr>
            <w:r w:rsidRPr="007D03C0">
              <w:t>Permitted residue:</w:t>
            </w:r>
            <w:r>
              <w:t xml:space="preserve">  </w:t>
            </w:r>
            <w:r w:rsidRPr="007D03C0">
              <w:t>Lindane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1"/>
            </w:pPr>
            <w:r w:rsidRPr="007D03C0"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D03C0" w:rsidRPr="007D03C0" w:rsidRDefault="007D03C0" w:rsidP="001A600C">
            <w:pPr>
              <w:pStyle w:val="FSCtblAMainMRL2"/>
            </w:pPr>
            <w:r w:rsidRPr="007D03C0">
              <w:t>E2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Cereal grains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Cherries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Cranberry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E3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Crustaceans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Edible offal (mammalian)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Eggs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Fish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Fruits [except as otherwise listed in Schedules 1 and 2]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Grapes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Meat (mammalian)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Milks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Molluscs (including cephalopods)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E1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Oilseed [except peanut]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Peach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Peanut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E0.05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Plums (including prunes)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E0.5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1A600C">
            <w:pPr>
              <w:pStyle w:val="FSCtblAMainMRL1"/>
            </w:pPr>
            <w:r w:rsidRPr="007D03C0">
              <w:t>Poultry, edible offal of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E0.7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8F07E2">
            <w:pPr>
              <w:pStyle w:val="FSCtblAMainMRL1"/>
              <w:keepNext/>
              <w:keepLines w:val="0"/>
            </w:pPr>
            <w:r w:rsidRPr="007D03C0">
              <w:t>Poultry meat (in the fat)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E0.7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8F07E2">
            <w:pPr>
              <w:pStyle w:val="FSCtblAMainMRL1"/>
              <w:keepNext/>
              <w:keepLines w:val="0"/>
            </w:pPr>
            <w:r w:rsidRPr="007D03C0">
              <w:t>Strawberry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E3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</w:tcPr>
          <w:p w:rsidR="007D03C0" w:rsidRPr="007D03C0" w:rsidRDefault="007D03C0" w:rsidP="0023647E">
            <w:pPr>
              <w:pStyle w:val="FSCtblAMainMRL1"/>
              <w:keepNext/>
            </w:pPr>
            <w:r w:rsidRPr="007D03C0">
              <w:t>Sugar cane</w:t>
            </w:r>
          </w:p>
        </w:tc>
        <w:tc>
          <w:tcPr>
            <w:tcW w:w="1020" w:type="dxa"/>
          </w:tcPr>
          <w:p w:rsidR="007D03C0" w:rsidRPr="007D03C0" w:rsidRDefault="007D03C0" w:rsidP="001A600C">
            <w:pPr>
              <w:pStyle w:val="FSCtblAMainMRL2"/>
            </w:pPr>
            <w:r w:rsidRPr="007D03C0">
              <w:t>E*0.002</w:t>
            </w:r>
          </w:p>
        </w:tc>
      </w:tr>
      <w:tr w:rsidR="007D03C0" w:rsidRPr="007D03C0" w:rsidTr="001A600C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7D03C0" w:rsidRPr="007D03C0" w:rsidRDefault="007D03C0" w:rsidP="001A600C">
            <w:pPr>
              <w:pStyle w:val="FSCtblAMainMRL1"/>
            </w:pPr>
            <w:r w:rsidRPr="007D03C0">
              <w:t>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7D03C0" w:rsidRPr="007D03C0" w:rsidRDefault="007D03C0" w:rsidP="001A600C">
            <w:pPr>
              <w:pStyle w:val="FSCtblAMainMRL2"/>
            </w:pPr>
            <w:r w:rsidRPr="007D03C0">
              <w:t>E2</w:t>
            </w:r>
          </w:p>
        </w:tc>
      </w:tr>
    </w:tbl>
    <w:p w:rsidR="0023647E" w:rsidRDefault="0023647E" w:rsidP="0023647E">
      <w:pPr>
        <w:pStyle w:val="h5StandardEnd"/>
        <w:rPr>
          <w:lang w:val="en-GB"/>
        </w:rPr>
        <w:sectPr w:rsidR="0023647E" w:rsidSect="0023647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2102D4" w:rsidRPr="0023647E" w:rsidRDefault="002102D4" w:rsidP="0023647E">
      <w:pPr>
        <w:pStyle w:val="h5StandardEnd"/>
      </w:pPr>
      <w:r w:rsidRPr="001D1563">
        <w:rPr>
          <w:lang w:val="en-GB"/>
        </w:rPr>
        <w:t>____________________</w:t>
      </w:r>
    </w:p>
    <w:p w:rsidR="00E32E5E" w:rsidRPr="000F7093" w:rsidRDefault="00E32E5E" w:rsidP="00E32E5E"/>
    <w:sectPr w:rsidR="00E32E5E" w:rsidRPr="000F7093" w:rsidSect="0023647E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D4" w:rsidRDefault="002102D4">
      <w:r>
        <w:separator/>
      </w:r>
    </w:p>
  </w:endnote>
  <w:endnote w:type="continuationSeparator" w:id="0">
    <w:p w:rsidR="002102D4" w:rsidRDefault="0021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CD" w:rsidRDefault="00C25C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EB13A3" w:rsidRPr="00CF1834" w:rsidRDefault="00EB13A3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CD" w:rsidRDefault="00C25CC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C5" w:rsidRDefault="00D607C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C5" w:rsidRPr="00D607C5" w:rsidRDefault="00C25CCD" w:rsidP="00D607C5">
    <w:pPr>
      <w:tabs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07C5" w:rsidRPr="00EB4661">
          <w:rPr>
            <w:rFonts w:cs="Arial"/>
            <w:sz w:val="18"/>
            <w:szCs w:val="18"/>
          </w:rPr>
          <w:tab/>
        </w:r>
        <w:r w:rsidR="00D607C5" w:rsidRPr="00EB4661">
          <w:rPr>
            <w:rFonts w:cs="Arial"/>
            <w:sz w:val="18"/>
            <w:szCs w:val="18"/>
          </w:rPr>
          <w:fldChar w:fldCharType="begin"/>
        </w:r>
        <w:r w:rsidR="00D607C5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D607C5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="00D607C5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D607C5" w:rsidRPr="00EB4661">
      <w:rPr>
        <w:rFonts w:cs="Arial"/>
        <w:noProof/>
        <w:sz w:val="18"/>
        <w:szCs w:val="18"/>
      </w:rPr>
      <w:tab/>
    </w:r>
    <w:r w:rsidR="00D607C5">
      <w:rPr>
        <w:rFonts w:cs="Arial"/>
        <w:noProof/>
        <w:sz w:val="18"/>
        <w:szCs w:val="18"/>
      </w:rPr>
      <w:t>Schedule 21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C5" w:rsidRDefault="00D607C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C25CCD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1026600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3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2102D4">
      <w:rPr>
        <w:rFonts w:cs="Arial"/>
        <w:noProof/>
        <w:sz w:val="18"/>
        <w:szCs w:val="18"/>
      </w:rPr>
      <w:t xml:space="preserve">Schedule 21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654586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D4" w:rsidRDefault="002102D4">
      <w:r>
        <w:separator/>
      </w:r>
    </w:p>
  </w:footnote>
  <w:footnote w:type="continuationSeparator" w:id="0">
    <w:p w:rsidR="002102D4" w:rsidRDefault="00210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CD" w:rsidRDefault="00C25C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CD" w:rsidRDefault="00C25C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CD" w:rsidRDefault="00C25CC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2D4" w:rsidRPr="0094406F" w:rsidRDefault="002102D4" w:rsidP="002C2005">
    <w:pPr>
      <w:rPr>
        <w:noProof/>
        <w:color w:val="000000"/>
      </w:rPr>
    </w:pPr>
    <w:r w:rsidRPr="0094406F">
      <w:rPr>
        <w:color w:val="000000"/>
      </w:rPr>
      <w:fldChar w:fldCharType="begin"/>
    </w:r>
    <w:r w:rsidRPr="0094406F">
      <w:rPr>
        <w:color w:val="000000"/>
      </w:rPr>
      <w:instrText xml:space="preserve"> STYLEREF  Schedule_Heading \n  \* MERGEFORMAT </w:instrText>
    </w:r>
    <w:r w:rsidRPr="0094406F">
      <w:rPr>
        <w:color w:val="000000"/>
      </w:rPr>
      <w:fldChar w:fldCharType="separate"/>
    </w:r>
    <w:r w:rsidR="00D607C5">
      <w:rPr>
        <w:b/>
        <w:bCs/>
        <w:noProof/>
        <w:color w:val="000000"/>
        <w:lang w:val="en-US"/>
      </w:rPr>
      <w:t>Error! Use the Home tab to apply Schedule_Heading to the text that you want to appear here.</w:t>
    </w:r>
    <w:r w:rsidRPr="0094406F">
      <w:rPr>
        <w:color w:val="000000"/>
      </w:rPr>
      <w:fldChar w:fldCharType="end"/>
    </w:r>
    <w:r w:rsidRPr="0094406F">
      <w:rPr>
        <w:color w:val="000000"/>
      </w:rPr>
      <w:fldChar w:fldCharType="begin"/>
    </w:r>
    <w:r w:rsidRPr="0094406F">
      <w:rPr>
        <w:color w:val="000000"/>
      </w:rPr>
      <w:instrText xml:space="preserve"> STYLEREF  Schedule_Heading  \* MERGEFORMAT </w:instrText>
    </w:r>
    <w:r w:rsidRPr="0094406F">
      <w:rPr>
        <w:color w:val="000000"/>
      </w:rPr>
      <w:fldChar w:fldCharType="separate"/>
    </w:r>
    <w:r w:rsidR="00D607C5">
      <w:rPr>
        <w:b/>
        <w:bCs/>
        <w:noProof/>
        <w:color w:val="000000"/>
        <w:lang w:val="en-US"/>
      </w:rPr>
      <w:t>Error! Use the Home tab to apply Schedule_Heading to the text that you want to appear here.</w:t>
    </w:r>
    <w:r w:rsidRPr="0094406F">
      <w:rPr>
        <w:color w:val="000000"/>
      </w:rPr>
      <w:fldChar w:fldCharType="end"/>
    </w:r>
  </w:p>
  <w:p w:rsidR="002102D4" w:rsidRPr="0094406F" w:rsidRDefault="002102D4" w:rsidP="002C2005">
    <w:pPr>
      <w:rPr>
        <w:noProof/>
        <w:color w:val="000000"/>
      </w:rPr>
    </w:pPr>
  </w:p>
  <w:p w:rsidR="002102D4" w:rsidRPr="0094406F" w:rsidRDefault="002102D4" w:rsidP="002C2005">
    <w:pPr>
      <w:rPr>
        <w:noProof/>
        <w:color w:val="000000"/>
      </w:rPr>
    </w:pPr>
    <w:r w:rsidRPr="0094406F">
      <w:rPr>
        <w:color w:val="000000"/>
      </w:rPr>
      <w:fldChar w:fldCharType="begin"/>
    </w:r>
    <w:r w:rsidRPr="0094406F">
      <w:rPr>
        <w:color w:val="000000"/>
      </w:rPr>
      <w:instrText xml:space="preserve"> STYLEREF  Section_Heading_Schedules \n  \* MERGEFORMAT </w:instrText>
    </w:r>
    <w:r w:rsidRPr="0094406F">
      <w:rPr>
        <w:color w:val="000000"/>
      </w:rPr>
      <w:fldChar w:fldCharType="separate"/>
    </w:r>
    <w:r w:rsidR="00D607C5">
      <w:rPr>
        <w:b/>
        <w:bCs/>
        <w:noProof/>
        <w:color w:val="000000"/>
        <w:lang w:val="en-US"/>
      </w:rPr>
      <w:t>Error! Use the Home tab to apply Section_Heading_Schedules to the text that you want to appear here.</w:t>
    </w:r>
    <w:r w:rsidRPr="0094406F">
      <w:rPr>
        <w:color w:val="000000"/>
      </w:rPr>
      <w:fldChar w:fldCharType="end"/>
    </w:r>
    <w:r w:rsidRPr="0094406F">
      <w:rPr>
        <w:color w:val="000000"/>
      </w:rPr>
      <w:t>—</w:t>
    </w:r>
    <w:r w:rsidRPr="0094406F">
      <w:rPr>
        <w:color w:val="000000"/>
      </w:rPr>
      <w:fldChar w:fldCharType="begin"/>
    </w:r>
    <w:r w:rsidRPr="0094406F">
      <w:rPr>
        <w:color w:val="000000"/>
      </w:rPr>
      <w:instrText xml:space="preserve"> STYLEREF  Section_Heading_Schedules  \* MERGEFORMAT </w:instrText>
    </w:r>
    <w:r w:rsidRPr="0094406F">
      <w:rPr>
        <w:color w:val="000000"/>
      </w:rPr>
      <w:fldChar w:fldCharType="separate"/>
    </w:r>
    <w:r w:rsidR="00D607C5">
      <w:rPr>
        <w:b/>
        <w:bCs/>
        <w:noProof/>
        <w:color w:val="000000"/>
        <w:lang w:val="en-US"/>
      </w:rPr>
      <w:t>Error! Use the Home tab to apply Section_Heading_Schedules to the text that you want to appear here.</w:t>
    </w:r>
    <w:r w:rsidRPr="0094406F">
      <w:rPr>
        <w:color w:val="000000"/>
      </w:rPr>
      <w:fldChar w:fldCharType="end"/>
    </w:r>
  </w:p>
  <w:p w:rsidR="002102D4" w:rsidRPr="0094406F" w:rsidRDefault="002102D4" w:rsidP="002C2005">
    <w:pPr>
      <w:rPr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C5" w:rsidRDefault="00D607C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C5" w:rsidRDefault="00D607C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2102D4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A600C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02D4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3647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070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03C0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444A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07E2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25CCD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07C5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47F"/>
    <w:rsid w:val="00DA2889"/>
    <w:rsid w:val="00DB33AC"/>
    <w:rsid w:val="00DB6A32"/>
    <w:rsid w:val="00DC51B8"/>
    <w:rsid w:val="00DC6DC0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13A3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98" w:unhideWhenUsed="0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726070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726070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726070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726070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726070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726070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72607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2607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2607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726070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726070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26070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26070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26070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26070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26070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070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070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26070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726070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726070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726070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726070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726070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DC6DC0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726070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DC6DC0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DC6DC0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726070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726070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726070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070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726070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726070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726070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726070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726070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726070"/>
  </w:style>
  <w:style w:type="paragraph" w:customStyle="1" w:styleId="FSCsbMainSection">
    <w:name w:val="FSC_sb_Main_Section"/>
    <w:basedOn w:val="FSCsbFirstSection"/>
    <w:qFormat/>
    <w:rsid w:val="00726070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726070"/>
  </w:style>
  <w:style w:type="paragraph" w:customStyle="1" w:styleId="FSCtDefn">
    <w:name w:val="FSC_t_Defn"/>
    <w:aliases w:val="t1_Defn"/>
    <w:basedOn w:val="FSCtMain"/>
    <w:rsid w:val="00726070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726070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726070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726070"/>
    <w:pPr>
      <w:tabs>
        <w:tab w:val="clear" w:pos="1701"/>
        <w:tab w:val="left" w:pos="2835"/>
      </w:tabs>
      <w:ind w:left="3402" w:hanging="3402"/>
    </w:pPr>
  </w:style>
  <w:style w:type="paragraph" w:customStyle="1" w:styleId="FSCh3Contents">
    <w:name w:val="FSC_h3_Contents"/>
    <w:aliases w:val="h2_Contents_Intro"/>
    <w:basedOn w:val="FSCh3Standard"/>
    <w:rsid w:val="00726070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726070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726070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726070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726070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726070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726070"/>
    <w:rPr>
      <w:sz w:val="16"/>
    </w:rPr>
  </w:style>
  <w:style w:type="paragraph" w:customStyle="1" w:styleId="FSCoTitleofInstrument">
    <w:name w:val="FSC_o_Title_of_Instrument"/>
    <w:basedOn w:val="Normal"/>
    <w:rsid w:val="00726070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726070"/>
  </w:style>
  <w:style w:type="paragraph" w:styleId="BalloonText">
    <w:name w:val="Balloon Text"/>
    <w:basedOn w:val="Normal"/>
    <w:link w:val="BalloonTextChar"/>
    <w:uiPriority w:val="99"/>
    <w:semiHidden/>
    <w:unhideWhenUsed/>
    <w:rsid w:val="00832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726070"/>
    <w:pPr>
      <w:ind w:left="0" w:firstLine="0"/>
      <w:jc w:val="center"/>
    </w:pPr>
  </w:style>
  <w:style w:type="paragraph" w:customStyle="1" w:styleId="FSCbaseheading">
    <w:name w:val="FSC_base_heading"/>
    <w:rsid w:val="00726070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726070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726070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726070"/>
    <w:pPr>
      <w:jc w:val="center"/>
    </w:pPr>
    <w:rPr>
      <w:iCs w:val="0"/>
    </w:rPr>
  </w:style>
  <w:style w:type="paragraph" w:customStyle="1" w:styleId="FSCfooter">
    <w:name w:val="FSC_footer"/>
    <w:basedOn w:val="Normal"/>
    <w:rsid w:val="00726070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EB466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726070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726070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726070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726070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726070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726070"/>
    <w:rPr>
      <w:iCs w:val="0"/>
    </w:rPr>
  </w:style>
  <w:style w:type="paragraph" w:customStyle="1" w:styleId="FSCtblAMainMRL1">
    <w:name w:val="FSC_tbl_A_Main_MRL1"/>
    <w:aliases w:val="tbA_t1_item_MRA"/>
    <w:basedOn w:val="FSCtblAMain"/>
    <w:rsid w:val="007D03C0"/>
    <w:pPr>
      <w:spacing w:before="20" w:after="2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726070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726070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726070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726070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726070"/>
    <w:pPr>
      <w:ind w:left="1701"/>
    </w:pPr>
    <w:rPr>
      <w:i/>
    </w:rPr>
  </w:style>
  <w:style w:type="paragraph" w:customStyle="1" w:styleId="FSCtblAMainMRL2">
    <w:name w:val="FSC_tbl_A_Main_MRL2"/>
    <w:aliases w:val="tbB_t1_Item"/>
    <w:basedOn w:val="FSCtblAMainMRL1"/>
    <w:qFormat/>
    <w:rsid w:val="007D03C0"/>
    <w:pPr>
      <w:jc w:val="right"/>
    </w:pPr>
    <w:rPr>
      <w:rFonts w:eastAsiaTheme="minorHAnsi"/>
      <w:lang w:eastAsia="en-US"/>
    </w:rPr>
  </w:style>
  <w:style w:type="paragraph" w:customStyle="1" w:styleId="FSCbasetbl">
    <w:name w:val="FSC_base_tbl"/>
    <w:basedOn w:val="FSCbasepara"/>
    <w:qFormat/>
    <w:rsid w:val="00726070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726070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726070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726070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D4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5D4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Normal"/>
    <w:rsid w:val="00F245D4"/>
    <w:pPr>
      <w:keepNext/>
      <w:tabs>
        <w:tab w:val="left" w:pos="567"/>
      </w:tabs>
      <w:spacing w:after="60" w:line="240" w:lineRule="atLeast"/>
    </w:pPr>
    <w:rPr>
      <w:rFonts w:cs="Arial"/>
      <w:b/>
      <w:caps/>
      <w:sz w:val="22"/>
      <w:szCs w:val="22"/>
    </w:rPr>
  </w:style>
  <w:style w:type="paragraph" w:customStyle="1" w:styleId="AdditivesHeading2">
    <w:name w:val="Additives_Heading_2"/>
    <w:basedOn w:val="Normal"/>
    <w:rsid w:val="00F245D4"/>
    <w:pPr>
      <w:keepNext/>
      <w:tabs>
        <w:tab w:val="left" w:leader="dot" w:pos="284"/>
        <w:tab w:val="left" w:pos="851"/>
      </w:tabs>
      <w:spacing w:after="60" w:line="240" w:lineRule="atLeast"/>
    </w:pPr>
    <w:rPr>
      <w:rFonts w:cs="Arial"/>
      <w:b/>
      <w:szCs w:val="22"/>
    </w:rPr>
  </w:style>
  <w:style w:type="paragraph" w:customStyle="1" w:styleId="AdditivesHeading3">
    <w:name w:val="Additives_Heading_3"/>
    <w:basedOn w:val="Normal"/>
    <w:rsid w:val="00F245D4"/>
    <w:pPr>
      <w:keepNext/>
      <w:keepLines/>
      <w:tabs>
        <w:tab w:val="left" w:leader="dot" w:pos="680"/>
        <w:tab w:val="left" w:pos="1304"/>
      </w:tabs>
      <w:spacing w:after="60"/>
    </w:pPr>
    <w:rPr>
      <w:rFonts w:cs="Arial"/>
      <w:b/>
      <w:iCs/>
      <w:szCs w:val="22"/>
    </w:rPr>
  </w:style>
  <w:style w:type="paragraph" w:customStyle="1" w:styleId="AdditivesHeading4">
    <w:name w:val="Additives_Heading_4"/>
    <w:basedOn w:val="Normal"/>
    <w:rsid w:val="00F245D4"/>
    <w:pPr>
      <w:keepNext/>
      <w:keepLines/>
      <w:tabs>
        <w:tab w:val="left" w:leader="dot" w:pos="1304"/>
        <w:tab w:val="left" w:pos="2041"/>
      </w:tabs>
      <w:spacing w:after="60"/>
      <w:ind w:left="2041" w:hanging="2041"/>
    </w:pPr>
    <w:rPr>
      <w:rFonts w:cs="Arial"/>
      <w:b/>
      <w:iCs/>
      <w:sz w:val="22"/>
      <w:szCs w:val="22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726070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726070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726070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726070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726070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726070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726070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726070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98" w:unhideWhenUsed="0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726070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726070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726070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726070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726070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726070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72607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2607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2607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726070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726070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26070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26070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26070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26070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26070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070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070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26070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726070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726070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726070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726070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726070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DC6DC0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726070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DC6DC0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DC6DC0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726070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726070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726070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070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726070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726070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726070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726070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726070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726070"/>
  </w:style>
  <w:style w:type="paragraph" w:customStyle="1" w:styleId="FSCsbMainSection">
    <w:name w:val="FSC_sb_Main_Section"/>
    <w:basedOn w:val="FSCsbFirstSection"/>
    <w:qFormat/>
    <w:rsid w:val="00726070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726070"/>
  </w:style>
  <w:style w:type="paragraph" w:customStyle="1" w:styleId="FSCtDefn">
    <w:name w:val="FSC_t_Defn"/>
    <w:aliases w:val="t1_Defn"/>
    <w:basedOn w:val="FSCtMain"/>
    <w:rsid w:val="00726070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726070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726070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726070"/>
    <w:pPr>
      <w:tabs>
        <w:tab w:val="clear" w:pos="1701"/>
        <w:tab w:val="left" w:pos="2835"/>
      </w:tabs>
      <w:ind w:left="3402" w:hanging="3402"/>
    </w:pPr>
  </w:style>
  <w:style w:type="paragraph" w:customStyle="1" w:styleId="FSCh3Contents">
    <w:name w:val="FSC_h3_Contents"/>
    <w:aliases w:val="h2_Contents_Intro"/>
    <w:basedOn w:val="FSCh3Standard"/>
    <w:rsid w:val="00726070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726070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726070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726070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726070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726070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726070"/>
    <w:rPr>
      <w:sz w:val="16"/>
    </w:rPr>
  </w:style>
  <w:style w:type="paragraph" w:customStyle="1" w:styleId="FSCoTitleofInstrument">
    <w:name w:val="FSC_o_Title_of_Instrument"/>
    <w:basedOn w:val="Normal"/>
    <w:rsid w:val="00726070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726070"/>
  </w:style>
  <w:style w:type="paragraph" w:styleId="BalloonText">
    <w:name w:val="Balloon Text"/>
    <w:basedOn w:val="Normal"/>
    <w:link w:val="BalloonTextChar"/>
    <w:uiPriority w:val="99"/>
    <w:semiHidden/>
    <w:unhideWhenUsed/>
    <w:rsid w:val="00832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726070"/>
    <w:pPr>
      <w:ind w:left="0" w:firstLine="0"/>
      <w:jc w:val="center"/>
    </w:pPr>
  </w:style>
  <w:style w:type="paragraph" w:customStyle="1" w:styleId="FSCbaseheading">
    <w:name w:val="FSC_base_heading"/>
    <w:rsid w:val="00726070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726070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726070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726070"/>
    <w:pPr>
      <w:jc w:val="center"/>
    </w:pPr>
    <w:rPr>
      <w:iCs w:val="0"/>
    </w:rPr>
  </w:style>
  <w:style w:type="paragraph" w:customStyle="1" w:styleId="FSCfooter">
    <w:name w:val="FSC_footer"/>
    <w:basedOn w:val="Normal"/>
    <w:rsid w:val="00726070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EB466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726070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726070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726070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726070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726070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726070"/>
    <w:rPr>
      <w:iCs w:val="0"/>
    </w:rPr>
  </w:style>
  <w:style w:type="paragraph" w:customStyle="1" w:styleId="FSCtblAMainMRL1">
    <w:name w:val="FSC_tbl_A_Main_MRL1"/>
    <w:aliases w:val="tbA_t1_item_MRA"/>
    <w:basedOn w:val="FSCtblAMain"/>
    <w:rsid w:val="007D03C0"/>
    <w:pPr>
      <w:spacing w:before="20" w:after="2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726070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726070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726070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726070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726070"/>
    <w:pPr>
      <w:ind w:left="1701"/>
    </w:pPr>
    <w:rPr>
      <w:i/>
    </w:rPr>
  </w:style>
  <w:style w:type="paragraph" w:customStyle="1" w:styleId="FSCtblAMainMRL2">
    <w:name w:val="FSC_tbl_A_Main_MRL2"/>
    <w:aliases w:val="tbB_t1_Item"/>
    <w:basedOn w:val="FSCtblAMainMRL1"/>
    <w:qFormat/>
    <w:rsid w:val="007D03C0"/>
    <w:pPr>
      <w:jc w:val="right"/>
    </w:pPr>
    <w:rPr>
      <w:rFonts w:eastAsiaTheme="minorHAnsi"/>
      <w:lang w:eastAsia="en-US"/>
    </w:rPr>
  </w:style>
  <w:style w:type="paragraph" w:customStyle="1" w:styleId="FSCbasetbl">
    <w:name w:val="FSC_base_tbl"/>
    <w:basedOn w:val="FSCbasepara"/>
    <w:qFormat/>
    <w:rsid w:val="00726070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726070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726070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726070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D4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5D4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Normal"/>
    <w:rsid w:val="00F245D4"/>
    <w:pPr>
      <w:keepNext/>
      <w:tabs>
        <w:tab w:val="left" w:pos="567"/>
      </w:tabs>
      <w:spacing w:after="60" w:line="240" w:lineRule="atLeast"/>
    </w:pPr>
    <w:rPr>
      <w:rFonts w:cs="Arial"/>
      <w:b/>
      <w:caps/>
      <w:sz w:val="22"/>
      <w:szCs w:val="22"/>
    </w:rPr>
  </w:style>
  <w:style w:type="paragraph" w:customStyle="1" w:styleId="AdditivesHeading2">
    <w:name w:val="Additives_Heading_2"/>
    <w:basedOn w:val="Normal"/>
    <w:rsid w:val="00F245D4"/>
    <w:pPr>
      <w:keepNext/>
      <w:tabs>
        <w:tab w:val="left" w:leader="dot" w:pos="284"/>
        <w:tab w:val="left" w:pos="851"/>
      </w:tabs>
      <w:spacing w:after="60" w:line="240" w:lineRule="atLeast"/>
    </w:pPr>
    <w:rPr>
      <w:rFonts w:cs="Arial"/>
      <w:b/>
      <w:szCs w:val="22"/>
    </w:rPr>
  </w:style>
  <w:style w:type="paragraph" w:customStyle="1" w:styleId="AdditivesHeading3">
    <w:name w:val="Additives_Heading_3"/>
    <w:basedOn w:val="Normal"/>
    <w:rsid w:val="00F245D4"/>
    <w:pPr>
      <w:keepNext/>
      <w:keepLines/>
      <w:tabs>
        <w:tab w:val="left" w:leader="dot" w:pos="680"/>
        <w:tab w:val="left" w:pos="1304"/>
      </w:tabs>
      <w:spacing w:after="60"/>
    </w:pPr>
    <w:rPr>
      <w:rFonts w:cs="Arial"/>
      <w:b/>
      <w:iCs/>
      <w:szCs w:val="22"/>
    </w:rPr>
  </w:style>
  <w:style w:type="paragraph" w:customStyle="1" w:styleId="AdditivesHeading4">
    <w:name w:val="Additives_Heading_4"/>
    <w:basedOn w:val="Normal"/>
    <w:rsid w:val="00F245D4"/>
    <w:pPr>
      <w:keepNext/>
      <w:keepLines/>
      <w:tabs>
        <w:tab w:val="left" w:leader="dot" w:pos="1304"/>
        <w:tab w:val="left" w:pos="2041"/>
      </w:tabs>
      <w:spacing w:after="60"/>
      <w:ind w:left="2041" w:hanging="2041"/>
    </w:pPr>
    <w:rPr>
      <w:rFonts w:cs="Arial"/>
      <w:b/>
      <w:iCs/>
      <w:sz w:val="22"/>
      <w:szCs w:val="22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726070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726070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726070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726070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726070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726070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726070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726070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4913</Characters>
  <Application>Microsoft Office Word</Application>
  <DocSecurity>4</DocSecurity>
  <Lines>327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2015-04-01T03:08:00Z</dcterms:created>
  <dcterms:modified xsi:type="dcterms:W3CDTF">2015-04-01T03:08:00Z</dcterms:modified>
</cp:coreProperties>
</file>