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BBF" w:rsidRPr="005E14F1" w:rsidRDefault="00320BBF" w:rsidP="00817396">
      <w:pPr>
        <w:keepNext/>
        <w:outlineLvl w:val="1"/>
        <w:rPr>
          <w:rFonts w:eastAsiaTheme="majorEastAsia" w:cs="Arial"/>
          <w:b/>
          <w:bCs/>
          <w:sz w:val="24"/>
          <w:szCs w:val="24"/>
          <w:lang w:bidi="en-US"/>
        </w:rPr>
      </w:pPr>
      <w:bookmarkStart w:id="0" w:name="_Toc403730322"/>
      <w:r w:rsidRPr="005E14F1">
        <w:rPr>
          <w:rFonts w:eastAsiaTheme="majorEastAsia" w:cs="Arial"/>
          <w:b/>
          <w:bCs/>
          <w:sz w:val="24"/>
          <w:szCs w:val="24"/>
          <w:lang w:bidi="en-US"/>
        </w:rPr>
        <w:t>Explanatory Statement</w:t>
      </w:r>
      <w:bookmarkEnd w:id="0"/>
    </w:p>
    <w:p w:rsidR="00817396" w:rsidRDefault="00817396" w:rsidP="00320BBF">
      <w:pPr>
        <w:rPr>
          <w:rFonts w:eastAsia="Times New Roman" w:cs="Times New Roman"/>
          <w:b/>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1.</w:t>
      </w:r>
      <w:r w:rsidRPr="00320BBF">
        <w:rPr>
          <w:rFonts w:eastAsia="Times New Roman" w:cs="Times New Roman"/>
          <w:b/>
          <w:szCs w:val="24"/>
          <w:lang w:eastAsia="en-GB"/>
        </w:rPr>
        <w:tab/>
        <w:t>Authority</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Section 13 of the </w:t>
      </w:r>
      <w:r w:rsidRPr="00320BBF">
        <w:rPr>
          <w:rFonts w:eastAsia="Calibri" w:cs="Arial"/>
          <w:bCs/>
          <w:i/>
        </w:rPr>
        <w:t>Food Standards Australia New Zealand Act 1991</w:t>
      </w:r>
      <w:r w:rsidRPr="00320BBF">
        <w:rPr>
          <w:rFonts w:eastAsia="Calibri" w:cs="Arial"/>
          <w:bCs/>
        </w:rPr>
        <w:t xml:space="preserve"> (the FSANZ Act) provides that the functions of Food Standards Australia New Zealand (the Authority) include the development of standards and variations of standards for inclusion in the </w:t>
      </w:r>
      <w:r w:rsidRPr="00320BBF">
        <w:rPr>
          <w:rFonts w:eastAsia="Calibri" w:cs="Arial"/>
          <w:bCs/>
          <w:i/>
        </w:rPr>
        <w:t>Australia New Zealand Food Standards Code</w:t>
      </w:r>
      <w:r w:rsidRPr="00320BBF">
        <w:rPr>
          <w:rFonts w:eastAsia="Calibri" w:cs="Arial"/>
          <w:bCs/>
        </w:rPr>
        <w:t xml:space="preserve"> (the Code).</w:t>
      </w:r>
    </w:p>
    <w:p w:rsidR="00320BBF" w:rsidRPr="00320BBF" w:rsidRDefault="00320BBF" w:rsidP="00320BBF">
      <w:pPr>
        <w:autoSpaceDE w:val="0"/>
        <w:autoSpaceDN w:val="0"/>
        <w:adjustRightInd w:val="0"/>
        <w:rPr>
          <w:rFonts w:eastAsia="Calibri" w:cs="Arial"/>
          <w:bCs/>
        </w:rPr>
      </w:pPr>
    </w:p>
    <w:p w:rsidR="00320BBF" w:rsidRPr="00320BBF" w:rsidRDefault="00320BBF" w:rsidP="00817396">
      <w:pPr>
        <w:autoSpaceDE w:val="0"/>
        <w:autoSpaceDN w:val="0"/>
        <w:adjustRightInd w:val="0"/>
        <w:ind w:right="-286"/>
        <w:rPr>
          <w:rFonts w:eastAsia="Calibri" w:cs="Arial"/>
          <w:bCs/>
        </w:rPr>
      </w:pPr>
      <w:r w:rsidRPr="00320BBF">
        <w:rPr>
          <w:rFonts w:eastAsia="Calibri" w:cs="Arial"/>
          <w:bC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FSANZ prepared Proposal P1025 to revise the Code. The Authority considered the Proposal in accordance with Division 2 of Part 3 and has approved a draft revised Code.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rPr>
          <w:rFonts w:eastAsia="Calibri" w:cs="Arial"/>
          <w:bCs/>
        </w:rPr>
      </w:pPr>
      <w:r w:rsidRPr="00320BBF">
        <w:rPr>
          <w:rFonts w:eastAsia="Calibri" w:cs="Arial"/>
          <w:bCs/>
        </w:rPr>
        <w:t xml:space="preserve">Following consideration by the </w:t>
      </w:r>
      <w:r w:rsidRPr="00320BBF">
        <w:rPr>
          <w:rFonts w:eastAsia="Times New Roman" w:cs="Arial"/>
          <w:szCs w:val="24"/>
          <w:lang w:bidi="en-US"/>
        </w:rPr>
        <w:t>Legislative and Governance Forum on Food Regulation</w:t>
      </w:r>
      <w:r w:rsidRPr="00320BBF">
        <w:rPr>
          <w:rFonts w:eastAsia="Times New Roman" w:cs="Arial"/>
          <w:szCs w:val="24"/>
          <w:vertAlign w:val="superscript"/>
          <w:lang w:bidi="en-US"/>
        </w:rPr>
        <w:footnoteReference w:id="1"/>
      </w:r>
      <w:r w:rsidRPr="00320BBF">
        <w:rPr>
          <w:rFonts w:eastAsia="Calibri" w:cs="Arial"/>
          <w:bCs/>
        </w:rPr>
        <w:t xml:space="preserve">, section 92 of the FSANZ Act stipulates that the Authority must publish a notice about the standard or draft variation of a standard. </w:t>
      </w:r>
    </w:p>
    <w:p w:rsidR="00320BBF" w:rsidRPr="00320BBF" w:rsidRDefault="00320BBF" w:rsidP="00320BBF">
      <w:pPr>
        <w:autoSpaceDE w:val="0"/>
        <w:autoSpaceDN w:val="0"/>
        <w:adjustRightInd w:val="0"/>
        <w:rPr>
          <w:rFonts w:eastAsia="Calibri" w:cs="Arial"/>
          <w:bCs/>
        </w:rPr>
      </w:pPr>
    </w:p>
    <w:p w:rsidR="00320BBF" w:rsidRPr="00320BBF" w:rsidRDefault="00320BBF" w:rsidP="00320BBF">
      <w:pPr>
        <w:autoSpaceDE w:val="0"/>
        <w:autoSpaceDN w:val="0"/>
        <w:adjustRightInd w:val="0"/>
        <w:ind w:right="-144"/>
        <w:rPr>
          <w:rFonts w:eastAsia="Calibri" w:cs="Arial"/>
          <w:color w:val="000000"/>
        </w:rPr>
      </w:pPr>
      <w:r w:rsidRPr="00320BBF">
        <w:rPr>
          <w:rFonts w:eastAsia="Calibri" w:cs="Arial"/>
          <w:bCs/>
          <w:color w:val="000000"/>
        </w:rPr>
        <w:t>Section 94 of the FSANZ Act specifies that a</w:t>
      </w:r>
      <w:r w:rsidRPr="00320BBF">
        <w:rPr>
          <w:rFonts w:eastAsia="Calibri" w:cs="Arial"/>
          <w:color w:val="000000"/>
        </w:rPr>
        <w:t xml:space="preserve"> standard, or a variation of a standard, in relation to which a notice is published under section 92 is a legislative instrument, but is not subject to parliamentary disallowance or sunsetting under the </w:t>
      </w:r>
      <w:r w:rsidRPr="00320BBF">
        <w:rPr>
          <w:rFonts w:eastAsia="Calibri" w:cs="Arial"/>
          <w:i/>
          <w:color w:val="000000"/>
        </w:rPr>
        <w:t>Legislative Instruments Act 2003</w:t>
      </w:r>
      <w:r w:rsidRPr="00320BBF">
        <w:rPr>
          <w:rFonts w:eastAsia="Calibri" w:cs="Arial"/>
          <w:color w:val="000000"/>
        </w:rPr>
        <w:t>.</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2.</w:t>
      </w:r>
      <w:r w:rsidRPr="00320BBF">
        <w:rPr>
          <w:rFonts w:eastAsia="Times New Roman" w:cs="Times New Roman"/>
          <w:b/>
          <w:szCs w:val="24"/>
          <w:lang w:eastAsia="en-GB"/>
        </w:rPr>
        <w:tab/>
        <w:t xml:space="preserve">Purpose </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eastAsia="en-GB"/>
        </w:rPr>
      </w:pPr>
      <w:r w:rsidRPr="00320BBF">
        <w:rPr>
          <w:rFonts w:eastAsia="Times New Roman" w:cs="Times New Roman"/>
          <w:szCs w:val="24"/>
          <w:lang w:eastAsia="en-GB"/>
        </w:rPr>
        <w:t>The Authority has approved variations of Chapters 1 and 2 of the C</w:t>
      </w:r>
      <w:r w:rsidRPr="00320BBF">
        <w:rPr>
          <w:rFonts w:eastAsia="Times New Roman" w:cs="Times New Roman"/>
          <w:i/>
          <w:szCs w:val="24"/>
          <w:lang w:eastAsia="en-GB"/>
        </w:rPr>
        <w:t>o</w:t>
      </w:r>
      <w:r w:rsidRPr="00320BBF">
        <w:rPr>
          <w:rFonts w:eastAsia="Times New Roman" w:cs="Times New Roman"/>
          <w:szCs w:val="24"/>
          <w:lang w:eastAsia="en-GB"/>
        </w:rPr>
        <w:t>de.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3.</w:t>
      </w:r>
      <w:r w:rsidRPr="00320BBF">
        <w:rPr>
          <w:rFonts w:eastAsia="Times New Roman" w:cs="Times New Roman"/>
          <w:b/>
          <w:szCs w:val="24"/>
          <w:lang w:eastAsia="en-GB"/>
        </w:rPr>
        <w:tab/>
        <w:t>Documents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autoSpaceDE w:val="0"/>
        <w:autoSpaceDN w:val="0"/>
        <w:adjustRightInd w:val="0"/>
        <w:rPr>
          <w:rFonts w:eastAsia="Calibri" w:cs="Arial"/>
          <w:bCs/>
        </w:rPr>
      </w:pPr>
      <w:r w:rsidRPr="00320BBF">
        <w:rPr>
          <w:rFonts w:eastAsia="Calibri" w:cs="Arial"/>
          <w:bCs/>
        </w:rPr>
        <w:t>The variations to food regulatory measures do not incorporate any documents by reference. The variations update some references to documents that are incorporated by reference.</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eastAsia="en-GB"/>
        </w:rPr>
        <w:t>4.</w:t>
      </w:r>
      <w:r w:rsidRPr="00320BBF">
        <w:rPr>
          <w:rFonts w:eastAsia="Times New Roman" w:cs="Times New Roman"/>
          <w:b/>
          <w:szCs w:val="24"/>
          <w:lang w:eastAsia="en-GB"/>
        </w:rPr>
        <w:tab/>
        <w:t>Consultation</w:t>
      </w:r>
    </w:p>
    <w:p w:rsidR="00320BBF" w:rsidRPr="00320BBF" w:rsidRDefault="00320BBF" w:rsidP="00320BBF">
      <w:pPr>
        <w:rPr>
          <w:rFonts w:eastAsia="Times New Roman" w:cs="Times New Roman"/>
          <w:szCs w:val="24"/>
          <w:lang w:eastAsia="en-GB"/>
        </w:rPr>
      </w:pPr>
    </w:p>
    <w:p w:rsidR="00320BBF" w:rsidRPr="00320BBF" w:rsidRDefault="00320BBF" w:rsidP="00320BBF">
      <w:pPr>
        <w:rPr>
          <w:rFonts w:eastAsia="Times New Roman" w:cs="Times New Roman"/>
          <w:szCs w:val="24"/>
          <w:lang w:bidi="en-US"/>
        </w:rPr>
      </w:pPr>
      <w:r w:rsidRPr="00320BBF">
        <w:rPr>
          <w:rFonts w:eastAsia="Times New Roman" w:cs="Times New Roman"/>
          <w:lang w:bidi="en-US"/>
        </w:rPr>
        <w:t xml:space="preserve">In accordance with the procedure in </w:t>
      </w:r>
      <w:r>
        <w:rPr>
          <w:rFonts w:eastAsia="Times New Roman" w:cs="Times New Roman"/>
          <w:lang w:bidi="en-US"/>
        </w:rPr>
        <w:t xml:space="preserve">Subdivision F of </w:t>
      </w:r>
      <w:r w:rsidRPr="00320BBF">
        <w:rPr>
          <w:rFonts w:eastAsia="Times New Roman" w:cs="Times New Roman"/>
          <w:lang w:bidi="en-US"/>
        </w:rPr>
        <w:t xml:space="preserve">Division </w:t>
      </w:r>
      <w:r>
        <w:rPr>
          <w:rFonts w:eastAsia="Times New Roman" w:cs="Times New Roman"/>
          <w:lang w:bidi="en-US"/>
        </w:rPr>
        <w:t>2 of Part 3</w:t>
      </w:r>
      <w:r w:rsidRPr="00320BBF">
        <w:rPr>
          <w:rFonts w:eastAsia="Times New Roman" w:cs="Times New Roman"/>
          <w:lang w:bidi="en-US"/>
        </w:rPr>
        <w:t xml:space="preserve"> of the FSANZ Act, </w:t>
      </w:r>
      <w:r w:rsidRPr="00320BBF">
        <w:rPr>
          <w:rFonts w:eastAsia="Calibri" w:cs="Arial"/>
          <w:bCs/>
        </w:rPr>
        <w:t>the Authority</w:t>
      </w:r>
      <w:r w:rsidRPr="00320BBF">
        <w:rPr>
          <w:rFonts w:eastAsia="Times New Roman" w:cs="Times New Roman"/>
          <w:lang w:bidi="en-US"/>
        </w:rPr>
        <w:t>’s consideration of Proposal P1025 included two rounds of public comment following an assessment and the preparation of a draft Standard and associated reports. Submissions were call</w:t>
      </w:r>
      <w:r>
        <w:rPr>
          <w:rFonts w:eastAsia="Times New Roman" w:cs="Times New Roman"/>
          <w:lang w:bidi="en-US"/>
        </w:rPr>
        <w:t>ed for on 23 May 2013 for a 12-</w:t>
      </w:r>
      <w:r w:rsidRPr="00320BBF">
        <w:rPr>
          <w:rFonts w:eastAsia="Times New Roman" w:cs="Times New Roman"/>
          <w:lang w:bidi="en-US"/>
        </w:rPr>
        <w:t>week period, a</w:t>
      </w:r>
      <w:r>
        <w:rPr>
          <w:rFonts w:eastAsia="Times New Roman" w:cs="Times New Roman"/>
          <w:lang w:bidi="en-US"/>
        </w:rPr>
        <w:t>nd on 10 July 2014 for an eight-</w:t>
      </w:r>
      <w:r w:rsidRPr="00320BBF">
        <w:rPr>
          <w:rFonts w:eastAsia="Times New Roman" w:cs="Times New Roman"/>
          <w:lang w:bidi="en-US"/>
        </w:rPr>
        <w:t xml:space="preserve">week period. </w:t>
      </w:r>
    </w:p>
    <w:p w:rsidR="00320BBF" w:rsidRPr="00320BBF" w:rsidRDefault="00320BBF" w:rsidP="00320BBF">
      <w:pPr>
        <w:rPr>
          <w:rFonts w:eastAsia="Calibri" w:cs="Times New Roman"/>
        </w:rPr>
      </w:pPr>
    </w:p>
    <w:p w:rsidR="00320BBF" w:rsidRPr="00320BBF" w:rsidRDefault="00320BBF" w:rsidP="00320BBF">
      <w:pPr>
        <w:autoSpaceDE w:val="0"/>
        <w:autoSpaceDN w:val="0"/>
        <w:adjustRightInd w:val="0"/>
        <w:rPr>
          <w:rFonts w:eastAsia="Times New Roman" w:cs="Arial"/>
          <w:lang w:bidi="en-US"/>
        </w:rPr>
      </w:pPr>
      <w:r w:rsidRPr="00320BBF">
        <w:rPr>
          <w:rFonts w:eastAsia="Calibri" w:cs="Arial"/>
          <w:bCs/>
        </w:rPr>
        <w:t xml:space="preserve">A Regulation Impact Statement was not required, because the proposed variations to the Code </w:t>
      </w:r>
      <w:r w:rsidRPr="00320BBF">
        <w:rPr>
          <w:rFonts w:eastAsia="Times New Roman" w:cs="Times New Roman"/>
          <w:szCs w:val="24"/>
          <w:lang w:bidi="en-US"/>
        </w:rPr>
        <w:t xml:space="preserve">are likely to have a minor impact on business and individuals. </w:t>
      </w:r>
    </w:p>
    <w:p w:rsidR="00320BBF" w:rsidRPr="00320BBF" w:rsidRDefault="00320BBF" w:rsidP="00320BBF">
      <w:pPr>
        <w:rPr>
          <w:rFonts w:eastAsia="Times New Roman" w:cs="Times New Roman"/>
          <w:szCs w:val="24"/>
          <w:lang w:eastAsia="en-GB"/>
        </w:rPr>
      </w:pPr>
    </w:p>
    <w:p w:rsidR="00320BBF" w:rsidRPr="00320BBF" w:rsidRDefault="00320BBF" w:rsidP="00320BBF">
      <w:pPr>
        <w:keepNext/>
        <w:rPr>
          <w:rFonts w:cs="Arial"/>
          <w:b/>
          <w:bCs/>
        </w:rPr>
      </w:pPr>
      <w:r w:rsidRPr="00320BBF">
        <w:rPr>
          <w:rFonts w:cs="Arial"/>
          <w:b/>
          <w:bCs/>
        </w:rPr>
        <w:t>5.</w:t>
      </w:r>
      <w:r w:rsidRPr="00320BBF">
        <w:rPr>
          <w:rFonts w:cs="Arial"/>
          <w:b/>
          <w:bCs/>
        </w:rPr>
        <w:tab/>
        <w:t>Statement of compatibility with human rights</w:t>
      </w:r>
    </w:p>
    <w:p w:rsidR="00320BBF" w:rsidRPr="00320BBF" w:rsidRDefault="00320BBF" w:rsidP="00320BBF">
      <w:pPr>
        <w:keepNext/>
        <w:rPr>
          <w:rFonts w:cs="Times New Roman"/>
          <w:szCs w:val="24"/>
        </w:rPr>
      </w:pPr>
    </w:p>
    <w:p w:rsidR="00320BBF" w:rsidRPr="00320BBF" w:rsidRDefault="00320BBF" w:rsidP="00320BBF">
      <w:pPr>
        <w:rPr>
          <w:rFonts w:cs="Times New Roman"/>
          <w:szCs w:val="24"/>
        </w:rPr>
      </w:pPr>
      <w:r w:rsidRPr="00320BBF">
        <w:rPr>
          <w:rFonts w:cs="Times New Roman"/>
          <w:szCs w:val="24"/>
        </w:rPr>
        <w:t>This instrument is exempt from the requirements for a statement of compatibility with human rights as it is a non-disallowable instrument under section 94 of the FSANZ Act.</w:t>
      </w:r>
    </w:p>
    <w:p w:rsidR="00320BBF" w:rsidRPr="00320BBF" w:rsidRDefault="00320BBF" w:rsidP="00320BBF">
      <w:pPr>
        <w:rPr>
          <w:rFonts w:cs="Times New Roman"/>
          <w:szCs w:val="24"/>
        </w:rPr>
      </w:pPr>
    </w:p>
    <w:p w:rsidR="00320BBF" w:rsidRPr="00320BBF" w:rsidRDefault="00320BBF" w:rsidP="00320BBF">
      <w:pPr>
        <w:rPr>
          <w:rFonts w:eastAsia="Times New Roman" w:cs="Times New Roman"/>
          <w:b/>
          <w:szCs w:val="24"/>
          <w:lang w:eastAsia="en-GB"/>
        </w:rPr>
      </w:pPr>
      <w:r w:rsidRPr="00320BBF">
        <w:rPr>
          <w:rFonts w:eastAsia="Times New Roman" w:cs="Times New Roman"/>
          <w:b/>
          <w:szCs w:val="24"/>
          <w:lang w:bidi="en-US"/>
        </w:rPr>
        <w:t>6.</w:t>
      </w:r>
      <w:r w:rsidRPr="00320BBF">
        <w:rPr>
          <w:rFonts w:eastAsia="Times New Roman" w:cs="Times New Roman"/>
          <w:b/>
          <w:szCs w:val="24"/>
          <w:lang w:bidi="en-US"/>
        </w:rPr>
        <w:tab/>
      </w:r>
      <w:r w:rsidRPr="00320BBF">
        <w:rPr>
          <w:rFonts w:eastAsia="Times New Roman" w:cs="Times New Roman"/>
          <w:b/>
          <w:szCs w:val="24"/>
          <w:lang w:eastAsia="en-GB"/>
        </w:rPr>
        <w:t>Variation</w:t>
      </w:r>
    </w:p>
    <w:p w:rsidR="00320BBF" w:rsidRPr="00320BBF" w:rsidRDefault="00320BBF" w:rsidP="00320BBF">
      <w:pPr>
        <w:rPr>
          <w:rFonts w:eastAsia="Times New Roman" w:cs="Times New Roman"/>
          <w:b/>
          <w:szCs w:val="24"/>
          <w:lang w:bidi="en-US"/>
        </w:rPr>
      </w:pPr>
    </w:p>
    <w:p w:rsidR="00AF6A5A" w:rsidRPr="009F41D7" w:rsidRDefault="00AF6A5A" w:rsidP="00AF6A5A">
      <w:pPr>
        <w:rPr>
          <w:b/>
          <w:i/>
          <w:lang w:bidi="en-US"/>
        </w:rPr>
      </w:pPr>
      <w:bookmarkStart w:id="1" w:name="_Toc392503972"/>
      <w:r w:rsidRPr="009F41D7">
        <w:rPr>
          <w:b/>
          <w:i/>
          <w:lang w:bidi="en-US"/>
        </w:rPr>
        <w:t>Schedule 18</w:t>
      </w:r>
      <w:r w:rsidR="009F41D7">
        <w:rPr>
          <w:b/>
          <w:i/>
          <w:lang w:bidi="en-US"/>
        </w:rPr>
        <w:t xml:space="preserve"> – </w:t>
      </w:r>
      <w:r w:rsidRPr="009F41D7">
        <w:rPr>
          <w:b/>
          <w:i/>
          <w:lang w:bidi="en-US"/>
        </w:rPr>
        <w:t>Processing aids</w:t>
      </w:r>
      <w:bookmarkEnd w:id="1"/>
    </w:p>
    <w:p w:rsidR="009F41D7" w:rsidRDefault="009F41D7" w:rsidP="00AF6A5A">
      <w:pPr>
        <w:rPr>
          <w:lang w:bidi="en-US"/>
        </w:rPr>
      </w:pPr>
    </w:p>
    <w:p w:rsidR="009F41D7" w:rsidRDefault="009F41D7" w:rsidP="009F41D7">
      <w:pPr>
        <w:rPr>
          <w:rFonts w:eastAsia="Times New Roman" w:cs="Times New Roman"/>
          <w:szCs w:val="20"/>
          <w:lang w:bidi="en-US"/>
        </w:rPr>
      </w:pPr>
      <w:r>
        <w:rPr>
          <w:rFonts w:eastAsia="Times New Roman" w:cs="Times New Roman"/>
          <w:szCs w:val="20"/>
          <w:lang w:bidi="en-US"/>
        </w:rPr>
        <w:t>S</w:t>
      </w:r>
      <w:r w:rsidRPr="00BC0405">
        <w:rPr>
          <w:rFonts w:eastAsia="Times New Roman" w:cs="Times New Roman"/>
          <w:szCs w:val="20"/>
          <w:lang w:bidi="en-US"/>
        </w:rPr>
        <w:t>ection S</w:t>
      </w:r>
      <w:r>
        <w:rPr>
          <w:rFonts w:eastAsia="Times New Roman" w:cs="Times New Roman"/>
          <w:szCs w:val="20"/>
          <w:lang w:bidi="en-US"/>
        </w:rPr>
        <w:t>18</w:t>
      </w:r>
      <w:r w:rsidRPr="00BC0405">
        <w:rPr>
          <w:rFonts w:eastAsia="Times New Roman" w:cs="Times New Roman"/>
          <w:szCs w:val="20"/>
          <w:lang w:bidi="en-US"/>
        </w:rPr>
        <w:t>—1</w:t>
      </w:r>
      <w:r w:rsidR="008F2F3C">
        <w:rPr>
          <w:rFonts w:eastAsia="Times New Roman" w:cs="Times New Roman"/>
          <w:szCs w:val="20"/>
          <w:lang w:bidi="en-US"/>
        </w:rPr>
        <w:t xml:space="preserve"> Name</w:t>
      </w:r>
    </w:p>
    <w:p w:rsidR="009F41D7" w:rsidRPr="005568F5" w:rsidRDefault="009F41D7" w:rsidP="009F41D7">
      <w:pPr>
        <w:rPr>
          <w:sz w:val="18"/>
        </w:rPr>
      </w:pPr>
    </w:p>
    <w:p w:rsidR="009F41D7" w:rsidRPr="005568F5" w:rsidRDefault="009F41D7" w:rsidP="009F41D7">
      <w:pPr>
        <w:ind w:left="567"/>
        <w:rPr>
          <w:rFonts w:eastAsia="Times New Roman" w:cs="Times New Roman"/>
          <w:szCs w:val="20"/>
          <w:lang w:bidi="en-US"/>
        </w:rPr>
      </w:pPr>
      <w:r>
        <w:rPr>
          <w:rFonts w:eastAsia="Times New Roman" w:cs="Times New Roman"/>
          <w:szCs w:val="20"/>
          <w:lang w:bidi="en-US"/>
        </w:rPr>
        <w:t>S</w:t>
      </w:r>
      <w:r w:rsidRPr="00BC0405">
        <w:rPr>
          <w:rFonts w:eastAsia="Times New Roman" w:cs="Times New Roman"/>
          <w:szCs w:val="20"/>
          <w:lang w:bidi="en-US"/>
        </w:rPr>
        <w:t>ection S</w:t>
      </w:r>
      <w:r>
        <w:rPr>
          <w:rFonts w:eastAsia="Times New Roman" w:cs="Times New Roman"/>
          <w:szCs w:val="20"/>
          <w:lang w:bidi="en-US"/>
        </w:rPr>
        <w:t>18</w:t>
      </w:r>
      <w:r w:rsidRPr="00BC0405">
        <w:rPr>
          <w:rFonts w:eastAsia="Times New Roman" w:cs="Times New Roman"/>
          <w:szCs w:val="20"/>
          <w:lang w:bidi="en-US"/>
        </w:rPr>
        <w:t xml:space="preserve">—1 establishes that the instrument is the </w:t>
      </w:r>
      <w:r w:rsidRPr="00BC0405">
        <w:rPr>
          <w:rFonts w:eastAsia="Times New Roman" w:cs="Times New Roman"/>
          <w:i/>
          <w:szCs w:val="20"/>
          <w:lang w:bidi="en-US"/>
        </w:rPr>
        <w:t>Australia New Zealand Food Standards Code</w:t>
      </w:r>
      <w:r w:rsidRPr="00BC0405">
        <w:rPr>
          <w:rFonts w:eastAsia="Times New Roman" w:cs="Times New Roman"/>
          <w:szCs w:val="20"/>
          <w:lang w:bidi="en-US"/>
        </w:rPr>
        <w:t xml:space="preserve"> – Schedule </w:t>
      </w:r>
      <w:r>
        <w:rPr>
          <w:rFonts w:eastAsia="Times New Roman" w:cs="Times New Roman"/>
          <w:szCs w:val="20"/>
          <w:lang w:bidi="en-US"/>
        </w:rPr>
        <w:t xml:space="preserve">18 </w:t>
      </w:r>
      <w:r w:rsidRPr="00BC0405">
        <w:rPr>
          <w:rFonts w:eastAsia="Times New Roman" w:cs="Times New Roman"/>
          <w:szCs w:val="20"/>
          <w:lang w:bidi="en-US"/>
        </w:rPr>
        <w:t xml:space="preserve">– </w:t>
      </w:r>
      <w:r>
        <w:rPr>
          <w:lang w:bidi="en-US"/>
        </w:rPr>
        <w:t>Processing aids</w:t>
      </w:r>
      <w:r w:rsidRPr="00CD075E">
        <w:rPr>
          <w:lang w:bidi="en-US"/>
        </w:rPr>
        <w:t>.</w:t>
      </w:r>
    </w:p>
    <w:p w:rsidR="009F41D7" w:rsidRDefault="009F41D7" w:rsidP="00AF6A5A">
      <w:pPr>
        <w:rPr>
          <w:lang w:bidi="en-US"/>
        </w:rPr>
      </w:pPr>
      <w:r>
        <w:rPr>
          <w:lang w:bidi="en-US"/>
        </w:rPr>
        <w:br w:type="page"/>
      </w:r>
    </w:p>
    <w:p w:rsidR="009F41D7" w:rsidRPr="00FF1817" w:rsidRDefault="009F41D7" w:rsidP="009F41D7">
      <w:bookmarkStart w:id="2" w:name="_Toc400032490"/>
      <w:r>
        <w:lastRenderedPageBreak/>
        <w:t xml:space="preserve">Section S18—2 </w:t>
      </w:r>
      <w:proofErr w:type="gramStart"/>
      <w:r w:rsidRPr="00FF1817">
        <w:t>Generally</w:t>
      </w:r>
      <w:proofErr w:type="gramEnd"/>
      <w:r w:rsidRPr="00FF1817">
        <w:t xml:space="preserve"> permitted processing aids—substances for section 1.3.3—4</w:t>
      </w:r>
      <w:bookmarkEnd w:id="2"/>
    </w:p>
    <w:p w:rsidR="009F41D7" w:rsidRDefault="009F41D7" w:rsidP="00AF6A5A">
      <w:pPr>
        <w:rPr>
          <w:lang w:bidi="en-US"/>
        </w:rPr>
      </w:pPr>
    </w:p>
    <w:p w:rsidR="00AF6A5A" w:rsidRDefault="008F2F3C" w:rsidP="009F41D7">
      <w:pPr>
        <w:ind w:left="567"/>
        <w:rPr>
          <w:lang w:bidi="en-US"/>
        </w:rPr>
      </w:pPr>
      <w:r>
        <w:rPr>
          <w:lang w:bidi="en-US"/>
        </w:rPr>
        <w:t>New section S18—2 lists</w:t>
      </w:r>
      <w:r w:rsidR="00AF6A5A" w:rsidRPr="00AF6A5A">
        <w:rPr>
          <w:lang w:bidi="en-US"/>
        </w:rPr>
        <w:t xml:space="preserve"> for new paragraph 1.3.3—4(2</w:t>
      </w:r>
      <w:proofErr w:type="gramStart"/>
      <w:r w:rsidR="00AF6A5A" w:rsidRPr="00AF6A5A">
        <w:rPr>
          <w:lang w:bidi="en-US"/>
        </w:rPr>
        <w:t>)(</w:t>
      </w:r>
      <w:proofErr w:type="gramEnd"/>
      <w:r w:rsidR="00AF6A5A" w:rsidRPr="00AF6A5A">
        <w:rPr>
          <w:lang w:bidi="en-US"/>
        </w:rPr>
        <w:t>b), the general permitted processing aids th</w:t>
      </w:r>
      <w:r w:rsidR="009F41D7">
        <w:rPr>
          <w:lang w:bidi="en-US"/>
        </w:rPr>
        <w:t>at are currently listed in the T</w:t>
      </w:r>
      <w:r w:rsidR="00AF6A5A" w:rsidRPr="00AF6A5A">
        <w:rPr>
          <w:lang w:bidi="en-US"/>
        </w:rPr>
        <w:t>able to clause 3 in Standard 1.3.3.</w:t>
      </w:r>
    </w:p>
    <w:p w:rsidR="009F41D7" w:rsidRPr="00AF6A5A" w:rsidRDefault="009F41D7" w:rsidP="00AF6A5A">
      <w:pPr>
        <w:rPr>
          <w:lang w:bidi="en-US"/>
        </w:rPr>
      </w:pPr>
    </w:p>
    <w:p w:rsidR="009F41D7" w:rsidRDefault="009F41D7" w:rsidP="009F41D7">
      <w:bookmarkStart w:id="3" w:name="_Ref331683420"/>
      <w:bookmarkStart w:id="4" w:name="_Toc371505856"/>
      <w:bookmarkStart w:id="5" w:name="_Toc400032491"/>
      <w:r>
        <w:t xml:space="preserve">Section </w:t>
      </w:r>
      <w:r w:rsidRPr="00FF1817">
        <w:t>S18—3</w:t>
      </w:r>
      <w:r w:rsidRPr="00FF1817">
        <w:tab/>
        <w:t xml:space="preserve">Permitted processing aids for certain </w:t>
      </w:r>
      <w:bookmarkEnd w:id="3"/>
      <w:r w:rsidRPr="00FF1817">
        <w:t>purposes</w:t>
      </w:r>
      <w:bookmarkEnd w:id="4"/>
      <w:bookmarkEnd w:id="5"/>
    </w:p>
    <w:p w:rsidR="009F41D7" w:rsidRPr="00FF1817" w:rsidRDefault="009F41D7" w:rsidP="009F41D7"/>
    <w:p w:rsidR="00AF6A5A" w:rsidRDefault="009F41D7" w:rsidP="009F41D7">
      <w:pPr>
        <w:ind w:left="567"/>
        <w:rPr>
          <w:lang w:bidi="en-US"/>
        </w:rPr>
      </w:pPr>
      <w:r>
        <w:rPr>
          <w:lang w:bidi="en-US"/>
        </w:rPr>
        <w:t>S</w:t>
      </w:r>
      <w:r w:rsidR="00AF6A5A" w:rsidRPr="00AF6A5A">
        <w:rPr>
          <w:lang w:bidi="en-US"/>
        </w:rPr>
        <w:t>ection S18—3 lists for section 1.3.3—5, the processing aids that can be used for certain purposes. This new section repeats the informat</w:t>
      </w:r>
      <w:r>
        <w:rPr>
          <w:lang w:bidi="en-US"/>
        </w:rPr>
        <w:t xml:space="preserve">ion that is </w:t>
      </w:r>
      <w:r w:rsidR="008F2F3C">
        <w:rPr>
          <w:lang w:bidi="en-US"/>
        </w:rPr>
        <w:t xml:space="preserve">currently </w:t>
      </w:r>
      <w:r>
        <w:rPr>
          <w:lang w:bidi="en-US"/>
        </w:rPr>
        <w:t>set out in the T</w:t>
      </w:r>
      <w:r w:rsidR="00AF6A5A" w:rsidRPr="00AF6A5A">
        <w:rPr>
          <w:lang w:bidi="en-US"/>
        </w:rPr>
        <w:t>ables to clauses 4 to 10 of Standard 1.3.3.</w:t>
      </w:r>
    </w:p>
    <w:p w:rsidR="009F41D7" w:rsidRPr="00AF6A5A" w:rsidRDefault="009F41D7" w:rsidP="009F41D7">
      <w:pPr>
        <w:ind w:left="567"/>
        <w:rPr>
          <w:lang w:bidi="en-US"/>
        </w:rPr>
      </w:pPr>
    </w:p>
    <w:p w:rsidR="009F41D7" w:rsidRDefault="009F41D7" w:rsidP="009F41D7">
      <w:bookmarkStart w:id="6" w:name="_Toc400032492"/>
      <w:r>
        <w:t xml:space="preserve">Section S18—4 </w:t>
      </w:r>
      <w:r w:rsidRPr="00FF1817">
        <w:t>Permitted enzymes</w:t>
      </w:r>
      <w:bookmarkEnd w:id="6"/>
    </w:p>
    <w:p w:rsidR="009F41D7" w:rsidRPr="00FF1817" w:rsidRDefault="009F41D7" w:rsidP="009F41D7"/>
    <w:p w:rsidR="00AF6A5A" w:rsidRDefault="009F41D7" w:rsidP="009F41D7">
      <w:pPr>
        <w:ind w:left="567"/>
        <w:rPr>
          <w:lang w:bidi="en-US"/>
        </w:rPr>
      </w:pPr>
      <w:r>
        <w:rPr>
          <w:lang w:bidi="en-US"/>
        </w:rPr>
        <w:t>S</w:t>
      </w:r>
      <w:r w:rsidR="00AF6A5A" w:rsidRPr="00AF6A5A">
        <w:rPr>
          <w:lang w:bidi="en-US"/>
        </w:rPr>
        <w:t>ection S18—4 lists for section 1.3.3—6, the enzymes and their sources that may be used as processing aids. This new section repeats the informat</w:t>
      </w:r>
      <w:r>
        <w:rPr>
          <w:lang w:bidi="en-US"/>
        </w:rPr>
        <w:t xml:space="preserve">ion that is </w:t>
      </w:r>
      <w:r w:rsidR="008F2F3C">
        <w:rPr>
          <w:lang w:bidi="en-US"/>
        </w:rPr>
        <w:t>currently</w:t>
      </w:r>
      <w:r>
        <w:rPr>
          <w:lang w:bidi="en-US"/>
        </w:rPr>
        <w:t xml:space="preserve"> set out in the T</w:t>
      </w:r>
      <w:r w:rsidR="00AF6A5A" w:rsidRPr="00AF6A5A">
        <w:rPr>
          <w:lang w:bidi="en-US"/>
        </w:rPr>
        <w:t>ables to clauses 15 to 17 of Standard 1.3.3.</w:t>
      </w:r>
    </w:p>
    <w:p w:rsidR="009F41D7" w:rsidRPr="00AF6A5A" w:rsidRDefault="009F41D7" w:rsidP="009F41D7">
      <w:pPr>
        <w:ind w:left="567"/>
        <w:rPr>
          <w:lang w:bidi="en-US"/>
        </w:rPr>
      </w:pPr>
    </w:p>
    <w:p w:rsidR="009F41D7" w:rsidRDefault="009F41D7" w:rsidP="009F41D7">
      <w:bookmarkStart w:id="7" w:name="_Ref332633680"/>
      <w:bookmarkStart w:id="8" w:name="_Toc371505858"/>
      <w:bookmarkStart w:id="9" w:name="_Toc400032493"/>
      <w:r>
        <w:t xml:space="preserve">Section S18—5 </w:t>
      </w:r>
      <w:r w:rsidRPr="00FF1817">
        <w:t>Permitted microbial nutrients and microbial nutrient adjuncts</w:t>
      </w:r>
      <w:bookmarkEnd w:id="7"/>
      <w:bookmarkEnd w:id="8"/>
      <w:bookmarkEnd w:id="9"/>
    </w:p>
    <w:p w:rsidR="009F41D7" w:rsidRPr="00FF1817" w:rsidRDefault="009F41D7" w:rsidP="009F41D7"/>
    <w:p w:rsidR="00AF6A5A" w:rsidRPr="00AF6A5A" w:rsidRDefault="009F41D7" w:rsidP="009F41D7">
      <w:pPr>
        <w:ind w:left="567"/>
        <w:rPr>
          <w:lang w:bidi="en-US"/>
        </w:rPr>
      </w:pPr>
      <w:r>
        <w:rPr>
          <w:lang w:bidi="en-US"/>
        </w:rPr>
        <w:t>S</w:t>
      </w:r>
      <w:r w:rsidR="00AF6A5A" w:rsidRPr="00AF6A5A">
        <w:rPr>
          <w:lang w:bidi="en-US"/>
        </w:rPr>
        <w:t>ection S18—5 lists for section 1.3.3—7, the microbial nutrients and microbial nutrient adjuncts that may be used as processing aids. This new section repeats the informat</w:t>
      </w:r>
      <w:r>
        <w:rPr>
          <w:lang w:bidi="en-US"/>
        </w:rPr>
        <w:t xml:space="preserve">ion that is </w:t>
      </w:r>
      <w:r w:rsidR="008F2F3C">
        <w:rPr>
          <w:lang w:bidi="en-US"/>
        </w:rPr>
        <w:t>currently</w:t>
      </w:r>
      <w:r>
        <w:rPr>
          <w:lang w:bidi="en-US"/>
        </w:rPr>
        <w:t xml:space="preserve"> set out in the T</w:t>
      </w:r>
      <w:r w:rsidR="00AF6A5A" w:rsidRPr="00AF6A5A">
        <w:rPr>
          <w:lang w:bidi="en-US"/>
        </w:rPr>
        <w:t>able to clause 18 of Standard 1.3.3.</w:t>
      </w:r>
    </w:p>
    <w:p w:rsidR="009F41D7" w:rsidRDefault="009F41D7" w:rsidP="009F41D7"/>
    <w:p w:rsidR="009F41D7" w:rsidRDefault="009F41D7" w:rsidP="009F41D7">
      <w:r>
        <w:t xml:space="preserve">Section </w:t>
      </w:r>
      <w:bookmarkStart w:id="10" w:name="_Toc400032494"/>
      <w:r>
        <w:t xml:space="preserve">S18—6 </w:t>
      </w:r>
      <w:r w:rsidRPr="00FF1817">
        <w:t>Permitted processing aids for water</w:t>
      </w:r>
      <w:bookmarkEnd w:id="10"/>
    </w:p>
    <w:p w:rsidR="009F41D7" w:rsidRPr="00FF1817" w:rsidRDefault="009F41D7" w:rsidP="009F41D7"/>
    <w:p w:rsidR="00AF6A5A" w:rsidRDefault="009F41D7" w:rsidP="009F41D7">
      <w:pPr>
        <w:ind w:left="567"/>
        <w:rPr>
          <w:lang w:bidi="en-US"/>
        </w:rPr>
      </w:pPr>
      <w:r>
        <w:rPr>
          <w:lang w:bidi="en-US"/>
        </w:rPr>
        <w:t>S</w:t>
      </w:r>
      <w:r w:rsidR="00AF6A5A" w:rsidRPr="00AF6A5A">
        <w:rPr>
          <w:lang w:bidi="en-US"/>
        </w:rPr>
        <w:t>ection S18—6 lists for section 1.3.3—8, the substances that may be used as processing aids in packaged water or water used as an ingredient in other foods. This new section repeats the informat</w:t>
      </w:r>
      <w:r w:rsidR="008F2F3C">
        <w:rPr>
          <w:lang w:bidi="en-US"/>
        </w:rPr>
        <w:t>ion that is currently</w:t>
      </w:r>
      <w:r>
        <w:rPr>
          <w:lang w:bidi="en-US"/>
        </w:rPr>
        <w:t xml:space="preserve"> set out in the T</w:t>
      </w:r>
      <w:r w:rsidR="00AF6A5A" w:rsidRPr="00AF6A5A">
        <w:rPr>
          <w:lang w:bidi="en-US"/>
        </w:rPr>
        <w:t>able to clause 11 of Standard 1.3.3.</w:t>
      </w:r>
    </w:p>
    <w:p w:rsidR="009F41D7" w:rsidRPr="00AF6A5A" w:rsidRDefault="009F41D7" w:rsidP="009F41D7">
      <w:pPr>
        <w:ind w:left="567"/>
        <w:rPr>
          <w:lang w:bidi="en-US"/>
        </w:rPr>
      </w:pPr>
    </w:p>
    <w:p w:rsidR="009F41D7" w:rsidRDefault="009F41D7" w:rsidP="009F41D7">
      <w:bookmarkStart w:id="11" w:name="_Ref333053443"/>
      <w:bookmarkStart w:id="12" w:name="_Toc371505860"/>
      <w:bookmarkStart w:id="13" w:name="_Toc400032495"/>
      <w:r>
        <w:t xml:space="preserve">Section S18—7 </w:t>
      </w:r>
      <w:r w:rsidRPr="00FF1817">
        <w:t>Permitted bleaching, washing and peeling agents—various foods</w:t>
      </w:r>
      <w:bookmarkEnd w:id="11"/>
      <w:bookmarkEnd w:id="12"/>
      <w:bookmarkEnd w:id="13"/>
    </w:p>
    <w:p w:rsidR="009F41D7" w:rsidRPr="00FF1817" w:rsidRDefault="009F41D7" w:rsidP="009F41D7"/>
    <w:p w:rsidR="00AF6A5A" w:rsidRDefault="009F41D7" w:rsidP="009F41D7">
      <w:pPr>
        <w:ind w:left="567"/>
        <w:rPr>
          <w:lang w:bidi="en-US"/>
        </w:rPr>
      </w:pPr>
      <w:r>
        <w:rPr>
          <w:lang w:bidi="en-US"/>
        </w:rPr>
        <w:t>S</w:t>
      </w:r>
      <w:r w:rsidR="00AF6A5A" w:rsidRPr="00AF6A5A">
        <w:rPr>
          <w:lang w:bidi="en-US"/>
        </w:rPr>
        <w:t xml:space="preserve">ection S18—7 lists for section 1.3.3—9, the bleaching, washing and peeling agents that may be used as processing aids. This new section repeats the information that is </w:t>
      </w:r>
      <w:r w:rsidR="008F2F3C">
        <w:rPr>
          <w:lang w:bidi="en-US"/>
        </w:rPr>
        <w:t>currently</w:t>
      </w:r>
      <w:r w:rsidR="00AF6A5A" w:rsidRPr="00AF6A5A">
        <w:rPr>
          <w:lang w:bidi="en-US"/>
        </w:rPr>
        <w:t xml:space="preserve"> set out in the </w:t>
      </w:r>
      <w:r>
        <w:rPr>
          <w:lang w:bidi="en-US"/>
        </w:rPr>
        <w:t>T</w:t>
      </w:r>
      <w:r w:rsidR="00AF6A5A" w:rsidRPr="00AF6A5A">
        <w:rPr>
          <w:lang w:bidi="en-US"/>
        </w:rPr>
        <w:t>able to clause 12 of Standard 1.3.3.</w:t>
      </w:r>
    </w:p>
    <w:p w:rsidR="00163417" w:rsidRPr="00AF6A5A" w:rsidRDefault="00163417" w:rsidP="009F41D7">
      <w:pPr>
        <w:ind w:left="567"/>
        <w:rPr>
          <w:lang w:bidi="en-US"/>
        </w:rPr>
      </w:pPr>
    </w:p>
    <w:p w:rsidR="009F41D7" w:rsidRDefault="009F41D7" w:rsidP="00163417">
      <w:bookmarkStart w:id="14" w:name="_Ref331683569"/>
      <w:bookmarkStart w:id="15" w:name="_Ref332121225"/>
      <w:bookmarkStart w:id="16" w:name="_Ref337544843"/>
      <w:bookmarkStart w:id="17" w:name="_Toc371505861"/>
      <w:bookmarkStart w:id="18" w:name="_Toc400032496"/>
      <w:r>
        <w:t xml:space="preserve">Section S18—8 </w:t>
      </w:r>
      <w:r w:rsidRPr="00FF1817">
        <w:t>Permitted extraction solvents—various foods</w:t>
      </w:r>
      <w:bookmarkEnd w:id="14"/>
      <w:bookmarkEnd w:id="15"/>
      <w:bookmarkEnd w:id="16"/>
      <w:bookmarkEnd w:id="17"/>
      <w:bookmarkEnd w:id="18"/>
    </w:p>
    <w:p w:rsidR="00163417" w:rsidRPr="00FF1817" w:rsidRDefault="00163417" w:rsidP="00163417"/>
    <w:p w:rsidR="00AF6A5A" w:rsidRDefault="00163417" w:rsidP="009F41D7">
      <w:pPr>
        <w:ind w:left="567"/>
        <w:rPr>
          <w:lang w:bidi="en-US"/>
        </w:rPr>
      </w:pPr>
      <w:r>
        <w:rPr>
          <w:lang w:bidi="en-US"/>
        </w:rPr>
        <w:t>S</w:t>
      </w:r>
      <w:r w:rsidR="00AF6A5A" w:rsidRPr="00AF6A5A">
        <w:rPr>
          <w:lang w:bidi="en-US"/>
        </w:rPr>
        <w:t>ection S18—8 lists for section 1.3.3—10, the extraction solvents that may be used as processing aids. This new section repeats the information that is</w:t>
      </w:r>
      <w:r w:rsidR="008F2F3C">
        <w:rPr>
          <w:lang w:bidi="en-US"/>
        </w:rPr>
        <w:t xml:space="preserve"> currently set out in the T</w:t>
      </w:r>
      <w:r w:rsidR="00AF6A5A" w:rsidRPr="00AF6A5A">
        <w:rPr>
          <w:lang w:bidi="en-US"/>
        </w:rPr>
        <w:t>able to clause 13 of Standard 1.3.3.</w:t>
      </w:r>
    </w:p>
    <w:p w:rsidR="00163417" w:rsidRPr="00AF6A5A" w:rsidRDefault="00163417" w:rsidP="009F41D7">
      <w:pPr>
        <w:ind w:left="567"/>
        <w:rPr>
          <w:lang w:bidi="en-US"/>
        </w:rPr>
      </w:pPr>
    </w:p>
    <w:p w:rsidR="009F41D7" w:rsidRDefault="009F41D7" w:rsidP="00163417">
      <w:bookmarkStart w:id="19" w:name="_Ref338061984"/>
      <w:bookmarkStart w:id="20" w:name="_Toc371505862"/>
      <w:bookmarkStart w:id="21" w:name="_Toc400032497"/>
      <w:r>
        <w:t xml:space="preserve">Section S18—9 </w:t>
      </w:r>
      <w:r w:rsidRPr="00FF1817">
        <w:t>Permitted processing aids—</w:t>
      </w:r>
      <w:bookmarkEnd w:id="19"/>
      <w:bookmarkEnd w:id="20"/>
      <w:r w:rsidRPr="00FF1817">
        <w:t>various technological purposes</w:t>
      </w:r>
      <w:bookmarkEnd w:id="21"/>
    </w:p>
    <w:p w:rsidR="00163417" w:rsidRPr="00FF1817" w:rsidRDefault="00163417" w:rsidP="00163417"/>
    <w:p w:rsidR="00AF6A5A" w:rsidRDefault="00163417" w:rsidP="009F41D7">
      <w:pPr>
        <w:ind w:left="567"/>
        <w:rPr>
          <w:lang w:bidi="en-US"/>
        </w:rPr>
      </w:pPr>
      <w:r>
        <w:rPr>
          <w:lang w:bidi="en-US"/>
        </w:rPr>
        <w:t>S</w:t>
      </w:r>
      <w:r w:rsidR="00AF6A5A" w:rsidRPr="00AF6A5A">
        <w:rPr>
          <w:lang w:bidi="en-US"/>
        </w:rPr>
        <w:t>ection S18—9 lists for section 1.3.3—11, the processing aids with miscellaneous functi</w:t>
      </w:r>
      <w:r w:rsidR="008F2F3C">
        <w:rPr>
          <w:lang w:bidi="en-US"/>
        </w:rPr>
        <w:t>ons that are currently listed in the T</w:t>
      </w:r>
      <w:r w:rsidR="00AF6A5A" w:rsidRPr="00AF6A5A">
        <w:rPr>
          <w:lang w:bidi="en-US"/>
        </w:rPr>
        <w:t>able to c</w:t>
      </w:r>
      <w:bookmarkStart w:id="22" w:name="_GoBack"/>
      <w:bookmarkEnd w:id="22"/>
      <w:r w:rsidR="00AF6A5A" w:rsidRPr="00AF6A5A">
        <w:rPr>
          <w:lang w:bidi="en-US"/>
        </w:rPr>
        <w:t>lause 14 of Standard 1.3.3.</w:t>
      </w:r>
    </w:p>
    <w:p w:rsidR="003D35E5" w:rsidRPr="00AF6A5A" w:rsidRDefault="003D35E5" w:rsidP="009F41D7">
      <w:pPr>
        <w:ind w:left="567"/>
        <w:rPr>
          <w:lang w:bidi="en-US"/>
        </w:rPr>
      </w:pPr>
    </w:p>
    <w:p w:rsidR="009F41D7" w:rsidRDefault="009F41D7" w:rsidP="003D35E5">
      <w:bookmarkStart w:id="23" w:name="_Ref331683697"/>
      <w:bookmarkStart w:id="24" w:name="_Ref335989626"/>
      <w:bookmarkStart w:id="25" w:name="_Toc371505863"/>
      <w:bookmarkStart w:id="26" w:name="_Toc400032498"/>
      <w:r>
        <w:t xml:space="preserve">Section S18—10 </w:t>
      </w:r>
      <w:r w:rsidRPr="00FF1817">
        <w:t>Permission to use dimethyl dicarbonate as microbial control agent</w:t>
      </w:r>
      <w:bookmarkEnd w:id="23"/>
      <w:bookmarkEnd w:id="24"/>
      <w:bookmarkEnd w:id="25"/>
      <w:bookmarkEnd w:id="26"/>
    </w:p>
    <w:p w:rsidR="003D35E5" w:rsidRPr="00FF1817" w:rsidRDefault="003D35E5" w:rsidP="003D35E5"/>
    <w:p w:rsidR="00AF6A5A" w:rsidRPr="00AF6A5A" w:rsidRDefault="00AF6A5A" w:rsidP="009F41D7">
      <w:pPr>
        <w:ind w:left="567"/>
        <w:rPr>
          <w:lang w:bidi="en-US"/>
        </w:rPr>
      </w:pPr>
      <w:r w:rsidRPr="00AF6A5A">
        <w:rPr>
          <w:lang w:bidi="en-US"/>
        </w:rPr>
        <w:t>New section S1</w:t>
      </w:r>
      <w:r w:rsidR="008F2F3C">
        <w:rPr>
          <w:lang w:bidi="en-US"/>
        </w:rPr>
        <w:t>8—10 sets out</w:t>
      </w:r>
      <w:r w:rsidRPr="00AF6A5A">
        <w:rPr>
          <w:lang w:bidi="en-US"/>
        </w:rPr>
        <w:t xml:space="preserve"> for section 1.3.3—12, the permissions to use dimethyl carbonate as a processing aid that are </w:t>
      </w:r>
      <w:r w:rsidR="008F2F3C">
        <w:rPr>
          <w:lang w:bidi="en-US"/>
        </w:rPr>
        <w:t>currently listed in the T</w:t>
      </w:r>
      <w:r w:rsidRPr="00AF6A5A">
        <w:rPr>
          <w:lang w:bidi="en-US"/>
        </w:rPr>
        <w:t>able to clause 19 of Standard 1.3.3.</w:t>
      </w:r>
    </w:p>
    <w:p w:rsidR="00D5526B" w:rsidRPr="00320BBF" w:rsidRDefault="00D5526B" w:rsidP="00AF6A5A"/>
    <w:sectPr w:rsidR="00D5526B" w:rsidRPr="00320BBF"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BF" w:rsidRDefault="00320BBF" w:rsidP="00320BBF">
      <w:r>
        <w:separator/>
      </w:r>
    </w:p>
  </w:endnote>
  <w:endnote w:type="continuationSeparator" w:id="0">
    <w:p w:rsidR="00320BBF" w:rsidRDefault="00320BBF" w:rsidP="0032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4430744"/>
      <w:docPartObj>
        <w:docPartGallery w:val="Page Numbers (Bottom of Page)"/>
        <w:docPartUnique/>
      </w:docPartObj>
    </w:sdtPr>
    <w:sdtEndPr>
      <w:rPr>
        <w:noProof/>
      </w:rPr>
    </w:sdtEndPr>
    <w:sdtContent>
      <w:p w:rsidR="00320BBF" w:rsidRDefault="00320BBF" w:rsidP="00320BBF">
        <w:pPr>
          <w:pStyle w:val="Footer"/>
          <w:jc w:val="center"/>
        </w:pPr>
        <w:r>
          <w:fldChar w:fldCharType="begin"/>
        </w:r>
        <w:r>
          <w:instrText xml:space="preserve"> PAGE   \* MERGEFORMAT </w:instrText>
        </w:r>
        <w:r>
          <w:fldChar w:fldCharType="separate"/>
        </w:r>
        <w:r w:rsidR="008F2F3C">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BF" w:rsidRDefault="00320BBF" w:rsidP="00320BBF">
      <w:r>
        <w:separator/>
      </w:r>
    </w:p>
  </w:footnote>
  <w:footnote w:type="continuationSeparator" w:id="0">
    <w:p w:rsidR="00320BBF" w:rsidRDefault="00320BBF" w:rsidP="00320BBF">
      <w:r>
        <w:continuationSeparator/>
      </w:r>
    </w:p>
  </w:footnote>
  <w:footnote w:id="1">
    <w:p w:rsidR="00320BBF" w:rsidRPr="006E1858" w:rsidRDefault="00320BBF" w:rsidP="00320BBF">
      <w:pPr>
        <w:pStyle w:val="Footnote"/>
        <w:rPr>
          <w:lang w:val="en-AU"/>
        </w:rPr>
      </w:pPr>
      <w:r>
        <w:rPr>
          <w:rStyle w:val="FootnoteReference"/>
          <w:sz w:val="20"/>
        </w:rPr>
        <w:footnoteRef/>
      </w:r>
      <w:r>
        <w:t xml:space="preserve"> </w:t>
      </w:r>
      <w:r>
        <w:rPr>
          <w:lang w:val="en-AU"/>
        </w:rPr>
        <w:t>Previously known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ED"/>
    <w:rsid w:val="0000542C"/>
    <w:rsid w:val="00041643"/>
    <w:rsid w:val="000622E7"/>
    <w:rsid w:val="00066854"/>
    <w:rsid w:val="00066D85"/>
    <w:rsid w:val="000A38F8"/>
    <w:rsid w:val="000F2196"/>
    <w:rsid w:val="00163417"/>
    <w:rsid w:val="001734EA"/>
    <w:rsid w:val="00184403"/>
    <w:rsid w:val="00191770"/>
    <w:rsid w:val="001C5126"/>
    <w:rsid w:val="001E696B"/>
    <w:rsid w:val="002232B1"/>
    <w:rsid w:val="00234C31"/>
    <w:rsid w:val="00320BBF"/>
    <w:rsid w:val="0033021F"/>
    <w:rsid w:val="00341D25"/>
    <w:rsid w:val="003D35E5"/>
    <w:rsid w:val="00404702"/>
    <w:rsid w:val="00441D77"/>
    <w:rsid w:val="00443F05"/>
    <w:rsid w:val="00486619"/>
    <w:rsid w:val="004D3868"/>
    <w:rsid w:val="004E6694"/>
    <w:rsid w:val="0054036E"/>
    <w:rsid w:val="005B578D"/>
    <w:rsid w:val="005C1996"/>
    <w:rsid w:val="005E14F1"/>
    <w:rsid w:val="006B6900"/>
    <w:rsid w:val="006C43DB"/>
    <w:rsid w:val="006D473E"/>
    <w:rsid w:val="006E62ED"/>
    <w:rsid w:val="00793DE6"/>
    <w:rsid w:val="007F6456"/>
    <w:rsid w:val="00817396"/>
    <w:rsid w:val="00830393"/>
    <w:rsid w:val="00833D5A"/>
    <w:rsid w:val="00860EE7"/>
    <w:rsid w:val="00877A81"/>
    <w:rsid w:val="008931F6"/>
    <w:rsid w:val="008E2339"/>
    <w:rsid w:val="008F2F3C"/>
    <w:rsid w:val="00935023"/>
    <w:rsid w:val="009806A5"/>
    <w:rsid w:val="009E265A"/>
    <w:rsid w:val="009F41D7"/>
    <w:rsid w:val="00A25B29"/>
    <w:rsid w:val="00A26F82"/>
    <w:rsid w:val="00AF6A5A"/>
    <w:rsid w:val="00B53154"/>
    <w:rsid w:val="00BC2133"/>
    <w:rsid w:val="00BE4F3A"/>
    <w:rsid w:val="00C019A6"/>
    <w:rsid w:val="00C572A2"/>
    <w:rsid w:val="00D5526B"/>
    <w:rsid w:val="00D6679C"/>
    <w:rsid w:val="00D66962"/>
    <w:rsid w:val="00D87D9C"/>
    <w:rsid w:val="00D92B3B"/>
    <w:rsid w:val="00DA7DED"/>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17396"/>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5Section">
    <w:name w:val="h5_Section"/>
    <w:basedOn w:val="Normal"/>
    <w:next w:val="Normal"/>
    <w:rsid w:val="009F41D7"/>
    <w:pPr>
      <w:keepNext/>
      <w:keepLines/>
      <w:spacing w:before="360" w:after="60"/>
      <w:ind w:left="1304" w:hanging="1701"/>
      <w:outlineLvl w:val="4"/>
    </w:pPr>
    <w:rPr>
      <w:rFonts w:eastAsia="Times New Roman" w:cs="Times New Roman"/>
      <w:b/>
      <w:bCs/>
      <w:kern w:val="32"/>
      <w:sz w:val="24"/>
      <w:szCs w:val="32"/>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817396"/>
    <w:rPr>
      <w:rFonts w:cstheme="minorBidi"/>
      <w:sz w:val="20"/>
      <w:lang w:val="en-GB"/>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2"/>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rFonts w:eastAsia="Times New Roman" w:cs="Times New Roman"/>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Cs w:val="20"/>
    </w:rPr>
  </w:style>
  <w:style w:type="paragraph" w:customStyle="1" w:styleId="FSTableColumnRowheading">
    <w:name w:val="FSTable Column/Row heading"/>
    <w:basedOn w:val="Normal"/>
    <w:uiPriority w:val="8"/>
    <w:qFormat/>
    <w:rsid w:val="00404702"/>
    <w:pPr>
      <w:spacing w:before="120" w:after="120"/>
    </w:pPr>
    <w:rPr>
      <w:b/>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ootnote">
    <w:name w:val="Footnote"/>
    <w:basedOn w:val="Normal"/>
    <w:rsid w:val="00320BBF"/>
    <w:pPr>
      <w:widowControl w:val="0"/>
      <w:tabs>
        <w:tab w:val="left" w:pos="851"/>
      </w:tabs>
    </w:pPr>
    <w:rPr>
      <w:rFonts w:eastAsia="Times New Roman" w:cs="Times New Roman"/>
      <w:sz w:val="18"/>
      <w:szCs w:val="20"/>
      <w:lang w:bidi="en-US"/>
    </w:rPr>
  </w:style>
  <w:style w:type="character" w:styleId="FootnoteReference">
    <w:name w:val="footnote reference"/>
    <w:basedOn w:val="DefaultParagraphFont"/>
    <w:rsid w:val="00320BBF"/>
    <w:rPr>
      <w:vertAlign w:val="superscript"/>
    </w:rPr>
  </w:style>
  <w:style w:type="paragraph" w:customStyle="1" w:styleId="h5Section">
    <w:name w:val="h5_Section"/>
    <w:basedOn w:val="Normal"/>
    <w:next w:val="Normal"/>
    <w:rsid w:val="009F41D7"/>
    <w:pPr>
      <w:keepNext/>
      <w:keepLines/>
      <w:spacing w:before="360" w:after="60"/>
      <w:ind w:left="1304" w:hanging="1701"/>
      <w:outlineLvl w:val="4"/>
    </w:pPr>
    <w:rPr>
      <w:rFonts w:eastAsia="Times New Roman" w:cs="Times New Roman"/>
      <w:b/>
      <w:bCs/>
      <w:kern w:val="32"/>
      <w:sz w:val="24"/>
      <w:szCs w:val="3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34CE2-3607-47F1-B68F-659558A64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Foodstandards</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10</cp:revision>
  <dcterms:created xsi:type="dcterms:W3CDTF">2014-12-16T00:14:00Z</dcterms:created>
  <dcterms:modified xsi:type="dcterms:W3CDTF">2015-02-20T07:05:00Z</dcterms:modified>
</cp:coreProperties>
</file>