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B81AAD" w:rsidRDefault="00320BBF" w:rsidP="00B81AAD">
      <w:pPr>
        <w:keepNext/>
        <w:outlineLvl w:val="1"/>
        <w:rPr>
          <w:rFonts w:eastAsiaTheme="majorEastAsia" w:cs="Arial"/>
          <w:b/>
          <w:bCs/>
          <w:sz w:val="24"/>
          <w:szCs w:val="24"/>
          <w:lang w:bidi="en-US"/>
        </w:rPr>
      </w:pPr>
      <w:bookmarkStart w:id="0" w:name="_Toc403730322"/>
      <w:r w:rsidRPr="00B81AAD">
        <w:rPr>
          <w:rFonts w:eastAsiaTheme="majorEastAsia" w:cs="Arial"/>
          <w:b/>
          <w:bCs/>
          <w:sz w:val="24"/>
          <w:szCs w:val="24"/>
          <w:lang w:bidi="en-US"/>
        </w:rPr>
        <w:t>Explanatory Statement</w:t>
      </w:r>
      <w:bookmarkEnd w:id="0"/>
    </w:p>
    <w:p w:rsidR="00B81AAD" w:rsidRPr="00B81AAD" w:rsidRDefault="00B81AAD" w:rsidP="00320BBF">
      <w:pPr>
        <w:rPr>
          <w:rFonts w:eastAsia="Times New Roman" w:cs="Times New Roman"/>
          <w:b/>
          <w:sz w:val="20"/>
          <w:szCs w:val="20"/>
          <w:lang w:eastAsia="en-GB"/>
        </w:rPr>
      </w:pPr>
    </w:p>
    <w:p w:rsidR="00320BBF" w:rsidRPr="00B81AAD" w:rsidRDefault="00320BBF" w:rsidP="00320BBF">
      <w:pPr>
        <w:rPr>
          <w:rFonts w:eastAsia="Times New Roman" w:cs="Times New Roman"/>
          <w:b/>
          <w:sz w:val="20"/>
          <w:szCs w:val="20"/>
          <w:lang w:eastAsia="en-GB"/>
        </w:rPr>
      </w:pPr>
      <w:r w:rsidRPr="00B81AAD">
        <w:rPr>
          <w:rFonts w:eastAsia="Times New Roman" w:cs="Times New Roman"/>
          <w:b/>
          <w:sz w:val="20"/>
          <w:szCs w:val="20"/>
          <w:lang w:eastAsia="en-GB"/>
        </w:rPr>
        <w:t>1.</w:t>
      </w:r>
      <w:r w:rsidRPr="00B81AAD">
        <w:rPr>
          <w:rFonts w:eastAsia="Times New Roman" w:cs="Times New Roman"/>
          <w:b/>
          <w:sz w:val="20"/>
          <w:szCs w:val="20"/>
          <w:lang w:eastAsia="en-GB"/>
        </w:rPr>
        <w:tab/>
        <w:t>Authority</w:t>
      </w:r>
    </w:p>
    <w:p w:rsidR="00320BBF" w:rsidRPr="00B81AAD" w:rsidRDefault="00320BBF" w:rsidP="00320BBF">
      <w:pPr>
        <w:rPr>
          <w:rFonts w:eastAsia="Times New Roman" w:cs="Times New Roman"/>
          <w:sz w:val="20"/>
          <w:szCs w:val="20"/>
          <w:lang w:eastAsia="en-GB"/>
        </w:rPr>
      </w:pPr>
    </w:p>
    <w:p w:rsidR="00320BBF" w:rsidRPr="00B81AAD" w:rsidRDefault="00320BBF" w:rsidP="00320BBF">
      <w:pPr>
        <w:autoSpaceDE w:val="0"/>
        <w:autoSpaceDN w:val="0"/>
        <w:adjustRightInd w:val="0"/>
        <w:rPr>
          <w:rFonts w:eastAsia="Calibri" w:cs="Arial"/>
          <w:bCs/>
          <w:sz w:val="20"/>
          <w:szCs w:val="20"/>
        </w:rPr>
      </w:pPr>
      <w:r w:rsidRPr="00B81AAD">
        <w:rPr>
          <w:rFonts w:eastAsia="Calibri" w:cs="Arial"/>
          <w:bCs/>
          <w:sz w:val="20"/>
          <w:szCs w:val="20"/>
        </w:rPr>
        <w:t xml:space="preserve">Section 13 of the </w:t>
      </w:r>
      <w:r w:rsidRPr="00B81AAD">
        <w:rPr>
          <w:rFonts w:eastAsia="Calibri" w:cs="Arial"/>
          <w:bCs/>
          <w:i/>
          <w:sz w:val="20"/>
          <w:szCs w:val="20"/>
        </w:rPr>
        <w:t>Food Standards Australia New Zealand Act 1991</w:t>
      </w:r>
      <w:r w:rsidRPr="00B81AAD">
        <w:rPr>
          <w:rFonts w:eastAsia="Calibri" w:cs="Arial"/>
          <w:bCs/>
          <w:sz w:val="20"/>
          <w:szCs w:val="20"/>
        </w:rPr>
        <w:t xml:space="preserve"> (the FSANZ Act) provides that the functions of Food Standards Australia New Zealand (the Authority) include the development of standards and variations of standards for inclusion in the </w:t>
      </w:r>
      <w:r w:rsidRPr="00B81AAD">
        <w:rPr>
          <w:rFonts w:eastAsia="Calibri" w:cs="Arial"/>
          <w:bCs/>
          <w:i/>
          <w:sz w:val="20"/>
          <w:szCs w:val="20"/>
        </w:rPr>
        <w:t>Australia New Zealand Food Standards Code</w:t>
      </w:r>
      <w:r w:rsidRPr="00B81AAD">
        <w:rPr>
          <w:rFonts w:eastAsia="Calibri" w:cs="Arial"/>
          <w:bCs/>
          <w:sz w:val="20"/>
          <w:szCs w:val="20"/>
        </w:rPr>
        <w:t xml:space="preserve"> (the Code).</w:t>
      </w:r>
    </w:p>
    <w:p w:rsidR="00320BBF" w:rsidRPr="00B81AAD" w:rsidRDefault="00320BBF" w:rsidP="00320BBF">
      <w:pPr>
        <w:autoSpaceDE w:val="0"/>
        <w:autoSpaceDN w:val="0"/>
        <w:adjustRightInd w:val="0"/>
        <w:rPr>
          <w:rFonts w:eastAsia="Calibri" w:cs="Arial"/>
          <w:bCs/>
          <w:sz w:val="20"/>
          <w:szCs w:val="20"/>
        </w:rPr>
      </w:pPr>
    </w:p>
    <w:p w:rsidR="00320BBF" w:rsidRPr="00B81AAD" w:rsidRDefault="00320BBF" w:rsidP="00B81AAD">
      <w:pPr>
        <w:autoSpaceDE w:val="0"/>
        <w:autoSpaceDN w:val="0"/>
        <w:adjustRightInd w:val="0"/>
        <w:ind w:right="-286"/>
        <w:rPr>
          <w:rFonts w:eastAsia="Calibri" w:cs="Arial"/>
          <w:bCs/>
          <w:sz w:val="20"/>
          <w:szCs w:val="20"/>
        </w:rPr>
      </w:pPr>
      <w:r w:rsidRPr="00B81AAD">
        <w:rPr>
          <w:rFonts w:eastAsia="Calibri" w:cs="Arial"/>
          <w:bCs/>
          <w:sz w:val="20"/>
          <w:szCs w:val="20"/>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B81AAD" w:rsidRDefault="00320BBF" w:rsidP="00320BBF">
      <w:pPr>
        <w:autoSpaceDE w:val="0"/>
        <w:autoSpaceDN w:val="0"/>
        <w:adjustRightInd w:val="0"/>
        <w:rPr>
          <w:rFonts w:eastAsia="Calibri" w:cs="Arial"/>
          <w:bCs/>
          <w:sz w:val="20"/>
          <w:szCs w:val="20"/>
        </w:rPr>
      </w:pPr>
    </w:p>
    <w:p w:rsidR="00320BBF" w:rsidRPr="00B81AAD" w:rsidRDefault="00320BBF" w:rsidP="00320BBF">
      <w:pPr>
        <w:autoSpaceDE w:val="0"/>
        <w:autoSpaceDN w:val="0"/>
        <w:adjustRightInd w:val="0"/>
        <w:rPr>
          <w:rFonts w:eastAsia="Calibri" w:cs="Arial"/>
          <w:bCs/>
          <w:sz w:val="20"/>
          <w:szCs w:val="20"/>
        </w:rPr>
      </w:pPr>
      <w:r w:rsidRPr="00B81AAD">
        <w:rPr>
          <w:rFonts w:eastAsia="Calibri" w:cs="Arial"/>
          <w:bCs/>
          <w:sz w:val="20"/>
          <w:szCs w:val="20"/>
        </w:rPr>
        <w:t xml:space="preserve">FSANZ prepared Proposal P1025 to revise the Code. The Authority considered the Proposal in accordance with Division 2 of Part 3 and has approved a draft revised Code. </w:t>
      </w:r>
    </w:p>
    <w:p w:rsidR="00320BBF" w:rsidRPr="00B81AAD" w:rsidRDefault="00320BBF" w:rsidP="00320BBF">
      <w:pPr>
        <w:autoSpaceDE w:val="0"/>
        <w:autoSpaceDN w:val="0"/>
        <w:adjustRightInd w:val="0"/>
        <w:rPr>
          <w:rFonts w:eastAsia="Calibri" w:cs="Arial"/>
          <w:bCs/>
          <w:sz w:val="20"/>
          <w:szCs w:val="20"/>
        </w:rPr>
      </w:pPr>
    </w:p>
    <w:p w:rsidR="00320BBF" w:rsidRPr="00B81AAD" w:rsidRDefault="00320BBF" w:rsidP="00320BBF">
      <w:pPr>
        <w:autoSpaceDE w:val="0"/>
        <w:autoSpaceDN w:val="0"/>
        <w:adjustRightInd w:val="0"/>
        <w:rPr>
          <w:rFonts w:eastAsia="Calibri" w:cs="Arial"/>
          <w:bCs/>
          <w:sz w:val="20"/>
          <w:szCs w:val="20"/>
        </w:rPr>
      </w:pPr>
      <w:r w:rsidRPr="00B81AAD">
        <w:rPr>
          <w:rFonts w:eastAsia="Calibri" w:cs="Arial"/>
          <w:bCs/>
          <w:sz w:val="20"/>
          <w:szCs w:val="20"/>
        </w:rPr>
        <w:t xml:space="preserve">Following consideration by the </w:t>
      </w:r>
      <w:r w:rsidRPr="00B81AAD">
        <w:rPr>
          <w:rFonts w:eastAsia="Times New Roman" w:cs="Arial"/>
          <w:sz w:val="20"/>
          <w:szCs w:val="20"/>
          <w:lang w:bidi="en-US"/>
        </w:rPr>
        <w:t>Legislative and Governance Forum on Food Regulation</w:t>
      </w:r>
      <w:r w:rsidRPr="00B81AAD">
        <w:rPr>
          <w:rFonts w:eastAsia="Times New Roman" w:cs="Arial"/>
          <w:sz w:val="20"/>
          <w:szCs w:val="20"/>
          <w:vertAlign w:val="superscript"/>
          <w:lang w:bidi="en-US"/>
        </w:rPr>
        <w:footnoteReference w:id="1"/>
      </w:r>
      <w:r w:rsidRPr="00B81AAD">
        <w:rPr>
          <w:rFonts w:eastAsia="Calibri" w:cs="Arial"/>
          <w:bCs/>
          <w:sz w:val="20"/>
          <w:szCs w:val="20"/>
        </w:rPr>
        <w:t xml:space="preserve">, section 92 of the FSANZ Act stipulates that the Authority must publish a notice about the standard or draft variation of a standard. </w:t>
      </w:r>
    </w:p>
    <w:p w:rsidR="00320BBF" w:rsidRPr="00B81AAD" w:rsidRDefault="00320BBF" w:rsidP="00320BBF">
      <w:pPr>
        <w:autoSpaceDE w:val="0"/>
        <w:autoSpaceDN w:val="0"/>
        <w:adjustRightInd w:val="0"/>
        <w:rPr>
          <w:rFonts w:eastAsia="Calibri" w:cs="Arial"/>
          <w:bCs/>
          <w:sz w:val="20"/>
          <w:szCs w:val="20"/>
        </w:rPr>
      </w:pPr>
    </w:p>
    <w:p w:rsidR="00320BBF" w:rsidRPr="00B81AAD" w:rsidRDefault="00320BBF" w:rsidP="00320BBF">
      <w:pPr>
        <w:autoSpaceDE w:val="0"/>
        <w:autoSpaceDN w:val="0"/>
        <w:adjustRightInd w:val="0"/>
        <w:ind w:right="-144"/>
        <w:rPr>
          <w:rFonts w:eastAsia="Calibri" w:cs="Arial"/>
          <w:color w:val="000000"/>
          <w:sz w:val="20"/>
          <w:szCs w:val="20"/>
        </w:rPr>
      </w:pPr>
      <w:r w:rsidRPr="00B81AAD">
        <w:rPr>
          <w:rFonts w:eastAsia="Calibri" w:cs="Arial"/>
          <w:bCs/>
          <w:color w:val="000000"/>
          <w:sz w:val="20"/>
          <w:szCs w:val="20"/>
        </w:rPr>
        <w:t>Section 94 of the FSANZ Act specifies that a</w:t>
      </w:r>
      <w:r w:rsidRPr="00B81AAD">
        <w:rPr>
          <w:rFonts w:eastAsia="Calibri" w:cs="Arial"/>
          <w:color w:val="000000"/>
          <w:sz w:val="20"/>
          <w:szCs w:val="20"/>
        </w:rPr>
        <w:t xml:space="preserve"> standard, or a variation of a standard, in relation to which a notice is published under section 92 is a legislative instrument, but is not subject to parliamentary disallowance or sunsetting under the </w:t>
      </w:r>
      <w:r w:rsidRPr="00B81AAD">
        <w:rPr>
          <w:rFonts w:eastAsia="Calibri" w:cs="Arial"/>
          <w:i/>
          <w:color w:val="000000"/>
          <w:sz w:val="20"/>
          <w:szCs w:val="20"/>
        </w:rPr>
        <w:t>Legislative Instruments Act 2003</w:t>
      </w:r>
      <w:r w:rsidRPr="00B81AAD">
        <w:rPr>
          <w:rFonts w:eastAsia="Calibri" w:cs="Arial"/>
          <w:color w:val="000000"/>
          <w:sz w:val="20"/>
          <w:szCs w:val="20"/>
        </w:rPr>
        <w:t>.</w:t>
      </w:r>
    </w:p>
    <w:p w:rsidR="00320BBF" w:rsidRPr="00B81AAD" w:rsidRDefault="00320BBF" w:rsidP="00320BBF">
      <w:pPr>
        <w:rPr>
          <w:rFonts w:eastAsia="Times New Roman" w:cs="Times New Roman"/>
          <w:sz w:val="20"/>
          <w:szCs w:val="20"/>
          <w:lang w:eastAsia="en-GB"/>
        </w:rPr>
      </w:pPr>
    </w:p>
    <w:p w:rsidR="00320BBF" w:rsidRPr="00B81AAD" w:rsidRDefault="00320BBF" w:rsidP="00320BBF">
      <w:pPr>
        <w:rPr>
          <w:rFonts w:eastAsia="Times New Roman" w:cs="Times New Roman"/>
          <w:b/>
          <w:sz w:val="20"/>
          <w:szCs w:val="20"/>
          <w:lang w:eastAsia="en-GB"/>
        </w:rPr>
      </w:pPr>
      <w:r w:rsidRPr="00B81AAD">
        <w:rPr>
          <w:rFonts w:eastAsia="Times New Roman" w:cs="Times New Roman"/>
          <w:b/>
          <w:sz w:val="20"/>
          <w:szCs w:val="20"/>
          <w:lang w:eastAsia="en-GB"/>
        </w:rPr>
        <w:t>2.</w:t>
      </w:r>
      <w:r w:rsidRPr="00B81AAD">
        <w:rPr>
          <w:rFonts w:eastAsia="Times New Roman" w:cs="Times New Roman"/>
          <w:b/>
          <w:sz w:val="20"/>
          <w:szCs w:val="20"/>
          <w:lang w:eastAsia="en-GB"/>
        </w:rPr>
        <w:tab/>
        <w:t xml:space="preserve">Purpose </w:t>
      </w:r>
    </w:p>
    <w:p w:rsidR="00320BBF" w:rsidRPr="00B81AAD" w:rsidRDefault="00320BBF" w:rsidP="00320BBF">
      <w:pPr>
        <w:rPr>
          <w:rFonts w:eastAsia="Times New Roman" w:cs="Times New Roman"/>
          <w:sz w:val="20"/>
          <w:szCs w:val="20"/>
          <w:lang w:eastAsia="en-GB"/>
        </w:rPr>
      </w:pPr>
    </w:p>
    <w:p w:rsidR="00320BBF" w:rsidRPr="00B81AAD" w:rsidRDefault="00320BBF" w:rsidP="00320BBF">
      <w:pPr>
        <w:rPr>
          <w:rFonts w:eastAsia="Times New Roman" w:cs="Times New Roman"/>
          <w:sz w:val="20"/>
          <w:szCs w:val="20"/>
          <w:lang w:eastAsia="en-GB"/>
        </w:rPr>
      </w:pPr>
      <w:r w:rsidRPr="00B81AAD">
        <w:rPr>
          <w:rFonts w:eastAsia="Times New Roman" w:cs="Times New Roman"/>
          <w:sz w:val="20"/>
          <w:szCs w:val="20"/>
          <w:lang w:eastAsia="en-GB"/>
        </w:rPr>
        <w:t>The Authority has approved variations of Chapters 1 and 2 of the C</w:t>
      </w:r>
      <w:r w:rsidRPr="00B81AAD">
        <w:rPr>
          <w:rFonts w:eastAsia="Times New Roman" w:cs="Times New Roman"/>
          <w:i/>
          <w:sz w:val="20"/>
          <w:szCs w:val="20"/>
          <w:lang w:eastAsia="en-GB"/>
        </w:rPr>
        <w:t>o</w:t>
      </w:r>
      <w:r w:rsidRPr="00B81AAD">
        <w:rPr>
          <w:rFonts w:eastAsia="Times New Roman" w:cs="Times New Roman"/>
          <w:sz w:val="20"/>
          <w:szCs w:val="20"/>
          <w:lang w:eastAsia="en-GB"/>
        </w:rPr>
        <w:t>de.</w:t>
      </w:r>
    </w:p>
    <w:p w:rsidR="00320BBF" w:rsidRPr="00B81AAD" w:rsidRDefault="00320BBF" w:rsidP="00320BBF">
      <w:pPr>
        <w:rPr>
          <w:rFonts w:eastAsia="Times New Roman" w:cs="Times New Roman"/>
          <w:sz w:val="20"/>
          <w:szCs w:val="20"/>
          <w:lang w:eastAsia="en-GB"/>
        </w:rPr>
      </w:pPr>
    </w:p>
    <w:p w:rsidR="00320BBF" w:rsidRPr="00B81AAD" w:rsidRDefault="00320BBF" w:rsidP="00320BBF">
      <w:pPr>
        <w:rPr>
          <w:rFonts w:eastAsia="Times New Roman" w:cs="Times New Roman"/>
          <w:b/>
          <w:sz w:val="20"/>
          <w:szCs w:val="20"/>
          <w:lang w:eastAsia="en-GB"/>
        </w:rPr>
      </w:pPr>
      <w:r w:rsidRPr="00B81AAD">
        <w:rPr>
          <w:rFonts w:eastAsia="Times New Roman" w:cs="Times New Roman"/>
          <w:b/>
          <w:sz w:val="20"/>
          <w:szCs w:val="20"/>
          <w:lang w:eastAsia="en-GB"/>
        </w:rPr>
        <w:t>3.</w:t>
      </w:r>
      <w:r w:rsidRPr="00B81AAD">
        <w:rPr>
          <w:rFonts w:eastAsia="Times New Roman" w:cs="Times New Roman"/>
          <w:b/>
          <w:sz w:val="20"/>
          <w:szCs w:val="20"/>
          <w:lang w:eastAsia="en-GB"/>
        </w:rPr>
        <w:tab/>
        <w:t>Documents incorporated by reference</w:t>
      </w:r>
    </w:p>
    <w:p w:rsidR="00320BBF" w:rsidRPr="00B81AAD" w:rsidRDefault="00320BBF" w:rsidP="00320BBF">
      <w:pPr>
        <w:rPr>
          <w:rFonts w:eastAsia="Times New Roman" w:cs="Times New Roman"/>
          <w:sz w:val="20"/>
          <w:szCs w:val="20"/>
          <w:lang w:eastAsia="en-GB"/>
        </w:rPr>
      </w:pPr>
    </w:p>
    <w:p w:rsidR="00320BBF" w:rsidRPr="00B81AAD" w:rsidRDefault="00320BBF" w:rsidP="00320BBF">
      <w:pPr>
        <w:autoSpaceDE w:val="0"/>
        <w:autoSpaceDN w:val="0"/>
        <w:adjustRightInd w:val="0"/>
        <w:rPr>
          <w:rFonts w:eastAsia="Calibri" w:cs="Arial"/>
          <w:bCs/>
          <w:sz w:val="20"/>
          <w:szCs w:val="20"/>
        </w:rPr>
      </w:pPr>
      <w:r w:rsidRPr="00B81AAD">
        <w:rPr>
          <w:rFonts w:eastAsia="Calibri" w:cs="Arial"/>
          <w:bCs/>
          <w:sz w:val="20"/>
          <w:szCs w:val="20"/>
        </w:rPr>
        <w:t>The variations to food regulatory measures do not incorporate any documents by reference. The variations update some references to documents that are incorporated by reference.</w:t>
      </w:r>
    </w:p>
    <w:p w:rsidR="00320BBF" w:rsidRPr="00B81AAD" w:rsidRDefault="00320BBF" w:rsidP="00320BBF">
      <w:pPr>
        <w:rPr>
          <w:rFonts w:eastAsia="Times New Roman" w:cs="Times New Roman"/>
          <w:sz w:val="20"/>
          <w:szCs w:val="20"/>
          <w:lang w:eastAsia="en-GB"/>
        </w:rPr>
      </w:pPr>
    </w:p>
    <w:p w:rsidR="00320BBF" w:rsidRPr="00B81AAD" w:rsidRDefault="00320BBF" w:rsidP="00320BBF">
      <w:pPr>
        <w:rPr>
          <w:rFonts w:eastAsia="Times New Roman" w:cs="Times New Roman"/>
          <w:b/>
          <w:sz w:val="20"/>
          <w:szCs w:val="20"/>
          <w:lang w:eastAsia="en-GB"/>
        </w:rPr>
      </w:pPr>
      <w:r w:rsidRPr="00B81AAD">
        <w:rPr>
          <w:rFonts w:eastAsia="Times New Roman" w:cs="Times New Roman"/>
          <w:b/>
          <w:sz w:val="20"/>
          <w:szCs w:val="20"/>
          <w:lang w:eastAsia="en-GB"/>
        </w:rPr>
        <w:t>4.</w:t>
      </w:r>
      <w:r w:rsidRPr="00B81AAD">
        <w:rPr>
          <w:rFonts w:eastAsia="Times New Roman" w:cs="Times New Roman"/>
          <w:b/>
          <w:sz w:val="20"/>
          <w:szCs w:val="20"/>
          <w:lang w:eastAsia="en-GB"/>
        </w:rPr>
        <w:tab/>
        <w:t>Consultation</w:t>
      </w:r>
    </w:p>
    <w:p w:rsidR="00320BBF" w:rsidRPr="00B81AAD" w:rsidRDefault="00320BBF" w:rsidP="00320BBF">
      <w:pPr>
        <w:rPr>
          <w:rFonts w:eastAsia="Times New Roman" w:cs="Times New Roman"/>
          <w:sz w:val="20"/>
          <w:szCs w:val="20"/>
          <w:lang w:eastAsia="en-GB"/>
        </w:rPr>
      </w:pPr>
    </w:p>
    <w:p w:rsidR="00320BBF" w:rsidRPr="00B81AAD" w:rsidRDefault="00320BBF" w:rsidP="00320BBF">
      <w:pPr>
        <w:rPr>
          <w:rFonts w:eastAsia="Times New Roman" w:cs="Times New Roman"/>
          <w:sz w:val="20"/>
          <w:szCs w:val="20"/>
          <w:lang w:bidi="en-US"/>
        </w:rPr>
      </w:pPr>
      <w:r w:rsidRPr="00B81AAD">
        <w:rPr>
          <w:rFonts w:eastAsia="Times New Roman" w:cs="Times New Roman"/>
          <w:sz w:val="20"/>
          <w:szCs w:val="20"/>
          <w:lang w:bidi="en-US"/>
        </w:rPr>
        <w:t xml:space="preserve">In accordance with the procedure in Subdivision F of Division 2 of Part 3 of the FSANZ Act, </w:t>
      </w:r>
      <w:r w:rsidRPr="00B81AAD">
        <w:rPr>
          <w:rFonts w:eastAsia="Calibri" w:cs="Arial"/>
          <w:bCs/>
          <w:sz w:val="20"/>
          <w:szCs w:val="20"/>
        </w:rPr>
        <w:t>the Authority</w:t>
      </w:r>
      <w:r w:rsidRPr="00B81AAD">
        <w:rPr>
          <w:rFonts w:eastAsia="Times New Roman" w:cs="Times New Roman"/>
          <w:sz w:val="20"/>
          <w:szCs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B81AAD" w:rsidRDefault="00320BBF" w:rsidP="00320BBF">
      <w:pPr>
        <w:rPr>
          <w:rFonts w:eastAsia="Calibri" w:cs="Times New Roman"/>
          <w:sz w:val="20"/>
          <w:szCs w:val="20"/>
        </w:rPr>
      </w:pPr>
    </w:p>
    <w:p w:rsidR="00320BBF" w:rsidRPr="00B81AAD" w:rsidRDefault="00320BBF" w:rsidP="00320BBF">
      <w:pPr>
        <w:autoSpaceDE w:val="0"/>
        <w:autoSpaceDN w:val="0"/>
        <w:adjustRightInd w:val="0"/>
        <w:rPr>
          <w:rFonts w:eastAsia="Times New Roman" w:cs="Arial"/>
          <w:sz w:val="20"/>
          <w:szCs w:val="20"/>
          <w:lang w:bidi="en-US"/>
        </w:rPr>
      </w:pPr>
      <w:r w:rsidRPr="00B81AAD">
        <w:rPr>
          <w:rFonts w:eastAsia="Calibri" w:cs="Arial"/>
          <w:bCs/>
          <w:sz w:val="20"/>
          <w:szCs w:val="20"/>
        </w:rPr>
        <w:t xml:space="preserve">A Regulation Impact Statement was not required, because the proposed variations to the Code </w:t>
      </w:r>
      <w:r w:rsidRPr="00B81AAD">
        <w:rPr>
          <w:rFonts w:eastAsia="Times New Roman" w:cs="Times New Roman"/>
          <w:sz w:val="20"/>
          <w:szCs w:val="20"/>
          <w:lang w:bidi="en-US"/>
        </w:rPr>
        <w:t xml:space="preserve">are likely to have a minor impact on business and individuals. </w:t>
      </w:r>
    </w:p>
    <w:p w:rsidR="00320BBF" w:rsidRPr="00B81AAD" w:rsidRDefault="00320BBF" w:rsidP="00320BBF">
      <w:pPr>
        <w:rPr>
          <w:rFonts w:eastAsia="Times New Roman" w:cs="Times New Roman"/>
          <w:sz w:val="20"/>
          <w:szCs w:val="20"/>
          <w:lang w:eastAsia="en-GB"/>
        </w:rPr>
      </w:pPr>
    </w:p>
    <w:p w:rsidR="00320BBF" w:rsidRPr="00B81AAD" w:rsidRDefault="00320BBF" w:rsidP="00320BBF">
      <w:pPr>
        <w:keepNext/>
        <w:rPr>
          <w:rFonts w:cs="Arial"/>
          <w:b/>
          <w:bCs/>
          <w:sz w:val="20"/>
          <w:szCs w:val="20"/>
        </w:rPr>
      </w:pPr>
      <w:r w:rsidRPr="00B81AAD">
        <w:rPr>
          <w:rFonts w:cs="Arial"/>
          <w:b/>
          <w:bCs/>
          <w:sz w:val="20"/>
          <w:szCs w:val="20"/>
        </w:rPr>
        <w:t>5.</w:t>
      </w:r>
      <w:r w:rsidRPr="00B81AAD">
        <w:rPr>
          <w:rFonts w:cs="Arial"/>
          <w:b/>
          <w:bCs/>
          <w:sz w:val="20"/>
          <w:szCs w:val="20"/>
        </w:rPr>
        <w:tab/>
        <w:t>Statement of compatibility with human rights</w:t>
      </w:r>
    </w:p>
    <w:p w:rsidR="00320BBF" w:rsidRPr="00B81AAD" w:rsidRDefault="00320BBF" w:rsidP="00320BBF">
      <w:pPr>
        <w:keepNext/>
        <w:rPr>
          <w:rFonts w:cs="Times New Roman"/>
          <w:sz w:val="20"/>
          <w:szCs w:val="20"/>
        </w:rPr>
      </w:pPr>
    </w:p>
    <w:p w:rsidR="00320BBF" w:rsidRPr="00B81AAD" w:rsidRDefault="00320BBF" w:rsidP="00320BBF">
      <w:pPr>
        <w:rPr>
          <w:rFonts w:cs="Times New Roman"/>
          <w:sz w:val="20"/>
          <w:szCs w:val="20"/>
        </w:rPr>
      </w:pPr>
      <w:r w:rsidRPr="00B81AAD">
        <w:rPr>
          <w:rFonts w:cs="Times New Roman"/>
          <w:sz w:val="20"/>
          <w:szCs w:val="20"/>
        </w:rPr>
        <w:t>This instrument is exempt from the requirements for a statement of compatibility with human rights as it is a non-disallowable instrument under section 94 of the FSANZ Act.</w:t>
      </w:r>
    </w:p>
    <w:p w:rsidR="00320BBF" w:rsidRPr="00B81AAD" w:rsidRDefault="00320BBF" w:rsidP="00320BBF">
      <w:pPr>
        <w:rPr>
          <w:rFonts w:cs="Times New Roman"/>
          <w:sz w:val="20"/>
          <w:szCs w:val="20"/>
        </w:rPr>
      </w:pPr>
    </w:p>
    <w:p w:rsidR="0068429C" w:rsidRPr="00B81AAD" w:rsidRDefault="0068429C" w:rsidP="00674C09">
      <w:pPr>
        <w:ind w:left="567" w:hanging="567"/>
        <w:rPr>
          <w:rFonts w:eastAsia="Times New Roman" w:cs="Times New Roman"/>
          <w:b/>
          <w:sz w:val="20"/>
          <w:szCs w:val="20"/>
          <w:lang w:bidi="en-US"/>
        </w:rPr>
      </w:pPr>
      <w:r w:rsidRPr="00B81AAD">
        <w:rPr>
          <w:rFonts w:eastAsia="Times New Roman" w:cs="Times New Roman"/>
          <w:b/>
          <w:sz w:val="20"/>
          <w:szCs w:val="20"/>
          <w:lang w:bidi="en-US"/>
        </w:rPr>
        <w:t>6.</w:t>
      </w:r>
      <w:r w:rsidRPr="00B81AAD">
        <w:rPr>
          <w:rFonts w:eastAsia="Times New Roman" w:cs="Times New Roman"/>
          <w:b/>
          <w:sz w:val="20"/>
          <w:szCs w:val="20"/>
          <w:lang w:bidi="en-US"/>
        </w:rPr>
        <w:tab/>
      </w:r>
      <w:r w:rsidRPr="00B81AAD">
        <w:rPr>
          <w:rFonts w:eastAsia="Times New Roman" w:cs="Times New Roman"/>
          <w:b/>
          <w:sz w:val="20"/>
          <w:szCs w:val="20"/>
          <w:lang w:eastAsia="en-GB"/>
        </w:rPr>
        <w:t>Variation</w:t>
      </w:r>
      <w:bookmarkStart w:id="1" w:name="_Toc346725688"/>
      <w:bookmarkStart w:id="2" w:name="_Toc346798294"/>
      <w:bookmarkStart w:id="3" w:name="_Toc392503874"/>
      <w:r w:rsidRPr="00B81AAD">
        <w:rPr>
          <w:rFonts w:eastAsia="Times New Roman" w:cs="Times New Roman"/>
          <w:b/>
          <w:sz w:val="20"/>
          <w:szCs w:val="20"/>
          <w:lang w:bidi="en-US"/>
        </w:rPr>
        <w:t xml:space="preserve"> (</w:t>
      </w:r>
      <w:r w:rsidR="00674C09" w:rsidRPr="00B81AAD">
        <w:rPr>
          <w:rFonts w:eastAsia="Times New Roman" w:cs="Times New Roman"/>
          <w:b/>
          <w:sz w:val="20"/>
          <w:szCs w:val="20"/>
          <w:lang w:bidi="en-US"/>
        </w:rPr>
        <w:t xml:space="preserve">Chapter 1—Introduction and standards that apply to all foods, </w:t>
      </w:r>
      <w:r w:rsidRPr="00B81AAD">
        <w:rPr>
          <w:rFonts w:eastAsia="Times New Roman" w:cs="Times New Roman"/>
          <w:b/>
          <w:sz w:val="20"/>
          <w:szCs w:val="20"/>
          <w:lang w:bidi="en-US"/>
        </w:rPr>
        <w:t>Part 2—Labelling and other information requirements</w:t>
      </w:r>
      <w:bookmarkEnd w:id="1"/>
      <w:bookmarkEnd w:id="2"/>
      <w:bookmarkEnd w:id="3"/>
      <w:r w:rsidRPr="00B81AAD">
        <w:rPr>
          <w:rFonts w:eastAsia="Times New Roman" w:cs="Times New Roman"/>
          <w:b/>
          <w:sz w:val="20"/>
          <w:szCs w:val="20"/>
          <w:lang w:bidi="en-US"/>
        </w:rPr>
        <w:t>)</w:t>
      </w:r>
    </w:p>
    <w:p w:rsidR="00320BBF" w:rsidRPr="00B81AAD" w:rsidRDefault="00320BBF" w:rsidP="00320BBF">
      <w:pPr>
        <w:rPr>
          <w:rFonts w:eastAsia="Times New Roman" w:cs="Times New Roman"/>
          <w:b/>
          <w:sz w:val="20"/>
          <w:szCs w:val="20"/>
          <w:lang w:bidi="en-US"/>
        </w:rPr>
      </w:pPr>
    </w:p>
    <w:p w:rsidR="0068429C" w:rsidRPr="00B81AAD" w:rsidRDefault="00674C09" w:rsidP="0068429C">
      <w:pPr>
        <w:rPr>
          <w:rFonts w:eastAsia="Times New Roman" w:cs="Times New Roman"/>
          <w:b/>
          <w:i/>
          <w:sz w:val="20"/>
          <w:szCs w:val="20"/>
          <w:lang w:bidi="en-US"/>
        </w:rPr>
      </w:pPr>
      <w:bookmarkStart w:id="4" w:name="_Toc346725710"/>
      <w:bookmarkStart w:id="5" w:name="_Toc346798304"/>
      <w:bookmarkStart w:id="6" w:name="_Toc392503884"/>
      <w:r w:rsidRPr="00B81AAD">
        <w:rPr>
          <w:rFonts w:eastAsia="Times New Roman" w:cs="Times New Roman"/>
          <w:b/>
          <w:i/>
          <w:sz w:val="20"/>
          <w:szCs w:val="20"/>
          <w:lang w:bidi="en-US"/>
        </w:rPr>
        <w:t xml:space="preserve">Standard 1.2.11 – </w:t>
      </w:r>
      <w:r w:rsidR="0068429C" w:rsidRPr="00B81AAD">
        <w:rPr>
          <w:rFonts w:eastAsia="Times New Roman" w:cs="Times New Roman"/>
          <w:b/>
          <w:i/>
          <w:sz w:val="20"/>
          <w:szCs w:val="20"/>
          <w:lang w:bidi="en-US"/>
        </w:rPr>
        <w:t>Country of origin labelling requirements</w:t>
      </w:r>
      <w:bookmarkEnd w:id="4"/>
      <w:bookmarkEnd w:id="5"/>
      <w:bookmarkEnd w:id="6"/>
      <w:r w:rsidR="0068429C" w:rsidRPr="00B81AAD">
        <w:rPr>
          <w:rFonts w:eastAsia="Times New Roman" w:cs="Times New Roman"/>
          <w:b/>
          <w:i/>
          <w:sz w:val="20"/>
          <w:szCs w:val="20"/>
          <w:lang w:bidi="en-US"/>
        </w:rPr>
        <w:t xml:space="preserve"> </w:t>
      </w:r>
    </w:p>
    <w:p w:rsidR="0068429C" w:rsidRPr="00B81AAD" w:rsidRDefault="0068429C" w:rsidP="0068429C">
      <w:pPr>
        <w:ind w:left="567"/>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This Standard applies only in Australia.</w:t>
      </w:r>
    </w:p>
    <w:p w:rsidR="0068429C" w:rsidRPr="00B81AAD" w:rsidRDefault="0068429C" w:rsidP="0068429C">
      <w:pPr>
        <w:rPr>
          <w:rFonts w:eastAsia="Times New Roman" w:cs="Times New Roman"/>
          <w:sz w:val="20"/>
          <w:szCs w:val="20"/>
          <w:lang w:bidi="en-US"/>
        </w:rPr>
      </w:pPr>
    </w:p>
    <w:p w:rsidR="00B81AAD" w:rsidRDefault="00B81AAD" w:rsidP="0068429C">
      <w:pPr>
        <w:rPr>
          <w:rFonts w:eastAsia="Times New Roman" w:cs="Times New Roman"/>
          <w:sz w:val="20"/>
          <w:szCs w:val="20"/>
          <w:lang w:bidi="en-US"/>
        </w:rPr>
      </w:pPr>
      <w:r>
        <w:rPr>
          <w:rFonts w:eastAsia="Times New Roman" w:cs="Times New Roman"/>
          <w:sz w:val="20"/>
          <w:szCs w:val="20"/>
          <w:lang w:bidi="en-US"/>
        </w:rPr>
        <w:br w:type="page"/>
      </w:r>
    </w:p>
    <w:p w:rsidR="0068429C" w:rsidRPr="00B81AAD" w:rsidRDefault="0068429C" w:rsidP="0068429C">
      <w:pPr>
        <w:rPr>
          <w:rFonts w:eastAsia="Times New Roman" w:cs="Times New Roman"/>
          <w:sz w:val="20"/>
          <w:szCs w:val="20"/>
          <w:lang w:bidi="en-US"/>
        </w:rPr>
      </w:pPr>
      <w:r w:rsidRPr="00B81AAD">
        <w:rPr>
          <w:rFonts w:eastAsia="Times New Roman" w:cs="Times New Roman"/>
          <w:sz w:val="20"/>
          <w:szCs w:val="20"/>
          <w:lang w:bidi="en-US"/>
        </w:rPr>
        <w:lastRenderedPageBreak/>
        <w:t>New section 1.2.11—1 Name</w:t>
      </w:r>
    </w:p>
    <w:p w:rsidR="0068429C" w:rsidRPr="00B81AAD" w:rsidRDefault="0068429C" w:rsidP="0068429C">
      <w:pPr>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 xml:space="preserve">This section establishes that the instrument is the </w:t>
      </w:r>
      <w:r w:rsidRPr="00B81AAD">
        <w:rPr>
          <w:rFonts w:eastAsia="Times New Roman" w:cs="Times New Roman"/>
          <w:i/>
          <w:sz w:val="20"/>
          <w:szCs w:val="20"/>
          <w:lang w:bidi="en-US"/>
        </w:rPr>
        <w:t>Australia New Zealand Food Standards Code</w:t>
      </w:r>
      <w:r w:rsidRPr="00B81AAD">
        <w:rPr>
          <w:rFonts w:eastAsia="Times New Roman" w:cs="Times New Roman"/>
          <w:sz w:val="20"/>
          <w:szCs w:val="20"/>
          <w:lang w:bidi="en-US"/>
        </w:rPr>
        <w:t xml:space="preserve"> – Standard 1.2.11 – Country of origin labelling requirements.</w:t>
      </w:r>
    </w:p>
    <w:p w:rsidR="0068429C" w:rsidRPr="00B81AAD" w:rsidRDefault="0068429C" w:rsidP="0068429C">
      <w:pPr>
        <w:rPr>
          <w:rFonts w:eastAsia="Times New Roman" w:cs="Times New Roman"/>
          <w:sz w:val="20"/>
          <w:szCs w:val="20"/>
          <w:lang w:bidi="en-US"/>
        </w:rPr>
      </w:pPr>
    </w:p>
    <w:p w:rsidR="0068429C" w:rsidRPr="00B81AAD" w:rsidRDefault="0068429C" w:rsidP="0068429C">
      <w:pPr>
        <w:rPr>
          <w:rFonts w:eastAsia="Times New Roman" w:cs="Times New Roman"/>
          <w:sz w:val="20"/>
          <w:szCs w:val="20"/>
          <w:lang w:bidi="en-US"/>
        </w:rPr>
      </w:pPr>
      <w:r w:rsidRPr="00B81AAD">
        <w:rPr>
          <w:rFonts w:eastAsia="Times New Roman" w:cs="Times New Roman"/>
          <w:sz w:val="20"/>
          <w:szCs w:val="20"/>
          <w:lang w:bidi="en-US"/>
        </w:rPr>
        <w:t xml:space="preserve">New section 1.2.11—2 Labelling requirements—unpackaged food </w:t>
      </w:r>
    </w:p>
    <w:p w:rsidR="0068429C" w:rsidRPr="00B81AAD" w:rsidRDefault="0068429C" w:rsidP="0068429C">
      <w:pPr>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 xml:space="preserve">New section 1.2.11—2 re-states the current provisions of clause 2(2) of Standard 1.2.11 relating to unpackaged food for sale. The basic requirement to provide country of origin labelling is in paragraph 1.2.1—9. </w:t>
      </w:r>
    </w:p>
    <w:p w:rsidR="0068429C" w:rsidRPr="00B81AAD" w:rsidRDefault="0068429C" w:rsidP="0068429C">
      <w:pPr>
        <w:ind w:left="567"/>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 xml:space="preserve">Subsections (1) and (2) set out, respectively, the foods for which labelling is required and exceptions. Subsection (3) describes the information that is to be provided and subsection (4) sets out the size of type that must be used when providing country of origin information, repeating the content of subclause 2(3) of Standard 1.2.11. </w:t>
      </w:r>
    </w:p>
    <w:p w:rsidR="0068429C" w:rsidRPr="00B81AAD" w:rsidRDefault="0068429C" w:rsidP="0068429C">
      <w:pPr>
        <w:ind w:left="567"/>
        <w:rPr>
          <w:rFonts w:eastAsia="Times New Roman" w:cs="Times New Roman"/>
          <w:sz w:val="20"/>
          <w:szCs w:val="20"/>
          <w:lang w:bidi="en-US"/>
        </w:rPr>
      </w:pPr>
    </w:p>
    <w:p w:rsidR="0068429C" w:rsidRPr="00B81AAD" w:rsidRDefault="0068429C" w:rsidP="0068429C">
      <w:pPr>
        <w:rPr>
          <w:rFonts w:eastAsia="Times New Roman" w:cs="Times New Roman"/>
          <w:sz w:val="20"/>
          <w:szCs w:val="20"/>
          <w:lang w:bidi="en-US"/>
        </w:rPr>
      </w:pPr>
      <w:r w:rsidRPr="00B81AAD">
        <w:rPr>
          <w:rFonts w:eastAsia="Times New Roman" w:cs="Times New Roman"/>
          <w:sz w:val="20"/>
          <w:szCs w:val="20"/>
          <w:lang w:bidi="en-US"/>
        </w:rPr>
        <w:t>New section 1.2.11—3 Labelling requirements</w:t>
      </w:r>
      <w:r w:rsidR="002850A9" w:rsidRPr="00B81AAD">
        <w:rPr>
          <w:rFonts w:eastAsia="Times New Roman" w:cs="Times New Roman"/>
          <w:sz w:val="20"/>
          <w:szCs w:val="20"/>
          <w:lang w:bidi="en-US"/>
        </w:rPr>
        <w:t>—</w:t>
      </w:r>
      <w:r w:rsidR="002850A9">
        <w:rPr>
          <w:rFonts w:eastAsia="Times New Roman" w:cs="Times New Roman"/>
          <w:sz w:val="20"/>
          <w:szCs w:val="20"/>
          <w:lang w:bidi="en-US"/>
        </w:rPr>
        <w:t>p</w:t>
      </w:r>
      <w:r w:rsidRPr="00B81AAD">
        <w:rPr>
          <w:rFonts w:eastAsia="Times New Roman" w:cs="Times New Roman"/>
          <w:sz w:val="20"/>
          <w:szCs w:val="20"/>
          <w:lang w:bidi="en-US"/>
        </w:rPr>
        <w:t xml:space="preserve">ackaged fresh fruit and vegetables </w:t>
      </w:r>
    </w:p>
    <w:p w:rsidR="0068429C" w:rsidRPr="00B81AAD" w:rsidRDefault="0068429C" w:rsidP="0068429C">
      <w:pPr>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 xml:space="preserve">New section 1.2.11—3 re-states the </w:t>
      </w:r>
      <w:r w:rsidR="002850A9">
        <w:rPr>
          <w:rFonts w:eastAsia="Times New Roman" w:cs="Times New Roman"/>
          <w:sz w:val="20"/>
          <w:szCs w:val="20"/>
          <w:lang w:bidi="en-US"/>
        </w:rPr>
        <w:t xml:space="preserve">current </w:t>
      </w:r>
      <w:r w:rsidRPr="00B81AAD">
        <w:rPr>
          <w:rFonts w:eastAsia="Times New Roman" w:cs="Times New Roman"/>
          <w:sz w:val="20"/>
          <w:szCs w:val="20"/>
          <w:lang w:bidi="en-US"/>
        </w:rPr>
        <w:t xml:space="preserve">provisions of subclause 2(2) of Standard 1.2.11 relating to packaged fresh fruit and vegetables. </w:t>
      </w:r>
    </w:p>
    <w:p w:rsidR="0068429C" w:rsidRPr="00B81AAD" w:rsidRDefault="0068429C" w:rsidP="0068429C">
      <w:pPr>
        <w:ind w:left="567"/>
        <w:rPr>
          <w:rFonts w:eastAsia="Times New Roman" w:cs="Times New Roman"/>
          <w:sz w:val="20"/>
          <w:szCs w:val="20"/>
          <w:lang w:bidi="en-US"/>
        </w:rPr>
      </w:pPr>
    </w:p>
    <w:p w:rsidR="0068429C" w:rsidRPr="00B81AAD" w:rsidRDefault="0068429C" w:rsidP="0068429C">
      <w:pPr>
        <w:rPr>
          <w:rFonts w:eastAsia="Times New Roman" w:cs="Times New Roman"/>
          <w:sz w:val="20"/>
          <w:szCs w:val="20"/>
          <w:lang w:bidi="en-US"/>
        </w:rPr>
      </w:pPr>
      <w:r w:rsidRPr="00B81AAD">
        <w:rPr>
          <w:rFonts w:eastAsia="Times New Roman" w:cs="Times New Roman"/>
          <w:sz w:val="20"/>
          <w:szCs w:val="20"/>
          <w:lang w:bidi="en-US"/>
        </w:rPr>
        <w:t xml:space="preserve">New section 1.2.11—4 Labelling requirements—packaged food </w:t>
      </w:r>
      <w:bookmarkStart w:id="7" w:name="_GoBack"/>
      <w:bookmarkEnd w:id="7"/>
      <w:r w:rsidRPr="00B81AAD">
        <w:rPr>
          <w:rFonts w:eastAsia="Times New Roman" w:cs="Times New Roman"/>
          <w:sz w:val="20"/>
          <w:szCs w:val="20"/>
          <w:lang w:bidi="en-US"/>
        </w:rPr>
        <w:t xml:space="preserve">other than fresh fruit and vegetables </w:t>
      </w:r>
    </w:p>
    <w:p w:rsidR="0068429C" w:rsidRPr="00B81AAD" w:rsidRDefault="0068429C" w:rsidP="0068429C">
      <w:pPr>
        <w:rPr>
          <w:rFonts w:eastAsia="Times New Roman" w:cs="Times New Roman"/>
          <w:sz w:val="20"/>
          <w:szCs w:val="20"/>
          <w:lang w:bidi="en-US"/>
        </w:rPr>
      </w:pPr>
    </w:p>
    <w:p w:rsidR="0068429C" w:rsidRPr="00B81AAD" w:rsidRDefault="0068429C" w:rsidP="0068429C">
      <w:pPr>
        <w:ind w:left="567"/>
        <w:rPr>
          <w:rFonts w:eastAsia="Times New Roman" w:cs="Times New Roman"/>
          <w:sz w:val="20"/>
          <w:szCs w:val="20"/>
          <w:lang w:bidi="en-US"/>
        </w:rPr>
      </w:pPr>
      <w:r w:rsidRPr="00B81AAD">
        <w:rPr>
          <w:rFonts w:eastAsia="Times New Roman" w:cs="Times New Roman"/>
          <w:sz w:val="20"/>
          <w:szCs w:val="20"/>
          <w:lang w:bidi="en-US"/>
        </w:rPr>
        <w:t>New section 1.2.11—4 repeats the requirements that are now in subclause 2(1) of Standard 1.2.11.</w:t>
      </w:r>
    </w:p>
    <w:p w:rsidR="00D5526B" w:rsidRPr="00B81AAD" w:rsidRDefault="00D5526B" w:rsidP="00320BBF">
      <w:pPr>
        <w:rPr>
          <w:sz w:val="20"/>
          <w:szCs w:val="20"/>
        </w:rPr>
      </w:pPr>
    </w:p>
    <w:sectPr w:rsidR="00D5526B" w:rsidRPr="00B81AAD"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2850A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850A9"/>
    <w:rsid w:val="00320BBF"/>
    <w:rsid w:val="0033021F"/>
    <w:rsid w:val="00341D25"/>
    <w:rsid w:val="00404702"/>
    <w:rsid w:val="00441D77"/>
    <w:rsid w:val="00443F05"/>
    <w:rsid w:val="00486619"/>
    <w:rsid w:val="004D3868"/>
    <w:rsid w:val="004E6694"/>
    <w:rsid w:val="0054036E"/>
    <w:rsid w:val="005B578D"/>
    <w:rsid w:val="005C1996"/>
    <w:rsid w:val="00674C09"/>
    <w:rsid w:val="0068429C"/>
    <w:rsid w:val="006B6900"/>
    <w:rsid w:val="006D473E"/>
    <w:rsid w:val="006E62ED"/>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81AAD"/>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F0FB-CC06-4F90-915E-F9BC7BD5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7</cp:revision>
  <dcterms:created xsi:type="dcterms:W3CDTF">2014-12-16T00:14:00Z</dcterms:created>
  <dcterms:modified xsi:type="dcterms:W3CDTF">2015-02-16T22:48:00Z</dcterms:modified>
</cp:coreProperties>
</file>