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BD5F64" w:rsidRDefault="00320BBF" w:rsidP="00BD5F64">
      <w:pPr>
        <w:keepNext/>
        <w:outlineLvl w:val="1"/>
        <w:rPr>
          <w:rFonts w:eastAsiaTheme="majorEastAsia" w:cs="Arial"/>
          <w:b/>
          <w:bCs/>
          <w:sz w:val="24"/>
          <w:szCs w:val="24"/>
          <w:lang w:bidi="en-US"/>
        </w:rPr>
      </w:pPr>
      <w:bookmarkStart w:id="0" w:name="_Toc403730322"/>
      <w:r w:rsidRPr="00BD5F64">
        <w:rPr>
          <w:rFonts w:eastAsiaTheme="majorEastAsia" w:cs="Arial"/>
          <w:b/>
          <w:bCs/>
          <w:sz w:val="24"/>
          <w:szCs w:val="24"/>
          <w:lang w:bidi="en-US"/>
        </w:rPr>
        <w:t>Explanatory Statement</w:t>
      </w:r>
      <w:bookmarkEnd w:id="0"/>
    </w:p>
    <w:p w:rsidR="00BD5F64" w:rsidRPr="00BD5F64" w:rsidRDefault="00BD5F64" w:rsidP="00320BBF">
      <w:pPr>
        <w:rPr>
          <w:rFonts w:eastAsia="Times New Roman" w:cs="Times New Roman"/>
          <w:b/>
          <w:szCs w:val="20"/>
          <w:lang w:eastAsia="en-GB"/>
        </w:rPr>
      </w:pPr>
    </w:p>
    <w:p w:rsidR="00320BBF" w:rsidRPr="00BD5F64" w:rsidRDefault="00320BBF" w:rsidP="00320BBF">
      <w:pPr>
        <w:rPr>
          <w:rFonts w:eastAsia="Times New Roman" w:cs="Times New Roman"/>
          <w:b/>
          <w:szCs w:val="20"/>
          <w:lang w:eastAsia="en-GB"/>
        </w:rPr>
      </w:pPr>
      <w:r w:rsidRPr="00BD5F64">
        <w:rPr>
          <w:rFonts w:eastAsia="Times New Roman" w:cs="Times New Roman"/>
          <w:b/>
          <w:szCs w:val="20"/>
          <w:lang w:eastAsia="en-GB"/>
        </w:rPr>
        <w:t>1.</w:t>
      </w:r>
      <w:r w:rsidRPr="00BD5F64">
        <w:rPr>
          <w:rFonts w:eastAsia="Times New Roman" w:cs="Times New Roman"/>
          <w:b/>
          <w:szCs w:val="20"/>
          <w:lang w:eastAsia="en-GB"/>
        </w:rPr>
        <w:tab/>
        <w:t>Authority</w:t>
      </w:r>
    </w:p>
    <w:p w:rsidR="00320BBF" w:rsidRPr="00BD5F64" w:rsidRDefault="00320BBF" w:rsidP="00320BBF">
      <w:pPr>
        <w:rPr>
          <w:rFonts w:eastAsia="Times New Roman" w:cs="Times New Roman"/>
          <w:szCs w:val="20"/>
          <w:lang w:eastAsia="en-GB"/>
        </w:rPr>
      </w:pPr>
    </w:p>
    <w:p w:rsidR="00320BBF" w:rsidRPr="00BD5F64" w:rsidRDefault="00320BBF" w:rsidP="00320BBF">
      <w:pPr>
        <w:autoSpaceDE w:val="0"/>
        <w:autoSpaceDN w:val="0"/>
        <w:adjustRightInd w:val="0"/>
        <w:rPr>
          <w:rFonts w:eastAsia="Calibri" w:cs="Arial"/>
          <w:bCs/>
          <w:szCs w:val="20"/>
        </w:rPr>
      </w:pPr>
      <w:r w:rsidRPr="00BD5F64">
        <w:rPr>
          <w:rFonts w:eastAsia="Calibri" w:cs="Arial"/>
          <w:bCs/>
          <w:szCs w:val="20"/>
        </w:rPr>
        <w:t xml:space="preserve">Section 13 of the </w:t>
      </w:r>
      <w:r w:rsidRPr="00BD5F64">
        <w:rPr>
          <w:rFonts w:eastAsia="Calibri" w:cs="Arial"/>
          <w:bCs/>
          <w:i/>
          <w:szCs w:val="20"/>
        </w:rPr>
        <w:t>Food Standards Australia New Zealand Act 1991</w:t>
      </w:r>
      <w:r w:rsidRPr="00BD5F64">
        <w:rPr>
          <w:rFonts w:eastAsia="Calibri" w:cs="Arial"/>
          <w:bCs/>
          <w:szCs w:val="20"/>
        </w:rPr>
        <w:t xml:space="preserve"> (the FSANZ Act) provides that the functions of Food Standards Australia New Zealand (the Authority) include the development of standards and variations of standards for inclusion in the </w:t>
      </w:r>
      <w:r w:rsidRPr="00BD5F64">
        <w:rPr>
          <w:rFonts w:eastAsia="Calibri" w:cs="Arial"/>
          <w:bCs/>
          <w:i/>
          <w:szCs w:val="20"/>
        </w:rPr>
        <w:t>Australia New Zealand Food Standards Code</w:t>
      </w:r>
      <w:r w:rsidRPr="00BD5F64">
        <w:rPr>
          <w:rFonts w:eastAsia="Calibri" w:cs="Arial"/>
          <w:bCs/>
          <w:szCs w:val="20"/>
        </w:rPr>
        <w:t xml:space="preserve"> (the Code).</w:t>
      </w:r>
    </w:p>
    <w:p w:rsidR="00320BBF" w:rsidRPr="00BD5F64" w:rsidRDefault="00320BBF" w:rsidP="00320BBF">
      <w:pPr>
        <w:autoSpaceDE w:val="0"/>
        <w:autoSpaceDN w:val="0"/>
        <w:adjustRightInd w:val="0"/>
        <w:rPr>
          <w:rFonts w:eastAsia="Calibri" w:cs="Arial"/>
          <w:bCs/>
          <w:szCs w:val="20"/>
        </w:rPr>
      </w:pPr>
    </w:p>
    <w:p w:rsidR="00320BBF" w:rsidRPr="00BD5F64" w:rsidRDefault="00320BBF" w:rsidP="00CD366B">
      <w:pPr>
        <w:autoSpaceDE w:val="0"/>
        <w:autoSpaceDN w:val="0"/>
        <w:adjustRightInd w:val="0"/>
        <w:ind w:right="-428"/>
        <w:rPr>
          <w:rFonts w:eastAsia="Calibri" w:cs="Arial"/>
          <w:bCs/>
          <w:szCs w:val="20"/>
        </w:rPr>
      </w:pPr>
      <w:r w:rsidRPr="00BD5F64">
        <w:rPr>
          <w:rFonts w:eastAsia="Calibri" w:cs="Arial"/>
          <w:bCs/>
          <w:szCs w:val="20"/>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BD5F64" w:rsidRDefault="00320BBF" w:rsidP="00320BBF">
      <w:pPr>
        <w:autoSpaceDE w:val="0"/>
        <w:autoSpaceDN w:val="0"/>
        <w:adjustRightInd w:val="0"/>
        <w:rPr>
          <w:rFonts w:eastAsia="Calibri" w:cs="Arial"/>
          <w:bCs/>
          <w:szCs w:val="20"/>
        </w:rPr>
      </w:pPr>
    </w:p>
    <w:p w:rsidR="00320BBF" w:rsidRPr="00BD5F64" w:rsidRDefault="00320BBF" w:rsidP="00320BBF">
      <w:pPr>
        <w:autoSpaceDE w:val="0"/>
        <w:autoSpaceDN w:val="0"/>
        <w:adjustRightInd w:val="0"/>
        <w:rPr>
          <w:rFonts w:eastAsia="Calibri" w:cs="Arial"/>
          <w:bCs/>
          <w:szCs w:val="20"/>
        </w:rPr>
      </w:pPr>
      <w:r w:rsidRPr="00BD5F64">
        <w:rPr>
          <w:rFonts w:eastAsia="Calibri" w:cs="Arial"/>
          <w:bCs/>
          <w:szCs w:val="20"/>
        </w:rPr>
        <w:t xml:space="preserve">FSANZ prepared Proposal P1025 to revise the Code. The Authority considered the Proposal in accordance with Division 2 of Part 3 and has approved a draft revised Code. </w:t>
      </w:r>
    </w:p>
    <w:p w:rsidR="00320BBF" w:rsidRPr="00BD5F64" w:rsidRDefault="00320BBF" w:rsidP="00320BBF">
      <w:pPr>
        <w:autoSpaceDE w:val="0"/>
        <w:autoSpaceDN w:val="0"/>
        <w:adjustRightInd w:val="0"/>
        <w:rPr>
          <w:rFonts w:eastAsia="Calibri" w:cs="Arial"/>
          <w:bCs/>
          <w:szCs w:val="20"/>
        </w:rPr>
      </w:pPr>
    </w:p>
    <w:p w:rsidR="00320BBF" w:rsidRPr="00BD5F64" w:rsidRDefault="00320BBF" w:rsidP="00320BBF">
      <w:pPr>
        <w:autoSpaceDE w:val="0"/>
        <w:autoSpaceDN w:val="0"/>
        <w:adjustRightInd w:val="0"/>
        <w:rPr>
          <w:rFonts w:eastAsia="Calibri" w:cs="Arial"/>
          <w:bCs/>
          <w:szCs w:val="20"/>
        </w:rPr>
      </w:pPr>
      <w:r w:rsidRPr="00BD5F64">
        <w:rPr>
          <w:rFonts w:eastAsia="Calibri" w:cs="Arial"/>
          <w:bCs/>
          <w:szCs w:val="20"/>
        </w:rPr>
        <w:t xml:space="preserve">Following consideration by the </w:t>
      </w:r>
      <w:r w:rsidRPr="00BD5F64">
        <w:rPr>
          <w:rFonts w:eastAsia="Times New Roman" w:cs="Arial"/>
          <w:szCs w:val="20"/>
          <w:lang w:bidi="en-US"/>
        </w:rPr>
        <w:t>Legislative and Governance Forum on Food Regulation</w:t>
      </w:r>
      <w:r w:rsidRPr="00BD5F64">
        <w:rPr>
          <w:rFonts w:eastAsia="Times New Roman" w:cs="Arial"/>
          <w:szCs w:val="20"/>
          <w:vertAlign w:val="superscript"/>
          <w:lang w:bidi="en-US"/>
        </w:rPr>
        <w:footnoteReference w:id="1"/>
      </w:r>
      <w:r w:rsidRPr="00BD5F64">
        <w:rPr>
          <w:rFonts w:eastAsia="Calibri" w:cs="Arial"/>
          <w:bCs/>
          <w:szCs w:val="20"/>
        </w:rPr>
        <w:t xml:space="preserve">, section 92 of the FSANZ Act stipulates that the Authority must publish a notice about the standard or draft variation of a standard. </w:t>
      </w:r>
    </w:p>
    <w:p w:rsidR="00320BBF" w:rsidRPr="00BD5F64" w:rsidRDefault="00320BBF" w:rsidP="00320BBF">
      <w:pPr>
        <w:autoSpaceDE w:val="0"/>
        <w:autoSpaceDN w:val="0"/>
        <w:adjustRightInd w:val="0"/>
        <w:rPr>
          <w:rFonts w:eastAsia="Calibri" w:cs="Arial"/>
          <w:bCs/>
          <w:szCs w:val="20"/>
        </w:rPr>
      </w:pPr>
    </w:p>
    <w:p w:rsidR="00320BBF" w:rsidRPr="00BD5F64" w:rsidRDefault="00320BBF" w:rsidP="00320BBF">
      <w:pPr>
        <w:autoSpaceDE w:val="0"/>
        <w:autoSpaceDN w:val="0"/>
        <w:adjustRightInd w:val="0"/>
        <w:ind w:right="-144"/>
        <w:rPr>
          <w:rFonts w:eastAsia="Calibri" w:cs="Arial"/>
          <w:color w:val="000000"/>
          <w:szCs w:val="20"/>
        </w:rPr>
      </w:pPr>
      <w:r w:rsidRPr="00BD5F64">
        <w:rPr>
          <w:rFonts w:eastAsia="Calibri" w:cs="Arial"/>
          <w:bCs/>
          <w:color w:val="000000"/>
          <w:szCs w:val="20"/>
        </w:rPr>
        <w:t>Section 94 of the FSANZ Act specifies that a</w:t>
      </w:r>
      <w:r w:rsidRPr="00BD5F64">
        <w:rPr>
          <w:rFonts w:eastAsia="Calibri" w:cs="Arial"/>
          <w:color w:val="000000"/>
          <w:szCs w:val="20"/>
        </w:rPr>
        <w:t xml:space="preserve"> standard, or a variation of a standard, in relation to which a notice is published under section 92 is a legislative instrument, but is not subject to parliamentary disallowance or sunsetting under the </w:t>
      </w:r>
      <w:r w:rsidRPr="00BD5F64">
        <w:rPr>
          <w:rFonts w:eastAsia="Calibri" w:cs="Arial"/>
          <w:i/>
          <w:color w:val="000000"/>
          <w:szCs w:val="20"/>
        </w:rPr>
        <w:t>Legislative Instruments Act 2003</w:t>
      </w:r>
      <w:r w:rsidRPr="00BD5F64">
        <w:rPr>
          <w:rFonts w:eastAsia="Calibri" w:cs="Arial"/>
          <w:color w:val="000000"/>
          <w:szCs w:val="20"/>
        </w:rPr>
        <w:t>.</w:t>
      </w:r>
    </w:p>
    <w:p w:rsidR="00320BBF" w:rsidRPr="00BD5F64" w:rsidRDefault="00320BBF" w:rsidP="00320BBF">
      <w:pPr>
        <w:rPr>
          <w:rFonts w:eastAsia="Times New Roman" w:cs="Times New Roman"/>
          <w:szCs w:val="20"/>
          <w:lang w:eastAsia="en-GB"/>
        </w:rPr>
      </w:pPr>
    </w:p>
    <w:p w:rsidR="00320BBF" w:rsidRPr="00BD5F64" w:rsidRDefault="00320BBF" w:rsidP="00320BBF">
      <w:pPr>
        <w:rPr>
          <w:rFonts w:eastAsia="Times New Roman" w:cs="Times New Roman"/>
          <w:b/>
          <w:szCs w:val="20"/>
          <w:lang w:eastAsia="en-GB"/>
        </w:rPr>
      </w:pPr>
      <w:r w:rsidRPr="00BD5F64">
        <w:rPr>
          <w:rFonts w:eastAsia="Times New Roman" w:cs="Times New Roman"/>
          <w:b/>
          <w:szCs w:val="20"/>
          <w:lang w:eastAsia="en-GB"/>
        </w:rPr>
        <w:t>2.</w:t>
      </w:r>
      <w:r w:rsidRPr="00BD5F64">
        <w:rPr>
          <w:rFonts w:eastAsia="Times New Roman" w:cs="Times New Roman"/>
          <w:b/>
          <w:szCs w:val="20"/>
          <w:lang w:eastAsia="en-GB"/>
        </w:rPr>
        <w:tab/>
        <w:t xml:space="preserve">Purpose </w:t>
      </w:r>
    </w:p>
    <w:p w:rsidR="00320BBF" w:rsidRPr="00BD5F64" w:rsidRDefault="00320BBF" w:rsidP="00320BBF">
      <w:pPr>
        <w:rPr>
          <w:rFonts w:eastAsia="Times New Roman" w:cs="Times New Roman"/>
          <w:szCs w:val="20"/>
          <w:lang w:eastAsia="en-GB"/>
        </w:rPr>
      </w:pPr>
    </w:p>
    <w:p w:rsidR="00320BBF" w:rsidRPr="00BD5F64" w:rsidRDefault="00320BBF" w:rsidP="00320BBF">
      <w:pPr>
        <w:rPr>
          <w:rFonts w:eastAsia="Times New Roman" w:cs="Times New Roman"/>
          <w:szCs w:val="20"/>
          <w:lang w:eastAsia="en-GB"/>
        </w:rPr>
      </w:pPr>
      <w:r w:rsidRPr="00BD5F64">
        <w:rPr>
          <w:rFonts w:eastAsia="Times New Roman" w:cs="Times New Roman"/>
          <w:szCs w:val="20"/>
          <w:lang w:eastAsia="en-GB"/>
        </w:rPr>
        <w:t>The Authority has approved variations of Chapters 1 and 2 of the C</w:t>
      </w:r>
      <w:r w:rsidRPr="00BD5F64">
        <w:rPr>
          <w:rFonts w:eastAsia="Times New Roman" w:cs="Times New Roman"/>
          <w:i/>
          <w:szCs w:val="20"/>
          <w:lang w:eastAsia="en-GB"/>
        </w:rPr>
        <w:t>o</w:t>
      </w:r>
      <w:r w:rsidRPr="00BD5F64">
        <w:rPr>
          <w:rFonts w:eastAsia="Times New Roman" w:cs="Times New Roman"/>
          <w:szCs w:val="20"/>
          <w:lang w:eastAsia="en-GB"/>
        </w:rPr>
        <w:t>de.</w:t>
      </w:r>
    </w:p>
    <w:p w:rsidR="00320BBF" w:rsidRPr="00BD5F64" w:rsidRDefault="00320BBF" w:rsidP="00320BBF">
      <w:pPr>
        <w:rPr>
          <w:rFonts w:eastAsia="Times New Roman" w:cs="Times New Roman"/>
          <w:szCs w:val="20"/>
          <w:lang w:eastAsia="en-GB"/>
        </w:rPr>
      </w:pPr>
    </w:p>
    <w:p w:rsidR="00320BBF" w:rsidRPr="00BD5F64" w:rsidRDefault="00320BBF" w:rsidP="00320BBF">
      <w:pPr>
        <w:rPr>
          <w:rFonts w:eastAsia="Times New Roman" w:cs="Times New Roman"/>
          <w:b/>
          <w:szCs w:val="20"/>
          <w:lang w:eastAsia="en-GB"/>
        </w:rPr>
      </w:pPr>
      <w:r w:rsidRPr="00BD5F64">
        <w:rPr>
          <w:rFonts w:eastAsia="Times New Roman" w:cs="Times New Roman"/>
          <w:b/>
          <w:szCs w:val="20"/>
          <w:lang w:eastAsia="en-GB"/>
        </w:rPr>
        <w:t>3.</w:t>
      </w:r>
      <w:r w:rsidRPr="00BD5F64">
        <w:rPr>
          <w:rFonts w:eastAsia="Times New Roman" w:cs="Times New Roman"/>
          <w:b/>
          <w:szCs w:val="20"/>
          <w:lang w:eastAsia="en-GB"/>
        </w:rPr>
        <w:tab/>
        <w:t>Documents incorporated by reference</w:t>
      </w:r>
    </w:p>
    <w:p w:rsidR="00320BBF" w:rsidRPr="00BD5F64" w:rsidRDefault="00320BBF" w:rsidP="00320BBF">
      <w:pPr>
        <w:rPr>
          <w:rFonts w:eastAsia="Times New Roman" w:cs="Times New Roman"/>
          <w:szCs w:val="20"/>
          <w:lang w:eastAsia="en-GB"/>
        </w:rPr>
      </w:pPr>
    </w:p>
    <w:p w:rsidR="00320BBF" w:rsidRPr="00BD5F64" w:rsidRDefault="00320BBF" w:rsidP="00320BBF">
      <w:pPr>
        <w:autoSpaceDE w:val="0"/>
        <w:autoSpaceDN w:val="0"/>
        <w:adjustRightInd w:val="0"/>
        <w:rPr>
          <w:rFonts w:eastAsia="Calibri" w:cs="Arial"/>
          <w:bCs/>
          <w:szCs w:val="20"/>
        </w:rPr>
      </w:pPr>
      <w:r w:rsidRPr="00BD5F64">
        <w:rPr>
          <w:rFonts w:eastAsia="Calibri" w:cs="Arial"/>
          <w:bCs/>
          <w:szCs w:val="20"/>
        </w:rPr>
        <w:t>The variations to food regulatory measures do not incorporate any documents by reference. The variations update some references to documents that are incorporated by reference.</w:t>
      </w:r>
    </w:p>
    <w:p w:rsidR="00320BBF" w:rsidRPr="00BD5F64" w:rsidRDefault="00320BBF" w:rsidP="00320BBF">
      <w:pPr>
        <w:rPr>
          <w:rFonts w:eastAsia="Times New Roman" w:cs="Times New Roman"/>
          <w:szCs w:val="20"/>
          <w:lang w:eastAsia="en-GB"/>
        </w:rPr>
      </w:pPr>
    </w:p>
    <w:p w:rsidR="00320BBF" w:rsidRPr="00BD5F64" w:rsidRDefault="00320BBF" w:rsidP="00320BBF">
      <w:pPr>
        <w:rPr>
          <w:rFonts w:eastAsia="Times New Roman" w:cs="Times New Roman"/>
          <w:b/>
          <w:szCs w:val="20"/>
          <w:lang w:eastAsia="en-GB"/>
        </w:rPr>
      </w:pPr>
      <w:r w:rsidRPr="00BD5F64">
        <w:rPr>
          <w:rFonts w:eastAsia="Times New Roman" w:cs="Times New Roman"/>
          <w:b/>
          <w:szCs w:val="20"/>
          <w:lang w:eastAsia="en-GB"/>
        </w:rPr>
        <w:t>4.</w:t>
      </w:r>
      <w:r w:rsidRPr="00BD5F64">
        <w:rPr>
          <w:rFonts w:eastAsia="Times New Roman" w:cs="Times New Roman"/>
          <w:b/>
          <w:szCs w:val="20"/>
          <w:lang w:eastAsia="en-GB"/>
        </w:rPr>
        <w:tab/>
        <w:t>Consultation</w:t>
      </w:r>
    </w:p>
    <w:p w:rsidR="00320BBF" w:rsidRPr="00BD5F64" w:rsidRDefault="00320BBF" w:rsidP="00320BBF">
      <w:pPr>
        <w:rPr>
          <w:rFonts w:eastAsia="Times New Roman" w:cs="Times New Roman"/>
          <w:szCs w:val="20"/>
          <w:lang w:eastAsia="en-GB"/>
        </w:rPr>
      </w:pPr>
    </w:p>
    <w:p w:rsidR="00320BBF" w:rsidRPr="00BD5F64" w:rsidRDefault="00320BBF" w:rsidP="00320BBF">
      <w:pPr>
        <w:rPr>
          <w:rFonts w:eastAsia="Times New Roman" w:cs="Times New Roman"/>
          <w:szCs w:val="20"/>
          <w:lang w:bidi="en-US"/>
        </w:rPr>
      </w:pPr>
      <w:r w:rsidRPr="00BD5F64">
        <w:rPr>
          <w:rFonts w:eastAsia="Times New Roman" w:cs="Times New Roman"/>
          <w:szCs w:val="20"/>
          <w:lang w:bidi="en-US"/>
        </w:rPr>
        <w:t xml:space="preserve">In accordance with the procedure in Subdivision F of Division 2 of Part 3 of the FSANZ Act, </w:t>
      </w:r>
      <w:r w:rsidRPr="00BD5F64">
        <w:rPr>
          <w:rFonts w:eastAsia="Calibri" w:cs="Arial"/>
          <w:bCs/>
          <w:szCs w:val="20"/>
        </w:rPr>
        <w:t>the Authority</w:t>
      </w:r>
      <w:r w:rsidRPr="00BD5F64">
        <w:rPr>
          <w:rFonts w:eastAsia="Times New Roman" w:cs="Times New Roman"/>
          <w:szCs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BD5F64" w:rsidRDefault="00320BBF" w:rsidP="00320BBF">
      <w:pPr>
        <w:rPr>
          <w:rFonts w:eastAsia="Calibri" w:cs="Times New Roman"/>
          <w:szCs w:val="20"/>
        </w:rPr>
      </w:pPr>
    </w:p>
    <w:p w:rsidR="00320BBF" w:rsidRPr="00BD5F64" w:rsidRDefault="00320BBF" w:rsidP="00320BBF">
      <w:pPr>
        <w:autoSpaceDE w:val="0"/>
        <w:autoSpaceDN w:val="0"/>
        <w:adjustRightInd w:val="0"/>
        <w:rPr>
          <w:rFonts w:eastAsia="Times New Roman" w:cs="Arial"/>
          <w:szCs w:val="20"/>
          <w:lang w:bidi="en-US"/>
        </w:rPr>
      </w:pPr>
      <w:r w:rsidRPr="00BD5F64">
        <w:rPr>
          <w:rFonts w:eastAsia="Calibri" w:cs="Arial"/>
          <w:bCs/>
          <w:szCs w:val="20"/>
        </w:rPr>
        <w:t xml:space="preserve">A Regulation Impact Statement was not required, because the proposed variations to the Code </w:t>
      </w:r>
      <w:r w:rsidRPr="00BD5F64">
        <w:rPr>
          <w:rFonts w:eastAsia="Times New Roman" w:cs="Times New Roman"/>
          <w:szCs w:val="20"/>
          <w:lang w:bidi="en-US"/>
        </w:rPr>
        <w:t xml:space="preserve">are likely to have a minor impact on business and individuals. </w:t>
      </w:r>
    </w:p>
    <w:p w:rsidR="00320BBF" w:rsidRPr="00BD5F64" w:rsidRDefault="00320BBF" w:rsidP="00320BBF">
      <w:pPr>
        <w:rPr>
          <w:rFonts w:eastAsia="Times New Roman" w:cs="Times New Roman"/>
          <w:szCs w:val="20"/>
          <w:lang w:eastAsia="en-GB"/>
        </w:rPr>
      </w:pPr>
    </w:p>
    <w:p w:rsidR="00320BBF" w:rsidRPr="00BD5F64" w:rsidRDefault="00320BBF" w:rsidP="00320BBF">
      <w:pPr>
        <w:keepNext/>
        <w:rPr>
          <w:rFonts w:cs="Arial"/>
          <w:b/>
          <w:bCs/>
          <w:szCs w:val="20"/>
        </w:rPr>
      </w:pPr>
      <w:r w:rsidRPr="00BD5F64">
        <w:rPr>
          <w:rFonts w:cs="Arial"/>
          <w:b/>
          <w:bCs/>
          <w:szCs w:val="20"/>
        </w:rPr>
        <w:t>5.</w:t>
      </w:r>
      <w:r w:rsidRPr="00BD5F64">
        <w:rPr>
          <w:rFonts w:cs="Arial"/>
          <w:b/>
          <w:bCs/>
          <w:szCs w:val="20"/>
        </w:rPr>
        <w:tab/>
        <w:t>Statement of compatibility with human rights</w:t>
      </w:r>
    </w:p>
    <w:p w:rsidR="00320BBF" w:rsidRPr="00BD5F64" w:rsidRDefault="00320BBF" w:rsidP="00320BBF">
      <w:pPr>
        <w:keepNext/>
        <w:rPr>
          <w:rFonts w:cs="Times New Roman"/>
          <w:szCs w:val="20"/>
        </w:rPr>
      </w:pPr>
    </w:p>
    <w:p w:rsidR="00320BBF" w:rsidRPr="00BD5F64" w:rsidRDefault="00320BBF" w:rsidP="00320BBF">
      <w:pPr>
        <w:rPr>
          <w:rFonts w:cs="Times New Roman"/>
          <w:szCs w:val="20"/>
        </w:rPr>
      </w:pPr>
      <w:r w:rsidRPr="00BD5F64">
        <w:rPr>
          <w:rFonts w:cs="Times New Roman"/>
          <w:szCs w:val="20"/>
        </w:rPr>
        <w:t>This instrument is exempt from the requirements for a statement of compatibility with human rights as it is a non-disallowable instrument under section 94 of the FSANZ Act.</w:t>
      </w:r>
    </w:p>
    <w:p w:rsidR="00320BBF" w:rsidRPr="00BD5F64" w:rsidRDefault="00320BBF" w:rsidP="00320BBF">
      <w:pPr>
        <w:rPr>
          <w:rFonts w:cs="Times New Roman"/>
          <w:szCs w:val="20"/>
        </w:rPr>
      </w:pPr>
    </w:p>
    <w:p w:rsidR="00CD366B" w:rsidRDefault="00CD366B" w:rsidP="004B30B1">
      <w:pPr>
        <w:ind w:left="567" w:hanging="567"/>
        <w:rPr>
          <w:rFonts w:eastAsia="Times New Roman" w:cs="Times New Roman"/>
          <w:b/>
          <w:szCs w:val="20"/>
          <w:lang w:bidi="en-US"/>
        </w:rPr>
      </w:pPr>
      <w:r>
        <w:rPr>
          <w:rFonts w:eastAsia="Times New Roman" w:cs="Times New Roman"/>
          <w:b/>
          <w:szCs w:val="20"/>
          <w:lang w:bidi="en-US"/>
        </w:rPr>
        <w:br w:type="page"/>
      </w:r>
    </w:p>
    <w:p w:rsidR="0015283F" w:rsidRPr="00BD5F64" w:rsidRDefault="0015283F" w:rsidP="004B30B1">
      <w:pPr>
        <w:ind w:left="567" w:hanging="567"/>
        <w:rPr>
          <w:rFonts w:eastAsia="Times New Roman" w:cs="Times New Roman"/>
          <w:b/>
          <w:szCs w:val="20"/>
          <w:lang w:bidi="en-US"/>
        </w:rPr>
      </w:pPr>
      <w:r w:rsidRPr="00BD5F64">
        <w:rPr>
          <w:rFonts w:eastAsia="Times New Roman" w:cs="Times New Roman"/>
          <w:b/>
          <w:szCs w:val="20"/>
          <w:lang w:bidi="en-US"/>
        </w:rPr>
        <w:lastRenderedPageBreak/>
        <w:t>6.</w:t>
      </w:r>
      <w:r w:rsidRPr="00BD5F64">
        <w:rPr>
          <w:rFonts w:eastAsia="Times New Roman" w:cs="Times New Roman"/>
          <w:b/>
          <w:szCs w:val="20"/>
          <w:lang w:bidi="en-US"/>
        </w:rPr>
        <w:tab/>
      </w:r>
      <w:r w:rsidRPr="00BD5F64">
        <w:rPr>
          <w:rFonts w:eastAsia="Times New Roman" w:cs="Times New Roman"/>
          <w:b/>
          <w:szCs w:val="20"/>
          <w:lang w:eastAsia="en-GB"/>
        </w:rPr>
        <w:t>Variation</w:t>
      </w:r>
      <w:bookmarkStart w:id="1" w:name="_Toc346725688"/>
      <w:bookmarkStart w:id="2" w:name="_Toc346798294"/>
      <w:bookmarkStart w:id="3" w:name="_Toc392503874"/>
      <w:r w:rsidR="004B30B1" w:rsidRPr="00BD5F64">
        <w:rPr>
          <w:rFonts w:eastAsia="Times New Roman" w:cs="Times New Roman"/>
          <w:b/>
          <w:szCs w:val="20"/>
          <w:lang w:bidi="en-US"/>
        </w:rPr>
        <w:t xml:space="preserve"> (Chapter 1—Introduction and standards that apply to all foods, P</w:t>
      </w:r>
      <w:r w:rsidRPr="00BD5F64">
        <w:rPr>
          <w:rFonts w:eastAsia="Times New Roman" w:cs="Times New Roman"/>
          <w:b/>
          <w:szCs w:val="20"/>
          <w:lang w:bidi="en-US"/>
        </w:rPr>
        <w:t>art 2—Labelling and other information requirements</w:t>
      </w:r>
      <w:bookmarkEnd w:id="1"/>
      <w:bookmarkEnd w:id="2"/>
      <w:bookmarkEnd w:id="3"/>
      <w:r w:rsidRPr="00BD5F64">
        <w:rPr>
          <w:rFonts w:eastAsia="Times New Roman" w:cs="Times New Roman"/>
          <w:b/>
          <w:szCs w:val="20"/>
          <w:lang w:bidi="en-US"/>
        </w:rPr>
        <w:t>)</w:t>
      </w:r>
    </w:p>
    <w:p w:rsidR="00320BBF" w:rsidRPr="00BD5F64" w:rsidRDefault="00320BBF" w:rsidP="00320BBF">
      <w:pPr>
        <w:rPr>
          <w:rFonts w:eastAsia="Times New Roman" w:cs="Times New Roman"/>
          <w:b/>
          <w:szCs w:val="20"/>
          <w:lang w:bidi="en-US"/>
        </w:rPr>
      </w:pPr>
    </w:p>
    <w:p w:rsidR="0015283F" w:rsidRPr="00BD5F64" w:rsidRDefault="004B30B1" w:rsidP="0015283F">
      <w:pPr>
        <w:rPr>
          <w:rFonts w:eastAsia="Times New Roman" w:cs="Times New Roman"/>
          <w:b/>
          <w:i/>
          <w:szCs w:val="20"/>
          <w:lang w:bidi="en-US"/>
        </w:rPr>
      </w:pPr>
      <w:bookmarkStart w:id="4" w:name="_Toc392503882"/>
      <w:r w:rsidRPr="00BD5F64">
        <w:rPr>
          <w:rFonts w:eastAsia="Times New Roman" w:cs="Times New Roman"/>
          <w:b/>
          <w:i/>
          <w:szCs w:val="20"/>
          <w:lang w:bidi="en-US"/>
        </w:rPr>
        <w:t xml:space="preserve">Standard 1.2.8 – </w:t>
      </w:r>
      <w:r w:rsidR="0015283F" w:rsidRPr="00BD5F64">
        <w:rPr>
          <w:rFonts w:eastAsia="Times New Roman" w:cs="Times New Roman"/>
          <w:b/>
          <w:i/>
          <w:szCs w:val="20"/>
          <w:lang w:bidi="en-US"/>
        </w:rPr>
        <w:t>Nutrition information requirements</w:t>
      </w:r>
      <w:bookmarkEnd w:id="4"/>
    </w:p>
    <w:p w:rsidR="0015283F" w:rsidRPr="00BD5F64" w:rsidRDefault="0015283F" w:rsidP="0015283F">
      <w:pPr>
        <w:rPr>
          <w:rFonts w:eastAsia="Times New Roman" w:cs="Times New Roman"/>
          <w:b/>
          <w:i/>
          <w:szCs w:val="20"/>
          <w:lang w:bidi="en-US"/>
        </w:rPr>
      </w:pPr>
    </w:p>
    <w:p w:rsidR="0015283F" w:rsidRPr="00BD5F64" w:rsidRDefault="0015283F" w:rsidP="0015283F">
      <w:pPr>
        <w:tabs>
          <w:tab w:val="left" w:pos="1701"/>
        </w:tabs>
        <w:rPr>
          <w:rFonts w:eastAsia="Times New Roman" w:cs="Times New Roman"/>
          <w:i/>
          <w:szCs w:val="20"/>
          <w:lang w:bidi="en-US"/>
        </w:rPr>
      </w:pPr>
      <w:bookmarkStart w:id="5" w:name="_Toc346725707"/>
      <w:r w:rsidRPr="00BD5F64">
        <w:rPr>
          <w:rFonts w:eastAsia="Times New Roman" w:cs="Times New Roman"/>
          <w:i/>
          <w:szCs w:val="20"/>
          <w:lang w:bidi="en-US"/>
        </w:rPr>
        <w:t xml:space="preserve">Division 1 </w:t>
      </w:r>
      <w:r w:rsidRPr="00BD5F64">
        <w:rPr>
          <w:rFonts w:eastAsia="Times New Roman" w:cs="Times New Roman"/>
          <w:i/>
          <w:szCs w:val="20"/>
          <w:lang w:bidi="en-US"/>
        </w:rPr>
        <w:tab/>
      </w:r>
      <w:bookmarkEnd w:id="5"/>
      <w:r w:rsidRPr="00BD5F64">
        <w:rPr>
          <w:rFonts w:eastAsia="Times New Roman" w:cs="Times New Roman"/>
          <w:i/>
          <w:szCs w:val="20"/>
          <w:lang w:bidi="en-US"/>
        </w:rPr>
        <w:t>Preliminary</w:t>
      </w:r>
    </w:p>
    <w:p w:rsidR="0015283F" w:rsidRPr="00BD5F64" w:rsidRDefault="0015283F" w:rsidP="0015283F">
      <w:pPr>
        <w:tabs>
          <w:tab w:val="left" w:pos="1701"/>
        </w:tabs>
        <w:rPr>
          <w:rFonts w:eastAsia="Times New Roman" w:cs="Times New Roman"/>
          <w:i/>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New section 1.2.8—1 Name</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This section establishes that the instrument is the </w:t>
      </w:r>
      <w:r w:rsidRPr="00BD5F64">
        <w:rPr>
          <w:rFonts w:eastAsia="Times New Roman" w:cs="Times New Roman"/>
          <w:i/>
          <w:szCs w:val="20"/>
          <w:lang w:bidi="en-US"/>
        </w:rPr>
        <w:t>Australia New Zealand Food Standards Code</w:t>
      </w:r>
      <w:r w:rsidRPr="00BD5F64">
        <w:rPr>
          <w:rFonts w:eastAsia="Times New Roman" w:cs="Times New Roman"/>
          <w:szCs w:val="20"/>
          <w:lang w:bidi="en-US"/>
        </w:rPr>
        <w:t xml:space="preserve"> – Standard 1.2.8</w:t>
      </w:r>
      <w:r w:rsidR="004B30B1" w:rsidRPr="00BD5F64">
        <w:rPr>
          <w:rFonts w:eastAsia="Times New Roman" w:cs="Times New Roman"/>
          <w:szCs w:val="20"/>
          <w:lang w:bidi="en-US"/>
        </w:rPr>
        <w:t xml:space="preserve"> – </w:t>
      </w:r>
      <w:r w:rsidRPr="00BD5F64">
        <w:rPr>
          <w:rFonts w:eastAsia="Times New Roman" w:cs="Times New Roman"/>
          <w:szCs w:val="20"/>
          <w:lang w:bidi="en-US"/>
        </w:rPr>
        <w:t>Nutrition information requirements.</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New section 1.2.8—2 Purpose</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section 1.2.8—2 </w:t>
      </w:r>
      <w:proofErr w:type="gramStart"/>
      <w:r w:rsidRPr="00BD5F64">
        <w:rPr>
          <w:rFonts w:eastAsia="Times New Roman" w:cs="Times New Roman"/>
          <w:szCs w:val="20"/>
          <w:lang w:bidi="en-US"/>
        </w:rPr>
        <w:t>repeats</w:t>
      </w:r>
      <w:proofErr w:type="gramEnd"/>
      <w:r w:rsidRPr="00BD5F64">
        <w:rPr>
          <w:rFonts w:eastAsia="Times New Roman" w:cs="Times New Roman"/>
          <w:szCs w:val="20"/>
          <w:lang w:bidi="en-US"/>
        </w:rPr>
        <w:t xml:space="preserve"> the first part of the </w:t>
      </w:r>
      <w:r w:rsidR="009E07C1">
        <w:rPr>
          <w:rFonts w:eastAsia="Times New Roman" w:cs="Times New Roman"/>
          <w:szCs w:val="20"/>
          <w:lang w:bidi="en-US"/>
        </w:rPr>
        <w:t>current P</w:t>
      </w:r>
      <w:r w:rsidRPr="00BD5F64">
        <w:rPr>
          <w:rFonts w:eastAsia="Times New Roman" w:cs="Times New Roman"/>
          <w:szCs w:val="20"/>
          <w:lang w:bidi="en-US"/>
        </w:rPr>
        <w:t>urpose statement for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New section 1.2.8—3 Application of Standard</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section 1.2.8—3 </w:t>
      </w:r>
      <w:proofErr w:type="gramStart"/>
      <w:r w:rsidRPr="00BD5F64">
        <w:rPr>
          <w:rFonts w:eastAsia="Times New Roman" w:cs="Times New Roman"/>
          <w:szCs w:val="20"/>
          <w:lang w:bidi="en-US"/>
        </w:rPr>
        <w:t>re-states</w:t>
      </w:r>
      <w:proofErr w:type="gramEnd"/>
      <w:r w:rsidRPr="00BD5F64">
        <w:rPr>
          <w:rFonts w:eastAsia="Times New Roman" w:cs="Times New Roman"/>
          <w:szCs w:val="20"/>
          <w:lang w:bidi="en-US"/>
        </w:rPr>
        <w:t xml:space="preserve"> the </w:t>
      </w:r>
      <w:r w:rsidR="009E07C1">
        <w:rPr>
          <w:rFonts w:eastAsia="Times New Roman" w:cs="Times New Roman"/>
          <w:szCs w:val="20"/>
          <w:lang w:bidi="en-US"/>
        </w:rPr>
        <w:t xml:space="preserve">current </w:t>
      </w:r>
      <w:r w:rsidRPr="00BD5F64">
        <w:rPr>
          <w:rFonts w:eastAsia="Times New Roman" w:cs="Times New Roman"/>
          <w:szCs w:val="20"/>
          <w:lang w:bidi="en-US"/>
        </w:rPr>
        <w:t>content of clause 1A of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New section 1.2.8—4 Definitions</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section 1.2.8—4 repeats in two notes, the definitions of average energy content, available carbohydrate, available carbohydrate by difference, biologically active substance, claim, claim requiring nutrition information, dietary fibre, fat, fruit, monounsaturated fatty acids, polyunsaturated fatty acids, saturated fatty acids, sugars, trans fatty acids, unit quantity and vegetable that apply in this Standard. The definitions are set out formally in subsection 1.1.2—2(3) and Standard 1.2.7.</w:t>
      </w:r>
    </w:p>
    <w:p w:rsidR="0015283F" w:rsidRPr="00BD5F64" w:rsidRDefault="0015283F" w:rsidP="0015283F">
      <w:pPr>
        <w:ind w:left="567"/>
        <w:rPr>
          <w:rFonts w:eastAsia="Times New Roman" w:cs="Times New Roman"/>
          <w:szCs w:val="20"/>
          <w:lang w:bidi="en-US"/>
        </w:rPr>
      </w:pPr>
    </w:p>
    <w:p w:rsidR="0015283F" w:rsidRPr="00BD5F64" w:rsidRDefault="0015283F" w:rsidP="0015283F">
      <w:pPr>
        <w:tabs>
          <w:tab w:val="left" w:pos="1701"/>
        </w:tabs>
        <w:rPr>
          <w:rFonts w:eastAsia="Times New Roman" w:cs="Times New Roman"/>
          <w:i/>
          <w:szCs w:val="20"/>
          <w:lang w:bidi="en-US"/>
        </w:rPr>
      </w:pPr>
      <w:bookmarkStart w:id="6" w:name="_Toc346725708"/>
      <w:r w:rsidRPr="00BD5F64">
        <w:rPr>
          <w:rFonts w:eastAsia="Times New Roman" w:cs="Times New Roman"/>
          <w:i/>
          <w:szCs w:val="20"/>
          <w:lang w:bidi="en-US"/>
        </w:rPr>
        <w:t>Division 2</w:t>
      </w:r>
      <w:r w:rsidRPr="00BD5F64">
        <w:rPr>
          <w:rFonts w:eastAsia="Times New Roman" w:cs="Times New Roman"/>
          <w:i/>
          <w:szCs w:val="20"/>
          <w:lang w:bidi="en-US"/>
        </w:rPr>
        <w:tab/>
        <w:t>Nutrition information panels</w:t>
      </w:r>
      <w:bookmarkEnd w:id="6"/>
    </w:p>
    <w:p w:rsidR="0015283F" w:rsidRPr="00BD5F64" w:rsidRDefault="0015283F" w:rsidP="0015283F">
      <w:pPr>
        <w:tabs>
          <w:tab w:val="left" w:pos="1701"/>
        </w:tabs>
        <w:rPr>
          <w:rFonts w:eastAsia="Times New Roman" w:cs="Times New Roman"/>
          <w:i/>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 xml:space="preserve">New section 1.2.8—5 When nutrition information panel is required </w:t>
      </w:r>
    </w:p>
    <w:p w:rsidR="0015283F" w:rsidRPr="00BD5F64" w:rsidRDefault="0015283F" w:rsidP="0015283F">
      <w:pPr>
        <w:rPr>
          <w:rFonts w:eastAsia="Times New Roman" w:cs="Times New Roman"/>
          <w:szCs w:val="20"/>
          <w:lang w:bidi="en-US"/>
        </w:rPr>
      </w:pPr>
    </w:p>
    <w:p w:rsidR="0015283F" w:rsidRPr="00BD5F64" w:rsidRDefault="0015283F" w:rsidP="00CD366B">
      <w:pPr>
        <w:ind w:left="567" w:right="-286"/>
        <w:rPr>
          <w:rFonts w:eastAsia="Times New Roman" w:cs="Times New Roman"/>
          <w:szCs w:val="20"/>
          <w:lang w:bidi="en-US"/>
        </w:rPr>
      </w:pPr>
      <w:r w:rsidRPr="00BD5F64">
        <w:rPr>
          <w:rFonts w:eastAsia="Times New Roman" w:cs="Times New Roman"/>
          <w:szCs w:val="20"/>
          <w:lang w:bidi="en-US"/>
        </w:rPr>
        <w:t>The basic requirement to provide a nutrition information panel on the label on packaged food is in subsection1.2.8—5(1). The only requirement to provide nutrition information on a label is in relation to food for retail sale. The information may be provided on a label or in documentation with food sold to a caterer. In other sales, the information must be provided if requested by a purchaser.</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1.2.8—5(2) re-states that part of clause 3 of</w:t>
      </w:r>
      <w:r w:rsidR="009E07C1">
        <w:rPr>
          <w:rFonts w:eastAsia="Times New Roman" w:cs="Times New Roman"/>
          <w:szCs w:val="20"/>
          <w:lang w:bidi="en-US"/>
        </w:rPr>
        <w:t xml:space="preserve"> the current</w:t>
      </w:r>
      <w:r w:rsidRPr="00BD5F64">
        <w:rPr>
          <w:rFonts w:eastAsia="Times New Roman" w:cs="Times New Roman"/>
          <w:szCs w:val="20"/>
          <w:lang w:bidi="en-US"/>
        </w:rPr>
        <w:t xml:space="preserve"> Standard 1.2.8 that lists when a nutrition information panel is not required, in a revised format. The purpose of the re-statement is to provide a clearer statement of the exceptions. </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 xml:space="preserve">New section 1.2.8—6 </w:t>
      </w:r>
      <w:proofErr w:type="gramStart"/>
      <w:r w:rsidRPr="00BD5F64">
        <w:rPr>
          <w:rFonts w:eastAsia="Times New Roman" w:cs="Times New Roman"/>
          <w:szCs w:val="20"/>
          <w:lang w:bidi="en-US"/>
        </w:rPr>
        <w:t>What</w:t>
      </w:r>
      <w:proofErr w:type="gramEnd"/>
      <w:r w:rsidRPr="00BD5F64">
        <w:rPr>
          <w:rFonts w:eastAsia="Times New Roman" w:cs="Times New Roman"/>
          <w:szCs w:val="20"/>
          <w:lang w:bidi="en-US"/>
        </w:rPr>
        <w:t xml:space="preserve"> must be on nutrition information panel </w:t>
      </w:r>
    </w:p>
    <w:p w:rsidR="0015283F" w:rsidRPr="00BD5F64" w:rsidRDefault="0015283F" w:rsidP="0015283F">
      <w:pPr>
        <w:rPr>
          <w:rFonts w:eastAsia="Times New Roman" w:cs="Times New Roman"/>
          <w:szCs w:val="20"/>
          <w:lang w:bidi="en-US"/>
        </w:rPr>
      </w:pPr>
    </w:p>
    <w:p w:rsidR="0015283F" w:rsidRPr="00BD5F64" w:rsidRDefault="0015283F" w:rsidP="00CD366B">
      <w:pPr>
        <w:ind w:left="567" w:right="-286"/>
        <w:rPr>
          <w:rFonts w:eastAsia="Times New Roman" w:cs="Times New Roman"/>
          <w:szCs w:val="20"/>
          <w:lang w:bidi="en-US"/>
        </w:rPr>
      </w:pPr>
      <w:r w:rsidRPr="00BD5F64">
        <w:rPr>
          <w:rFonts w:eastAsia="Times New Roman" w:cs="Times New Roman"/>
          <w:szCs w:val="20"/>
          <w:lang w:bidi="en-US"/>
        </w:rPr>
        <w:t>New subsection (1) provides that a nutrition information panel must contain certain information. This repeats the first part of the requirement currently stated in subclause 5(1) of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(2) provides that a nutrition information panel is to be set out in the format described in section S12.01 in Schedule 12. This repeats the second part of the requirement currently stated in subclause 5(1) of Standard 1.2.8.</w:t>
      </w:r>
    </w:p>
    <w:p w:rsidR="0015283F" w:rsidRPr="00BD5F64" w:rsidRDefault="0015283F" w:rsidP="0015283F">
      <w:pPr>
        <w:ind w:left="567"/>
        <w:rPr>
          <w:rFonts w:eastAsia="Times New Roman" w:cs="Times New Roman"/>
          <w:szCs w:val="20"/>
          <w:lang w:bidi="en-US"/>
        </w:rPr>
      </w:pPr>
    </w:p>
    <w:p w:rsidR="009E07C1" w:rsidRPr="009E07C1" w:rsidRDefault="009E07C1" w:rsidP="009E07C1">
      <w:pPr>
        <w:ind w:left="567"/>
        <w:rPr>
          <w:i/>
        </w:rPr>
      </w:pPr>
      <w:r w:rsidRPr="009E07C1">
        <w:rPr>
          <w:i/>
        </w:rPr>
        <w:t>Declaration of fatty acids required for certain claims</w:t>
      </w:r>
    </w:p>
    <w:p w:rsidR="0015283F"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(3) repeats the additional requirements, currently in subclause 5(4) of Standard 1.2.8, which sets out what must be in a nutrition information panel if a nutrition claim is made in relation to certain fatty acids.</w:t>
      </w:r>
    </w:p>
    <w:p w:rsidR="00BD5F64" w:rsidRPr="00BD5F64" w:rsidRDefault="00BD5F64" w:rsidP="0015283F">
      <w:pPr>
        <w:ind w:left="567"/>
        <w:rPr>
          <w:rFonts w:eastAsia="Times New Roman" w:cs="Times New Roman"/>
          <w:szCs w:val="20"/>
          <w:lang w:bidi="en-US"/>
        </w:rPr>
      </w:pPr>
    </w:p>
    <w:p w:rsidR="009E07C1" w:rsidRPr="009E07C1" w:rsidRDefault="009E07C1" w:rsidP="009E07C1">
      <w:pPr>
        <w:ind w:left="567"/>
        <w:rPr>
          <w:i/>
          <w:lang w:val="en-AU" w:eastAsia="en-AU"/>
        </w:rPr>
      </w:pPr>
      <w:r w:rsidRPr="009E07C1">
        <w:rPr>
          <w:i/>
          <w:lang w:val="en-AU" w:eastAsia="en-AU"/>
        </w:rPr>
        <w:t>Voluntary declaration of fatty acids in edible oils and edible oil spreads</w:t>
      </w:r>
    </w:p>
    <w:p w:rsidR="00CD366B"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subsection (4) re-states </w:t>
      </w:r>
      <w:r w:rsidR="009E07C1">
        <w:rPr>
          <w:rFonts w:eastAsia="Times New Roman" w:cs="Times New Roman"/>
          <w:szCs w:val="20"/>
          <w:lang w:bidi="en-US"/>
        </w:rPr>
        <w:t xml:space="preserve">the current content of </w:t>
      </w:r>
      <w:r w:rsidRPr="00BD5F64">
        <w:rPr>
          <w:rFonts w:eastAsia="Times New Roman" w:cs="Times New Roman"/>
          <w:szCs w:val="20"/>
          <w:lang w:bidi="en-US"/>
        </w:rPr>
        <w:t xml:space="preserve">subclauses 5(1A) and (1B) of Standard 1.2.8, which provide a permission to state the minimum and maximum quantity of fatty acids in a nutrition information panel if a nutrition content claim has been made. </w:t>
      </w:r>
      <w:r w:rsidR="00CD366B">
        <w:rPr>
          <w:rFonts w:eastAsia="Times New Roman" w:cs="Times New Roman"/>
          <w:szCs w:val="20"/>
          <w:lang w:bidi="en-US"/>
        </w:rPr>
        <w:br w:type="page"/>
      </w:r>
    </w:p>
    <w:p w:rsidR="009E07C1" w:rsidRPr="009E07C1" w:rsidRDefault="009E07C1" w:rsidP="009E07C1">
      <w:pPr>
        <w:ind w:left="567"/>
        <w:rPr>
          <w:i/>
          <w:lang w:val="en-AU" w:eastAsia="en-AU"/>
        </w:rPr>
      </w:pPr>
      <w:r w:rsidRPr="009E07C1">
        <w:rPr>
          <w:i/>
          <w:lang w:val="en-AU" w:eastAsia="en-AU"/>
        </w:rPr>
        <w:lastRenderedPageBreak/>
        <w:t>Claims in respect of dietary fibre, sugars or carbohydrate</w:t>
      </w: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(5) repeats the additional requirements, currently in subclause 5(5) of Standard 1.2.8, which set out what must be in a nutrition information panel if a nutrition claim is made in relation to fibre, monosaccharides or disaccharides or other carbohydrates.</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subsection (6) repeats the </w:t>
      </w:r>
      <w:r w:rsidR="009E07C1">
        <w:rPr>
          <w:rFonts w:eastAsia="Times New Roman" w:cs="Times New Roman"/>
          <w:szCs w:val="20"/>
          <w:lang w:bidi="en-US"/>
        </w:rPr>
        <w:t xml:space="preserve">current </w:t>
      </w:r>
      <w:r w:rsidRPr="00BD5F64">
        <w:rPr>
          <w:rFonts w:eastAsia="Times New Roman" w:cs="Times New Roman"/>
          <w:szCs w:val="20"/>
          <w:lang w:bidi="en-US"/>
        </w:rPr>
        <w:t>provision in subclause 5(5A) of Standard 1.2.8 requiring zero (0) to be used in a nutrition information panel to indicate the absence of dietary fibre.</w:t>
      </w:r>
    </w:p>
    <w:p w:rsidR="0015283F" w:rsidRPr="00BD5F64" w:rsidRDefault="0015283F" w:rsidP="0015283F">
      <w:pPr>
        <w:ind w:left="567"/>
        <w:rPr>
          <w:rFonts w:eastAsia="Times New Roman" w:cs="Times New Roman"/>
          <w:szCs w:val="20"/>
          <w:lang w:bidi="en-US"/>
        </w:rPr>
      </w:pPr>
    </w:p>
    <w:p w:rsidR="009E07C1" w:rsidRPr="009E07C1" w:rsidRDefault="009E07C1" w:rsidP="009E07C1">
      <w:pPr>
        <w:ind w:left="567"/>
        <w:rPr>
          <w:i/>
          <w:lang w:val="en-AU" w:eastAsia="en-AU"/>
        </w:rPr>
      </w:pPr>
      <w:r w:rsidRPr="009E07C1">
        <w:rPr>
          <w:i/>
          <w:lang w:val="en-AU" w:eastAsia="en-AU"/>
        </w:rPr>
        <w:t>Declarations about carbohydrates</w:t>
      </w: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subsections (7) and (8) re-state the content of current subclauses 5(6) and (6A) of Standard 1.2.8, which provide that if carbohydrate has been expressed as carbohydrate by difference the unavailable carbohydrate, not including dietary fibre, must be declared separately.</w:t>
      </w:r>
    </w:p>
    <w:p w:rsidR="0015283F" w:rsidRPr="00BD5F64" w:rsidRDefault="0015283F" w:rsidP="0015283F">
      <w:pPr>
        <w:ind w:left="567"/>
        <w:rPr>
          <w:rFonts w:eastAsia="Times New Roman" w:cs="Times New Roman"/>
          <w:szCs w:val="20"/>
          <w:lang w:bidi="en-US"/>
        </w:rPr>
      </w:pPr>
    </w:p>
    <w:p w:rsidR="009E07C1" w:rsidRPr="009E07C1" w:rsidRDefault="009E07C1" w:rsidP="009E07C1">
      <w:pPr>
        <w:ind w:left="567"/>
        <w:rPr>
          <w:i/>
          <w:lang w:val="en-AU" w:eastAsia="en-AU"/>
        </w:rPr>
      </w:pPr>
      <w:r w:rsidRPr="009E07C1">
        <w:rPr>
          <w:i/>
          <w:lang w:val="en-AU" w:eastAsia="en-AU"/>
        </w:rPr>
        <w:t>Declarations about certain substances</w:t>
      </w: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subsection (9) re-states </w:t>
      </w:r>
      <w:r w:rsidR="009E07C1">
        <w:rPr>
          <w:rFonts w:eastAsia="Times New Roman" w:cs="Times New Roman"/>
          <w:szCs w:val="20"/>
          <w:lang w:bidi="en-US"/>
        </w:rPr>
        <w:t xml:space="preserve">the current content of </w:t>
      </w:r>
      <w:r w:rsidRPr="00BD5F64">
        <w:rPr>
          <w:rFonts w:eastAsia="Times New Roman" w:cs="Times New Roman"/>
          <w:szCs w:val="20"/>
          <w:lang w:bidi="en-US"/>
        </w:rPr>
        <w:t>subclauses 5(6B) and (6C) of Standard 1.2.8. The provision requires the nutrition information panel to declare the substances listed in subsection S11—2(2) if they are present, separately or in aggregate, at more than 5 g/100 g and one of two calculation events has occurred.</w:t>
      </w:r>
    </w:p>
    <w:p w:rsidR="0015283F" w:rsidRPr="00BD5F64" w:rsidRDefault="0015283F" w:rsidP="0015283F">
      <w:pPr>
        <w:ind w:left="567"/>
        <w:rPr>
          <w:rFonts w:eastAsia="Times New Roman" w:cs="Times New Roman"/>
          <w:szCs w:val="20"/>
          <w:lang w:bidi="en-US"/>
        </w:rPr>
      </w:pPr>
    </w:p>
    <w:p w:rsidR="009E07C1" w:rsidRPr="009E07C1" w:rsidRDefault="009E07C1" w:rsidP="009E07C1">
      <w:pPr>
        <w:ind w:left="567"/>
        <w:rPr>
          <w:i/>
          <w:lang w:val="en-AU" w:eastAsia="en-AU"/>
        </w:rPr>
      </w:pPr>
      <w:r w:rsidRPr="009E07C1">
        <w:rPr>
          <w:i/>
          <w:lang w:val="en-AU" w:eastAsia="en-AU"/>
        </w:rPr>
        <w:t>Claims about phytosterols, phytostanols or their esters</w:t>
      </w: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subsection (10) re-states subclause 6(5) of </w:t>
      </w:r>
      <w:r w:rsidR="009E07C1">
        <w:rPr>
          <w:rFonts w:eastAsia="Times New Roman" w:cs="Times New Roman"/>
          <w:szCs w:val="20"/>
          <w:lang w:bidi="en-US"/>
        </w:rPr>
        <w:t xml:space="preserve">existing </w:t>
      </w:r>
      <w:r w:rsidRPr="00BD5F64">
        <w:rPr>
          <w:rFonts w:eastAsia="Times New Roman" w:cs="Times New Roman"/>
          <w:szCs w:val="20"/>
          <w:lang w:bidi="en-US"/>
        </w:rPr>
        <w:t>Standard 1.2.8. The provision sets out how to declare phytosterols, phytostanols and their esters in a nutrition information panel consistently with the advisory statements that are required by subsection 1.2.3—2(1).</w:t>
      </w:r>
    </w:p>
    <w:p w:rsidR="0015283F" w:rsidRPr="00BD5F64" w:rsidRDefault="0015283F" w:rsidP="0015283F">
      <w:pPr>
        <w:ind w:left="567"/>
        <w:rPr>
          <w:rFonts w:eastAsia="Times New Roman" w:cs="Times New Roman"/>
          <w:szCs w:val="20"/>
          <w:lang w:bidi="en-US"/>
        </w:rPr>
      </w:pPr>
    </w:p>
    <w:p w:rsidR="0015283F" w:rsidRPr="00BD5F64" w:rsidRDefault="0015283F" w:rsidP="0015283F">
      <w:pPr>
        <w:keepNext/>
        <w:rPr>
          <w:rFonts w:eastAsia="Times New Roman" w:cs="Times New Roman"/>
          <w:szCs w:val="20"/>
          <w:lang w:bidi="en-US"/>
        </w:rPr>
      </w:pPr>
      <w:r w:rsidRPr="00BD5F64">
        <w:rPr>
          <w:rFonts w:eastAsia="Times New Roman" w:cs="Times New Roman"/>
          <w:szCs w:val="20"/>
          <w:lang w:bidi="en-US"/>
        </w:rPr>
        <w:t xml:space="preserve">New section 1.2.8—7 How to express particular matters in nutrition information panel </w:t>
      </w:r>
    </w:p>
    <w:p w:rsidR="0015283F" w:rsidRPr="00BD5F64" w:rsidRDefault="0015283F" w:rsidP="0015283F">
      <w:pPr>
        <w:keepNext/>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This section sets out how information is to be provided in a nutrition information panel. The requirements are currently set out in clauses 5 and 6 of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(1) repeats the content of subclause 5(2) of Standard 1.2.8, which requires clear statements as to whether amounts are average, minimum or maximum amounts.</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(2) repeats the content of subclause 5(3) and (3A) of Standard 1.2.8, which permits words such as slice, pack or package to replace ‘serving’ and ‘Carbohydrate, total’ to replace ‘Carbohydrate’ in a nutrition information panel.</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subsection (3) re-states the requirement in subclause 6(1) of Standard 1.2.8 that average energy content and average, minimum or maximum quantities of biologically active substances and nutrients should be expressed to no more than </w:t>
      </w:r>
      <w:r w:rsidR="009E07C1">
        <w:rPr>
          <w:rFonts w:eastAsia="Times New Roman" w:cs="Times New Roman"/>
          <w:szCs w:val="20"/>
          <w:lang w:bidi="en-US"/>
        </w:rPr>
        <w:t>three</w:t>
      </w:r>
      <w:r w:rsidRPr="00BD5F64">
        <w:rPr>
          <w:rFonts w:eastAsia="Times New Roman" w:cs="Times New Roman"/>
          <w:szCs w:val="20"/>
          <w:lang w:bidi="en-US"/>
        </w:rPr>
        <w:t xml:space="preserve"> significant figures.</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subsections (4) to (6) re-state the content of subclauses 6(2) to (4) of Standard 1.2.8. These provisions enable low average quantities to be expressed in simple terms.</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(7) repeats the content of subclause 5(8) of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(8) repeats the ‘declared as’ component of the fatty acid definitions in subsection 1.1.2—2(3).</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 xml:space="preserve">New section 1.2.8—8 Percentage daily intake information </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section 1.2.8—8 </w:t>
      </w:r>
      <w:proofErr w:type="gramStart"/>
      <w:r w:rsidRPr="00BD5F64">
        <w:rPr>
          <w:rFonts w:eastAsia="Times New Roman" w:cs="Times New Roman"/>
          <w:szCs w:val="20"/>
          <w:lang w:bidi="en-US"/>
        </w:rPr>
        <w:t>sets</w:t>
      </w:r>
      <w:proofErr w:type="gramEnd"/>
      <w:r w:rsidRPr="00BD5F64">
        <w:rPr>
          <w:rFonts w:eastAsia="Times New Roman" w:cs="Times New Roman"/>
          <w:szCs w:val="20"/>
          <w:lang w:bidi="en-US"/>
        </w:rPr>
        <w:t xml:space="preserve"> out information that can be included in a nutrition information panel, but is not mandatory. The information relates to the percentage daily intake of nutrients. The permission is currently in clause 7 of Standard 1.2.8.</w:t>
      </w:r>
    </w:p>
    <w:p w:rsidR="0015283F" w:rsidRPr="00BD5F64" w:rsidRDefault="0015283F" w:rsidP="0015283F">
      <w:pPr>
        <w:ind w:left="567"/>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New subsection (3) sets out the method of determining percentage daily intake—currently in subclause 7(3) of Standard 1.2.8.</w:t>
      </w:r>
    </w:p>
    <w:p w:rsidR="0015283F" w:rsidRPr="00BD5F64" w:rsidRDefault="0015283F" w:rsidP="0015283F">
      <w:pPr>
        <w:ind w:left="567"/>
        <w:rPr>
          <w:rFonts w:eastAsia="Times New Roman" w:cs="Times New Roman"/>
          <w:szCs w:val="20"/>
          <w:lang w:bidi="en-US"/>
        </w:rPr>
      </w:pPr>
    </w:p>
    <w:p w:rsidR="00BD5F64" w:rsidRDefault="0015283F" w:rsidP="009E07C1">
      <w:pPr>
        <w:ind w:left="567"/>
        <w:rPr>
          <w:rFonts w:eastAsia="Times New Roman" w:cs="Times New Roman"/>
          <w:szCs w:val="20"/>
          <w:lang w:bidi="en-US"/>
        </w:rPr>
      </w:pPr>
      <w:r w:rsidRPr="00BD5F64">
        <w:rPr>
          <w:rFonts w:eastAsia="Times New Roman" w:cs="Times New Roman"/>
          <w:szCs w:val="20"/>
          <w:lang w:bidi="en-US"/>
        </w:rPr>
        <w:t>The optional format for a nutrition information panel for use when percentage daily intakes are provided is given as an example at section S12—4.</w:t>
      </w:r>
      <w:r w:rsidR="00BD5F64">
        <w:rPr>
          <w:rFonts w:eastAsia="Times New Roman" w:cs="Times New Roman"/>
          <w:szCs w:val="20"/>
          <w:lang w:bidi="en-US"/>
        </w:rPr>
        <w:br w:type="page"/>
      </w: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lastRenderedPageBreak/>
        <w:t xml:space="preserve">New section 1.2.8—9 Percentage recommended dietary intake information </w:t>
      </w:r>
    </w:p>
    <w:p w:rsidR="0015283F" w:rsidRPr="00BD5F64" w:rsidRDefault="0015283F" w:rsidP="0015283F">
      <w:pPr>
        <w:rPr>
          <w:rFonts w:eastAsia="Times New Roman" w:cs="Times New Roman"/>
          <w:szCs w:val="20"/>
          <w:lang w:bidi="en-US"/>
        </w:rPr>
      </w:pPr>
    </w:p>
    <w:p w:rsidR="0015283F" w:rsidRPr="00BD5F64" w:rsidRDefault="0015283F" w:rsidP="009E07C1">
      <w:pPr>
        <w:ind w:left="567" w:right="-144"/>
        <w:rPr>
          <w:rFonts w:eastAsia="Times New Roman" w:cs="Times New Roman"/>
          <w:szCs w:val="20"/>
          <w:lang w:bidi="en-US"/>
        </w:rPr>
      </w:pPr>
      <w:r w:rsidRPr="00BD5F64">
        <w:rPr>
          <w:rFonts w:eastAsia="Times New Roman" w:cs="Times New Roman"/>
          <w:szCs w:val="20"/>
          <w:lang w:bidi="en-US"/>
        </w:rPr>
        <w:t>New section 1.2.8—9 repeats the</w:t>
      </w:r>
      <w:r w:rsidR="009E07C1">
        <w:rPr>
          <w:rFonts w:eastAsia="Times New Roman" w:cs="Times New Roman"/>
          <w:szCs w:val="20"/>
          <w:lang w:bidi="en-US"/>
        </w:rPr>
        <w:t xml:space="preserve"> current</w:t>
      </w:r>
      <w:r w:rsidRPr="00BD5F64">
        <w:rPr>
          <w:rFonts w:eastAsia="Times New Roman" w:cs="Times New Roman"/>
          <w:szCs w:val="20"/>
          <w:lang w:bidi="en-US"/>
        </w:rPr>
        <w:t xml:space="preserve"> content of clause 7A of Standard 1.2.8, which provides that percentage recommended dietary intake information must be provided if a claim is made.</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 xml:space="preserve">New section 1.2.8—10 Information referred to in sections 1.2.8—8 and 1.2.8—9 may be presented outside nutrition information panel </w:t>
      </w:r>
    </w:p>
    <w:p w:rsidR="0015283F" w:rsidRPr="00BD5F64" w:rsidRDefault="0015283F" w:rsidP="0015283F">
      <w:pPr>
        <w:rPr>
          <w:rFonts w:eastAsia="Times New Roman" w:cs="Times New Roman"/>
          <w:szCs w:val="20"/>
          <w:lang w:bidi="en-US"/>
        </w:rPr>
      </w:pPr>
    </w:p>
    <w:p w:rsidR="0015283F" w:rsidRPr="00BD5F64" w:rsidRDefault="0015283F" w:rsidP="009E07C1">
      <w:pPr>
        <w:ind w:left="567" w:right="-144"/>
        <w:rPr>
          <w:rFonts w:eastAsia="Times New Roman" w:cs="Times New Roman"/>
          <w:szCs w:val="20"/>
          <w:lang w:bidi="en-US"/>
        </w:rPr>
      </w:pPr>
      <w:r w:rsidRPr="00BD5F64">
        <w:rPr>
          <w:rFonts w:eastAsia="Times New Roman" w:cs="Times New Roman"/>
          <w:szCs w:val="20"/>
          <w:lang w:bidi="en-US"/>
        </w:rPr>
        <w:t>New section 1.2.8—10 repeats the</w:t>
      </w:r>
      <w:r w:rsidR="009E07C1">
        <w:rPr>
          <w:rFonts w:eastAsia="Times New Roman" w:cs="Times New Roman"/>
          <w:szCs w:val="20"/>
          <w:lang w:bidi="en-US"/>
        </w:rPr>
        <w:t xml:space="preserve"> current </w:t>
      </w:r>
      <w:r w:rsidRPr="00BD5F64">
        <w:rPr>
          <w:rFonts w:eastAsia="Times New Roman" w:cs="Times New Roman"/>
          <w:szCs w:val="20"/>
          <w:lang w:bidi="en-US"/>
        </w:rPr>
        <w:t>content of clause 7B of Standard 1.2.8, which provides that the percentage RDI may I some circumstances be also provided elsewhere on the label.</w:t>
      </w:r>
    </w:p>
    <w:p w:rsidR="0015283F" w:rsidRPr="00BD5F64" w:rsidRDefault="0015283F" w:rsidP="0015283F">
      <w:pPr>
        <w:ind w:left="567"/>
        <w:rPr>
          <w:rFonts w:eastAsia="Times New Roman" w:cs="Times New Roman"/>
          <w:szCs w:val="20"/>
          <w:lang w:bidi="en-US"/>
        </w:rPr>
      </w:pPr>
    </w:p>
    <w:p w:rsidR="009E07C1" w:rsidRDefault="0015283F" w:rsidP="0015283F">
      <w:pPr>
        <w:rPr>
          <w:rFonts w:eastAsia="Times New Roman" w:cs="Times New Roman"/>
          <w:szCs w:val="20"/>
          <w:lang w:bidi="en-US"/>
        </w:rPr>
      </w:pPr>
      <w:r w:rsidRPr="00BD5F64">
        <w:rPr>
          <w:rFonts w:eastAsia="Times New Roman" w:cs="Times New Roman"/>
          <w:szCs w:val="20"/>
          <w:lang w:bidi="en-US"/>
        </w:rPr>
        <w:t>New section 1.2.8—11 Requirement for dehydrated or concentrated food</w:t>
      </w:r>
    </w:p>
    <w:p w:rsidR="009E07C1" w:rsidRDefault="009E07C1" w:rsidP="0015283F">
      <w:pPr>
        <w:rPr>
          <w:rFonts w:eastAsia="Times New Roman" w:cs="Times New Roman"/>
          <w:szCs w:val="20"/>
          <w:lang w:bidi="en-US"/>
        </w:rPr>
      </w:pPr>
      <w:r w:rsidRPr="00BD5F64">
        <w:rPr>
          <w:rFonts w:eastAsia="Times New Roman" w:cs="Times New Roman"/>
          <w:szCs w:val="20"/>
          <w:lang w:bidi="en-US"/>
        </w:rPr>
        <w:t xml:space="preserve">New section </w:t>
      </w:r>
      <w:r w:rsidR="0015283F" w:rsidRPr="00BD5F64">
        <w:rPr>
          <w:rFonts w:eastAsia="Times New Roman" w:cs="Times New Roman"/>
          <w:szCs w:val="20"/>
          <w:lang w:bidi="en-US"/>
        </w:rPr>
        <w:t>1.2.8—12 Food intended to be drained before consumption</w:t>
      </w:r>
    </w:p>
    <w:p w:rsidR="0015283F" w:rsidRPr="00BD5F64" w:rsidRDefault="009E07C1" w:rsidP="0015283F">
      <w:pPr>
        <w:rPr>
          <w:rFonts w:eastAsia="Times New Roman" w:cs="Times New Roman"/>
          <w:szCs w:val="20"/>
          <w:lang w:bidi="en-US"/>
        </w:rPr>
      </w:pPr>
      <w:r w:rsidRPr="00BD5F64">
        <w:rPr>
          <w:rFonts w:eastAsia="Times New Roman" w:cs="Times New Roman"/>
          <w:szCs w:val="20"/>
          <w:lang w:bidi="en-US"/>
        </w:rPr>
        <w:t>New section</w:t>
      </w:r>
      <w:r w:rsidR="0015283F" w:rsidRPr="00BD5F64">
        <w:rPr>
          <w:rFonts w:eastAsia="Times New Roman" w:cs="Times New Roman"/>
          <w:szCs w:val="20"/>
          <w:lang w:bidi="en-US"/>
        </w:rPr>
        <w:t xml:space="preserve"> 1.2.8—13 Food intended to be prepared or consumed with other food </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The requirements that are now set out in clauses 9 to 11A of Standard 1.2.8, for food in dehydrated or concentrated form, food intended to be drained before consumption and food intended to be prepared or consumed with other food are set out in new subsections 1.2.8—11 to 1.2.8—13.</w:t>
      </w:r>
    </w:p>
    <w:p w:rsidR="0015283F" w:rsidRPr="00BD5F64" w:rsidRDefault="0015283F" w:rsidP="0015283F">
      <w:pPr>
        <w:ind w:left="567"/>
        <w:rPr>
          <w:rFonts w:eastAsia="Times New Roman" w:cs="Times New Roman"/>
          <w:szCs w:val="20"/>
          <w:lang w:bidi="en-US"/>
        </w:rPr>
      </w:pPr>
    </w:p>
    <w:p w:rsidR="0015283F" w:rsidRPr="00BD5F64" w:rsidRDefault="0015283F" w:rsidP="0015283F">
      <w:pPr>
        <w:rPr>
          <w:rFonts w:eastAsia="Times New Roman" w:cs="Times New Roman"/>
          <w:szCs w:val="20"/>
          <w:lang w:bidi="en-US"/>
        </w:rPr>
      </w:pPr>
      <w:r w:rsidRPr="00BD5F64">
        <w:rPr>
          <w:rFonts w:eastAsia="Times New Roman" w:cs="Times New Roman"/>
          <w:szCs w:val="20"/>
          <w:lang w:bidi="en-US"/>
        </w:rPr>
        <w:t xml:space="preserve">New section 1.2.8—14 Requirement for food for sale in small packages </w:t>
      </w:r>
    </w:p>
    <w:p w:rsidR="0015283F" w:rsidRPr="00BD5F64" w:rsidRDefault="0015283F" w:rsidP="0015283F">
      <w:pPr>
        <w:rPr>
          <w:rFonts w:eastAsia="Times New Roman" w:cs="Times New Roman"/>
          <w:szCs w:val="20"/>
          <w:lang w:bidi="en-US"/>
        </w:rPr>
      </w:pPr>
    </w:p>
    <w:p w:rsidR="0015283F" w:rsidRPr="00BD5F64" w:rsidRDefault="0015283F" w:rsidP="0015283F">
      <w:pPr>
        <w:ind w:left="567"/>
        <w:rPr>
          <w:rFonts w:eastAsia="Times New Roman" w:cs="Times New Roman"/>
          <w:szCs w:val="20"/>
          <w:lang w:bidi="en-US"/>
        </w:rPr>
      </w:pPr>
      <w:r w:rsidRPr="00BD5F64">
        <w:rPr>
          <w:rFonts w:eastAsia="Times New Roman" w:cs="Times New Roman"/>
          <w:szCs w:val="20"/>
          <w:lang w:bidi="en-US"/>
        </w:rPr>
        <w:t xml:space="preserve">New section 1.2.8—14 sets out the information that must be provided if a nutrition claim is made in relation to a food for sale in a small package. This repeats the </w:t>
      </w:r>
      <w:r w:rsidR="009E07C1">
        <w:rPr>
          <w:rFonts w:eastAsia="Times New Roman" w:cs="Times New Roman"/>
          <w:szCs w:val="20"/>
          <w:lang w:bidi="en-US"/>
        </w:rPr>
        <w:t xml:space="preserve">current </w:t>
      </w:r>
      <w:bookmarkStart w:id="7" w:name="_GoBack"/>
      <w:bookmarkEnd w:id="7"/>
      <w:r w:rsidRPr="00BD5F64">
        <w:rPr>
          <w:rFonts w:eastAsia="Times New Roman" w:cs="Times New Roman"/>
          <w:szCs w:val="20"/>
          <w:lang w:bidi="en-US"/>
        </w:rPr>
        <w:t xml:space="preserve">content of clauses 8 and 8A of Standard 1.2.8. </w:t>
      </w:r>
    </w:p>
    <w:p w:rsidR="00D5526B" w:rsidRPr="00BD5F64" w:rsidRDefault="00D5526B" w:rsidP="0015283F">
      <w:pPr>
        <w:rPr>
          <w:szCs w:val="20"/>
        </w:rPr>
      </w:pPr>
    </w:p>
    <w:sectPr w:rsidR="00D5526B" w:rsidRPr="00BD5F64"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9E07C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5283F"/>
    <w:rsid w:val="001734EA"/>
    <w:rsid w:val="00184403"/>
    <w:rsid w:val="00191770"/>
    <w:rsid w:val="001C5126"/>
    <w:rsid w:val="001E696B"/>
    <w:rsid w:val="002232B1"/>
    <w:rsid w:val="00234C31"/>
    <w:rsid w:val="00320BBF"/>
    <w:rsid w:val="0033021F"/>
    <w:rsid w:val="00341D25"/>
    <w:rsid w:val="00404702"/>
    <w:rsid w:val="00441D77"/>
    <w:rsid w:val="00443F05"/>
    <w:rsid w:val="00486619"/>
    <w:rsid w:val="004B30B1"/>
    <w:rsid w:val="004D3868"/>
    <w:rsid w:val="004E6694"/>
    <w:rsid w:val="0054036E"/>
    <w:rsid w:val="005B578D"/>
    <w:rsid w:val="005C1996"/>
    <w:rsid w:val="006B6900"/>
    <w:rsid w:val="006D473E"/>
    <w:rsid w:val="006E62ED"/>
    <w:rsid w:val="00793DE6"/>
    <w:rsid w:val="007F6456"/>
    <w:rsid w:val="00830393"/>
    <w:rsid w:val="00833D5A"/>
    <w:rsid w:val="00860EE7"/>
    <w:rsid w:val="00877A81"/>
    <w:rsid w:val="008931F6"/>
    <w:rsid w:val="008E2339"/>
    <w:rsid w:val="00935023"/>
    <w:rsid w:val="009806A5"/>
    <w:rsid w:val="009E07C1"/>
    <w:rsid w:val="009E265A"/>
    <w:rsid w:val="00A25B29"/>
    <w:rsid w:val="00A26F82"/>
    <w:rsid w:val="00B53154"/>
    <w:rsid w:val="00BC2133"/>
    <w:rsid w:val="00BD5F64"/>
    <w:rsid w:val="00BE4F3A"/>
    <w:rsid w:val="00C019A6"/>
    <w:rsid w:val="00C572A2"/>
    <w:rsid w:val="00CD366B"/>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E07C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6Subsec">
    <w:name w:val="h6_Subsec"/>
    <w:basedOn w:val="Normal"/>
    <w:next w:val="Normal"/>
    <w:rsid w:val="009E07C1"/>
    <w:pPr>
      <w:keepNext/>
      <w:keepLines/>
      <w:spacing w:before="120" w:after="60"/>
      <w:ind w:left="482"/>
    </w:pPr>
    <w:rPr>
      <w:rFonts w:eastAsia="Times New Roman" w:cs="Arial"/>
      <w:bCs/>
      <w:i/>
      <w:kern w:val="32"/>
      <w:szCs w:val="3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E07C1"/>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6Subsec">
    <w:name w:val="h6_Subsec"/>
    <w:basedOn w:val="Normal"/>
    <w:next w:val="Normal"/>
    <w:rsid w:val="009E07C1"/>
    <w:pPr>
      <w:keepNext/>
      <w:keepLines/>
      <w:spacing w:before="120" w:after="60"/>
      <w:ind w:left="482"/>
    </w:pPr>
    <w:rPr>
      <w:rFonts w:eastAsia="Times New Roman" w:cs="Arial"/>
      <w:bCs/>
      <w:i/>
      <w:kern w:val="32"/>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4C887-6F02-40D0-9721-54967EBA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8</cp:revision>
  <dcterms:created xsi:type="dcterms:W3CDTF">2014-12-16T00:14:00Z</dcterms:created>
  <dcterms:modified xsi:type="dcterms:W3CDTF">2015-02-16T22:42:00Z</dcterms:modified>
</cp:coreProperties>
</file>