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FE4E" w14:textId="77777777" w:rsidR="007D422C" w:rsidRDefault="007D422C" w:rsidP="00336AD4">
      <w:pPr>
        <w:pStyle w:val="Heading1"/>
        <w:spacing w:after="240"/>
        <w:rPr>
          <w:rFonts w:ascii="Times New Roman" w:hAnsi="Times New Roman"/>
        </w:rPr>
      </w:pPr>
      <w:r w:rsidRPr="0076397A">
        <w:rPr>
          <w:rFonts w:ascii="Times New Roman" w:hAnsi="Times New Roman"/>
        </w:rPr>
        <w:t>EXPLANATORY STATEMENT</w:t>
      </w:r>
    </w:p>
    <w:p w14:paraId="1696184B" w14:textId="14C118D1" w:rsidR="00336AD4" w:rsidRPr="00336AD4" w:rsidRDefault="00336AD4" w:rsidP="00336AD4">
      <w:pPr>
        <w:pStyle w:val="Heading1"/>
        <w:spacing w:after="240"/>
        <w:rPr>
          <w:rFonts w:ascii="Times New Roman" w:hAnsi="Times New Roman"/>
        </w:rPr>
      </w:pPr>
      <w:r w:rsidRPr="00336AD4">
        <w:rPr>
          <w:rFonts w:ascii="Times New Roman" w:hAnsi="Times New Roman"/>
        </w:rPr>
        <w:t xml:space="preserve">Select Legislative Instrument No. </w:t>
      </w:r>
      <w:r>
        <w:rPr>
          <w:rFonts w:ascii="Times New Roman" w:hAnsi="Times New Roman"/>
        </w:rPr>
        <w:t>37</w:t>
      </w:r>
      <w:r w:rsidRPr="00336AD4">
        <w:rPr>
          <w:rFonts w:ascii="Times New Roman" w:hAnsi="Times New Roman"/>
        </w:rPr>
        <w:t>, 2015</w:t>
      </w:r>
    </w:p>
    <w:p w14:paraId="0A1BBDBF" w14:textId="77777777" w:rsidR="007D422C" w:rsidRPr="0076397A" w:rsidRDefault="007D422C" w:rsidP="007D422C">
      <w:pPr>
        <w:pStyle w:val="Heading2"/>
        <w:jc w:val="center"/>
      </w:pPr>
      <w:r w:rsidRPr="0076397A">
        <w:t xml:space="preserve">Issued by authority of the </w:t>
      </w:r>
      <w:r w:rsidR="00F8632A">
        <w:t>Minister for Small Business</w:t>
      </w:r>
    </w:p>
    <w:p w14:paraId="654AFFD5" w14:textId="77777777" w:rsidR="007D422C" w:rsidRPr="0076397A" w:rsidRDefault="007D422C" w:rsidP="007D422C">
      <w:pPr>
        <w:jc w:val="center"/>
        <w:rPr>
          <w:i/>
        </w:rPr>
      </w:pPr>
      <w:r w:rsidRPr="0076397A">
        <w:rPr>
          <w:i/>
        </w:rPr>
        <w:t>Competition and Consumer Act 2010</w:t>
      </w:r>
    </w:p>
    <w:p w14:paraId="0945781B" w14:textId="76DB8198" w:rsidR="007D422C" w:rsidRPr="0076397A" w:rsidRDefault="007D422C" w:rsidP="00300CA9">
      <w:pPr>
        <w:spacing w:before="0" w:after="240" w:line="276" w:lineRule="auto"/>
        <w:jc w:val="center"/>
        <w:rPr>
          <w:i/>
        </w:rPr>
      </w:pPr>
      <w:bookmarkStart w:id="0" w:name="_GoBack"/>
      <w:r w:rsidRPr="0076397A">
        <w:rPr>
          <w:i/>
        </w:rPr>
        <w:t>Competition and Consumer Amendment (Electronic Service of Documents</w:t>
      </w:r>
      <w:r w:rsidR="00BD4954">
        <w:rPr>
          <w:i/>
        </w:rPr>
        <w:t xml:space="preserve"> and other Measures</w:t>
      </w:r>
      <w:r w:rsidRPr="0076397A">
        <w:rPr>
          <w:i/>
        </w:rPr>
        <w:t>) Regulation 2015</w:t>
      </w:r>
    </w:p>
    <w:bookmarkEnd w:id="0"/>
    <w:p w14:paraId="491D6299" w14:textId="0ACF6972" w:rsidR="007D422C" w:rsidRPr="0076397A" w:rsidRDefault="000D078D" w:rsidP="00B36EE5">
      <w:pPr>
        <w:spacing w:before="0" w:after="240"/>
      </w:pPr>
      <w:r w:rsidRPr="0076397A">
        <w:t>Sub</w:t>
      </w:r>
      <w:r w:rsidR="006D2573">
        <w:t>section</w:t>
      </w:r>
      <w:r w:rsidR="007D422C" w:rsidRPr="0076397A">
        <w:t xml:space="preserve"> 172(1) of the </w:t>
      </w:r>
      <w:r w:rsidR="007D422C" w:rsidRPr="0076397A">
        <w:rPr>
          <w:i/>
        </w:rPr>
        <w:t xml:space="preserve">Competition and Consumer Act 2010 </w:t>
      </w:r>
      <w:r w:rsidR="00E20814" w:rsidRPr="0076397A">
        <w:t>(the CC</w:t>
      </w:r>
      <w:r w:rsidR="00502E7C">
        <w:t xml:space="preserve"> </w:t>
      </w:r>
      <w:r w:rsidR="00E20814" w:rsidRPr="0076397A">
        <w:t>A</w:t>
      </w:r>
      <w:r w:rsidR="00502E7C">
        <w:t>ct</w:t>
      </w:r>
      <w:r w:rsidR="007D422C" w:rsidRPr="0076397A">
        <w:t>) provides that the Governor-General may make regulations</w:t>
      </w:r>
      <w:r w:rsidR="00F65864" w:rsidRPr="0076397A">
        <w:t>,</w:t>
      </w:r>
      <w:r w:rsidR="007D422C" w:rsidRPr="0076397A">
        <w:t xml:space="preserve"> not inconsistent with the </w:t>
      </w:r>
      <w:r w:rsidR="00F65864" w:rsidRPr="0076397A">
        <w:t>Act,</w:t>
      </w:r>
      <w:r w:rsidR="007D422C" w:rsidRPr="0076397A">
        <w:t xml:space="preserve"> prescribing</w:t>
      </w:r>
      <w:r w:rsidR="00F65864" w:rsidRPr="0076397A">
        <w:t xml:space="preserve"> all</w:t>
      </w:r>
      <w:r w:rsidR="007D422C" w:rsidRPr="0076397A">
        <w:t xml:space="preserve"> matters </w:t>
      </w:r>
      <w:r w:rsidR="00F65864" w:rsidRPr="0076397A">
        <w:t xml:space="preserve">that are </w:t>
      </w:r>
      <w:r w:rsidR="007D422C" w:rsidRPr="0076397A">
        <w:t xml:space="preserve">required or permitted by the </w:t>
      </w:r>
      <w:r w:rsidR="00F65864" w:rsidRPr="0076397A">
        <w:t>Act</w:t>
      </w:r>
      <w:r w:rsidR="007D422C" w:rsidRPr="0076397A">
        <w:t xml:space="preserve"> to be prescribed, or </w:t>
      </w:r>
      <w:r w:rsidR="00F65864" w:rsidRPr="0076397A">
        <w:t xml:space="preserve">are </w:t>
      </w:r>
      <w:r w:rsidR="007D422C" w:rsidRPr="0076397A">
        <w:t>necessary</w:t>
      </w:r>
      <w:r w:rsidR="00F65864" w:rsidRPr="0076397A">
        <w:t xml:space="preserve"> or</w:t>
      </w:r>
      <w:r w:rsidR="007D422C" w:rsidRPr="0076397A">
        <w:t xml:space="preserve"> convenient to be prescribed for carrying out or giving effect to the </w:t>
      </w:r>
      <w:r w:rsidR="00F65864" w:rsidRPr="0076397A">
        <w:t>Act</w:t>
      </w:r>
      <w:r w:rsidR="007D422C" w:rsidRPr="0076397A">
        <w:t>.</w:t>
      </w:r>
    </w:p>
    <w:p w14:paraId="075C69AB" w14:textId="1066774D" w:rsidR="009B3065" w:rsidRPr="009B3065" w:rsidRDefault="009B3065" w:rsidP="00B36EE5">
      <w:pPr>
        <w:spacing w:before="0" w:after="240"/>
      </w:pPr>
      <w:r w:rsidRPr="0076397A">
        <w:t>The objective of the CC</w:t>
      </w:r>
      <w:r w:rsidR="00502E7C">
        <w:t xml:space="preserve"> </w:t>
      </w:r>
      <w:r w:rsidRPr="0076397A">
        <w:t>A</w:t>
      </w:r>
      <w:r w:rsidR="00502E7C">
        <w:t>ct</w:t>
      </w:r>
      <w:r w:rsidRPr="0076397A">
        <w:t xml:space="preserve"> is to enhance the welfare of Australians through the promotion of competition and fair trading and to make provisions for consumer protection</w:t>
      </w:r>
      <w:r w:rsidR="009F7232">
        <w:t xml:space="preserve">. </w:t>
      </w:r>
      <w:r w:rsidR="007C5E84">
        <w:t>In pursuing this, the</w:t>
      </w:r>
      <w:r w:rsidR="00C36DCE" w:rsidRPr="0076397A">
        <w:rPr>
          <w:szCs w:val="24"/>
        </w:rPr>
        <w:t xml:space="preserve"> CC</w:t>
      </w:r>
      <w:r w:rsidR="00502E7C">
        <w:rPr>
          <w:szCs w:val="24"/>
        </w:rPr>
        <w:t xml:space="preserve"> </w:t>
      </w:r>
      <w:r w:rsidR="00C36DCE" w:rsidRPr="0076397A">
        <w:rPr>
          <w:szCs w:val="24"/>
        </w:rPr>
        <w:t>A</w:t>
      </w:r>
      <w:r w:rsidR="00502E7C">
        <w:rPr>
          <w:szCs w:val="24"/>
        </w:rPr>
        <w:t>ct</w:t>
      </w:r>
      <w:r w:rsidR="00C36DCE" w:rsidRPr="0076397A">
        <w:rPr>
          <w:szCs w:val="24"/>
        </w:rPr>
        <w:t xml:space="preserve"> requires </w:t>
      </w:r>
      <w:r w:rsidR="00C36DCE">
        <w:rPr>
          <w:szCs w:val="24"/>
        </w:rPr>
        <w:t xml:space="preserve">that </w:t>
      </w:r>
      <w:r w:rsidR="00C36DCE" w:rsidRPr="0076397A">
        <w:rPr>
          <w:szCs w:val="24"/>
        </w:rPr>
        <w:t xml:space="preserve">certain documents </w:t>
      </w:r>
      <w:r w:rsidR="00C36DCE">
        <w:rPr>
          <w:szCs w:val="24"/>
        </w:rPr>
        <w:t xml:space="preserve">must </w:t>
      </w:r>
      <w:r w:rsidR="00C36DCE" w:rsidRPr="0076397A">
        <w:rPr>
          <w:szCs w:val="24"/>
        </w:rPr>
        <w:t>be served on a person connected to a proceeding or matter before the A</w:t>
      </w:r>
      <w:r w:rsidR="00C36DCE">
        <w:rPr>
          <w:szCs w:val="24"/>
        </w:rPr>
        <w:t xml:space="preserve">ustralian </w:t>
      </w:r>
      <w:r w:rsidR="00C36DCE" w:rsidRPr="0076397A">
        <w:rPr>
          <w:szCs w:val="24"/>
        </w:rPr>
        <w:t>C</w:t>
      </w:r>
      <w:r w:rsidR="00C36DCE">
        <w:rPr>
          <w:szCs w:val="24"/>
        </w:rPr>
        <w:t xml:space="preserve">ompetition and </w:t>
      </w:r>
      <w:r w:rsidR="00C36DCE" w:rsidRPr="0076397A">
        <w:rPr>
          <w:szCs w:val="24"/>
        </w:rPr>
        <w:t>C</w:t>
      </w:r>
      <w:r w:rsidR="00C36DCE">
        <w:rPr>
          <w:szCs w:val="24"/>
        </w:rPr>
        <w:t xml:space="preserve">onsumer </w:t>
      </w:r>
      <w:r w:rsidR="00C36DCE" w:rsidRPr="0076397A">
        <w:rPr>
          <w:szCs w:val="24"/>
        </w:rPr>
        <w:t>C</w:t>
      </w:r>
      <w:r w:rsidR="00C36DCE">
        <w:rPr>
          <w:szCs w:val="24"/>
        </w:rPr>
        <w:t>ommission</w:t>
      </w:r>
      <w:r w:rsidR="00502E7C">
        <w:rPr>
          <w:szCs w:val="24"/>
        </w:rPr>
        <w:t xml:space="preserve"> (</w:t>
      </w:r>
      <w:proofErr w:type="spellStart"/>
      <w:r w:rsidR="00502E7C">
        <w:rPr>
          <w:szCs w:val="24"/>
        </w:rPr>
        <w:t>ACCC</w:t>
      </w:r>
      <w:proofErr w:type="spellEnd"/>
      <w:r w:rsidR="00502E7C">
        <w:rPr>
          <w:szCs w:val="24"/>
        </w:rPr>
        <w:t>)</w:t>
      </w:r>
      <w:r w:rsidR="00F413A8">
        <w:rPr>
          <w:szCs w:val="24"/>
        </w:rPr>
        <w:t xml:space="preserve"> or the Australian Competition Tribunal (Tribunal)</w:t>
      </w:r>
      <w:r w:rsidR="00C36DCE" w:rsidRPr="0076397A">
        <w:rPr>
          <w:szCs w:val="24"/>
        </w:rPr>
        <w:t>, to ensure that person is privy to information relating to that proceeding or matter</w:t>
      </w:r>
      <w:r w:rsidR="009F7232">
        <w:rPr>
          <w:szCs w:val="24"/>
        </w:rPr>
        <w:t xml:space="preserve">. </w:t>
      </w:r>
    </w:p>
    <w:p w14:paraId="7F4E6FAD" w14:textId="20A38BB0" w:rsidR="009B3065" w:rsidRDefault="00C36DCE" w:rsidP="00B36EE5">
      <w:pPr>
        <w:spacing w:before="0" w:after="240"/>
        <w:rPr>
          <w:szCs w:val="24"/>
        </w:rPr>
      </w:pPr>
      <w:r w:rsidRPr="0076397A">
        <w:rPr>
          <w:szCs w:val="24"/>
        </w:rPr>
        <w:t xml:space="preserve">The </w:t>
      </w:r>
      <w:r w:rsidRPr="0076397A">
        <w:rPr>
          <w:i/>
          <w:iCs/>
          <w:szCs w:val="24"/>
        </w:rPr>
        <w:t>Competition and Consumer Regulations 2010</w:t>
      </w:r>
      <w:r w:rsidRPr="0076397A">
        <w:rPr>
          <w:szCs w:val="24"/>
        </w:rPr>
        <w:t xml:space="preserve"> (the Principal Regulations)</w:t>
      </w:r>
      <w:r w:rsidRPr="0076397A">
        <w:rPr>
          <w:i/>
          <w:iCs/>
          <w:szCs w:val="24"/>
        </w:rPr>
        <w:t xml:space="preserve"> </w:t>
      </w:r>
      <w:r w:rsidRPr="0076397A">
        <w:rPr>
          <w:szCs w:val="24"/>
        </w:rPr>
        <w:t>supplement</w:t>
      </w:r>
      <w:r>
        <w:rPr>
          <w:szCs w:val="24"/>
        </w:rPr>
        <w:t>s</w:t>
      </w:r>
      <w:r w:rsidRPr="0076397A">
        <w:rPr>
          <w:szCs w:val="24"/>
        </w:rPr>
        <w:t xml:space="preserve"> the CC</w:t>
      </w:r>
      <w:r w:rsidR="00F30D36">
        <w:rPr>
          <w:szCs w:val="24"/>
        </w:rPr>
        <w:t xml:space="preserve"> </w:t>
      </w:r>
      <w:r w:rsidRPr="0076397A">
        <w:rPr>
          <w:szCs w:val="24"/>
        </w:rPr>
        <w:t>A</w:t>
      </w:r>
      <w:r w:rsidR="00F30D36">
        <w:rPr>
          <w:szCs w:val="24"/>
        </w:rPr>
        <w:t>ct</w:t>
      </w:r>
      <w:r>
        <w:rPr>
          <w:szCs w:val="24"/>
        </w:rPr>
        <w:t xml:space="preserve"> by</w:t>
      </w:r>
      <w:r w:rsidR="009B3065">
        <w:rPr>
          <w:szCs w:val="24"/>
        </w:rPr>
        <w:t>,</w:t>
      </w:r>
      <w:r>
        <w:rPr>
          <w:szCs w:val="24"/>
        </w:rPr>
        <w:t xml:space="preserve"> </w:t>
      </w:r>
      <w:r w:rsidR="009B3065">
        <w:rPr>
          <w:szCs w:val="24"/>
        </w:rPr>
        <w:t xml:space="preserve">among other things, </w:t>
      </w:r>
      <w:r>
        <w:rPr>
          <w:szCs w:val="24"/>
        </w:rPr>
        <w:t>dictating the administrative requirements for the service of documents</w:t>
      </w:r>
      <w:r w:rsidR="009F7232">
        <w:rPr>
          <w:szCs w:val="24"/>
        </w:rPr>
        <w:t xml:space="preserve">. </w:t>
      </w:r>
    </w:p>
    <w:p w14:paraId="7F1F46A4" w14:textId="65622174" w:rsidR="00C36DCE" w:rsidRDefault="00907EF1" w:rsidP="00B36EE5">
      <w:pPr>
        <w:spacing w:before="0" w:after="240"/>
        <w:rPr>
          <w:szCs w:val="24"/>
        </w:rPr>
      </w:pPr>
      <w:r>
        <w:rPr>
          <w:szCs w:val="24"/>
        </w:rPr>
        <w:t>Currently, u</w:t>
      </w:r>
      <w:r w:rsidR="009B3065">
        <w:rPr>
          <w:szCs w:val="24"/>
        </w:rPr>
        <w:t xml:space="preserve">nder the </w:t>
      </w:r>
      <w:r w:rsidR="007C5E84">
        <w:rPr>
          <w:szCs w:val="24"/>
        </w:rPr>
        <w:t>Principal Regulations</w:t>
      </w:r>
      <w:r w:rsidR="009B3065">
        <w:rPr>
          <w:szCs w:val="24"/>
        </w:rPr>
        <w:t xml:space="preserve">, an address for service </w:t>
      </w:r>
      <w:r w:rsidR="00FF7692">
        <w:rPr>
          <w:szCs w:val="24"/>
        </w:rPr>
        <w:t xml:space="preserve">is generally identified as </w:t>
      </w:r>
      <w:r w:rsidR="009B3065">
        <w:rPr>
          <w:szCs w:val="24"/>
        </w:rPr>
        <w:t>a postal address</w:t>
      </w:r>
      <w:r w:rsidR="006D79CA">
        <w:rPr>
          <w:szCs w:val="24"/>
        </w:rPr>
        <w:t>.</w:t>
      </w:r>
    </w:p>
    <w:p w14:paraId="4FB0D7E0" w14:textId="09E91961" w:rsidR="00B41ED0" w:rsidRDefault="00B41ED0" w:rsidP="00B36EE5">
      <w:pPr>
        <w:spacing w:after="240"/>
      </w:pPr>
      <w:r>
        <w:t xml:space="preserve">The purpose of the </w:t>
      </w:r>
      <w:r>
        <w:rPr>
          <w:i/>
          <w:iCs/>
        </w:rPr>
        <w:t>Competition and Consumer Amendment (Electronic Service of Documents</w:t>
      </w:r>
      <w:r w:rsidR="00BD4954">
        <w:rPr>
          <w:i/>
          <w:iCs/>
        </w:rPr>
        <w:t xml:space="preserve"> and Other Measures</w:t>
      </w:r>
      <w:r>
        <w:rPr>
          <w:i/>
          <w:iCs/>
        </w:rPr>
        <w:t xml:space="preserve">) Regulation 2015 </w:t>
      </w:r>
      <w:r>
        <w:t>(the Regulation) is to amend the Principal Regulations</w:t>
      </w:r>
      <w:r>
        <w:rPr>
          <w:i/>
          <w:iCs/>
        </w:rPr>
        <w:t xml:space="preserve"> </w:t>
      </w:r>
      <w:r>
        <w:t>to allow an electronic address to be used as an address for service</w:t>
      </w:r>
      <w:r w:rsidR="009F7232">
        <w:t xml:space="preserve">. </w:t>
      </w:r>
      <w:r>
        <w:t xml:space="preserve">An electronic address includes an email address, fax number </w:t>
      </w:r>
      <w:r w:rsidR="00C632CF">
        <w:t xml:space="preserve">or </w:t>
      </w:r>
      <w:r>
        <w:t>secure website submission form or other secure electronic portal</w:t>
      </w:r>
      <w:r w:rsidR="009F7232">
        <w:t xml:space="preserve">. </w:t>
      </w:r>
      <w:r w:rsidR="003B30CB">
        <w:t>Additionally, the Regulation re</w:t>
      </w:r>
      <w:r w:rsidR="006B0762">
        <w:t>peals</w:t>
      </w:r>
      <w:r w:rsidR="003B30CB">
        <w:t xml:space="preserve"> Division 3 of the Principal Regulations as the sections</w:t>
      </w:r>
      <w:r w:rsidR="006B0762">
        <w:t xml:space="preserve"> of the CC Act to which this Division refers have been repealed, rendering Division 3</w:t>
      </w:r>
      <w:r w:rsidR="003B30CB">
        <w:t xml:space="preserve"> redundant</w:t>
      </w:r>
      <w:r w:rsidR="006B0762">
        <w:t>.</w:t>
      </w:r>
      <w:r w:rsidR="003B30CB">
        <w:t xml:space="preserve"> </w:t>
      </w:r>
    </w:p>
    <w:p w14:paraId="1E2C1CD2" w14:textId="39FB3E3E" w:rsidR="00D657AA" w:rsidRDefault="00F4291E" w:rsidP="00B36EE5">
      <w:pPr>
        <w:spacing w:before="0" w:after="240"/>
      </w:pPr>
      <w:r w:rsidRPr="0076397A">
        <w:rPr>
          <w:szCs w:val="24"/>
        </w:rPr>
        <w:t xml:space="preserve">The service of documents </w:t>
      </w:r>
      <w:r>
        <w:rPr>
          <w:szCs w:val="24"/>
        </w:rPr>
        <w:t xml:space="preserve">to an </w:t>
      </w:r>
      <w:r w:rsidRPr="0076397A">
        <w:rPr>
          <w:szCs w:val="24"/>
        </w:rPr>
        <w:t xml:space="preserve">electronic </w:t>
      </w:r>
      <w:r>
        <w:rPr>
          <w:szCs w:val="24"/>
        </w:rPr>
        <w:t>address</w:t>
      </w:r>
      <w:r w:rsidRPr="0076397A">
        <w:rPr>
          <w:szCs w:val="24"/>
        </w:rPr>
        <w:t xml:space="preserve"> is </w:t>
      </w:r>
      <w:r>
        <w:rPr>
          <w:szCs w:val="24"/>
        </w:rPr>
        <w:t>now a routine method for delivering documents</w:t>
      </w:r>
      <w:r w:rsidR="009F7232">
        <w:rPr>
          <w:szCs w:val="24"/>
        </w:rPr>
        <w:t>. It is</w:t>
      </w:r>
      <w:r>
        <w:rPr>
          <w:szCs w:val="24"/>
        </w:rPr>
        <w:t xml:space="preserve"> widely accepted as</w:t>
      </w:r>
      <w:r w:rsidRPr="0076397A">
        <w:rPr>
          <w:szCs w:val="24"/>
        </w:rPr>
        <w:t xml:space="preserve"> a more convenient and direct method of delivering </w:t>
      </w:r>
      <w:r w:rsidR="00FF7692">
        <w:rPr>
          <w:szCs w:val="24"/>
        </w:rPr>
        <w:t>documents</w:t>
      </w:r>
      <w:r w:rsidR="00D657AA">
        <w:rPr>
          <w:szCs w:val="24"/>
        </w:rPr>
        <w:t xml:space="preserve"> and it</w:t>
      </w:r>
      <w:r>
        <w:t xml:space="preserve"> will be time and cost effective</w:t>
      </w:r>
      <w:r w:rsidR="00197B58">
        <w:t>,</w:t>
      </w:r>
      <w:r>
        <w:t xml:space="preserve"> as it will reduce the need for documents to be printed, compiled and physically posted or delivered</w:t>
      </w:r>
      <w:r w:rsidR="009F7232">
        <w:t xml:space="preserve">. </w:t>
      </w:r>
      <w:r>
        <w:t xml:space="preserve">Further, given that a person is more likely to retain the same electronic address over a long period of time compared to a postal address, the </w:t>
      </w:r>
      <w:proofErr w:type="spellStart"/>
      <w:r>
        <w:t>ACCC</w:t>
      </w:r>
      <w:proofErr w:type="spellEnd"/>
      <w:r>
        <w:t xml:space="preserve"> </w:t>
      </w:r>
      <w:r w:rsidR="00FF7692">
        <w:t xml:space="preserve">may </w:t>
      </w:r>
      <w:r>
        <w:t>be able to devote less time to administrative and time-consuming tasks such as updating personal records</w:t>
      </w:r>
      <w:r w:rsidR="009F7232">
        <w:t xml:space="preserve">. </w:t>
      </w:r>
    </w:p>
    <w:p w14:paraId="2B8E232E" w14:textId="4AB2DEE1" w:rsidR="00D657AA" w:rsidRDefault="00F4291E" w:rsidP="00B36EE5">
      <w:pPr>
        <w:spacing w:before="0" w:after="240"/>
      </w:pPr>
      <w:r>
        <w:t>D</w:t>
      </w:r>
      <w:r w:rsidRPr="0076397A">
        <w:t xml:space="preserve">ocuments submitted electronically </w:t>
      </w:r>
      <w:r w:rsidR="00FF7692">
        <w:t xml:space="preserve">can also be sent and </w:t>
      </w:r>
      <w:r w:rsidRPr="0076397A">
        <w:t xml:space="preserve">received </w:t>
      </w:r>
      <w:r w:rsidR="00FF7692">
        <w:t>faster than traditional postal methods</w:t>
      </w:r>
      <w:r w:rsidRPr="0076397A">
        <w:t xml:space="preserve">, </w:t>
      </w:r>
      <w:r>
        <w:t>reducing</w:t>
      </w:r>
      <w:r w:rsidRPr="0076397A">
        <w:t xml:space="preserve"> turn-over time</w:t>
      </w:r>
      <w:r>
        <w:t>s</w:t>
      </w:r>
      <w:r w:rsidR="00D657AA">
        <w:t>, and</w:t>
      </w:r>
      <w:r w:rsidR="009F7232">
        <w:t xml:space="preserve"> </w:t>
      </w:r>
      <w:r w:rsidR="00D657AA">
        <w:t>e</w:t>
      </w:r>
      <w:r>
        <w:t xml:space="preserve">lectronic </w:t>
      </w:r>
      <w:r w:rsidR="00D657AA">
        <w:t xml:space="preserve">service </w:t>
      </w:r>
      <w:r>
        <w:t xml:space="preserve">will also allow recipients to </w:t>
      </w:r>
      <w:r w:rsidR="00FF7692">
        <w:t xml:space="preserve">better manage documents </w:t>
      </w:r>
      <w:r w:rsidR="00D657AA">
        <w:t>(</w:t>
      </w:r>
      <w:r w:rsidR="00FF7692">
        <w:t xml:space="preserve">for example a recipient business </w:t>
      </w:r>
      <w:r w:rsidR="00D657AA">
        <w:t xml:space="preserve">would </w:t>
      </w:r>
      <w:r w:rsidR="00FF7692">
        <w:t xml:space="preserve">not need to scan and make copies of </w:t>
      </w:r>
      <w:r w:rsidR="00D657AA">
        <w:t xml:space="preserve">such </w:t>
      </w:r>
      <w:r w:rsidR="00FF7692">
        <w:t>a document</w:t>
      </w:r>
      <w:r w:rsidR="00D657AA">
        <w:t>)</w:t>
      </w:r>
      <w:r w:rsidR="009F7232">
        <w:t xml:space="preserve">. </w:t>
      </w:r>
      <w:r w:rsidR="006B0762">
        <w:t xml:space="preserve">Further, </w:t>
      </w:r>
      <w:r w:rsidR="00D657AA">
        <w:t>repealing</w:t>
      </w:r>
      <w:r w:rsidR="006B0762">
        <w:t xml:space="preserve"> Division 3 of the Principal Regulations will reduce confusion and simplify the Principal Regulations</w:t>
      </w:r>
      <w:r w:rsidR="00D657AA">
        <w:t xml:space="preserve"> given that the sections of the CC Act to which it refers have been repealed</w:t>
      </w:r>
      <w:r w:rsidR="009F7232">
        <w:t xml:space="preserve">. </w:t>
      </w:r>
    </w:p>
    <w:p w14:paraId="6FB524B2" w14:textId="3DC026FC" w:rsidR="00F4291E" w:rsidRPr="0076397A" w:rsidRDefault="00D657AA" w:rsidP="00B36EE5">
      <w:pPr>
        <w:spacing w:before="0" w:after="240"/>
      </w:pPr>
      <w:r>
        <w:lastRenderedPageBreak/>
        <w:t>T</w:t>
      </w:r>
      <w:r w:rsidR="00F4291E" w:rsidRPr="0076397A">
        <w:t>h</w:t>
      </w:r>
      <w:r w:rsidR="00FF7692">
        <w:t>ese amendments</w:t>
      </w:r>
      <w:r w:rsidR="00F4291E">
        <w:t xml:space="preserve"> </w:t>
      </w:r>
      <w:r w:rsidR="00FF7692">
        <w:t xml:space="preserve">will reduce red tape for business and </w:t>
      </w:r>
      <w:r>
        <w:t>within g</w:t>
      </w:r>
      <w:r w:rsidR="00FF7692">
        <w:t>overnment, and contribute to the Government’s deregulation agenda.</w:t>
      </w:r>
    </w:p>
    <w:p w14:paraId="330F7F89" w14:textId="332E14A7" w:rsidR="00E20814" w:rsidRPr="0076397A" w:rsidRDefault="00E20814" w:rsidP="00B36EE5">
      <w:pPr>
        <w:spacing w:before="0" w:after="240"/>
        <w:ind w:right="91"/>
        <w:rPr>
          <w:szCs w:val="24"/>
        </w:rPr>
      </w:pPr>
      <w:r w:rsidRPr="0076397A">
        <w:rPr>
          <w:szCs w:val="24"/>
        </w:rPr>
        <w:t>Details of the Regulation are set out in</w:t>
      </w:r>
      <w:r w:rsidR="00311E7A">
        <w:rPr>
          <w:szCs w:val="24"/>
        </w:rPr>
        <w:t xml:space="preserve"> the</w:t>
      </w:r>
      <w:r w:rsidRPr="0076397A">
        <w:rPr>
          <w:szCs w:val="24"/>
        </w:rPr>
        <w:t xml:space="preserve"> </w:t>
      </w:r>
      <w:r w:rsidRPr="0076397A">
        <w:rPr>
          <w:szCs w:val="24"/>
          <w:u w:val="single"/>
        </w:rPr>
        <w:t>Attachment</w:t>
      </w:r>
      <w:r w:rsidRPr="0076397A">
        <w:rPr>
          <w:szCs w:val="24"/>
        </w:rPr>
        <w:t>.</w:t>
      </w:r>
    </w:p>
    <w:p w14:paraId="749C76BE" w14:textId="328D3435" w:rsidR="00E20814" w:rsidRPr="0076397A" w:rsidRDefault="00E20814" w:rsidP="00B36EE5">
      <w:pPr>
        <w:spacing w:before="0" w:after="240"/>
        <w:ind w:right="91"/>
        <w:rPr>
          <w:szCs w:val="24"/>
        </w:rPr>
      </w:pPr>
      <w:r w:rsidRPr="0076397A">
        <w:rPr>
          <w:szCs w:val="24"/>
        </w:rPr>
        <w:t>The CC</w:t>
      </w:r>
      <w:r w:rsidR="00F30D36">
        <w:rPr>
          <w:szCs w:val="24"/>
        </w:rPr>
        <w:t xml:space="preserve"> </w:t>
      </w:r>
      <w:r w:rsidRPr="0076397A">
        <w:rPr>
          <w:szCs w:val="24"/>
        </w:rPr>
        <w:t>A</w:t>
      </w:r>
      <w:r w:rsidR="00F30D36">
        <w:rPr>
          <w:szCs w:val="24"/>
        </w:rPr>
        <w:t>ct</w:t>
      </w:r>
      <w:r w:rsidRPr="0076397A">
        <w:rPr>
          <w:szCs w:val="24"/>
        </w:rPr>
        <w:t xml:space="preserve"> does not specify any conditions that need to be satisfied before the power to make the Regulation may be exercised.</w:t>
      </w:r>
    </w:p>
    <w:p w14:paraId="31845E45" w14:textId="7AD19576" w:rsidR="00045BDC" w:rsidRPr="00045BDC" w:rsidRDefault="00BD4954" w:rsidP="00B36EE5">
      <w:pPr>
        <w:spacing w:before="0" w:after="240"/>
        <w:rPr>
          <w:szCs w:val="24"/>
        </w:rPr>
      </w:pPr>
      <w:r>
        <w:rPr>
          <w:szCs w:val="24"/>
        </w:rPr>
        <w:t>T</w:t>
      </w:r>
      <w:r w:rsidR="00045BDC" w:rsidRPr="00045BDC">
        <w:rPr>
          <w:szCs w:val="24"/>
        </w:rPr>
        <w:t>he Regulation commence</w:t>
      </w:r>
      <w:r w:rsidR="00D657AA">
        <w:rPr>
          <w:szCs w:val="24"/>
        </w:rPr>
        <w:t>s</w:t>
      </w:r>
      <w:r w:rsidR="00045BDC" w:rsidRPr="00045BDC">
        <w:rPr>
          <w:szCs w:val="24"/>
        </w:rPr>
        <w:t xml:space="preserve"> on the day after it is registered</w:t>
      </w:r>
      <w:r w:rsidR="009F7232">
        <w:rPr>
          <w:szCs w:val="24"/>
        </w:rPr>
        <w:t xml:space="preserve">. </w:t>
      </w:r>
    </w:p>
    <w:p w14:paraId="3E2151A9" w14:textId="273ABF13" w:rsidR="00E20814" w:rsidRDefault="00045BDC" w:rsidP="00B36EE5">
      <w:pPr>
        <w:autoSpaceDE w:val="0"/>
        <w:autoSpaceDN w:val="0"/>
        <w:adjustRightInd w:val="0"/>
        <w:spacing w:before="0" w:after="0"/>
        <w:rPr>
          <w:szCs w:val="24"/>
        </w:rPr>
      </w:pPr>
      <w:r w:rsidRPr="00045BDC">
        <w:rPr>
          <w:szCs w:val="24"/>
        </w:rPr>
        <w:t xml:space="preserve">No public consultation was undertaken because the Regulation </w:t>
      </w:r>
      <w:r w:rsidR="00F30D36">
        <w:rPr>
          <w:szCs w:val="24"/>
        </w:rPr>
        <w:t xml:space="preserve">is </w:t>
      </w:r>
      <w:r w:rsidR="00F30D36" w:rsidRPr="00D92198">
        <w:rPr>
          <w:szCs w:val="24"/>
        </w:rPr>
        <w:t>minor or machinery</w:t>
      </w:r>
      <w:r w:rsidR="00907EF1">
        <w:rPr>
          <w:szCs w:val="24"/>
        </w:rPr>
        <w:t xml:space="preserve"> in</w:t>
      </w:r>
      <w:r w:rsidR="00F30D36" w:rsidRPr="00D92198">
        <w:rPr>
          <w:szCs w:val="24"/>
        </w:rPr>
        <w:t xml:space="preserve"> nature and does not substantially alter existing arrangements</w:t>
      </w:r>
      <w:r w:rsidR="00F30D36">
        <w:rPr>
          <w:szCs w:val="24"/>
        </w:rPr>
        <w:t xml:space="preserve"> (see subsection 18(2)(a) of the </w:t>
      </w:r>
      <w:r w:rsidR="00F30D36" w:rsidRPr="00D92198">
        <w:rPr>
          <w:i/>
          <w:szCs w:val="24"/>
        </w:rPr>
        <w:t>Legislative Instruments Act 2003</w:t>
      </w:r>
      <w:r w:rsidR="00F30D36">
        <w:rPr>
          <w:szCs w:val="24"/>
        </w:rPr>
        <w:t>)</w:t>
      </w:r>
      <w:r w:rsidR="00F30D36" w:rsidRPr="00D92198">
        <w:rPr>
          <w:szCs w:val="24"/>
        </w:rPr>
        <w:t xml:space="preserve">. More specifically, the Regulation seeks only to </w:t>
      </w:r>
      <w:r>
        <w:rPr>
          <w:szCs w:val="24"/>
        </w:rPr>
        <w:t>modernise</w:t>
      </w:r>
      <w:r w:rsidRPr="00045BDC">
        <w:rPr>
          <w:szCs w:val="24"/>
        </w:rPr>
        <w:t xml:space="preserve"> </w:t>
      </w:r>
      <w:r>
        <w:rPr>
          <w:szCs w:val="24"/>
        </w:rPr>
        <w:t xml:space="preserve">the administrative </w:t>
      </w:r>
      <w:r w:rsidRPr="00045BDC">
        <w:rPr>
          <w:szCs w:val="24"/>
        </w:rPr>
        <w:t>requirements for the service</w:t>
      </w:r>
      <w:r>
        <w:rPr>
          <w:szCs w:val="24"/>
        </w:rPr>
        <w:t xml:space="preserve"> of documents, so </w:t>
      </w:r>
      <w:r w:rsidR="00F30D36">
        <w:rPr>
          <w:szCs w:val="24"/>
        </w:rPr>
        <w:t xml:space="preserve">as </w:t>
      </w:r>
      <w:r>
        <w:rPr>
          <w:szCs w:val="24"/>
        </w:rPr>
        <w:t xml:space="preserve">to remain up to date with current technological advancements </w:t>
      </w:r>
      <w:r w:rsidR="00F30D36">
        <w:rPr>
          <w:szCs w:val="24"/>
        </w:rPr>
        <w:t xml:space="preserve">that are </w:t>
      </w:r>
      <w:r>
        <w:rPr>
          <w:szCs w:val="24"/>
        </w:rPr>
        <w:t>already widely adopted within society</w:t>
      </w:r>
      <w:r w:rsidR="00F30D36">
        <w:rPr>
          <w:szCs w:val="24"/>
        </w:rPr>
        <w:t xml:space="preserve"> and to provide an additional option to the </w:t>
      </w:r>
      <w:proofErr w:type="spellStart"/>
      <w:r w:rsidR="00F30D36">
        <w:rPr>
          <w:szCs w:val="24"/>
        </w:rPr>
        <w:t>ACCC</w:t>
      </w:r>
      <w:proofErr w:type="spellEnd"/>
      <w:r w:rsidR="00F30D36">
        <w:rPr>
          <w:szCs w:val="24"/>
        </w:rPr>
        <w:t>,</w:t>
      </w:r>
      <w:r w:rsidR="003049D4">
        <w:rPr>
          <w:szCs w:val="24"/>
        </w:rPr>
        <w:t xml:space="preserve"> Australian Competition Tribunal,</w:t>
      </w:r>
      <w:r w:rsidR="00F30D36">
        <w:rPr>
          <w:szCs w:val="24"/>
        </w:rPr>
        <w:t xml:space="preserve"> businesses and households for t</w:t>
      </w:r>
      <w:r w:rsidR="00F30D36" w:rsidRPr="0076397A">
        <w:rPr>
          <w:szCs w:val="24"/>
        </w:rPr>
        <w:t xml:space="preserve">he service </w:t>
      </w:r>
      <w:r w:rsidR="00F30D36">
        <w:rPr>
          <w:szCs w:val="24"/>
        </w:rPr>
        <w:t xml:space="preserve">and receipt </w:t>
      </w:r>
      <w:r w:rsidR="00F30D36" w:rsidRPr="0076397A">
        <w:rPr>
          <w:szCs w:val="24"/>
        </w:rPr>
        <w:t>of documents</w:t>
      </w:r>
      <w:r w:rsidR="009F7232">
        <w:rPr>
          <w:szCs w:val="24"/>
        </w:rPr>
        <w:t xml:space="preserve">. </w:t>
      </w:r>
      <w:r w:rsidR="00F30D36">
        <w:rPr>
          <w:szCs w:val="24"/>
        </w:rPr>
        <w:t xml:space="preserve">Consultation was conducted with the </w:t>
      </w:r>
      <w:proofErr w:type="spellStart"/>
      <w:r w:rsidR="00F30D36">
        <w:rPr>
          <w:szCs w:val="24"/>
        </w:rPr>
        <w:t>ACCC</w:t>
      </w:r>
      <w:proofErr w:type="spellEnd"/>
      <w:r w:rsidR="004C25C8">
        <w:rPr>
          <w:szCs w:val="24"/>
        </w:rPr>
        <w:t>,</w:t>
      </w:r>
      <w:r w:rsidR="00F30D36">
        <w:rPr>
          <w:szCs w:val="24"/>
        </w:rPr>
        <w:t xml:space="preserve"> as the regulator responsible for adhering to and applying the Regulation</w:t>
      </w:r>
      <w:r w:rsidR="00395950">
        <w:rPr>
          <w:szCs w:val="24"/>
        </w:rPr>
        <w:t>, as well as</w:t>
      </w:r>
      <w:r w:rsidR="00321679">
        <w:rPr>
          <w:szCs w:val="24"/>
        </w:rPr>
        <w:t xml:space="preserve"> the Australian Competition Tribunal</w:t>
      </w:r>
      <w:r w:rsidR="009F7232">
        <w:rPr>
          <w:szCs w:val="24"/>
        </w:rPr>
        <w:t xml:space="preserve">. </w:t>
      </w:r>
    </w:p>
    <w:p w14:paraId="3639DB32" w14:textId="77777777" w:rsidR="00F30D36" w:rsidRPr="00045BDC" w:rsidRDefault="00F30D36" w:rsidP="00D92198">
      <w:pPr>
        <w:autoSpaceDE w:val="0"/>
        <w:autoSpaceDN w:val="0"/>
        <w:adjustRightInd w:val="0"/>
        <w:spacing w:before="0" w:after="0"/>
        <w:rPr>
          <w:szCs w:val="24"/>
        </w:rPr>
      </w:pPr>
    </w:p>
    <w:p w14:paraId="6B3368FA" w14:textId="77777777" w:rsidR="000C35DC" w:rsidRDefault="000C35DC" w:rsidP="00300CA9">
      <w:pPr>
        <w:pStyle w:val="Heading2"/>
        <w:spacing w:line="276" w:lineRule="auto"/>
        <w:jc w:val="right"/>
        <w:rPr>
          <w:b w:val="0"/>
          <w:szCs w:val="28"/>
        </w:rPr>
      </w:pPr>
    </w:p>
    <w:p w14:paraId="2D158A43" w14:textId="77777777" w:rsidR="000C35DC" w:rsidRDefault="000C35DC" w:rsidP="000C35DC">
      <w:pPr>
        <w:rPr>
          <w:sz w:val="28"/>
          <w:u w:val="single"/>
        </w:rPr>
      </w:pPr>
      <w:r>
        <w:br w:type="page"/>
      </w:r>
    </w:p>
    <w:p w14:paraId="33133FF0" w14:textId="2E4F239A" w:rsidR="0038306F" w:rsidRPr="0076397A" w:rsidRDefault="0038306F" w:rsidP="00300CA9">
      <w:pPr>
        <w:pStyle w:val="Heading2"/>
        <w:spacing w:line="276" w:lineRule="auto"/>
        <w:jc w:val="right"/>
      </w:pPr>
      <w:r w:rsidRPr="0076397A">
        <w:lastRenderedPageBreak/>
        <w:t>ATTACHMENT</w:t>
      </w:r>
    </w:p>
    <w:p w14:paraId="0488B647" w14:textId="41C71CE7" w:rsidR="0038306F" w:rsidRPr="0076397A" w:rsidRDefault="0038306F" w:rsidP="00B36EE5">
      <w:pPr>
        <w:pStyle w:val="base-text-paragraph"/>
        <w:spacing w:before="0" w:after="240"/>
        <w:ind w:left="0"/>
        <w:rPr>
          <w:b/>
          <w:i/>
          <w:u w:val="single"/>
        </w:rPr>
      </w:pPr>
      <w:r w:rsidRPr="0076397A">
        <w:rPr>
          <w:b/>
          <w:u w:val="single"/>
        </w:rPr>
        <w:t>Details of the</w:t>
      </w:r>
      <w:r w:rsidRPr="0076397A">
        <w:rPr>
          <w:b/>
          <w:i/>
          <w:u w:val="single"/>
        </w:rPr>
        <w:t xml:space="preserve"> Competition and Consumer Amendment (Electronic Service of Documents</w:t>
      </w:r>
      <w:r w:rsidR="00BD4954">
        <w:rPr>
          <w:b/>
          <w:i/>
          <w:u w:val="single"/>
        </w:rPr>
        <w:t xml:space="preserve"> and Other Measures</w:t>
      </w:r>
      <w:r w:rsidRPr="0076397A">
        <w:rPr>
          <w:b/>
          <w:i/>
          <w:u w:val="single"/>
        </w:rPr>
        <w:t>) Regulation 2015</w:t>
      </w:r>
    </w:p>
    <w:p w14:paraId="0BC57E57" w14:textId="77777777" w:rsidR="0038306F" w:rsidRPr="0076397A" w:rsidRDefault="0038306F" w:rsidP="00B36EE5">
      <w:pPr>
        <w:pStyle w:val="base-text-paragraph"/>
        <w:spacing w:before="0" w:after="240"/>
        <w:ind w:left="0"/>
        <w:rPr>
          <w:u w:val="single"/>
        </w:rPr>
      </w:pPr>
      <w:r w:rsidRPr="0076397A">
        <w:rPr>
          <w:u w:val="single"/>
        </w:rPr>
        <w:t>Section 1 – Name of Regulation</w:t>
      </w:r>
    </w:p>
    <w:p w14:paraId="328C7A17" w14:textId="7F443577" w:rsidR="0038306F" w:rsidRPr="0076397A" w:rsidRDefault="0038306F" w:rsidP="00B36EE5">
      <w:pPr>
        <w:pStyle w:val="base-text-paragraph"/>
        <w:spacing w:before="0" w:after="240"/>
        <w:ind w:left="0"/>
      </w:pPr>
      <w:r w:rsidRPr="0076397A">
        <w:t xml:space="preserve">This section provides that the title of the Regulation is the </w:t>
      </w:r>
      <w:r w:rsidR="00B222E9" w:rsidRPr="0076397A">
        <w:rPr>
          <w:i/>
        </w:rPr>
        <w:t>Competition and Consumer Amendment (Electronic Service of Documents</w:t>
      </w:r>
      <w:r w:rsidR="00BD4954">
        <w:rPr>
          <w:i/>
        </w:rPr>
        <w:t xml:space="preserve"> and Other Measures</w:t>
      </w:r>
      <w:r w:rsidR="00B222E9" w:rsidRPr="0076397A">
        <w:rPr>
          <w:i/>
        </w:rPr>
        <w:t>) Regulation 2015</w:t>
      </w:r>
      <w:r w:rsidR="00B222E9" w:rsidRPr="0076397A">
        <w:t xml:space="preserve"> </w:t>
      </w:r>
      <w:r w:rsidRPr="0076397A">
        <w:t>(</w:t>
      </w:r>
      <w:r w:rsidR="00086465">
        <w:t xml:space="preserve">the </w:t>
      </w:r>
      <w:r w:rsidRPr="0076397A">
        <w:t>Regulation).</w:t>
      </w:r>
    </w:p>
    <w:p w14:paraId="52349DD2" w14:textId="77777777" w:rsidR="0038306F" w:rsidRPr="0076397A" w:rsidRDefault="0038306F" w:rsidP="00B36EE5">
      <w:pPr>
        <w:pStyle w:val="base-text-paragraph"/>
        <w:spacing w:before="0" w:after="240"/>
        <w:ind w:left="0"/>
        <w:rPr>
          <w:u w:val="single"/>
        </w:rPr>
      </w:pPr>
      <w:r w:rsidRPr="0076397A">
        <w:rPr>
          <w:u w:val="single"/>
        </w:rPr>
        <w:t>Section 2 – Commencement</w:t>
      </w:r>
    </w:p>
    <w:p w14:paraId="4797567B" w14:textId="63EEBAF7" w:rsidR="0038306F" w:rsidRPr="0076397A" w:rsidRDefault="0038306F" w:rsidP="00B36EE5">
      <w:pPr>
        <w:pStyle w:val="base-text-paragraph"/>
        <w:spacing w:before="0" w:after="240"/>
        <w:ind w:left="0"/>
      </w:pPr>
      <w:r w:rsidRPr="0076397A">
        <w:t>This section provides that the Regulation commence</w:t>
      </w:r>
      <w:r w:rsidR="00B222E9" w:rsidRPr="0076397A">
        <w:t>s on the day after registration</w:t>
      </w:r>
      <w:r w:rsidR="000E4BA3">
        <w:t>.</w:t>
      </w:r>
      <w:r w:rsidR="00B222E9" w:rsidRPr="0076397A">
        <w:t xml:space="preserve"> </w:t>
      </w:r>
    </w:p>
    <w:p w14:paraId="13DD9AAE" w14:textId="77777777" w:rsidR="0038306F" w:rsidRPr="0076397A" w:rsidRDefault="0038306F" w:rsidP="00B36EE5">
      <w:pPr>
        <w:pStyle w:val="base-text-paragraph"/>
        <w:spacing w:before="0" w:after="240"/>
        <w:ind w:left="0"/>
        <w:rPr>
          <w:u w:val="single"/>
        </w:rPr>
      </w:pPr>
      <w:r w:rsidRPr="0076397A">
        <w:rPr>
          <w:u w:val="single"/>
        </w:rPr>
        <w:t>Section 3 – Authority</w:t>
      </w:r>
    </w:p>
    <w:p w14:paraId="3783D190" w14:textId="11A854C9" w:rsidR="0038306F" w:rsidRPr="0076397A" w:rsidRDefault="0038306F" w:rsidP="00B36EE5">
      <w:pPr>
        <w:pStyle w:val="base-text-paragraph"/>
        <w:spacing w:before="0" w:after="240"/>
        <w:ind w:left="0"/>
      </w:pPr>
      <w:r w:rsidRPr="0076397A">
        <w:t xml:space="preserve">This section provides that the Regulation is made under the </w:t>
      </w:r>
      <w:r w:rsidR="00A07F9C" w:rsidRPr="0076397A">
        <w:rPr>
          <w:i/>
        </w:rPr>
        <w:t>Competition and Consumer Act 2010</w:t>
      </w:r>
      <w:r w:rsidR="00E241D8">
        <w:rPr>
          <w:i/>
        </w:rPr>
        <w:t xml:space="preserve"> </w:t>
      </w:r>
      <w:r w:rsidR="00E241D8">
        <w:t>(the CC</w:t>
      </w:r>
      <w:r w:rsidR="00502E7C">
        <w:t xml:space="preserve"> </w:t>
      </w:r>
      <w:r w:rsidR="00E241D8">
        <w:t>A</w:t>
      </w:r>
      <w:r w:rsidR="00502E7C">
        <w:t>ct</w:t>
      </w:r>
      <w:r w:rsidR="00E241D8">
        <w:t>)</w:t>
      </w:r>
      <w:r w:rsidRPr="0076397A">
        <w:t>.</w:t>
      </w:r>
    </w:p>
    <w:p w14:paraId="570B5EAC" w14:textId="77777777" w:rsidR="0038306F" w:rsidRPr="0076397A" w:rsidRDefault="0038306F" w:rsidP="00B36EE5">
      <w:pPr>
        <w:pStyle w:val="base-text-paragraph"/>
        <w:spacing w:before="0" w:after="240"/>
        <w:ind w:left="0"/>
        <w:rPr>
          <w:u w:val="single"/>
        </w:rPr>
      </w:pPr>
      <w:r w:rsidRPr="0076397A">
        <w:rPr>
          <w:u w:val="single"/>
        </w:rPr>
        <w:t>Section 4 – Schedules</w:t>
      </w:r>
    </w:p>
    <w:p w14:paraId="6A3BD2C2" w14:textId="5C7608B6" w:rsidR="0038306F" w:rsidRPr="0076397A" w:rsidRDefault="0038306F" w:rsidP="00B36EE5">
      <w:pPr>
        <w:tabs>
          <w:tab w:val="left" w:pos="3544"/>
          <w:tab w:val="left" w:pos="4536"/>
        </w:tabs>
        <w:spacing w:before="0" w:after="240"/>
        <w:ind w:right="91"/>
      </w:pPr>
      <w:r w:rsidRPr="0076397A">
        <w:t xml:space="preserve">This section provides that each instrument that is specified in </w:t>
      </w:r>
      <w:r w:rsidR="007B2905">
        <w:t>the</w:t>
      </w:r>
      <w:r w:rsidRPr="0076397A">
        <w:t xml:space="preserve"> Schedule to this instrument is amended or repealed </w:t>
      </w:r>
      <w:r w:rsidR="001B02C2">
        <w:t xml:space="preserve">or otherwise </w:t>
      </w:r>
      <w:r w:rsidRPr="0076397A">
        <w:t>has effect according to its terms.</w:t>
      </w:r>
    </w:p>
    <w:p w14:paraId="14115A5C" w14:textId="77777777" w:rsidR="0038306F" w:rsidRPr="0076397A" w:rsidRDefault="0038306F" w:rsidP="00B36EE5">
      <w:pPr>
        <w:tabs>
          <w:tab w:val="left" w:pos="3544"/>
          <w:tab w:val="left" w:pos="4536"/>
        </w:tabs>
        <w:spacing w:before="0" w:after="240"/>
        <w:ind w:right="91"/>
        <w:rPr>
          <w:u w:val="single"/>
        </w:rPr>
      </w:pPr>
      <w:r w:rsidRPr="0076397A">
        <w:rPr>
          <w:u w:val="single"/>
        </w:rPr>
        <w:t>Schedule 1</w:t>
      </w:r>
      <w:r w:rsidR="00A07F9C" w:rsidRPr="0076397A">
        <w:rPr>
          <w:u w:val="single"/>
        </w:rPr>
        <w:t xml:space="preserve"> </w:t>
      </w:r>
      <w:r w:rsidRPr="0076397A">
        <w:rPr>
          <w:u w:val="single"/>
        </w:rPr>
        <w:t>- Amendments</w:t>
      </w:r>
    </w:p>
    <w:p w14:paraId="73DAE26D" w14:textId="77777777" w:rsidR="000B6446" w:rsidRPr="009B3065" w:rsidRDefault="000B6446" w:rsidP="000B6446">
      <w:pPr>
        <w:spacing w:before="0" w:after="240"/>
      </w:pPr>
      <w:r w:rsidRPr="0076397A">
        <w:t>The objective of the CC</w:t>
      </w:r>
      <w:r>
        <w:t xml:space="preserve"> </w:t>
      </w:r>
      <w:r w:rsidRPr="0076397A">
        <w:t>A</w:t>
      </w:r>
      <w:r>
        <w:t>ct</w:t>
      </w:r>
      <w:r w:rsidRPr="0076397A">
        <w:t xml:space="preserve"> is to enhance the welfare of Australians through the promotion of competition and fair trading and to make provisions for consumer protection</w:t>
      </w:r>
      <w:r>
        <w:t>. In pursuing this, the</w:t>
      </w:r>
      <w:r w:rsidRPr="0076397A">
        <w:rPr>
          <w:szCs w:val="24"/>
        </w:rPr>
        <w:t xml:space="preserve"> CC</w:t>
      </w:r>
      <w:r>
        <w:rPr>
          <w:szCs w:val="24"/>
        </w:rPr>
        <w:t xml:space="preserve"> </w:t>
      </w:r>
      <w:r w:rsidRPr="0076397A">
        <w:rPr>
          <w:szCs w:val="24"/>
        </w:rPr>
        <w:t>A</w:t>
      </w:r>
      <w:r>
        <w:rPr>
          <w:szCs w:val="24"/>
        </w:rPr>
        <w:t>ct</w:t>
      </w:r>
      <w:r w:rsidRPr="0076397A">
        <w:rPr>
          <w:szCs w:val="24"/>
        </w:rPr>
        <w:t xml:space="preserve"> requires </w:t>
      </w:r>
      <w:r>
        <w:rPr>
          <w:szCs w:val="24"/>
        </w:rPr>
        <w:t xml:space="preserve">that </w:t>
      </w:r>
      <w:r w:rsidRPr="0076397A">
        <w:rPr>
          <w:szCs w:val="24"/>
        </w:rPr>
        <w:t xml:space="preserve">certain documents </w:t>
      </w:r>
      <w:r>
        <w:rPr>
          <w:szCs w:val="24"/>
        </w:rPr>
        <w:t xml:space="preserve">must </w:t>
      </w:r>
      <w:r w:rsidRPr="0076397A">
        <w:rPr>
          <w:szCs w:val="24"/>
        </w:rPr>
        <w:t>be served on a person connected to a proceeding or matter before the A</w:t>
      </w:r>
      <w:r>
        <w:rPr>
          <w:szCs w:val="24"/>
        </w:rPr>
        <w:t xml:space="preserve">ustralian </w:t>
      </w:r>
      <w:r w:rsidRPr="0076397A">
        <w:rPr>
          <w:szCs w:val="24"/>
        </w:rPr>
        <w:t>C</w:t>
      </w:r>
      <w:r>
        <w:rPr>
          <w:szCs w:val="24"/>
        </w:rPr>
        <w:t xml:space="preserve">ompetition and </w:t>
      </w:r>
      <w:r w:rsidRPr="0076397A">
        <w:rPr>
          <w:szCs w:val="24"/>
        </w:rPr>
        <w:t>C</w:t>
      </w:r>
      <w:r>
        <w:rPr>
          <w:szCs w:val="24"/>
        </w:rPr>
        <w:t xml:space="preserve">onsumer </w:t>
      </w:r>
      <w:r w:rsidRPr="0076397A">
        <w:rPr>
          <w:szCs w:val="24"/>
        </w:rPr>
        <w:t>C</w:t>
      </w:r>
      <w:r>
        <w:rPr>
          <w:szCs w:val="24"/>
        </w:rPr>
        <w:t>ommission (</w:t>
      </w:r>
      <w:proofErr w:type="spellStart"/>
      <w:r>
        <w:rPr>
          <w:szCs w:val="24"/>
        </w:rPr>
        <w:t>ACCC</w:t>
      </w:r>
      <w:proofErr w:type="spellEnd"/>
      <w:r>
        <w:rPr>
          <w:szCs w:val="24"/>
        </w:rPr>
        <w:t>) or the Australian Competition Tribunal (Tribunal)</w:t>
      </w:r>
      <w:r w:rsidRPr="0076397A">
        <w:rPr>
          <w:szCs w:val="24"/>
        </w:rPr>
        <w:t>, to ensure that person is privy to information relating to that proceeding or matter</w:t>
      </w:r>
      <w:r>
        <w:rPr>
          <w:szCs w:val="24"/>
        </w:rPr>
        <w:t xml:space="preserve">. </w:t>
      </w:r>
    </w:p>
    <w:p w14:paraId="1A2DF4E2" w14:textId="5F091504" w:rsidR="00E241D8" w:rsidRDefault="00E241D8" w:rsidP="00B36EE5">
      <w:pPr>
        <w:spacing w:before="0" w:after="240"/>
        <w:rPr>
          <w:szCs w:val="24"/>
        </w:rPr>
      </w:pPr>
      <w:r w:rsidRPr="0076397A">
        <w:rPr>
          <w:szCs w:val="24"/>
        </w:rPr>
        <w:t xml:space="preserve">The </w:t>
      </w:r>
      <w:r w:rsidRPr="0076397A">
        <w:rPr>
          <w:i/>
          <w:iCs/>
          <w:szCs w:val="24"/>
        </w:rPr>
        <w:t>Competition and Consumer Regulations 2010</w:t>
      </w:r>
      <w:r w:rsidRPr="0076397A">
        <w:rPr>
          <w:szCs w:val="24"/>
        </w:rPr>
        <w:t xml:space="preserve"> (the Principal Regulations)</w:t>
      </w:r>
      <w:r w:rsidRPr="0076397A">
        <w:rPr>
          <w:i/>
          <w:iCs/>
          <w:szCs w:val="24"/>
        </w:rPr>
        <w:t xml:space="preserve"> </w:t>
      </w:r>
      <w:r w:rsidRPr="0076397A">
        <w:rPr>
          <w:szCs w:val="24"/>
        </w:rPr>
        <w:t>supplement</w:t>
      </w:r>
      <w:r>
        <w:rPr>
          <w:szCs w:val="24"/>
        </w:rPr>
        <w:t>s</w:t>
      </w:r>
      <w:r w:rsidRPr="0076397A">
        <w:rPr>
          <w:szCs w:val="24"/>
        </w:rPr>
        <w:t xml:space="preserve"> the CC</w:t>
      </w:r>
      <w:r w:rsidR="00502E7C">
        <w:rPr>
          <w:szCs w:val="24"/>
        </w:rPr>
        <w:t xml:space="preserve"> </w:t>
      </w:r>
      <w:r w:rsidRPr="0076397A">
        <w:rPr>
          <w:szCs w:val="24"/>
        </w:rPr>
        <w:t>A</w:t>
      </w:r>
      <w:r w:rsidR="00502E7C">
        <w:rPr>
          <w:szCs w:val="24"/>
        </w:rPr>
        <w:t>ct</w:t>
      </w:r>
      <w:r>
        <w:rPr>
          <w:szCs w:val="24"/>
        </w:rPr>
        <w:t xml:space="preserve"> by, among other things, dictating the administrative requirements for the service of documents</w:t>
      </w:r>
      <w:r w:rsidR="009F7232">
        <w:rPr>
          <w:szCs w:val="24"/>
        </w:rPr>
        <w:t xml:space="preserve">. </w:t>
      </w:r>
    </w:p>
    <w:p w14:paraId="770BE5ED" w14:textId="6FE5426B" w:rsidR="00501166" w:rsidRDefault="00501166" w:rsidP="00B36EE5">
      <w:pPr>
        <w:spacing w:before="0" w:after="240"/>
        <w:rPr>
          <w:szCs w:val="24"/>
        </w:rPr>
      </w:pPr>
      <w:r>
        <w:rPr>
          <w:szCs w:val="24"/>
        </w:rPr>
        <w:t>Currently, under the Principal Regulations, an address for service is generally identified as a postal address.</w:t>
      </w:r>
    </w:p>
    <w:p w14:paraId="6E10E650" w14:textId="634E95A9" w:rsidR="00086465" w:rsidRPr="0076397A" w:rsidRDefault="00E241D8" w:rsidP="00B36EE5">
      <w:pPr>
        <w:spacing w:before="0" w:after="240"/>
      </w:pPr>
      <w:r w:rsidRPr="0076397A">
        <w:rPr>
          <w:szCs w:val="24"/>
        </w:rPr>
        <w:t xml:space="preserve">The </w:t>
      </w:r>
      <w:r>
        <w:rPr>
          <w:szCs w:val="24"/>
        </w:rPr>
        <w:t>Regulation</w:t>
      </w:r>
      <w:r w:rsidR="00086465">
        <w:rPr>
          <w:szCs w:val="24"/>
        </w:rPr>
        <w:t xml:space="preserve"> </w:t>
      </w:r>
      <w:r>
        <w:rPr>
          <w:szCs w:val="24"/>
        </w:rPr>
        <w:t>amend</w:t>
      </w:r>
      <w:r w:rsidR="00086465">
        <w:rPr>
          <w:szCs w:val="24"/>
        </w:rPr>
        <w:t>s</w:t>
      </w:r>
      <w:r>
        <w:rPr>
          <w:szCs w:val="24"/>
        </w:rPr>
        <w:t xml:space="preserve"> </w:t>
      </w:r>
      <w:r w:rsidR="00086465">
        <w:rPr>
          <w:szCs w:val="24"/>
        </w:rPr>
        <w:t>administrative requirements contained in the</w:t>
      </w:r>
      <w:r w:rsidRPr="0076397A">
        <w:rPr>
          <w:szCs w:val="24"/>
        </w:rPr>
        <w:t xml:space="preserve"> Principal Regulations</w:t>
      </w:r>
      <w:r w:rsidRPr="0076397A">
        <w:rPr>
          <w:i/>
          <w:iCs/>
          <w:szCs w:val="24"/>
        </w:rPr>
        <w:t xml:space="preserve"> </w:t>
      </w:r>
      <w:r w:rsidRPr="0076397A">
        <w:rPr>
          <w:szCs w:val="24"/>
        </w:rPr>
        <w:t xml:space="preserve">to </w:t>
      </w:r>
      <w:r w:rsidR="00086465">
        <w:rPr>
          <w:szCs w:val="24"/>
        </w:rPr>
        <w:t>allow an address for service to be an electronic address</w:t>
      </w:r>
      <w:r w:rsidR="000B6446">
        <w:rPr>
          <w:szCs w:val="24"/>
        </w:rPr>
        <w:t xml:space="preserve"> and to repeal Division 3</w:t>
      </w:r>
      <w:r w:rsidR="009F7232">
        <w:rPr>
          <w:szCs w:val="24"/>
        </w:rPr>
        <w:t xml:space="preserve">. </w:t>
      </w:r>
    </w:p>
    <w:p w14:paraId="791368EE" w14:textId="22500C03" w:rsidR="00047746" w:rsidRPr="0076397A" w:rsidRDefault="00BD4B56" w:rsidP="00B36EE5">
      <w:pPr>
        <w:spacing w:before="0" w:after="240"/>
      </w:pPr>
      <w:r>
        <w:t>I</w:t>
      </w:r>
      <w:r w:rsidR="00BD4954">
        <w:t>tem</w:t>
      </w:r>
      <w:r w:rsidR="008D4CB8">
        <w:t>s</w:t>
      </w:r>
      <w:r w:rsidR="00BD4954">
        <w:t xml:space="preserve"> 1</w:t>
      </w:r>
      <w:r w:rsidR="008D4CB8">
        <w:t>-</w:t>
      </w:r>
      <w:r w:rsidR="00B646D2">
        <w:t>4</w:t>
      </w:r>
      <w:r w:rsidR="00945F3F">
        <w:t xml:space="preserve"> </w:t>
      </w:r>
      <w:r w:rsidR="00B562D2">
        <w:t xml:space="preserve">and 15 </w:t>
      </w:r>
      <w:r w:rsidR="00945F3F">
        <w:t xml:space="preserve">of Schedule 1 to the Regulation </w:t>
      </w:r>
      <w:r w:rsidR="00B646D2">
        <w:t>amend the Pri</w:t>
      </w:r>
      <w:r w:rsidR="00F413A8">
        <w:t>ncipal</w:t>
      </w:r>
      <w:r w:rsidR="00B646D2">
        <w:t xml:space="preserve"> Regulation</w:t>
      </w:r>
      <w:r w:rsidR="00F413A8">
        <w:t>s</w:t>
      </w:r>
      <w:r w:rsidR="00B646D2">
        <w:t xml:space="preserve"> to </w:t>
      </w:r>
      <w:r w:rsidR="00945F3F">
        <w:t>allow for an electronic address to be provided as an address for service</w:t>
      </w:r>
      <w:r w:rsidR="00B646D2">
        <w:t xml:space="preserve"> as an alternative to a postal address</w:t>
      </w:r>
      <w:r w:rsidR="00E861C1">
        <w:t>.</w:t>
      </w:r>
      <w:r w:rsidR="00B646D2">
        <w:t xml:space="preserve"> This is achieved by inserting the words “(which may be an electronic address)” in connection with a requirement</w:t>
      </w:r>
      <w:r w:rsidR="00B562D2">
        <w:t xml:space="preserve"> (or permission) for </w:t>
      </w:r>
      <w:r w:rsidR="00B646D2">
        <w:t>a party to provide an address for delivery of documents in the Pri</w:t>
      </w:r>
      <w:r w:rsidR="00F413A8">
        <w:t>ncipal</w:t>
      </w:r>
      <w:r w:rsidR="00B646D2">
        <w:t xml:space="preserve"> Regulation</w:t>
      </w:r>
      <w:r w:rsidR="00F413A8">
        <w:t>s</w:t>
      </w:r>
      <w:r w:rsidR="00B646D2">
        <w:t xml:space="preserve">. </w:t>
      </w:r>
      <w:r w:rsidR="00B562D2">
        <w:t xml:space="preserve">Item 15 </w:t>
      </w:r>
      <w:r w:rsidR="00B562D2" w:rsidRPr="0076397A">
        <w:t>of Schedule 1 to the Regulation</w:t>
      </w:r>
      <w:r w:rsidR="00B562D2">
        <w:t xml:space="preserve"> inserts </w:t>
      </w:r>
      <w:proofErr w:type="spellStart"/>
      <w:r w:rsidR="00B562D2">
        <w:t>subregulation</w:t>
      </w:r>
      <w:proofErr w:type="spellEnd"/>
      <w:r w:rsidR="00B562D2">
        <w:t xml:space="preserve"> 21(1A) after </w:t>
      </w:r>
      <w:proofErr w:type="spellStart"/>
      <w:r w:rsidR="00B562D2">
        <w:t>subregulation</w:t>
      </w:r>
      <w:proofErr w:type="spellEnd"/>
      <w:r w:rsidR="00B562D2">
        <w:t xml:space="preserve"> 21(1) to allow an electronic address for the service of documents to optionally be provided in addition to the postal address required in </w:t>
      </w:r>
      <w:proofErr w:type="spellStart"/>
      <w:r w:rsidR="00B562D2">
        <w:t>subregulation</w:t>
      </w:r>
      <w:proofErr w:type="spellEnd"/>
      <w:r w:rsidR="00B562D2">
        <w:t xml:space="preserve"> 21(1).</w:t>
      </w:r>
    </w:p>
    <w:p w14:paraId="3148732E" w14:textId="7C4F0910" w:rsidR="00047746" w:rsidRPr="0076397A" w:rsidRDefault="000D078D" w:rsidP="00B36EE5">
      <w:pPr>
        <w:spacing w:before="0" w:after="240"/>
      </w:pPr>
      <w:proofErr w:type="spellStart"/>
      <w:r w:rsidRPr="0076397A">
        <w:lastRenderedPageBreak/>
        <w:t>Subregulation</w:t>
      </w:r>
      <w:proofErr w:type="spellEnd"/>
      <w:r w:rsidR="00047746" w:rsidRPr="0076397A">
        <w:t xml:space="preserve"> 12(3) outlines the method for the service of documents to a person connected with a proceeding or matter before the Commission.</w:t>
      </w:r>
      <w:r w:rsidR="00B562D2">
        <w:t xml:space="preserve"> </w:t>
      </w:r>
      <w:r w:rsidR="00047746" w:rsidRPr="0076397A">
        <w:t xml:space="preserve">Item </w:t>
      </w:r>
      <w:r w:rsidR="00E861C1">
        <w:t>5</w:t>
      </w:r>
      <w:r w:rsidR="00047746" w:rsidRPr="0076397A">
        <w:t xml:space="preserve"> of Schedule 1 to the Regulation adds the words “that is not an electronic address” after the words “address for service” to </w:t>
      </w:r>
      <w:proofErr w:type="spellStart"/>
      <w:r w:rsidRPr="0076397A">
        <w:t>subregulation</w:t>
      </w:r>
      <w:proofErr w:type="spellEnd"/>
      <w:r w:rsidR="00047746" w:rsidRPr="0076397A">
        <w:t xml:space="preserve"> 12(3)(a) to avoid confusion</w:t>
      </w:r>
      <w:r w:rsidR="00515C73">
        <w:t>,</w:t>
      </w:r>
      <w:r w:rsidR="00047746" w:rsidRPr="0076397A">
        <w:t xml:space="preserve"> as this </w:t>
      </w:r>
      <w:proofErr w:type="spellStart"/>
      <w:r w:rsidRPr="0076397A">
        <w:t>subregulation</w:t>
      </w:r>
      <w:proofErr w:type="spellEnd"/>
      <w:r w:rsidR="00047746" w:rsidRPr="0076397A">
        <w:t xml:space="preserve"> relates only to the service of documents by personal delivery or via registered post</w:t>
      </w:r>
      <w:r w:rsidR="009F7232">
        <w:t xml:space="preserve">. </w:t>
      </w:r>
    </w:p>
    <w:p w14:paraId="43776854" w14:textId="57912ED2" w:rsidR="00047746" w:rsidRDefault="00047746" w:rsidP="00B36EE5">
      <w:pPr>
        <w:spacing w:before="0" w:after="240"/>
      </w:pPr>
      <w:r w:rsidRPr="0076397A">
        <w:t xml:space="preserve">Item </w:t>
      </w:r>
      <w:r w:rsidR="00E861C1">
        <w:t>6</w:t>
      </w:r>
      <w:r w:rsidRPr="0076397A">
        <w:t xml:space="preserve"> of Schedule 1 to the Regulation inserts </w:t>
      </w:r>
      <w:proofErr w:type="spellStart"/>
      <w:r w:rsidR="000D078D" w:rsidRPr="0076397A">
        <w:t>subregulation</w:t>
      </w:r>
      <w:proofErr w:type="spellEnd"/>
      <w:r w:rsidRPr="0076397A">
        <w:t xml:space="preserve"> (</w:t>
      </w:r>
      <w:proofErr w:type="spellStart"/>
      <w:r w:rsidRPr="0076397A">
        <w:t>aa</w:t>
      </w:r>
      <w:proofErr w:type="spellEnd"/>
      <w:r w:rsidRPr="0076397A">
        <w:t xml:space="preserve">) after </w:t>
      </w:r>
      <w:r w:rsidR="00544212" w:rsidRPr="0076397A">
        <w:t>paragraph</w:t>
      </w:r>
      <w:r w:rsidRPr="0076397A">
        <w:t xml:space="preserve"> 12(3)(a) to provide an equivalent provision to </w:t>
      </w:r>
      <w:proofErr w:type="spellStart"/>
      <w:r w:rsidR="000D078D" w:rsidRPr="0076397A">
        <w:t>subregulation</w:t>
      </w:r>
      <w:proofErr w:type="spellEnd"/>
      <w:r w:rsidRPr="0076397A">
        <w:t xml:space="preserve"> (a) for the service of documents to an electronic address.</w:t>
      </w:r>
    </w:p>
    <w:p w14:paraId="10731574" w14:textId="0200AC43" w:rsidR="00CD515A" w:rsidRPr="0076397A" w:rsidRDefault="00CD515A" w:rsidP="00B36EE5">
      <w:pPr>
        <w:spacing w:before="0" w:after="240"/>
      </w:pPr>
      <w:r>
        <w:t xml:space="preserve">Subparagraph 12(3)(b)(ii) allows for documents to delivered to a person (other than a body corporate) </w:t>
      </w:r>
      <w:r w:rsidR="00591BEC">
        <w:t xml:space="preserve">to </w:t>
      </w:r>
      <w:r>
        <w:t>their last known address</w:t>
      </w:r>
      <w:r w:rsidR="009F7232">
        <w:t xml:space="preserve">. </w:t>
      </w:r>
      <w:r>
        <w:t>Item 7 of Schedule 1 to the Regulation extends this to allow documents to be sent to the last electronic address used by a person to contact the Commission</w:t>
      </w:r>
      <w:r w:rsidR="00F413A8">
        <w:t xml:space="preserve">. </w:t>
      </w:r>
    </w:p>
    <w:p w14:paraId="56EA3655" w14:textId="7F1B9F79" w:rsidR="00047746" w:rsidRPr="0076397A" w:rsidRDefault="000D078D" w:rsidP="00B36EE5">
      <w:pPr>
        <w:spacing w:before="0" w:after="240"/>
      </w:pPr>
      <w:proofErr w:type="spellStart"/>
      <w:r w:rsidRPr="0076397A">
        <w:t>Subregulation</w:t>
      </w:r>
      <w:proofErr w:type="spellEnd"/>
      <w:r w:rsidR="00047746" w:rsidRPr="0076397A">
        <w:t xml:space="preserve"> 12(4) outlines the method </w:t>
      </w:r>
      <w:r w:rsidR="00B562D2">
        <w:t>that</w:t>
      </w:r>
      <w:r w:rsidR="00B562D2" w:rsidRPr="0076397A">
        <w:t xml:space="preserve"> </w:t>
      </w:r>
      <w:r w:rsidR="007A1752" w:rsidRPr="0076397A">
        <w:t xml:space="preserve">the Commission </w:t>
      </w:r>
      <w:r w:rsidR="00B562D2">
        <w:t xml:space="preserve">must follow </w:t>
      </w:r>
      <w:r w:rsidR="007A1752" w:rsidRPr="0076397A">
        <w:t xml:space="preserve">when </w:t>
      </w:r>
      <w:r w:rsidR="00047746" w:rsidRPr="0076397A">
        <w:t xml:space="preserve">giving notice </w:t>
      </w:r>
      <w:r w:rsidR="007A1752" w:rsidRPr="0076397A">
        <w:t xml:space="preserve">under </w:t>
      </w:r>
      <w:r w:rsidRPr="0076397A">
        <w:t>sub</w:t>
      </w:r>
      <w:r w:rsidR="00EE3A4E">
        <w:t>sect</w:t>
      </w:r>
      <w:r w:rsidRPr="0076397A">
        <w:t>ion</w:t>
      </w:r>
      <w:r w:rsidR="007A1752" w:rsidRPr="0076397A">
        <w:t xml:space="preserve"> 90A(2) or 93A(</w:t>
      </w:r>
      <w:r w:rsidR="003254B1">
        <w:t>2</w:t>
      </w:r>
      <w:r w:rsidR="007A1752" w:rsidRPr="0076397A">
        <w:t>) of the CC</w:t>
      </w:r>
      <w:r w:rsidR="00EF60A4">
        <w:t xml:space="preserve"> </w:t>
      </w:r>
      <w:r w:rsidR="007A1752" w:rsidRPr="0076397A">
        <w:t>A</w:t>
      </w:r>
      <w:r w:rsidR="00EF60A4">
        <w:t>ct</w:t>
      </w:r>
      <w:r w:rsidR="009F7232">
        <w:t xml:space="preserve">. </w:t>
      </w:r>
    </w:p>
    <w:p w14:paraId="30CDD047" w14:textId="13086DA4" w:rsidR="000D078D" w:rsidRPr="0076397A" w:rsidRDefault="00047746" w:rsidP="00B36EE5">
      <w:pPr>
        <w:spacing w:before="0" w:after="240"/>
      </w:pPr>
      <w:r w:rsidRPr="0076397A">
        <w:t>Item</w:t>
      </w:r>
      <w:r w:rsidR="000D078D" w:rsidRPr="0076397A">
        <w:t>s</w:t>
      </w:r>
      <w:r w:rsidRPr="0076397A">
        <w:t xml:space="preserve"> </w:t>
      </w:r>
      <w:r w:rsidR="0054515F">
        <w:t>8</w:t>
      </w:r>
      <w:r w:rsidR="0054515F" w:rsidRPr="0076397A">
        <w:t xml:space="preserve"> </w:t>
      </w:r>
      <w:r w:rsidR="000D078D" w:rsidRPr="0076397A">
        <w:t xml:space="preserve">and </w:t>
      </w:r>
      <w:r w:rsidR="0054515F">
        <w:t>9</w:t>
      </w:r>
      <w:r w:rsidRPr="0076397A">
        <w:t xml:space="preserve"> of Schedule 1 to the Regulation</w:t>
      </w:r>
      <w:r w:rsidR="000D078D" w:rsidRPr="0076397A">
        <w:t xml:space="preserve"> </w:t>
      </w:r>
      <w:r w:rsidR="00B562D2">
        <w:t xml:space="preserve">amend the Principal Regulation so that </w:t>
      </w:r>
      <w:r w:rsidRPr="0076397A">
        <w:t xml:space="preserve">the </w:t>
      </w:r>
      <w:r w:rsidR="007A1752" w:rsidRPr="0076397A">
        <w:t>requirement to send</w:t>
      </w:r>
      <w:r w:rsidRPr="0076397A">
        <w:t xml:space="preserve"> notice by pre-paid post</w:t>
      </w:r>
      <w:r w:rsidR="000D078D" w:rsidRPr="0076397A">
        <w:t xml:space="preserve"> </w:t>
      </w:r>
      <w:r w:rsidR="00B562D2">
        <w:t xml:space="preserve">applies specifically to </w:t>
      </w:r>
      <w:proofErr w:type="spellStart"/>
      <w:r w:rsidR="00B562D2">
        <w:t>subregulation</w:t>
      </w:r>
      <w:proofErr w:type="spellEnd"/>
      <w:r w:rsidR="00B562D2">
        <w:t xml:space="preserve"> 12(4)(a) (</w:t>
      </w:r>
      <w:r w:rsidR="00B562D2" w:rsidRPr="0076397A">
        <w:t>which deals with notice sent to a postal address</w:t>
      </w:r>
      <w:r w:rsidR="00B562D2">
        <w:t xml:space="preserve">) of the Principal Regulation rather than </w:t>
      </w:r>
      <w:r w:rsidR="0054515F">
        <w:t xml:space="preserve">applying globally to </w:t>
      </w:r>
      <w:proofErr w:type="spellStart"/>
      <w:r w:rsidR="0054515F">
        <w:t>sub</w:t>
      </w:r>
      <w:r w:rsidR="00B260F4">
        <w:t>regulation</w:t>
      </w:r>
      <w:proofErr w:type="spellEnd"/>
      <w:r w:rsidR="0054515F">
        <w:t xml:space="preserve"> 12(4)</w:t>
      </w:r>
      <w:r w:rsidR="009F7232">
        <w:t xml:space="preserve">. </w:t>
      </w:r>
      <w:r w:rsidR="000D078D" w:rsidRPr="0076397A">
        <w:t xml:space="preserve">Item </w:t>
      </w:r>
      <w:r w:rsidR="00B260F4">
        <w:t>10</w:t>
      </w:r>
      <w:r w:rsidR="000D078D" w:rsidRPr="0076397A">
        <w:t xml:space="preserve"> of Schedule 1 to the Regulation inserts sub</w:t>
      </w:r>
      <w:r w:rsidR="00B260F4">
        <w:t>paragraph</w:t>
      </w:r>
      <w:r w:rsidR="000D078D" w:rsidRPr="0076397A">
        <w:t xml:space="preserve"> (</w:t>
      </w:r>
      <w:proofErr w:type="spellStart"/>
      <w:r w:rsidR="000D078D" w:rsidRPr="0076397A">
        <w:t>aa</w:t>
      </w:r>
      <w:proofErr w:type="spellEnd"/>
      <w:r w:rsidR="000D078D" w:rsidRPr="0076397A">
        <w:t xml:space="preserve">) after </w:t>
      </w:r>
      <w:r w:rsidR="00544212" w:rsidRPr="0076397A">
        <w:t>paragraph</w:t>
      </w:r>
      <w:r w:rsidR="000D078D" w:rsidRPr="0076397A">
        <w:t xml:space="preserve"> 12(4)(a) to provide an equivalent provision to </w:t>
      </w:r>
      <w:r w:rsidR="00B260F4">
        <w:t xml:space="preserve">the new </w:t>
      </w:r>
      <w:r w:rsidR="00B260F4" w:rsidRPr="0076397A">
        <w:t>sub</w:t>
      </w:r>
      <w:r w:rsidR="00B260F4">
        <w:t>paragraph</w:t>
      </w:r>
      <w:r w:rsidR="00B260F4" w:rsidRPr="0076397A">
        <w:t xml:space="preserve"> </w:t>
      </w:r>
      <w:r w:rsidR="000D078D" w:rsidRPr="0076397A">
        <w:t>(a) for giving notice via an electronic address.</w:t>
      </w:r>
    </w:p>
    <w:p w14:paraId="6CC5381B" w14:textId="1ED3F20D" w:rsidR="00B7106E" w:rsidRPr="0076397A" w:rsidRDefault="00B7106E" w:rsidP="00B36EE5">
      <w:pPr>
        <w:spacing w:before="0" w:after="240"/>
      </w:pPr>
      <w:r>
        <w:t>Item</w:t>
      </w:r>
      <w:r w:rsidR="00486760">
        <w:t>s</w:t>
      </w:r>
      <w:r>
        <w:t xml:space="preserve"> </w:t>
      </w:r>
      <w:r w:rsidR="00236B0E">
        <w:t>11</w:t>
      </w:r>
      <w:r w:rsidR="00486760">
        <w:t>, 12 and 13</w:t>
      </w:r>
      <w:r w:rsidR="00236B0E">
        <w:t xml:space="preserve"> </w:t>
      </w:r>
      <w:r w:rsidR="00236B0E" w:rsidRPr="0076397A">
        <w:t>of Schedule 1 to the Regulation</w:t>
      </w:r>
      <w:r w:rsidR="00486760">
        <w:t xml:space="preserve"> add the requirement for notice to be sent via pre-paid post to subparagraphs 12(4)(b)(</w:t>
      </w:r>
      <w:proofErr w:type="spellStart"/>
      <w:r w:rsidR="00486760">
        <w:t>i</w:t>
      </w:r>
      <w:proofErr w:type="spellEnd"/>
      <w:r w:rsidR="00486760">
        <w:t>), (ii) and (iii) respectively</w:t>
      </w:r>
      <w:r w:rsidR="009F7232">
        <w:t xml:space="preserve">. </w:t>
      </w:r>
      <w:r w:rsidR="00486760">
        <w:t>This is to clarify that notice sent pursuant to these subparagraphs must be sent to a postal address, and not an electronic address</w:t>
      </w:r>
      <w:r w:rsidR="009F7232">
        <w:t xml:space="preserve">. </w:t>
      </w:r>
      <w:r w:rsidR="00486760">
        <w:t xml:space="preserve">Item 14 </w:t>
      </w:r>
      <w:r w:rsidR="00486760" w:rsidRPr="0076397A">
        <w:t>of Schedule 1 to the Regulation</w:t>
      </w:r>
      <w:r w:rsidR="00486760">
        <w:t xml:space="preserve"> amends subparagraph 12(4)(1)(b)(iv) to allow notice sent under this subparagraph to be sent to either the last known postal address or the last electronic address used by the person to contact the Commission</w:t>
      </w:r>
      <w:r w:rsidR="00F413A8">
        <w:t xml:space="preserve">. </w:t>
      </w:r>
    </w:p>
    <w:p w14:paraId="5C75FE4F" w14:textId="200951A1" w:rsidR="00B13403" w:rsidRDefault="009C5B5E" w:rsidP="00B36EE5">
      <w:pPr>
        <w:spacing w:before="0" w:after="240"/>
      </w:pPr>
      <w:r w:rsidRPr="0076397A">
        <w:t>Regulation 21 of the Principal Regulation provides instructions for service in proceedings before the Tribunal</w:t>
      </w:r>
      <w:r w:rsidR="009F7232">
        <w:t>.</w:t>
      </w:r>
    </w:p>
    <w:p w14:paraId="17FDE626" w14:textId="5B8A8778" w:rsidR="00E57CFF" w:rsidRDefault="00E57CFF" w:rsidP="00B36EE5">
      <w:pPr>
        <w:spacing w:before="0" w:after="240"/>
      </w:pPr>
      <w:r>
        <w:t xml:space="preserve">Item 16 </w:t>
      </w:r>
      <w:r w:rsidRPr="0076397A">
        <w:t>of Schedule 1 to the Regulation</w:t>
      </w:r>
      <w:r>
        <w:t xml:space="preserve"> repeals Division 3 of the Principal Regulations as it refers to sections of the CC Act that have been repealed, and is therefore no longer relevant. </w:t>
      </w:r>
    </w:p>
    <w:p w14:paraId="3F6D34AC" w14:textId="139A4ACE" w:rsidR="00E57CFF" w:rsidRDefault="00E57CFF" w:rsidP="00B36EE5">
      <w:pPr>
        <w:spacing w:before="0" w:after="240"/>
      </w:pPr>
      <w:r>
        <w:t xml:space="preserve">Item 17 </w:t>
      </w:r>
      <w:r w:rsidRPr="0076397A">
        <w:t>of Schedule 1 to the Regulation</w:t>
      </w:r>
      <w:r>
        <w:t xml:space="preserve"> </w:t>
      </w:r>
      <w:r w:rsidR="00F34C21">
        <w:t>replac</w:t>
      </w:r>
      <w:r>
        <w:t xml:space="preserve">es the </w:t>
      </w:r>
      <w:r w:rsidR="00F34C21">
        <w:t>word</w:t>
      </w:r>
      <w:r>
        <w:t xml:space="preserve"> </w:t>
      </w:r>
      <w:r w:rsidR="00F34C21">
        <w:t>“</w:t>
      </w:r>
      <w:r>
        <w:t>e-mail</w:t>
      </w:r>
      <w:r w:rsidR="00F34C21">
        <w:t>”</w:t>
      </w:r>
      <w:r>
        <w:t xml:space="preserve"> </w:t>
      </w:r>
      <w:r w:rsidR="00F34C21">
        <w:t xml:space="preserve">with “electronic address” </w:t>
      </w:r>
      <w:r>
        <w:t xml:space="preserve">in paragraph 46(b) to </w:t>
      </w:r>
      <w:r w:rsidR="00F34C21">
        <w:t>align this paragraph with the global incorporation of electronic addresses more broadly</w:t>
      </w:r>
      <w:r>
        <w:t xml:space="preserve">. </w:t>
      </w:r>
    </w:p>
    <w:p w14:paraId="33827D06" w14:textId="29FF8136" w:rsidR="007F6D49" w:rsidRDefault="007F6D49" w:rsidP="00B36EE5">
      <w:pPr>
        <w:spacing w:before="0" w:after="240"/>
      </w:pPr>
      <w:r>
        <w:t>Schedule 1 of the Principal Regulations contains the Forms required by the CC Act</w:t>
      </w:r>
      <w:r w:rsidR="009F7232">
        <w:t xml:space="preserve">. </w:t>
      </w:r>
    </w:p>
    <w:p w14:paraId="1061D0F7" w14:textId="7F4ADBF0" w:rsidR="00F34C21" w:rsidRDefault="00F34C21" w:rsidP="00B36EE5">
      <w:pPr>
        <w:spacing w:before="0" w:after="240"/>
      </w:pPr>
      <w:r>
        <w:t>Item</w:t>
      </w:r>
      <w:r w:rsidR="001F03BD">
        <w:t>s</w:t>
      </w:r>
      <w:r>
        <w:t xml:space="preserve"> 18</w:t>
      </w:r>
      <w:r w:rsidR="004A0DD4">
        <w:t>, 20, 22, 24, 26, 28, 30, 32, 34, 36, 38, 40, 42</w:t>
      </w:r>
      <w:r w:rsidR="003A7F25">
        <w:t xml:space="preserve"> and</w:t>
      </w:r>
      <w:r w:rsidR="004A0DD4">
        <w:t xml:space="preserve"> 44</w:t>
      </w:r>
      <w:r>
        <w:t xml:space="preserve"> </w:t>
      </w:r>
      <w:r w:rsidRPr="0076397A">
        <w:t>of Schedule 1 to the Regulation</w:t>
      </w:r>
      <w:r>
        <w:t xml:space="preserve"> insert </w:t>
      </w:r>
      <w:r w:rsidR="001F03BD">
        <w:t xml:space="preserve">a </w:t>
      </w:r>
      <w:r w:rsidR="004A0DD4">
        <w:t xml:space="preserve">new </w:t>
      </w:r>
      <w:r>
        <w:t xml:space="preserve">paragraph </w:t>
      </w:r>
      <w:r w:rsidR="007F6D49">
        <w:t>into Form</w:t>
      </w:r>
      <w:r w:rsidR="004A0DD4">
        <w:t>s</w:t>
      </w:r>
      <w:r w:rsidR="007F6D49">
        <w:t xml:space="preserve"> A</w:t>
      </w:r>
      <w:r w:rsidR="004A0DD4">
        <w:noBreakHyphen/>
      </w:r>
      <w:r w:rsidR="00905BFB">
        <w:t>GA</w:t>
      </w:r>
      <w:r w:rsidR="007F6D49">
        <w:t>,</w:t>
      </w:r>
      <w:r w:rsidR="00905BFB">
        <w:t xml:space="preserve"> respectively</w:t>
      </w:r>
      <w:r w:rsidR="003A7F25">
        <w:t>,</w:t>
      </w:r>
      <w:r w:rsidR="007F6D49">
        <w:t xml:space="preserve"> to allow a</w:t>
      </w:r>
      <w:r w:rsidR="004A0DD4">
        <w:t xml:space="preserve"> party which is required to provide those forms to provide a</w:t>
      </w:r>
      <w:r w:rsidR="007F6D49">
        <w:t xml:space="preserve">n electronic address in addition to the postal address required in </w:t>
      </w:r>
      <w:r w:rsidR="004A0DD4">
        <w:t>the Forms</w:t>
      </w:r>
      <w:r w:rsidR="009F7232">
        <w:t xml:space="preserve">. </w:t>
      </w:r>
      <w:r w:rsidR="007F6D49">
        <w:t>Item</w:t>
      </w:r>
      <w:r w:rsidR="004A0DD4">
        <w:t>s</w:t>
      </w:r>
      <w:r w:rsidR="007F6D49">
        <w:t xml:space="preserve"> 19</w:t>
      </w:r>
      <w:r w:rsidR="004A0DD4">
        <w:t>, 21, 23, 25, 27, 29, 31, 33, 35, 37, 39, 41, 43</w:t>
      </w:r>
      <w:r w:rsidR="003A7F25">
        <w:t xml:space="preserve"> and</w:t>
      </w:r>
      <w:r w:rsidR="004A0DD4">
        <w:t xml:space="preserve"> 45</w:t>
      </w:r>
      <w:r w:rsidR="007F6D49">
        <w:t xml:space="preserve"> </w:t>
      </w:r>
      <w:r w:rsidR="003A7F25">
        <w:t xml:space="preserve">of Schedule 1 to the </w:t>
      </w:r>
      <w:r w:rsidR="003A7F25" w:rsidRPr="0076397A">
        <w:t>Regulation</w:t>
      </w:r>
      <w:r w:rsidR="003A7F25">
        <w:t xml:space="preserve"> </w:t>
      </w:r>
      <w:r w:rsidR="004A0DD4">
        <w:t xml:space="preserve">support these amendments by </w:t>
      </w:r>
      <w:r w:rsidR="007F6D49">
        <w:t>insert</w:t>
      </w:r>
      <w:r w:rsidR="004A0DD4">
        <w:t>ing</w:t>
      </w:r>
      <w:r w:rsidR="007F6D49">
        <w:t xml:space="preserve"> </w:t>
      </w:r>
      <w:r w:rsidR="004A0DD4">
        <w:t xml:space="preserve">a </w:t>
      </w:r>
      <w:r w:rsidR="007F6D49">
        <w:t>Direction into Form</w:t>
      </w:r>
      <w:r w:rsidR="004A0DD4">
        <w:t>s</w:t>
      </w:r>
      <w:r w:rsidR="007F6D49">
        <w:t xml:space="preserve"> A</w:t>
      </w:r>
      <w:r w:rsidR="004A0DD4">
        <w:noBreakHyphen/>
      </w:r>
      <w:r w:rsidR="00905BFB">
        <w:t>GA, respectively,</w:t>
      </w:r>
      <w:r w:rsidR="007F6D49">
        <w:t xml:space="preserve"> to</w:t>
      </w:r>
      <w:r w:rsidR="00F73E3A">
        <w:t xml:space="preserve"> clarify that where an address </w:t>
      </w:r>
      <w:r w:rsidR="004A0DD4">
        <w:t xml:space="preserve">is required by the Forms, an electronic address can be provided </w:t>
      </w:r>
      <w:r w:rsidR="00F73E3A">
        <w:t>in addition to the postal address</w:t>
      </w:r>
      <w:r w:rsidR="00F413A8">
        <w:t xml:space="preserve">. </w:t>
      </w:r>
      <w:r w:rsidR="007F6D49">
        <w:t xml:space="preserve">  </w:t>
      </w:r>
    </w:p>
    <w:p w14:paraId="396593AB" w14:textId="68B0287D" w:rsidR="00AD4700" w:rsidRDefault="00DD2A4C" w:rsidP="00B36EE5">
      <w:pPr>
        <w:spacing w:before="0" w:after="240"/>
      </w:pPr>
      <w:r>
        <w:t>I</w:t>
      </w:r>
      <w:r w:rsidR="00631295">
        <w:t xml:space="preserve">tem 46 </w:t>
      </w:r>
      <w:r w:rsidR="00B45C0A">
        <w:t>of Schedule 1 to the Regulation inserts</w:t>
      </w:r>
      <w:r w:rsidR="002338AD">
        <w:t>,</w:t>
      </w:r>
      <w:r w:rsidR="00B45C0A">
        <w:t xml:space="preserve"> after the title field of Form I, the instruction to follow the directions located on the back of the Form</w:t>
      </w:r>
      <w:r w:rsidR="009F7232">
        <w:t xml:space="preserve">. </w:t>
      </w:r>
      <w:r w:rsidR="00B45C0A">
        <w:t xml:space="preserve">Item 47 </w:t>
      </w:r>
      <w:r w:rsidR="00B45C0A" w:rsidRPr="0076397A">
        <w:t>of Schedule 1 to the Regulation</w:t>
      </w:r>
      <w:r w:rsidR="00B45C0A">
        <w:t xml:space="preserve"> inserts paragraph 7 into Form I, to allow an electronic address to optionally be provided in addition to the postal address required in paragraph </w:t>
      </w:r>
      <w:r w:rsidR="009664B4">
        <w:t>6</w:t>
      </w:r>
      <w:r w:rsidR="009F7232">
        <w:t xml:space="preserve">. </w:t>
      </w:r>
      <w:r w:rsidR="009664B4">
        <w:t>Item 48</w:t>
      </w:r>
      <w:r w:rsidR="003A7F25">
        <w:t xml:space="preserve"> </w:t>
      </w:r>
      <w:r w:rsidR="003A7F25" w:rsidRPr="0076397A">
        <w:t>of Schedule 1 to the</w:t>
      </w:r>
      <w:r w:rsidR="003A7F25">
        <w:t xml:space="preserve"> </w:t>
      </w:r>
      <w:r w:rsidR="003A7F25" w:rsidRPr="0076397A">
        <w:t>Regulation</w:t>
      </w:r>
      <w:r w:rsidR="00C45937">
        <w:t xml:space="preserve"> inserts a Directions section at the end of </w:t>
      </w:r>
      <w:r w:rsidR="009664B4">
        <w:t xml:space="preserve">Form I </w:t>
      </w:r>
      <w:r w:rsidR="00C45937">
        <w:t>containing Direction 1, which</w:t>
      </w:r>
      <w:r w:rsidR="009664B4">
        <w:t xml:space="preserve"> clarif</w:t>
      </w:r>
      <w:r w:rsidR="00C45937">
        <w:t>ies</w:t>
      </w:r>
      <w:r w:rsidR="009664B4">
        <w:t xml:space="preserve"> that where an address </w:t>
      </w:r>
      <w:r>
        <w:t xml:space="preserve">is required by the Form, an electronic address </w:t>
      </w:r>
      <w:r w:rsidR="009664B4">
        <w:t>can be provided in addition to the postal address.</w:t>
      </w:r>
      <w:r>
        <w:t xml:space="preserve"> Items 49-51, 52-54, 55-57, 58-60, 61-63, 64-66, 67-69, 70-72 and 73-75 of Schedule 1 to the Regulation achieve the same amendments with respect to Forms J</w:t>
      </w:r>
      <w:r w:rsidR="00F413A8">
        <w:t>-</w:t>
      </w:r>
      <w:r>
        <w:t>JE</w:t>
      </w:r>
      <w:r w:rsidR="00F413A8">
        <w:t xml:space="preserve"> and</w:t>
      </w:r>
      <w:r>
        <w:t xml:space="preserve"> L</w:t>
      </w:r>
      <w:r w:rsidR="00F413A8">
        <w:t>-</w:t>
      </w:r>
      <w:r>
        <w:t>LA, respectively.</w:t>
      </w:r>
    </w:p>
    <w:p w14:paraId="5BEBD909" w14:textId="4D8D8778" w:rsidR="008A50FA" w:rsidRDefault="00365398" w:rsidP="00B36EE5">
      <w:pPr>
        <w:spacing w:before="0" w:after="240"/>
      </w:pPr>
      <w:r>
        <w:t>I</w:t>
      </w:r>
      <w:r w:rsidR="008A50FA">
        <w:t xml:space="preserve">tem 76 of Schedule 1 to the Regulation repeals Form M as it relates to regulations of the Principal Regulations that are repealed by this Regulation at Item 16 above. </w:t>
      </w:r>
    </w:p>
    <w:p w14:paraId="5555F3D6" w14:textId="2E275608" w:rsidR="00DF4B31" w:rsidRDefault="008A50FA" w:rsidP="00B36EE5">
      <w:pPr>
        <w:spacing w:before="0" w:after="240"/>
      </w:pPr>
      <w:r>
        <w:t>Item 77 of Schedule 1 to the Regulation</w:t>
      </w:r>
      <w:r w:rsidR="00D1385C">
        <w:t xml:space="preserve"> inserts a new paragraph 1(e)</w:t>
      </w:r>
      <w:r>
        <w:t xml:space="preserve"> </w:t>
      </w:r>
      <w:r w:rsidR="00D1385C">
        <w:t xml:space="preserve">into </w:t>
      </w:r>
      <w:r>
        <w:t xml:space="preserve">Form </w:t>
      </w:r>
      <w:r w:rsidR="00D1385C">
        <w:t>N to allow an electronic address to optionally be provided in addition to the postal address required in paragraph 1(d), and moves the existing paragraph 1(e) to 1(f)</w:t>
      </w:r>
      <w:r w:rsidR="009F7232">
        <w:t xml:space="preserve">. </w:t>
      </w:r>
      <w:r w:rsidR="00D1385C">
        <w:t xml:space="preserve">Item 78 </w:t>
      </w:r>
      <w:r w:rsidR="00365398">
        <w:t>supports this amendment by inserting a</w:t>
      </w:r>
      <w:r w:rsidR="00D1385C">
        <w:t xml:space="preserve"> Direction into Form N to clarify that where an </w:t>
      </w:r>
      <w:r w:rsidR="00365398">
        <w:t>a</w:t>
      </w:r>
      <w:r w:rsidR="00D1385C">
        <w:t xml:space="preserve">ddress </w:t>
      </w:r>
      <w:r w:rsidR="00365398">
        <w:t xml:space="preserve">is required by the Form, an electronic address </w:t>
      </w:r>
      <w:r w:rsidR="00D1385C">
        <w:t>can be provided</w:t>
      </w:r>
      <w:r w:rsidR="009F7232">
        <w:t xml:space="preserve">. </w:t>
      </w:r>
      <w:r w:rsidR="00365398">
        <w:t>Items 79-80, 81-82, 83-84, 85-86, 87-88, 89-90, 91-92, 93-94 and 95-96 of Schedule 1 to the Regulation achieve the same amendments with respect to Forms O-W, respectively.</w:t>
      </w:r>
    </w:p>
    <w:p w14:paraId="503FCC6A" w14:textId="77777777" w:rsidR="000C35DC" w:rsidRPr="00D92198" w:rsidRDefault="000C35DC" w:rsidP="000C35DC">
      <w:pPr>
        <w:spacing w:before="0" w:after="240" w:line="276" w:lineRule="auto"/>
        <w:jc w:val="center"/>
        <w:rPr>
          <w:b/>
          <w:sz w:val="28"/>
          <w:szCs w:val="28"/>
          <w:u w:val="single"/>
        </w:rPr>
      </w:pPr>
      <w:r w:rsidRPr="00D92198">
        <w:rPr>
          <w:b/>
          <w:sz w:val="28"/>
          <w:szCs w:val="28"/>
          <w:u w:val="single"/>
        </w:rPr>
        <w:t>Statement of Compatibility with Human Rights</w:t>
      </w:r>
    </w:p>
    <w:p w14:paraId="3A91E862" w14:textId="77777777" w:rsidR="000C35DC" w:rsidRPr="0076397A" w:rsidRDefault="000C35DC" w:rsidP="000C35DC">
      <w:pPr>
        <w:spacing w:before="0" w:after="240"/>
        <w:jc w:val="center"/>
        <w:rPr>
          <w:i/>
          <w:szCs w:val="24"/>
        </w:rPr>
      </w:pPr>
      <w:r w:rsidRPr="0076397A">
        <w:rPr>
          <w:i/>
          <w:szCs w:val="24"/>
        </w:rPr>
        <w:t>Prepared in accordance with Part 3 of the Human Rights (Parliamentary Scrutiny) Act 2011</w:t>
      </w:r>
    </w:p>
    <w:p w14:paraId="0A8CC455" w14:textId="77777777" w:rsidR="000C35DC" w:rsidRPr="0076397A" w:rsidRDefault="000C35DC" w:rsidP="000C35DC">
      <w:pPr>
        <w:spacing w:before="0" w:after="240"/>
        <w:jc w:val="center"/>
        <w:rPr>
          <w:b/>
          <w:szCs w:val="24"/>
        </w:rPr>
      </w:pPr>
      <w:r w:rsidRPr="0076397A">
        <w:rPr>
          <w:b/>
          <w:i/>
          <w:iCs/>
          <w:szCs w:val="24"/>
        </w:rPr>
        <w:t>Competition and Consumer Amendment (Electronic Service of Documents</w:t>
      </w:r>
      <w:r>
        <w:rPr>
          <w:b/>
          <w:i/>
          <w:iCs/>
          <w:szCs w:val="24"/>
        </w:rPr>
        <w:t xml:space="preserve"> and Other Measures</w:t>
      </w:r>
      <w:r w:rsidRPr="0076397A">
        <w:rPr>
          <w:b/>
          <w:i/>
          <w:iCs/>
          <w:szCs w:val="24"/>
        </w:rPr>
        <w:t>) Regulation 2015</w:t>
      </w:r>
    </w:p>
    <w:p w14:paraId="5554A45B" w14:textId="77777777" w:rsidR="000C35DC" w:rsidRPr="0076397A" w:rsidRDefault="000C35DC" w:rsidP="000C35DC">
      <w:pPr>
        <w:spacing w:before="0" w:after="200"/>
        <w:rPr>
          <w:szCs w:val="24"/>
        </w:rPr>
      </w:pPr>
      <w:r w:rsidRPr="0076397A">
        <w:rPr>
          <w:szCs w:val="24"/>
        </w:rPr>
        <w:t xml:space="preserve">This Legislative Instrument is compatible with the human rights and freedoms recognised or declared in the international instruments listed in section 3 of the </w:t>
      </w:r>
      <w:r w:rsidRPr="0076397A">
        <w:rPr>
          <w:i/>
          <w:szCs w:val="24"/>
        </w:rPr>
        <w:t>Human Rights (Parliamentary Scrutiny) Act 2011</w:t>
      </w:r>
      <w:r w:rsidRPr="0076397A">
        <w:rPr>
          <w:szCs w:val="24"/>
        </w:rPr>
        <w:t>.</w:t>
      </w:r>
    </w:p>
    <w:p w14:paraId="2B3208BB" w14:textId="77777777" w:rsidR="000C35DC" w:rsidRPr="0076397A" w:rsidRDefault="000C35DC" w:rsidP="000C35DC">
      <w:pPr>
        <w:pStyle w:val="Heading4"/>
        <w:spacing w:before="0" w:after="200"/>
        <w:rPr>
          <w:rFonts w:ascii="Times New Roman" w:hAnsi="Times New Roman" w:cs="Times New Roman"/>
          <w:i w:val="0"/>
          <w:color w:val="auto"/>
          <w:szCs w:val="24"/>
        </w:rPr>
      </w:pPr>
      <w:r w:rsidRPr="0076397A">
        <w:rPr>
          <w:rFonts w:ascii="Times New Roman" w:hAnsi="Times New Roman" w:cs="Times New Roman"/>
          <w:i w:val="0"/>
          <w:color w:val="auto"/>
          <w:szCs w:val="24"/>
        </w:rPr>
        <w:t>Overview of the Legislative Instrument</w:t>
      </w:r>
    </w:p>
    <w:p w14:paraId="3985C753" w14:textId="77777777" w:rsidR="000C35DC" w:rsidRPr="009B3065" w:rsidRDefault="000C35DC" w:rsidP="000C35DC">
      <w:pPr>
        <w:spacing w:before="0" w:after="200"/>
      </w:pPr>
      <w:r w:rsidRPr="0076397A">
        <w:t>The objective of the CC</w:t>
      </w:r>
      <w:r>
        <w:t xml:space="preserve"> </w:t>
      </w:r>
      <w:r w:rsidRPr="0076397A">
        <w:t>A</w:t>
      </w:r>
      <w:r>
        <w:t>ct</w:t>
      </w:r>
      <w:r w:rsidRPr="0076397A">
        <w:t xml:space="preserve"> is to enhance the welfare of Australians through the promotion of competition and fair trading and to make provisions for consumer protection</w:t>
      </w:r>
      <w:r>
        <w:t>. In pursuing this, the</w:t>
      </w:r>
      <w:r w:rsidRPr="0076397A">
        <w:rPr>
          <w:szCs w:val="24"/>
        </w:rPr>
        <w:t xml:space="preserve"> CC</w:t>
      </w:r>
      <w:r>
        <w:rPr>
          <w:szCs w:val="24"/>
        </w:rPr>
        <w:t xml:space="preserve"> </w:t>
      </w:r>
      <w:r w:rsidRPr="0076397A">
        <w:rPr>
          <w:szCs w:val="24"/>
        </w:rPr>
        <w:t>A</w:t>
      </w:r>
      <w:r>
        <w:rPr>
          <w:szCs w:val="24"/>
        </w:rPr>
        <w:t>ct</w:t>
      </w:r>
      <w:r w:rsidRPr="0076397A">
        <w:rPr>
          <w:szCs w:val="24"/>
        </w:rPr>
        <w:t xml:space="preserve"> requires </w:t>
      </w:r>
      <w:r>
        <w:rPr>
          <w:szCs w:val="24"/>
        </w:rPr>
        <w:t xml:space="preserve">that </w:t>
      </w:r>
      <w:r w:rsidRPr="0076397A">
        <w:rPr>
          <w:szCs w:val="24"/>
        </w:rPr>
        <w:t xml:space="preserve">certain documents </w:t>
      </w:r>
      <w:r>
        <w:rPr>
          <w:szCs w:val="24"/>
        </w:rPr>
        <w:t xml:space="preserve">must </w:t>
      </w:r>
      <w:r w:rsidRPr="0076397A">
        <w:rPr>
          <w:szCs w:val="24"/>
        </w:rPr>
        <w:t xml:space="preserve">be served on a person connected to a proceeding or matter before the </w:t>
      </w:r>
      <w:proofErr w:type="spellStart"/>
      <w:r>
        <w:rPr>
          <w:szCs w:val="24"/>
        </w:rPr>
        <w:t>ACCC</w:t>
      </w:r>
      <w:proofErr w:type="spellEnd"/>
      <w:r w:rsidRPr="0076397A">
        <w:rPr>
          <w:szCs w:val="24"/>
        </w:rPr>
        <w:t>, to ensure that person is privy to information relating to that proceeding or matter</w:t>
      </w:r>
      <w:r>
        <w:rPr>
          <w:szCs w:val="24"/>
        </w:rPr>
        <w:t xml:space="preserve">. </w:t>
      </w:r>
    </w:p>
    <w:p w14:paraId="5C3C8960" w14:textId="77777777" w:rsidR="000C35DC" w:rsidRDefault="000C35DC" w:rsidP="000C35DC">
      <w:pPr>
        <w:spacing w:before="0" w:after="200"/>
        <w:rPr>
          <w:szCs w:val="24"/>
        </w:rPr>
      </w:pPr>
      <w:r w:rsidRPr="0076397A">
        <w:rPr>
          <w:szCs w:val="24"/>
        </w:rPr>
        <w:t>The Principal Regulations</w:t>
      </w:r>
      <w:r w:rsidRPr="0076397A">
        <w:rPr>
          <w:i/>
          <w:iCs/>
          <w:szCs w:val="24"/>
        </w:rPr>
        <w:t xml:space="preserve"> </w:t>
      </w:r>
      <w:r w:rsidRPr="0076397A">
        <w:rPr>
          <w:szCs w:val="24"/>
        </w:rPr>
        <w:t>supplement the CC</w:t>
      </w:r>
      <w:r>
        <w:rPr>
          <w:szCs w:val="24"/>
        </w:rPr>
        <w:t xml:space="preserve"> </w:t>
      </w:r>
      <w:r w:rsidRPr="0076397A">
        <w:rPr>
          <w:szCs w:val="24"/>
        </w:rPr>
        <w:t>A</w:t>
      </w:r>
      <w:r>
        <w:rPr>
          <w:szCs w:val="24"/>
        </w:rPr>
        <w:t xml:space="preserve">ct by, among other things, dictating the administrative requirements for the service of documents. </w:t>
      </w:r>
    </w:p>
    <w:p w14:paraId="196F19FE" w14:textId="77777777" w:rsidR="000C35DC" w:rsidRPr="0076397A" w:rsidRDefault="000C35DC" w:rsidP="000C35DC">
      <w:pPr>
        <w:spacing w:before="0" w:after="200"/>
      </w:pPr>
      <w:r w:rsidRPr="0076397A">
        <w:rPr>
          <w:szCs w:val="24"/>
        </w:rPr>
        <w:t xml:space="preserve">The </w:t>
      </w:r>
      <w:r>
        <w:rPr>
          <w:szCs w:val="24"/>
        </w:rPr>
        <w:t>Regulation will make amendments to these administrative requirements</w:t>
      </w:r>
      <w:r w:rsidRPr="0076397A">
        <w:rPr>
          <w:i/>
          <w:iCs/>
          <w:szCs w:val="24"/>
        </w:rPr>
        <w:t xml:space="preserve"> </w:t>
      </w:r>
      <w:r w:rsidRPr="0076397A">
        <w:rPr>
          <w:szCs w:val="24"/>
        </w:rPr>
        <w:t xml:space="preserve">to </w:t>
      </w:r>
      <w:r>
        <w:rPr>
          <w:szCs w:val="24"/>
        </w:rPr>
        <w:t xml:space="preserve">allow an address for service to be an electronic address. </w:t>
      </w:r>
    </w:p>
    <w:p w14:paraId="5644F140" w14:textId="77777777" w:rsidR="000C35DC" w:rsidRPr="0076397A" w:rsidRDefault="000C35DC" w:rsidP="000C35DC">
      <w:pPr>
        <w:pStyle w:val="Heading4"/>
        <w:spacing w:before="0" w:after="200"/>
        <w:rPr>
          <w:rFonts w:ascii="Times New Roman" w:hAnsi="Times New Roman" w:cs="Times New Roman"/>
          <w:i w:val="0"/>
          <w:color w:val="auto"/>
          <w:szCs w:val="24"/>
        </w:rPr>
      </w:pPr>
      <w:r w:rsidRPr="0076397A">
        <w:rPr>
          <w:rFonts w:ascii="Times New Roman" w:hAnsi="Times New Roman" w:cs="Times New Roman"/>
          <w:i w:val="0"/>
          <w:color w:val="auto"/>
          <w:szCs w:val="24"/>
        </w:rPr>
        <w:t>Human rights implications</w:t>
      </w:r>
    </w:p>
    <w:p w14:paraId="2DE80522" w14:textId="77777777" w:rsidR="000C35DC" w:rsidRPr="0076397A" w:rsidRDefault="000C35DC" w:rsidP="000C35DC">
      <w:pPr>
        <w:spacing w:before="0" w:after="200"/>
        <w:rPr>
          <w:szCs w:val="24"/>
        </w:rPr>
      </w:pPr>
      <w:r w:rsidRPr="0076397A">
        <w:rPr>
          <w:szCs w:val="24"/>
        </w:rPr>
        <w:t xml:space="preserve">This </w:t>
      </w:r>
      <w:r>
        <w:rPr>
          <w:szCs w:val="24"/>
        </w:rPr>
        <w:t xml:space="preserve">Regulation </w:t>
      </w:r>
      <w:r w:rsidRPr="0076397A">
        <w:rPr>
          <w:szCs w:val="24"/>
        </w:rPr>
        <w:t>does not engage any of the applicable rights or freedoms.</w:t>
      </w:r>
    </w:p>
    <w:p w14:paraId="3919BDDF" w14:textId="77777777" w:rsidR="000C35DC" w:rsidRPr="0076397A" w:rsidRDefault="000C35DC" w:rsidP="000C35DC">
      <w:pPr>
        <w:pStyle w:val="Heading4"/>
        <w:spacing w:before="0" w:after="240"/>
        <w:rPr>
          <w:rFonts w:ascii="Times New Roman" w:hAnsi="Times New Roman" w:cs="Times New Roman"/>
          <w:i w:val="0"/>
          <w:color w:val="auto"/>
          <w:szCs w:val="24"/>
        </w:rPr>
      </w:pPr>
      <w:r w:rsidRPr="0076397A">
        <w:rPr>
          <w:rFonts w:ascii="Times New Roman" w:hAnsi="Times New Roman" w:cs="Times New Roman"/>
          <w:i w:val="0"/>
          <w:color w:val="auto"/>
          <w:szCs w:val="24"/>
        </w:rPr>
        <w:t>Conclusion</w:t>
      </w:r>
    </w:p>
    <w:p w14:paraId="7E12E8ED" w14:textId="66399250" w:rsidR="007D422C" w:rsidRPr="003B30CB" w:rsidRDefault="000C35DC" w:rsidP="000C35DC">
      <w:pPr>
        <w:spacing w:before="0" w:after="240"/>
      </w:pPr>
      <w:r w:rsidRPr="0076397A">
        <w:rPr>
          <w:szCs w:val="24"/>
        </w:rPr>
        <w:t xml:space="preserve">This </w:t>
      </w:r>
      <w:r>
        <w:rPr>
          <w:szCs w:val="24"/>
        </w:rPr>
        <w:t xml:space="preserve">Regulation </w:t>
      </w:r>
      <w:r w:rsidRPr="0076397A">
        <w:rPr>
          <w:szCs w:val="24"/>
        </w:rPr>
        <w:t>is compatible with human rights.</w:t>
      </w:r>
    </w:p>
    <w:sectPr w:rsidR="007D422C" w:rsidRPr="003B3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2C"/>
    <w:rsid w:val="00032E2D"/>
    <w:rsid w:val="00045BDC"/>
    <w:rsid w:val="00047746"/>
    <w:rsid w:val="00060DBC"/>
    <w:rsid w:val="00070964"/>
    <w:rsid w:val="00086465"/>
    <w:rsid w:val="000B6446"/>
    <w:rsid w:val="000C35DC"/>
    <w:rsid w:val="000D0008"/>
    <w:rsid w:val="000D078D"/>
    <w:rsid w:val="000E4BA3"/>
    <w:rsid w:val="00184593"/>
    <w:rsid w:val="00197B58"/>
    <w:rsid w:val="001B02C2"/>
    <w:rsid w:val="001E396A"/>
    <w:rsid w:val="001F03BD"/>
    <w:rsid w:val="00222BFF"/>
    <w:rsid w:val="002338AD"/>
    <w:rsid w:val="00236B0E"/>
    <w:rsid w:val="0027298D"/>
    <w:rsid w:val="002E712E"/>
    <w:rsid w:val="00300CA9"/>
    <w:rsid w:val="003049D4"/>
    <w:rsid w:val="00311E7A"/>
    <w:rsid w:val="00321679"/>
    <w:rsid w:val="003254B1"/>
    <w:rsid w:val="00336AD4"/>
    <w:rsid w:val="0034217E"/>
    <w:rsid w:val="00365398"/>
    <w:rsid w:val="0038306F"/>
    <w:rsid w:val="00395950"/>
    <w:rsid w:val="003A095E"/>
    <w:rsid w:val="003A7F25"/>
    <w:rsid w:val="003B30CB"/>
    <w:rsid w:val="004051AB"/>
    <w:rsid w:val="004756C6"/>
    <w:rsid w:val="00486760"/>
    <w:rsid w:val="004A0DD4"/>
    <w:rsid w:val="004C25C8"/>
    <w:rsid w:val="004D62F4"/>
    <w:rsid w:val="004E5595"/>
    <w:rsid w:val="00501166"/>
    <w:rsid w:val="00502E7C"/>
    <w:rsid w:val="00515C73"/>
    <w:rsid w:val="00543642"/>
    <w:rsid w:val="00544212"/>
    <w:rsid w:val="00544639"/>
    <w:rsid w:val="0054515F"/>
    <w:rsid w:val="00591BEC"/>
    <w:rsid w:val="005E7DBA"/>
    <w:rsid w:val="0060311F"/>
    <w:rsid w:val="00631295"/>
    <w:rsid w:val="00641301"/>
    <w:rsid w:val="006461F5"/>
    <w:rsid w:val="00690AF7"/>
    <w:rsid w:val="006A2A15"/>
    <w:rsid w:val="006B0762"/>
    <w:rsid w:val="006B4467"/>
    <w:rsid w:val="006D2573"/>
    <w:rsid w:val="006D79CA"/>
    <w:rsid w:val="006F07B1"/>
    <w:rsid w:val="00716DDA"/>
    <w:rsid w:val="0076397A"/>
    <w:rsid w:val="00784330"/>
    <w:rsid w:val="007A1752"/>
    <w:rsid w:val="007B2905"/>
    <w:rsid w:val="007C5E84"/>
    <w:rsid w:val="007D422C"/>
    <w:rsid w:val="007E0714"/>
    <w:rsid w:val="007F6785"/>
    <w:rsid w:val="007F6D49"/>
    <w:rsid w:val="00831A04"/>
    <w:rsid w:val="00855EF1"/>
    <w:rsid w:val="00857D39"/>
    <w:rsid w:val="008A50FA"/>
    <w:rsid w:val="008D4CB8"/>
    <w:rsid w:val="00905BFB"/>
    <w:rsid w:val="00907EF1"/>
    <w:rsid w:val="0091367F"/>
    <w:rsid w:val="00923996"/>
    <w:rsid w:val="0093690D"/>
    <w:rsid w:val="00936981"/>
    <w:rsid w:val="00945F3F"/>
    <w:rsid w:val="0096051B"/>
    <w:rsid w:val="009664B4"/>
    <w:rsid w:val="009B3065"/>
    <w:rsid w:val="009C5B5E"/>
    <w:rsid w:val="009F18E9"/>
    <w:rsid w:val="009F7232"/>
    <w:rsid w:val="00A00AC1"/>
    <w:rsid w:val="00A07F9C"/>
    <w:rsid w:val="00A37B95"/>
    <w:rsid w:val="00A619CE"/>
    <w:rsid w:val="00A90895"/>
    <w:rsid w:val="00AD4700"/>
    <w:rsid w:val="00AF0E6C"/>
    <w:rsid w:val="00B13403"/>
    <w:rsid w:val="00B222E9"/>
    <w:rsid w:val="00B260F4"/>
    <w:rsid w:val="00B36EE5"/>
    <w:rsid w:val="00B41ED0"/>
    <w:rsid w:val="00B45C0A"/>
    <w:rsid w:val="00B562D2"/>
    <w:rsid w:val="00B63FBD"/>
    <w:rsid w:val="00B646D2"/>
    <w:rsid w:val="00B7106E"/>
    <w:rsid w:val="00B849C6"/>
    <w:rsid w:val="00B97A91"/>
    <w:rsid w:val="00B97FBF"/>
    <w:rsid w:val="00BA26AF"/>
    <w:rsid w:val="00BD4954"/>
    <w:rsid w:val="00BD4B56"/>
    <w:rsid w:val="00C03B6E"/>
    <w:rsid w:val="00C0591F"/>
    <w:rsid w:val="00C11300"/>
    <w:rsid w:val="00C157C8"/>
    <w:rsid w:val="00C36DCE"/>
    <w:rsid w:val="00C45937"/>
    <w:rsid w:val="00C608C2"/>
    <w:rsid w:val="00C632CF"/>
    <w:rsid w:val="00C80790"/>
    <w:rsid w:val="00CD515A"/>
    <w:rsid w:val="00D1385C"/>
    <w:rsid w:val="00D63F10"/>
    <w:rsid w:val="00D657AA"/>
    <w:rsid w:val="00D92198"/>
    <w:rsid w:val="00DB7BEB"/>
    <w:rsid w:val="00DD2A4C"/>
    <w:rsid w:val="00DF4B31"/>
    <w:rsid w:val="00E11791"/>
    <w:rsid w:val="00E20814"/>
    <w:rsid w:val="00E241D8"/>
    <w:rsid w:val="00E57CFF"/>
    <w:rsid w:val="00E85DC9"/>
    <w:rsid w:val="00E861C1"/>
    <w:rsid w:val="00EA098B"/>
    <w:rsid w:val="00EB2838"/>
    <w:rsid w:val="00EB4219"/>
    <w:rsid w:val="00EB7141"/>
    <w:rsid w:val="00EE3A4E"/>
    <w:rsid w:val="00EF21BE"/>
    <w:rsid w:val="00EF60A4"/>
    <w:rsid w:val="00F23021"/>
    <w:rsid w:val="00F30D36"/>
    <w:rsid w:val="00F34C21"/>
    <w:rsid w:val="00F413A8"/>
    <w:rsid w:val="00F4291E"/>
    <w:rsid w:val="00F65864"/>
    <w:rsid w:val="00F73E3A"/>
    <w:rsid w:val="00F8632A"/>
    <w:rsid w:val="00FB5ED3"/>
    <w:rsid w:val="00FF42E0"/>
    <w:rsid w:val="00FF7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22C"/>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7D422C"/>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7D422C"/>
    <w:pPr>
      <w:keepNext/>
      <w:spacing w:before="240" w:after="60"/>
      <w:outlineLvl w:val="1"/>
    </w:pPr>
    <w:rPr>
      <w:b/>
      <w:sz w:val="28"/>
      <w:u w:val="single"/>
    </w:rPr>
  </w:style>
  <w:style w:type="paragraph" w:styleId="Heading3">
    <w:name w:val="heading 3"/>
    <w:basedOn w:val="Normal"/>
    <w:next w:val="Normal"/>
    <w:link w:val="Heading3Char"/>
    <w:uiPriority w:val="9"/>
    <w:semiHidden/>
    <w:unhideWhenUsed/>
    <w:qFormat/>
    <w:rsid w:val="003830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0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22C"/>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7D422C"/>
    <w:rPr>
      <w:rFonts w:ascii="Times New Roman" w:eastAsia="Times New Roman" w:hAnsi="Times New Roman" w:cs="Times New Roman"/>
      <w:b/>
      <w:sz w:val="28"/>
      <w:szCs w:val="20"/>
      <w:u w:val="single"/>
      <w:lang w:eastAsia="en-AU"/>
    </w:rPr>
  </w:style>
  <w:style w:type="paragraph" w:customStyle="1" w:styleId="bullet">
    <w:name w:val="bullet"/>
    <w:basedOn w:val="Normal"/>
    <w:rsid w:val="00E20814"/>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38306F"/>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semiHidden/>
    <w:rsid w:val="0038306F"/>
    <w:rPr>
      <w:rFonts w:asciiTheme="majorHAnsi" w:eastAsiaTheme="majorEastAsia" w:hAnsiTheme="majorHAnsi" w:cstheme="majorBidi"/>
      <w:b/>
      <w:bCs/>
      <w:i/>
      <w:iCs/>
      <w:color w:val="4F81BD" w:themeColor="accent1"/>
      <w:sz w:val="24"/>
      <w:szCs w:val="20"/>
      <w:lang w:eastAsia="en-AU"/>
    </w:rPr>
  </w:style>
  <w:style w:type="paragraph" w:customStyle="1" w:styleId="base-text-paragraph">
    <w:name w:val="base-text-paragraph"/>
    <w:rsid w:val="0038306F"/>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C36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DCE"/>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02E7C"/>
    <w:rPr>
      <w:sz w:val="16"/>
      <w:szCs w:val="16"/>
    </w:rPr>
  </w:style>
  <w:style w:type="paragraph" w:styleId="CommentText">
    <w:name w:val="annotation text"/>
    <w:basedOn w:val="Normal"/>
    <w:link w:val="CommentTextChar"/>
    <w:uiPriority w:val="99"/>
    <w:semiHidden/>
    <w:unhideWhenUsed/>
    <w:rsid w:val="00502E7C"/>
    <w:rPr>
      <w:sz w:val="20"/>
    </w:rPr>
  </w:style>
  <w:style w:type="character" w:customStyle="1" w:styleId="CommentTextChar">
    <w:name w:val="Comment Text Char"/>
    <w:basedOn w:val="DefaultParagraphFont"/>
    <w:link w:val="CommentText"/>
    <w:uiPriority w:val="99"/>
    <w:semiHidden/>
    <w:rsid w:val="00502E7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2E7C"/>
    <w:rPr>
      <w:b/>
      <w:bCs/>
    </w:rPr>
  </w:style>
  <w:style w:type="character" w:customStyle="1" w:styleId="CommentSubjectChar">
    <w:name w:val="Comment Subject Char"/>
    <w:basedOn w:val="CommentTextChar"/>
    <w:link w:val="CommentSubject"/>
    <w:uiPriority w:val="99"/>
    <w:semiHidden/>
    <w:rsid w:val="00502E7C"/>
    <w:rPr>
      <w:rFonts w:ascii="Times New Roman" w:eastAsia="Times New Roman" w:hAnsi="Times New Roman" w:cs="Times New Roman"/>
      <w:b/>
      <w:bCs/>
      <w:sz w:val="20"/>
      <w:szCs w:val="20"/>
      <w:lang w:eastAsia="en-AU"/>
    </w:rPr>
  </w:style>
  <w:style w:type="paragraph" w:styleId="Revision">
    <w:name w:val="Revision"/>
    <w:hidden/>
    <w:uiPriority w:val="99"/>
    <w:semiHidden/>
    <w:rsid w:val="00591BEC"/>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22C"/>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7D422C"/>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7D422C"/>
    <w:pPr>
      <w:keepNext/>
      <w:spacing w:before="240" w:after="60"/>
      <w:outlineLvl w:val="1"/>
    </w:pPr>
    <w:rPr>
      <w:b/>
      <w:sz w:val="28"/>
      <w:u w:val="single"/>
    </w:rPr>
  </w:style>
  <w:style w:type="paragraph" w:styleId="Heading3">
    <w:name w:val="heading 3"/>
    <w:basedOn w:val="Normal"/>
    <w:next w:val="Normal"/>
    <w:link w:val="Heading3Char"/>
    <w:uiPriority w:val="9"/>
    <w:semiHidden/>
    <w:unhideWhenUsed/>
    <w:qFormat/>
    <w:rsid w:val="003830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0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22C"/>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7D422C"/>
    <w:rPr>
      <w:rFonts w:ascii="Times New Roman" w:eastAsia="Times New Roman" w:hAnsi="Times New Roman" w:cs="Times New Roman"/>
      <w:b/>
      <w:sz w:val="28"/>
      <w:szCs w:val="20"/>
      <w:u w:val="single"/>
      <w:lang w:eastAsia="en-AU"/>
    </w:rPr>
  </w:style>
  <w:style w:type="paragraph" w:customStyle="1" w:styleId="bullet">
    <w:name w:val="bullet"/>
    <w:basedOn w:val="Normal"/>
    <w:rsid w:val="00E20814"/>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38306F"/>
    <w:rPr>
      <w:rFonts w:asciiTheme="majorHAnsi" w:eastAsiaTheme="majorEastAsia" w:hAnsiTheme="majorHAnsi" w:cstheme="majorBidi"/>
      <w:b/>
      <w:bCs/>
      <w:color w:val="4F81BD" w:themeColor="accent1"/>
      <w:sz w:val="24"/>
      <w:szCs w:val="20"/>
      <w:lang w:eastAsia="en-AU"/>
    </w:rPr>
  </w:style>
  <w:style w:type="character" w:customStyle="1" w:styleId="Heading4Char">
    <w:name w:val="Heading 4 Char"/>
    <w:basedOn w:val="DefaultParagraphFont"/>
    <w:link w:val="Heading4"/>
    <w:uiPriority w:val="9"/>
    <w:semiHidden/>
    <w:rsid w:val="0038306F"/>
    <w:rPr>
      <w:rFonts w:asciiTheme="majorHAnsi" w:eastAsiaTheme="majorEastAsia" w:hAnsiTheme="majorHAnsi" w:cstheme="majorBidi"/>
      <w:b/>
      <w:bCs/>
      <w:i/>
      <w:iCs/>
      <w:color w:val="4F81BD" w:themeColor="accent1"/>
      <w:sz w:val="24"/>
      <w:szCs w:val="20"/>
      <w:lang w:eastAsia="en-AU"/>
    </w:rPr>
  </w:style>
  <w:style w:type="paragraph" w:customStyle="1" w:styleId="base-text-paragraph">
    <w:name w:val="base-text-paragraph"/>
    <w:rsid w:val="0038306F"/>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C36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DCE"/>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02E7C"/>
    <w:rPr>
      <w:sz w:val="16"/>
      <w:szCs w:val="16"/>
    </w:rPr>
  </w:style>
  <w:style w:type="paragraph" w:styleId="CommentText">
    <w:name w:val="annotation text"/>
    <w:basedOn w:val="Normal"/>
    <w:link w:val="CommentTextChar"/>
    <w:uiPriority w:val="99"/>
    <w:semiHidden/>
    <w:unhideWhenUsed/>
    <w:rsid w:val="00502E7C"/>
    <w:rPr>
      <w:sz w:val="20"/>
    </w:rPr>
  </w:style>
  <w:style w:type="character" w:customStyle="1" w:styleId="CommentTextChar">
    <w:name w:val="Comment Text Char"/>
    <w:basedOn w:val="DefaultParagraphFont"/>
    <w:link w:val="CommentText"/>
    <w:uiPriority w:val="99"/>
    <w:semiHidden/>
    <w:rsid w:val="00502E7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2E7C"/>
    <w:rPr>
      <w:b/>
      <w:bCs/>
    </w:rPr>
  </w:style>
  <w:style w:type="character" w:customStyle="1" w:styleId="CommentSubjectChar">
    <w:name w:val="Comment Subject Char"/>
    <w:basedOn w:val="CommentTextChar"/>
    <w:link w:val="CommentSubject"/>
    <w:uiPriority w:val="99"/>
    <w:semiHidden/>
    <w:rsid w:val="00502E7C"/>
    <w:rPr>
      <w:rFonts w:ascii="Times New Roman" w:eastAsia="Times New Roman" w:hAnsi="Times New Roman" w:cs="Times New Roman"/>
      <w:b/>
      <w:bCs/>
      <w:sz w:val="20"/>
      <w:szCs w:val="20"/>
      <w:lang w:eastAsia="en-AU"/>
    </w:rPr>
  </w:style>
  <w:style w:type="paragraph" w:styleId="Revision">
    <w:name w:val="Revision"/>
    <w:hidden/>
    <w:uiPriority w:val="99"/>
    <w:semiHidden/>
    <w:rsid w:val="00591BEC"/>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947054">
      <w:bodyDiv w:val="1"/>
      <w:marLeft w:val="0"/>
      <w:marRight w:val="0"/>
      <w:marTop w:val="0"/>
      <w:marBottom w:val="0"/>
      <w:divBdr>
        <w:top w:val="none" w:sz="0" w:space="0" w:color="auto"/>
        <w:left w:val="none" w:sz="0" w:space="0" w:color="auto"/>
        <w:bottom w:val="none" w:sz="0" w:space="0" w:color="auto"/>
        <w:right w:val="none" w:sz="0" w:space="0" w:color="auto"/>
      </w:divBdr>
    </w:div>
    <w:div w:id="14954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7" ma:contentTypeDescription=" " ma:contentTypeScope="" ma:versionID="bc7688aae648e1d0cb31add2f710b379">
  <xsd:schema xmlns:xsd="http://www.w3.org/2001/XMLSchema" xmlns:xs="http://www.w3.org/2001/XMLSchema" xmlns:p="http://schemas.microsoft.com/office/2006/metadata/properties" xmlns:ns1="http://schemas.microsoft.com/sharepoint/v3" xmlns:ns2="9f7bc583-7cbe-45b9-a2bd-8bbb6543b37e" targetNamespace="http://schemas.microsoft.com/office/2006/metadata/properties" ma:root="true" ma:fieldsID="436d74288e6f644cf55c6b25a904ff4d" ns1:_="" ns2:_="">
    <xsd:import namespace="http://schemas.microsoft.com/sharepoint/v3"/>
    <xsd:import namespace="9f7bc583-7cbe-45b9-a2bd-8bbb6543b37e"/>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c583-7cbe-45b9-a2bd-8bbb6543b37e">
      <Value>11</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9f7bc583-7cbe-45b9-a2bd-8bbb6543b37e">2014RG-86-13097</_dlc_DocId>
    <_dlc_DocIdUrl xmlns="9f7bc583-7cbe-45b9-a2bd-8bbb6543b37e">
      <Url>http://tweb/sites/rg/ldp/lmu/_layouts/15/DocIdRedir.aspx?ID=2014RG-86-13097</Url>
      <Description>2014RG-86-13097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F6BD-E8E4-4253-8B11-1421AD07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D2AD5-B624-4D2A-A837-0A7531806B74}">
  <ds:schemaRefs>
    <ds:schemaRef ds:uri="http://schemas.openxmlformats.org/package/2006/metadata/core-properties"/>
    <ds:schemaRef ds:uri="http://www.w3.org/XML/1998/namespace"/>
    <ds:schemaRef ds:uri="http://schemas.microsoft.com/office/2006/documentManagement/types"/>
    <ds:schemaRef ds:uri="http://purl.org/dc/dcmitype/"/>
    <ds:schemaRef ds:uri="9f7bc583-7cbe-45b9-a2bd-8bbb6543b37e"/>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047837C-A48B-4460-A68C-811BA59E0F3D}">
  <ds:schemaRefs>
    <ds:schemaRef ds:uri="http://schemas.microsoft.com/sharepoint/v3/contenttype/forms"/>
  </ds:schemaRefs>
</ds:datastoreItem>
</file>

<file path=customXml/itemProps4.xml><?xml version="1.0" encoding="utf-8"?>
<ds:datastoreItem xmlns:ds="http://schemas.openxmlformats.org/officeDocument/2006/customXml" ds:itemID="{9A068196-24B9-426B-BC61-858718942F0B}">
  <ds:schemaRefs>
    <ds:schemaRef ds:uri="http://schemas.microsoft.com/sharepoint/events"/>
  </ds:schemaRefs>
</ds:datastoreItem>
</file>

<file path=customXml/itemProps5.xml><?xml version="1.0" encoding="utf-8"?>
<ds:datastoreItem xmlns:ds="http://schemas.openxmlformats.org/officeDocument/2006/customXml" ds:itemID="{556ACA53-382D-4FBD-999D-3CADC633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2010</Words>
  <Characters>10799</Characters>
  <Application>Microsoft Office Word</Application>
  <DocSecurity>4</DocSecurity>
  <Lines>1799</Lines>
  <Paragraphs>853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Kuttner, Abigail</dc:creator>
  <cp:lastModifiedBy>van Meurs, Tina</cp:lastModifiedBy>
  <cp:revision>2</cp:revision>
  <cp:lastPrinted>2015-03-04T00:00:00Z</cp:lastPrinted>
  <dcterms:created xsi:type="dcterms:W3CDTF">2015-03-24T04:42:00Z</dcterms:created>
  <dcterms:modified xsi:type="dcterms:W3CDTF">2015-03-24T04:42:00Z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0x01010036BB8DE7EC542E42A8B2E98CC20CB69700A0A840AFAB52624689FA9AA81E9EF0D1</vt:lpwstr>
  </property>
  <property fmtid="{D5CDD505-2E9C-101B-9397-08002B2CF9AE}" pid="3" name="_dlc_DocIdItemGuid">
    <vt:lpwstr>2584fa4f-0ddd-4d5f-87b4-d8a017e37c50</vt:lpwstr>
  </property>
  <property fmtid="{D5CDD505-2E9C-101B-9397-08002B2CF9AE}" pid="4" name="TSYRecordClass">
    <vt:lpwstr>11</vt:lpwstr>
  </property>
  <property fmtid="{D5CDD505-2E9C-101B-9397-08002B2CF9AE}" pid="5" name="_AdHocReviewCycleID">
    <vt:i4>2115588343</vt:i4>
  </property>
  <property fmtid="{D5CDD505-2E9C-101B-9397-08002B2CF9AE}" pid="6" name="_NewReviewCycle">
    <vt:lpwstr/>
  </property>
  <property fmtid="{D5CDD505-2E9C-101B-9397-08002B2CF9AE}" pid="7" name="_EmailSubject">
    <vt:lpwstr>Competition and Consumer Amendment (Electronic Service of Documents and Other Measures) Regulation 2015</vt:lpwstr>
  </property>
  <property fmtid="{D5CDD505-2E9C-101B-9397-08002B2CF9AE}" pid="8" name="_AuthorEmail">
    <vt:lpwstr>Abigail.Kuttner@treasury.gov.au</vt:lpwstr>
  </property>
  <property fmtid="{D5CDD505-2E9C-101B-9397-08002B2CF9AE}" pid="9" name="_AuthorEmailDisplayName">
    <vt:lpwstr>Kuttner, Abigail</vt:lpwstr>
  </property>
  <property fmtid="{D5CDD505-2E9C-101B-9397-08002B2CF9AE}" pid="10" name="_ReviewingToolsShownOnce">
    <vt:lpwstr/>
  </property>
</Properties>
</file>