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C3EB5" w14:textId="77777777" w:rsidR="00836731" w:rsidRDefault="00836731"/>
    <w:p w14:paraId="048E6932" w14:textId="77777777" w:rsidR="00836731" w:rsidRDefault="00836731"/>
    <w:p w14:paraId="666650F1" w14:textId="77777777" w:rsidR="00836731" w:rsidRDefault="00836731"/>
    <w:p w14:paraId="7E3C2D13" w14:textId="77777777" w:rsidR="00836731" w:rsidRDefault="00836731"/>
    <w:p w14:paraId="354991A0" w14:textId="77777777" w:rsidR="0037254A" w:rsidRDefault="00836731" w:rsidP="0037254A">
      <w:r>
        <w:tab/>
      </w:r>
    </w:p>
    <w:p w14:paraId="7E892AFB" w14:textId="16E27B39" w:rsidR="0037254A" w:rsidRPr="009A2975" w:rsidRDefault="0037254A" w:rsidP="0037254A">
      <w:r>
        <w:rPr>
          <w:noProof/>
          <w:lang w:val="en-AU"/>
        </w:rPr>
        <w:drawing>
          <wp:inline distT="0" distB="0" distL="0" distR="0" wp14:anchorId="0845F308" wp14:editId="1F40E01D">
            <wp:extent cx="1423035" cy="110553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2DE69" w14:textId="7FAB052D" w:rsidR="0037254A" w:rsidRDefault="000D6A6C" w:rsidP="0037254A">
      <w:pPr>
        <w:pStyle w:val="Title"/>
      </w:pPr>
      <w:bookmarkStart w:id="0" w:name="Citation"/>
      <w:r>
        <w:t>Telecommunications</w:t>
      </w:r>
      <w:r w:rsidR="0037254A">
        <w:t xml:space="preserve"> (</w:t>
      </w:r>
      <w:r>
        <w:t>Provision of Pre-selection</w:t>
      </w:r>
      <w:r w:rsidR="0037254A">
        <w:t xml:space="preserve">) </w:t>
      </w:r>
      <w:r w:rsidR="00FD4BC8">
        <w:t>Determination</w:t>
      </w:r>
      <w:r w:rsidR="00397A47">
        <w:t xml:space="preserve"> </w:t>
      </w:r>
      <w:r w:rsidR="0037254A">
        <w:t>201</w:t>
      </w:r>
      <w:bookmarkEnd w:id="0"/>
      <w:r w:rsidR="0002394E">
        <w:t>5</w:t>
      </w:r>
    </w:p>
    <w:p w14:paraId="735B4C77" w14:textId="1A89138D" w:rsidR="0037254A" w:rsidRDefault="000D6A6C" w:rsidP="0037254A">
      <w:pPr>
        <w:pStyle w:val="CoverAct"/>
        <w:rPr>
          <w:lang w:val="en-US"/>
        </w:rPr>
      </w:pPr>
      <w:bookmarkStart w:id="1" w:name="act"/>
      <w:r>
        <w:rPr>
          <w:snapToGrid w:val="0"/>
        </w:rPr>
        <w:t>Telecommunications</w:t>
      </w:r>
      <w:r w:rsidR="0037254A">
        <w:rPr>
          <w:snapToGrid w:val="0"/>
        </w:rPr>
        <w:t xml:space="preserve"> Act 199</w:t>
      </w:r>
      <w:bookmarkEnd w:id="1"/>
      <w:r>
        <w:rPr>
          <w:snapToGrid w:val="0"/>
        </w:rPr>
        <w:t>7</w:t>
      </w:r>
    </w:p>
    <w:p w14:paraId="6824AD30" w14:textId="77777777" w:rsidR="00836731" w:rsidRDefault="00836731" w:rsidP="0037254A">
      <w:pPr>
        <w:tabs>
          <w:tab w:val="center" w:pos="4111"/>
        </w:tabs>
        <w:rPr>
          <w:b/>
        </w:rPr>
      </w:pPr>
    </w:p>
    <w:p w14:paraId="6214F1FD" w14:textId="62B0EFFD" w:rsidR="00836731" w:rsidRDefault="00836731">
      <w:pPr>
        <w:tabs>
          <w:tab w:val="center" w:pos="4111"/>
        </w:tabs>
      </w:pPr>
      <w:r>
        <w:t xml:space="preserve">The AUSTRALIAN COMMUNICATIONS </w:t>
      </w:r>
      <w:r w:rsidR="00907B56">
        <w:t xml:space="preserve">AND MEDIA </w:t>
      </w:r>
      <w:r>
        <w:t>AUTHORITY</w:t>
      </w:r>
      <w:r w:rsidR="003245C6">
        <w:t xml:space="preserve"> </w:t>
      </w:r>
      <w:r>
        <w:t xml:space="preserve">makes this </w:t>
      </w:r>
      <w:r w:rsidR="00397A47">
        <w:t xml:space="preserve">determination </w:t>
      </w:r>
      <w:r>
        <w:t>under subsection 349(1)</w:t>
      </w:r>
      <w:r w:rsidR="005E23ED">
        <w:t xml:space="preserve"> </w:t>
      </w:r>
      <w:r>
        <w:t xml:space="preserve">of the </w:t>
      </w:r>
      <w:r>
        <w:rPr>
          <w:i/>
        </w:rPr>
        <w:t>Telecommunications Act 1997.</w:t>
      </w:r>
    </w:p>
    <w:p w14:paraId="589451CC" w14:textId="77777777" w:rsidR="00836731" w:rsidRDefault="00836731">
      <w:pPr>
        <w:tabs>
          <w:tab w:val="center" w:pos="4111"/>
        </w:tabs>
      </w:pPr>
    </w:p>
    <w:p w14:paraId="4D12E59C" w14:textId="77777777" w:rsidR="00836731" w:rsidRDefault="00836731">
      <w:pPr>
        <w:tabs>
          <w:tab w:val="center" w:pos="4111"/>
        </w:tabs>
      </w:pPr>
    </w:p>
    <w:p w14:paraId="68FF7E17" w14:textId="5B881EDE" w:rsidR="00836731" w:rsidRDefault="00836731">
      <w:pPr>
        <w:tabs>
          <w:tab w:val="center" w:pos="4111"/>
        </w:tabs>
      </w:pPr>
      <w:r>
        <w:t xml:space="preserve">Dated </w:t>
      </w:r>
      <w:r w:rsidR="00954596">
        <w:t xml:space="preserve">     </w:t>
      </w:r>
      <w:r w:rsidR="00FD3029" w:rsidRPr="00FD3029">
        <w:rPr>
          <w:i/>
        </w:rPr>
        <w:t>17</w:t>
      </w:r>
      <w:r w:rsidR="00FD3029" w:rsidRPr="00FD3029">
        <w:rPr>
          <w:i/>
          <w:vertAlign w:val="superscript"/>
        </w:rPr>
        <w:t>th</w:t>
      </w:r>
      <w:r w:rsidR="00FD3029" w:rsidRPr="00FD3029">
        <w:rPr>
          <w:i/>
        </w:rPr>
        <w:t xml:space="preserve"> March</w:t>
      </w:r>
      <w:r w:rsidR="00FD3029">
        <w:t xml:space="preserve"> </w:t>
      </w:r>
      <w:r w:rsidR="00907B56">
        <w:t>201</w:t>
      </w:r>
      <w:r w:rsidR="00751E98">
        <w:t>5</w:t>
      </w:r>
    </w:p>
    <w:p w14:paraId="2C953231" w14:textId="203213BB" w:rsidR="00836731" w:rsidRDefault="007D4B57" w:rsidP="007D4B57">
      <w:pPr>
        <w:tabs>
          <w:tab w:val="left" w:pos="2475"/>
        </w:tabs>
      </w:pPr>
      <w:r>
        <w:tab/>
      </w:r>
    </w:p>
    <w:p w14:paraId="72B3429C" w14:textId="77777777" w:rsidR="00836731" w:rsidRDefault="00836731"/>
    <w:p w14:paraId="620F5F71" w14:textId="77777777" w:rsidR="00836731" w:rsidRDefault="00836731"/>
    <w:p w14:paraId="02CD6D29" w14:textId="77777777" w:rsidR="00836731" w:rsidRDefault="00836731"/>
    <w:p w14:paraId="6F481E58" w14:textId="10151304" w:rsidR="00836731" w:rsidRDefault="00836731" w:rsidP="007D4B5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4596">
        <w:t xml:space="preserve">         </w:t>
      </w:r>
      <w:r w:rsidR="00FD3029" w:rsidRPr="00FD3029">
        <w:rPr>
          <w:i/>
        </w:rPr>
        <w:t>Chris Chapman</w:t>
      </w:r>
      <w:r w:rsidR="00FD3029">
        <w:t xml:space="preserve"> [signed] </w:t>
      </w:r>
      <w:r w:rsidR="00FD3029">
        <w:br/>
      </w:r>
      <w:r w:rsidR="00907B56">
        <w:t>Member</w:t>
      </w:r>
    </w:p>
    <w:p w14:paraId="3CC10816" w14:textId="77777777" w:rsidR="00836731" w:rsidRDefault="00836731"/>
    <w:p w14:paraId="5460000B" w14:textId="77777777" w:rsidR="00836731" w:rsidRDefault="00836731"/>
    <w:p w14:paraId="01EE8DDA" w14:textId="77777777" w:rsidR="00836731" w:rsidRDefault="00836731"/>
    <w:p w14:paraId="03A7DCDB" w14:textId="77777777" w:rsidR="002C685D" w:rsidRDefault="002C685D"/>
    <w:p w14:paraId="37C48E3B" w14:textId="77777777" w:rsidR="00836731" w:rsidRDefault="00836731"/>
    <w:p w14:paraId="01D597B4" w14:textId="272FCFA5" w:rsidR="00836731" w:rsidRPr="00FD3029" w:rsidRDefault="00836731" w:rsidP="007D4B57">
      <w:pPr>
        <w:jc w:val="right"/>
        <w:rPr>
          <w:strike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7B56">
        <w:tab/>
      </w:r>
      <w:r w:rsidR="00907B56">
        <w:tab/>
      </w:r>
      <w:r w:rsidR="00907B56">
        <w:tab/>
      </w:r>
      <w:r w:rsidR="00907B56">
        <w:tab/>
      </w:r>
      <w:r w:rsidR="00907B56">
        <w:tab/>
      </w:r>
      <w:r w:rsidR="00907B56">
        <w:tab/>
      </w:r>
      <w:r w:rsidR="00907B56">
        <w:tab/>
      </w:r>
      <w:r w:rsidR="00FD3029" w:rsidRPr="00FD3029">
        <w:rPr>
          <w:i/>
        </w:rPr>
        <w:t>Richard Bean</w:t>
      </w:r>
      <w:r w:rsidR="00FD3029">
        <w:t xml:space="preserve"> </w:t>
      </w:r>
      <w:r w:rsidR="00FD3029">
        <w:br/>
        <w:t xml:space="preserve">[signed] </w:t>
      </w:r>
      <w:r w:rsidR="00FD3029">
        <w:br/>
      </w:r>
      <w:r w:rsidR="00907B56">
        <w:t xml:space="preserve">Member / </w:t>
      </w:r>
      <w:r w:rsidR="00907B56" w:rsidRPr="00FD3029">
        <w:rPr>
          <w:strike/>
        </w:rPr>
        <w:t>General Manag</w:t>
      </w:r>
      <w:bookmarkStart w:id="2" w:name="_GoBack"/>
      <w:r w:rsidR="00907B56" w:rsidRPr="00FD3029">
        <w:rPr>
          <w:strike/>
        </w:rPr>
        <w:t>e</w:t>
      </w:r>
      <w:bookmarkEnd w:id="2"/>
      <w:r w:rsidR="00907B56" w:rsidRPr="00FD3029">
        <w:rPr>
          <w:strike/>
        </w:rPr>
        <w:t>r</w:t>
      </w:r>
    </w:p>
    <w:p w14:paraId="50A63F4A" w14:textId="77777777" w:rsidR="00361F0B" w:rsidRDefault="00361F0B">
      <w:pPr>
        <w:overflowPunct/>
        <w:autoSpaceDE/>
        <w:autoSpaceDN/>
        <w:adjustRightInd/>
        <w:textAlignment w:val="auto"/>
        <w:sectPr w:rsidR="00361F0B" w:rsidSect="00361F0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1440" w:right="1797" w:bottom="1440" w:left="1797" w:header="720" w:footer="720" w:gutter="0"/>
          <w:cols w:space="720"/>
          <w:titlePg/>
          <w:docGrid w:linePitch="326"/>
        </w:sectPr>
      </w:pPr>
    </w:p>
    <w:p w14:paraId="5A700B30" w14:textId="77777777" w:rsidR="00836731" w:rsidRPr="001B1C1F" w:rsidRDefault="00836731">
      <w:pPr>
        <w:tabs>
          <w:tab w:val="center" w:pos="-2127"/>
        </w:tabs>
        <w:ind w:left="2268" w:hanging="2268"/>
        <w:rPr>
          <w:b/>
          <w:sz w:val="28"/>
          <w:szCs w:val="28"/>
        </w:rPr>
      </w:pPr>
      <w:r w:rsidRPr="001B1C1F">
        <w:rPr>
          <w:b/>
          <w:sz w:val="28"/>
          <w:szCs w:val="28"/>
        </w:rPr>
        <w:lastRenderedPageBreak/>
        <w:t>Part 1</w:t>
      </w:r>
      <w:r w:rsidRPr="001B1C1F">
        <w:rPr>
          <w:b/>
          <w:sz w:val="28"/>
          <w:szCs w:val="28"/>
        </w:rPr>
        <w:tab/>
        <w:t>Preliminary</w:t>
      </w:r>
    </w:p>
    <w:p w14:paraId="176A1658" w14:textId="77777777" w:rsidR="00836731" w:rsidRDefault="00836731">
      <w:pPr>
        <w:tabs>
          <w:tab w:val="center" w:pos="-2127"/>
        </w:tabs>
        <w:rPr>
          <w:b/>
        </w:rPr>
      </w:pPr>
    </w:p>
    <w:p w14:paraId="02CA57A3" w14:textId="6CD2E908" w:rsidR="00836731" w:rsidRDefault="00836731">
      <w:pPr>
        <w:tabs>
          <w:tab w:val="center" w:pos="-2127"/>
        </w:tabs>
        <w:ind w:left="567" w:hanging="567"/>
        <w:rPr>
          <w:b/>
        </w:rPr>
      </w:pPr>
      <w:r>
        <w:rPr>
          <w:b/>
        </w:rPr>
        <w:t>1</w:t>
      </w:r>
      <w:r>
        <w:rPr>
          <w:b/>
        </w:rPr>
        <w:tab/>
        <w:t xml:space="preserve">Name of </w:t>
      </w:r>
      <w:r w:rsidR="00C44D78">
        <w:rPr>
          <w:b/>
        </w:rPr>
        <w:t>determination</w:t>
      </w:r>
    </w:p>
    <w:p w14:paraId="2790B613" w14:textId="77777777" w:rsidR="00836731" w:rsidRDefault="00836731">
      <w:pPr>
        <w:tabs>
          <w:tab w:val="center" w:pos="-2127"/>
        </w:tabs>
        <w:rPr>
          <w:b/>
        </w:rPr>
      </w:pPr>
    </w:p>
    <w:p w14:paraId="75A5B0AC" w14:textId="44E405C5" w:rsidR="00836731" w:rsidRDefault="00836731">
      <w:pPr>
        <w:tabs>
          <w:tab w:val="center" w:pos="-2127"/>
        </w:tabs>
        <w:ind w:left="567"/>
      </w:pPr>
      <w:r>
        <w:t xml:space="preserve">This </w:t>
      </w:r>
      <w:r w:rsidR="00922E99">
        <w:t xml:space="preserve">determination </w:t>
      </w:r>
      <w:r>
        <w:t xml:space="preserve">is the </w:t>
      </w:r>
      <w:r>
        <w:rPr>
          <w:i/>
        </w:rPr>
        <w:t xml:space="preserve">Telecommunications (Provision of Pre-selection) </w:t>
      </w:r>
      <w:r w:rsidR="00922E99">
        <w:rPr>
          <w:i/>
        </w:rPr>
        <w:t>Determination</w:t>
      </w:r>
      <w:r w:rsidR="00EA29D3">
        <w:rPr>
          <w:i/>
        </w:rPr>
        <w:t xml:space="preserve"> </w:t>
      </w:r>
      <w:r w:rsidR="00907B56">
        <w:rPr>
          <w:i/>
        </w:rPr>
        <w:t>201</w:t>
      </w:r>
      <w:r w:rsidR="00BD6B1C">
        <w:rPr>
          <w:i/>
        </w:rPr>
        <w:t>5</w:t>
      </w:r>
      <w:r>
        <w:rPr>
          <w:i/>
        </w:rPr>
        <w:t>.</w:t>
      </w:r>
    </w:p>
    <w:p w14:paraId="6FB4F8F7" w14:textId="77777777" w:rsidR="00A97477" w:rsidRDefault="00A97477">
      <w:pPr>
        <w:tabs>
          <w:tab w:val="center" w:pos="-2127"/>
        </w:tabs>
        <w:ind w:left="567" w:hanging="567"/>
        <w:rPr>
          <w:b/>
        </w:rPr>
      </w:pPr>
    </w:p>
    <w:p w14:paraId="5CF684E8" w14:textId="77777777" w:rsidR="00836731" w:rsidRDefault="00836731">
      <w:pPr>
        <w:tabs>
          <w:tab w:val="center" w:pos="-2127"/>
        </w:tabs>
        <w:ind w:left="567" w:hanging="567"/>
        <w:rPr>
          <w:b/>
        </w:rPr>
      </w:pPr>
      <w:r>
        <w:rPr>
          <w:b/>
        </w:rPr>
        <w:t>2</w:t>
      </w:r>
      <w:r>
        <w:rPr>
          <w:b/>
        </w:rPr>
        <w:tab/>
        <w:t>Commencement</w:t>
      </w:r>
    </w:p>
    <w:p w14:paraId="785591E4" w14:textId="77777777" w:rsidR="00836731" w:rsidRDefault="00836731">
      <w:pPr>
        <w:tabs>
          <w:tab w:val="center" w:pos="-2127"/>
        </w:tabs>
        <w:ind w:left="567" w:hanging="567"/>
        <w:rPr>
          <w:b/>
        </w:rPr>
      </w:pPr>
    </w:p>
    <w:p w14:paraId="5D9D8DB1" w14:textId="2D81DEF8" w:rsidR="00391104" w:rsidRDefault="00836731" w:rsidP="007708C6">
      <w:pPr>
        <w:tabs>
          <w:tab w:val="center" w:pos="-2127"/>
        </w:tabs>
        <w:spacing w:after="120"/>
        <w:ind w:left="567"/>
      </w:pPr>
      <w:r>
        <w:t xml:space="preserve">This </w:t>
      </w:r>
      <w:r w:rsidR="00AB3199">
        <w:t>determination</w:t>
      </w:r>
      <w:r w:rsidR="00A97477">
        <w:t xml:space="preserve"> </w:t>
      </w:r>
      <w:r>
        <w:t xml:space="preserve">commences on </w:t>
      </w:r>
      <w:r w:rsidR="00907B56">
        <w:t>the day after is registered</w:t>
      </w:r>
      <w:r w:rsidR="00BD6B1C">
        <w:t>.</w:t>
      </w:r>
    </w:p>
    <w:p w14:paraId="61BEF6CA" w14:textId="6A539B18" w:rsidR="00836731" w:rsidRDefault="00304F1D" w:rsidP="001B1C1F">
      <w:pPr>
        <w:pStyle w:val="Note"/>
      </w:pPr>
      <w:r>
        <w:rPr>
          <w:i/>
        </w:rPr>
        <w:t>Note</w:t>
      </w:r>
      <w:r>
        <w:t xml:space="preserve">   All legislative instruments and compilations are registered on the Federal Register of Legislative Instruments kept under the </w:t>
      </w:r>
      <w:r>
        <w:rPr>
          <w:i/>
        </w:rPr>
        <w:t xml:space="preserve">Legislative Instruments Act </w:t>
      </w:r>
      <w:r w:rsidRPr="006F18DE">
        <w:t>2003</w:t>
      </w:r>
      <w:r>
        <w:t xml:space="preserve">.  See </w:t>
      </w:r>
      <w:r w:rsidRPr="006F18DE">
        <w:rPr>
          <w:u w:val="single"/>
        </w:rPr>
        <w:t>http://www.</w:t>
      </w:r>
      <w:r w:rsidR="006B0422">
        <w:rPr>
          <w:u w:val="single"/>
        </w:rPr>
        <w:t>comlaw</w:t>
      </w:r>
      <w:r w:rsidRPr="006F18DE">
        <w:rPr>
          <w:u w:val="single"/>
        </w:rPr>
        <w:t>.gov.au</w:t>
      </w:r>
      <w:r>
        <w:t>.</w:t>
      </w:r>
    </w:p>
    <w:p w14:paraId="10169798" w14:textId="77777777" w:rsidR="000A5951" w:rsidRDefault="000A5951" w:rsidP="001B1C1F">
      <w:pPr>
        <w:pStyle w:val="Note"/>
      </w:pPr>
    </w:p>
    <w:p w14:paraId="6D8F1BB5" w14:textId="51BBEE84" w:rsidR="00DD368D" w:rsidRDefault="00DD368D" w:rsidP="00DD368D">
      <w:pPr>
        <w:tabs>
          <w:tab w:val="center" w:pos="-2127"/>
        </w:tabs>
        <w:ind w:left="567" w:hanging="567"/>
        <w:rPr>
          <w:b/>
        </w:rPr>
      </w:pPr>
      <w:r>
        <w:rPr>
          <w:b/>
        </w:rPr>
        <w:t>3</w:t>
      </w:r>
      <w:r>
        <w:rPr>
          <w:b/>
        </w:rPr>
        <w:tab/>
        <w:t>Revocation</w:t>
      </w:r>
      <w:r w:rsidR="00B24B5F">
        <w:rPr>
          <w:b/>
        </w:rPr>
        <w:t>s</w:t>
      </w:r>
    </w:p>
    <w:p w14:paraId="2626CFF0" w14:textId="77777777" w:rsidR="00DD368D" w:rsidRDefault="00DD368D" w:rsidP="00DD368D">
      <w:pPr>
        <w:tabs>
          <w:tab w:val="center" w:pos="-2127"/>
        </w:tabs>
        <w:ind w:left="567" w:hanging="567"/>
        <w:rPr>
          <w:b/>
        </w:rPr>
      </w:pPr>
    </w:p>
    <w:p w14:paraId="3A03F44B" w14:textId="77777777" w:rsidR="00DD368D" w:rsidRDefault="00DD368D" w:rsidP="00DD368D">
      <w:pPr>
        <w:tabs>
          <w:tab w:val="center" w:pos="-2127"/>
        </w:tabs>
        <w:spacing w:after="120"/>
        <w:ind w:left="567"/>
      </w:pPr>
      <w:r>
        <w:t>The following instruments are revoked:</w:t>
      </w:r>
    </w:p>
    <w:p w14:paraId="44BFAD60" w14:textId="77777777" w:rsidR="00DD368D" w:rsidRPr="002669CE" w:rsidRDefault="00DD368D" w:rsidP="00DD368D">
      <w:pPr>
        <w:pStyle w:val="ListParagraph"/>
        <w:numPr>
          <w:ilvl w:val="0"/>
          <w:numId w:val="7"/>
        </w:numPr>
        <w:tabs>
          <w:tab w:val="center" w:pos="-2127"/>
        </w:tabs>
        <w:spacing w:after="120"/>
        <w:ind w:left="1134" w:hanging="567"/>
        <w:contextualSpacing w:val="0"/>
        <w:rPr>
          <w:i/>
        </w:rPr>
      </w:pPr>
      <w:r w:rsidRPr="002669CE">
        <w:rPr>
          <w:i/>
        </w:rPr>
        <w:t>Telecommunications (Provision of Pre-selection for a Standard Telephone Service) Determination 1998</w:t>
      </w:r>
      <w:r>
        <w:t xml:space="preserve"> [FRLI No. F2005B00452];</w:t>
      </w:r>
    </w:p>
    <w:p w14:paraId="086B0456" w14:textId="77777777" w:rsidR="00DD368D" w:rsidRDefault="00DD368D" w:rsidP="00DD368D">
      <w:pPr>
        <w:pStyle w:val="ListParagraph"/>
        <w:numPr>
          <w:ilvl w:val="0"/>
          <w:numId w:val="7"/>
        </w:numPr>
        <w:tabs>
          <w:tab w:val="center" w:pos="-2127"/>
        </w:tabs>
        <w:spacing w:after="120"/>
        <w:ind w:left="1134" w:hanging="567"/>
        <w:contextualSpacing w:val="0"/>
      </w:pPr>
      <w:r w:rsidRPr="002669CE">
        <w:rPr>
          <w:i/>
        </w:rPr>
        <w:t xml:space="preserve">Telecommunications (Provision of Pre-selection for Specified Carriage Services) Determination 1998 </w:t>
      </w:r>
      <w:r>
        <w:t>[</w:t>
      </w:r>
      <w:r w:rsidRPr="002669CE">
        <w:t>FRLI No.</w:t>
      </w:r>
      <w:r w:rsidRPr="00FE50BA">
        <w:t xml:space="preserve"> </w:t>
      </w:r>
      <w:r w:rsidRPr="002669CE">
        <w:t>F2005B00451</w:t>
      </w:r>
      <w:r>
        <w:t>]; and</w:t>
      </w:r>
    </w:p>
    <w:p w14:paraId="0C91FD29" w14:textId="77777777" w:rsidR="00DD368D" w:rsidRDefault="00DD368D" w:rsidP="00DD368D">
      <w:pPr>
        <w:pStyle w:val="ListParagraph"/>
        <w:numPr>
          <w:ilvl w:val="0"/>
          <w:numId w:val="7"/>
        </w:numPr>
        <w:tabs>
          <w:tab w:val="center" w:pos="-2127"/>
        </w:tabs>
        <w:spacing w:after="120"/>
        <w:ind w:left="1134" w:hanging="567"/>
        <w:contextualSpacing w:val="0"/>
      </w:pPr>
      <w:r w:rsidRPr="002669CE">
        <w:rPr>
          <w:i/>
        </w:rPr>
        <w:t>Telecommunications (Standard Telephone Service and Specified Carriage Service Exemption) Declaration 1998</w:t>
      </w:r>
      <w:r>
        <w:rPr>
          <w:i/>
        </w:rPr>
        <w:t xml:space="preserve"> </w:t>
      </w:r>
      <w:r w:rsidRPr="00A52801">
        <w:t>[</w:t>
      </w:r>
      <w:r w:rsidRPr="002669CE">
        <w:t>FRLI No.</w:t>
      </w:r>
      <w:r>
        <w:t xml:space="preserve"> </w:t>
      </w:r>
      <w:r w:rsidRPr="00FE50BA">
        <w:t>F2005B00455</w:t>
      </w:r>
      <w:r>
        <w:t>].</w:t>
      </w:r>
    </w:p>
    <w:p w14:paraId="54200C6D" w14:textId="77777777" w:rsidR="00796162" w:rsidRDefault="00796162">
      <w:pPr>
        <w:tabs>
          <w:tab w:val="center" w:pos="-2127"/>
        </w:tabs>
        <w:ind w:left="567" w:hanging="567"/>
        <w:rPr>
          <w:b/>
        </w:rPr>
      </w:pPr>
    </w:p>
    <w:p w14:paraId="760E872F" w14:textId="74A0F0A1" w:rsidR="00836731" w:rsidRDefault="001433AD">
      <w:pPr>
        <w:tabs>
          <w:tab w:val="center" w:pos="-2127"/>
        </w:tabs>
        <w:ind w:left="567" w:hanging="567"/>
        <w:rPr>
          <w:b/>
        </w:rPr>
      </w:pPr>
      <w:r>
        <w:rPr>
          <w:b/>
        </w:rPr>
        <w:t>4</w:t>
      </w:r>
      <w:r w:rsidR="00836731">
        <w:rPr>
          <w:b/>
        </w:rPr>
        <w:tab/>
        <w:t>Definitions</w:t>
      </w:r>
    </w:p>
    <w:p w14:paraId="2665142E" w14:textId="77777777" w:rsidR="00836731" w:rsidRDefault="00836731">
      <w:pPr>
        <w:tabs>
          <w:tab w:val="center" w:pos="-2127"/>
        </w:tabs>
        <w:ind w:left="567" w:hanging="567"/>
        <w:rPr>
          <w:b/>
        </w:rPr>
      </w:pPr>
    </w:p>
    <w:p w14:paraId="0EC3F72A" w14:textId="77D3686A" w:rsidR="00836731" w:rsidRDefault="00836731">
      <w:pPr>
        <w:tabs>
          <w:tab w:val="center" w:pos="-2127"/>
        </w:tabs>
        <w:ind w:left="993" w:hanging="426"/>
      </w:pPr>
      <w:r>
        <w:t>(1)</w:t>
      </w:r>
      <w:r>
        <w:tab/>
        <w:t xml:space="preserve">In this </w:t>
      </w:r>
      <w:r w:rsidR="00B24B5F">
        <w:t>determination</w:t>
      </w:r>
      <w:r>
        <w:t>:</w:t>
      </w:r>
    </w:p>
    <w:p w14:paraId="0EEDC08E" w14:textId="77777777" w:rsidR="00836731" w:rsidRDefault="00836731">
      <w:pPr>
        <w:tabs>
          <w:tab w:val="center" w:pos="-2127"/>
        </w:tabs>
        <w:ind w:left="567"/>
      </w:pPr>
    </w:p>
    <w:p w14:paraId="2EA4241E" w14:textId="77777777" w:rsidR="004B5187" w:rsidRDefault="004B5187" w:rsidP="004B5187">
      <w:pPr>
        <w:tabs>
          <w:tab w:val="center" w:pos="-2127"/>
        </w:tabs>
        <w:spacing w:after="120"/>
        <w:ind w:left="1134"/>
        <w:rPr>
          <w:b/>
          <w:i/>
        </w:rPr>
      </w:pPr>
      <w:r>
        <w:rPr>
          <w:b/>
          <w:i/>
        </w:rPr>
        <w:t xml:space="preserve">1997 numbering plan </w:t>
      </w:r>
      <w:r w:rsidRPr="001B1C1F">
        <w:t xml:space="preserve">means the </w:t>
      </w:r>
      <w:r w:rsidRPr="001B1C1F">
        <w:rPr>
          <w:i/>
        </w:rPr>
        <w:t>Telecommunications Numbering Plan 1997</w:t>
      </w:r>
      <w:r w:rsidRPr="001B1C1F">
        <w:t xml:space="preserve"> made under subsection 455(1) of the Act.</w:t>
      </w:r>
    </w:p>
    <w:p w14:paraId="02E6D18A" w14:textId="479A3B17" w:rsidR="00D42117" w:rsidRDefault="00D42117" w:rsidP="00366FF9">
      <w:pPr>
        <w:tabs>
          <w:tab w:val="center" w:pos="-2127"/>
        </w:tabs>
        <w:spacing w:after="120"/>
        <w:ind w:left="1134"/>
        <w:rPr>
          <w:b/>
          <w:i/>
        </w:rPr>
      </w:pPr>
      <w:proofErr w:type="gramStart"/>
      <w:r>
        <w:rPr>
          <w:b/>
          <w:i/>
        </w:rPr>
        <w:t>access</w:t>
      </w:r>
      <w:proofErr w:type="gramEnd"/>
      <w:r>
        <w:rPr>
          <w:b/>
          <w:i/>
        </w:rPr>
        <w:t xml:space="preserve"> service deliverer </w:t>
      </w:r>
      <w:r w:rsidR="000A5951" w:rsidRPr="001B1C1F">
        <w:t xml:space="preserve">means a carrier or carriage service provider who is required </w:t>
      </w:r>
      <w:r w:rsidR="006F4B35">
        <w:t>under section 7</w:t>
      </w:r>
      <w:r w:rsidR="00C12BA3" w:rsidRPr="00C12BA3">
        <w:t xml:space="preserve"> or </w:t>
      </w:r>
      <w:r w:rsidR="00C663CC">
        <w:t xml:space="preserve">section </w:t>
      </w:r>
      <w:r w:rsidR="006F4B35">
        <w:t>8</w:t>
      </w:r>
      <w:r w:rsidR="00C04E54" w:rsidRPr="001B1C1F">
        <w:t xml:space="preserve"> </w:t>
      </w:r>
      <w:r w:rsidR="000A5951" w:rsidRPr="001B1C1F">
        <w:t>to provide pre-selection</w:t>
      </w:r>
      <w:r w:rsidR="00C04E54" w:rsidRPr="001B1C1F">
        <w:t>.</w:t>
      </w:r>
      <w:r w:rsidR="00C04E54">
        <w:rPr>
          <w:b/>
          <w:i/>
        </w:rPr>
        <w:t xml:space="preserve"> </w:t>
      </w:r>
    </w:p>
    <w:p w14:paraId="06D023C4" w14:textId="37474FB5" w:rsidR="00304F1D" w:rsidRDefault="00836731" w:rsidP="00366FF9">
      <w:pPr>
        <w:tabs>
          <w:tab w:val="center" w:pos="-2127"/>
        </w:tabs>
        <w:spacing w:after="120"/>
        <w:ind w:left="1134"/>
        <w:rPr>
          <w:i/>
        </w:rPr>
      </w:pPr>
      <w:r>
        <w:rPr>
          <w:b/>
          <w:i/>
        </w:rPr>
        <w:t xml:space="preserve">Act </w:t>
      </w:r>
      <w:r>
        <w:t xml:space="preserve">means the </w:t>
      </w:r>
      <w:r>
        <w:rPr>
          <w:i/>
        </w:rPr>
        <w:t>Telecommunications Act 1997.</w:t>
      </w:r>
    </w:p>
    <w:p w14:paraId="3E450737" w14:textId="25B90AD6" w:rsidR="0071456E" w:rsidRPr="00B15B80" w:rsidRDefault="00966850" w:rsidP="00366FF9">
      <w:pPr>
        <w:tabs>
          <w:tab w:val="center" w:pos="-2127"/>
        </w:tabs>
        <w:spacing w:after="120"/>
        <w:ind w:left="1134"/>
      </w:pPr>
      <w:proofErr w:type="gramStart"/>
      <w:r>
        <w:rPr>
          <w:b/>
          <w:i/>
        </w:rPr>
        <w:t>e</w:t>
      </w:r>
      <w:r w:rsidR="0071456E">
        <w:rPr>
          <w:b/>
          <w:i/>
        </w:rPr>
        <w:t>ligible</w:t>
      </w:r>
      <w:proofErr w:type="gramEnd"/>
      <w:r w:rsidR="0071456E">
        <w:rPr>
          <w:b/>
          <w:i/>
        </w:rPr>
        <w:t xml:space="preserve"> customer</w:t>
      </w:r>
      <w:r w:rsidR="00FF1F54">
        <w:rPr>
          <w:b/>
          <w:i/>
        </w:rPr>
        <w:t xml:space="preserve"> </w:t>
      </w:r>
      <w:r w:rsidR="00FF1F54" w:rsidRPr="00B15B80">
        <w:t>has the meaning give</w:t>
      </w:r>
      <w:r w:rsidR="00C3620D" w:rsidRPr="00B15B80">
        <w:t>n by section 110 of the TCPSS Act.</w:t>
      </w:r>
    </w:p>
    <w:p w14:paraId="5FD07DB6" w14:textId="5B354586" w:rsidR="0071456E" w:rsidRPr="00B15B80" w:rsidRDefault="00C3620D" w:rsidP="00366FF9">
      <w:pPr>
        <w:tabs>
          <w:tab w:val="center" w:pos="-2127"/>
        </w:tabs>
        <w:spacing w:after="120"/>
        <w:ind w:left="1134"/>
      </w:pPr>
      <w:proofErr w:type="gramStart"/>
      <w:r>
        <w:rPr>
          <w:b/>
          <w:i/>
        </w:rPr>
        <w:t>e</w:t>
      </w:r>
      <w:r w:rsidR="0071456E">
        <w:rPr>
          <w:b/>
          <w:i/>
        </w:rPr>
        <w:t>ligible</w:t>
      </w:r>
      <w:proofErr w:type="gramEnd"/>
      <w:r w:rsidR="0071456E">
        <w:rPr>
          <w:b/>
          <w:i/>
        </w:rPr>
        <w:t xml:space="preserve"> local call</w:t>
      </w:r>
      <w:r>
        <w:rPr>
          <w:b/>
          <w:i/>
        </w:rPr>
        <w:t xml:space="preserve"> </w:t>
      </w:r>
      <w:r w:rsidRPr="00B15B80">
        <w:t>has the meaning given by section 106 of the TCPSS Act.</w:t>
      </w:r>
    </w:p>
    <w:p w14:paraId="79F8D79D" w14:textId="4D637F47" w:rsidR="00836731" w:rsidRDefault="00836731" w:rsidP="00366FF9">
      <w:pPr>
        <w:tabs>
          <w:tab w:val="center" w:pos="-2127"/>
        </w:tabs>
        <w:spacing w:after="120"/>
        <w:ind w:left="1134"/>
      </w:pPr>
      <w:proofErr w:type="gramStart"/>
      <w:r>
        <w:rPr>
          <w:b/>
          <w:i/>
        </w:rPr>
        <w:t>pre-selectable</w:t>
      </w:r>
      <w:proofErr w:type="gramEnd"/>
      <w:r>
        <w:rPr>
          <w:b/>
          <w:i/>
        </w:rPr>
        <w:t xml:space="preserve"> service</w:t>
      </w:r>
      <w:r>
        <w:t xml:space="preserve"> means </w:t>
      </w:r>
      <w:r w:rsidR="00092CD6">
        <w:t xml:space="preserve">a </w:t>
      </w:r>
      <w:r>
        <w:t>call using a standard telephone service to</w:t>
      </w:r>
      <w:r w:rsidR="004E7E11">
        <w:t xml:space="preserve"> any of the following</w:t>
      </w:r>
      <w:r>
        <w:t>:</w:t>
      </w:r>
    </w:p>
    <w:p w14:paraId="5A7491D4" w14:textId="77777777" w:rsidR="00836731" w:rsidRDefault="00836731" w:rsidP="00366FF9">
      <w:pPr>
        <w:tabs>
          <w:tab w:val="center" w:pos="-2127"/>
        </w:tabs>
        <w:spacing w:after="120"/>
        <w:ind w:left="1559" w:hanging="426"/>
        <w:contextualSpacing/>
      </w:pPr>
      <w:r>
        <w:t>(a)</w:t>
      </w:r>
      <w:r>
        <w:tab/>
      </w:r>
      <w:proofErr w:type="gramStart"/>
      <w:r>
        <w:t>a</w:t>
      </w:r>
      <w:proofErr w:type="gramEnd"/>
      <w:r>
        <w:t xml:space="preserve"> geographic number or local number that is not a local call;</w:t>
      </w:r>
    </w:p>
    <w:p w14:paraId="450B4C28" w14:textId="77777777" w:rsidR="00836731" w:rsidRDefault="00836731" w:rsidP="00366FF9">
      <w:pPr>
        <w:tabs>
          <w:tab w:val="center" w:pos="-2127"/>
        </w:tabs>
        <w:spacing w:after="120"/>
        <w:ind w:left="1559" w:hanging="426"/>
        <w:contextualSpacing/>
      </w:pPr>
      <w:r>
        <w:t>(b)</w:t>
      </w:r>
      <w:r>
        <w:tab/>
      </w:r>
      <w:proofErr w:type="gramStart"/>
      <w:r>
        <w:t>an</w:t>
      </w:r>
      <w:proofErr w:type="gramEnd"/>
      <w:r>
        <w:t xml:space="preserve"> international direct dial service;</w:t>
      </w:r>
    </w:p>
    <w:p w14:paraId="5D7561B6" w14:textId="6BA0F00B" w:rsidR="00836731" w:rsidRDefault="00836731" w:rsidP="00366FF9">
      <w:pPr>
        <w:tabs>
          <w:tab w:val="center" w:pos="-2127"/>
        </w:tabs>
        <w:spacing w:after="120"/>
        <w:ind w:left="1559" w:hanging="426"/>
        <w:contextualSpacing/>
      </w:pPr>
      <w:r>
        <w:t>(c)</w:t>
      </w:r>
      <w:r>
        <w:tab/>
      </w:r>
      <w:proofErr w:type="gramStart"/>
      <w:r>
        <w:t>an</w:t>
      </w:r>
      <w:proofErr w:type="gramEnd"/>
      <w:r>
        <w:t xml:space="preserve"> operator service for which the </w:t>
      </w:r>
      <w:r w:rsidR="00A97418">
        <w:t>1997 n</w:t>
      </w:r>
      <w:r>
        <w:t xml:space="preserve">umbering </w:t>
      </w:r>
      <w:r w:rsidR="00A97418">
        <w:t>p</w:t>
      </w:r>
      <w:r>
        <w:t>lan specifies the use of a shared selectable number;</w:t>
      </w:r>
    </w:p>
    <w:p w14:paraId="7B327262" w14:textId="48139803" w:rsidR="004B5B13" w:rsidRDefault="00836731" w:rsidP="00366FF9">
      <w:pPr>
        <w:tabs>
          <w:tab w:val="center" w:pos="-2127"/>
        </w:tabs>
        <w:spacing w:after="120"/>
        <w:ind w:left="1559" w:hanging="426"/>
        <w:contextualSpacing/>
      </w:pPr>
      <w:r>
        <w:lastRenderedPageBreak/>
        <w:t>(d)</w:t>
      </w:r>
      <w:r>
        <w:tab/>
      </w:r>
      <w:proofErr w:type="gramStart"/>
      <w:r>
        <w:t>a</w:t>
      </w:r>
      <w:proofErr w:type="gramEnd"/>
      <w:r>
        <w:t xml:space="preserve"> carriage service that is both a ring back price service and an international service</w:t>
      </w:r>
      <w:r w:rsidR="004B5B13">
        <w:t>;</w:t>
      </w:r>
    </w:p>
    <w:p w14:paraId="2AB3D9E6" w14:textId="77777777" w:rsidR="00361F0B" w:rsidRDefault="004B5B13" w:rsidP="00366FF9">
      <w:pPr>
        <w:pStyle w:val="ListParagraph"/>
        <w:numPr>
          <w:ilvl w:val="0"/>
          <w:numId w:val="4"/>
        </w:numPr>
        <w:tabs>
          <w:tab w:val="center" w:pos="-2127"/>
        </w:tabs>
        <w:spacing w:after="120"/>
        <w:ind w:left="1559" w:hanging="426"/>
        <w:sectPr w:rsidR="00361F0B" w:rsidSect="002D1710">
          <w:headerReference w:type="default" r:id="rId20"/>
          <w:headerReference w:type="first" r:id="rId21"/>
          <w:footerReference w:type="first" r:id="rId22"/>
          <w:pgSz w:w="11907" w:h="16840" w:code="9"/>
          <w:pgMar w:top="1618" w:right="1797" w:bottom="1440" w:left="1797" w:header="720" w:footer="720" w:gutter="0"/>
          <w:cols w:space="720"/>
          <w:titlePg/>
          <w:docGrid w:linePitch="326"/>
        </w:sectPr>
      </w:pPr>
      <w:proofErr w:type="gramStart"/>
      <w:r w:rsidRPr="004B5B13">
        <w:t>a</w:t>
      </w:r>
      <w:proofErr w:type="gramEnd"/>
      <w:r w:rsidRPr="004B5B13">
        <w:t xml:space="preserve"> public mobile telecommunications service</w:t>
      </w:r>
      <w:r>
        <w:t>.</w:t>
      </w:r>
    </w:p>
    <w:p w14:paraId="6376A229" w14:textId="142BAA3C" w:rsidR="0071456E" w:rsidRDefault="000B6F29" w:rsidP="00AB222A">
      <w:pPr>
        <w:tabs>
          <w:tab w:val="center" w:pos="-2127"/>
        </w:tabs>
        <w:spacing w:after="120"/>
        <w:ind w:left="1134"/>
        <w:rPr>
          <w:b/>
          <w:i/>
        </w:rPr>
      </w:pPr>
      <w:proofErr w:type="gramStart"/>
      <w:r>
        <w:rPr>
          <w:b/>
          <w:i/>
        </w:rPr>
        <w:lastRenderedPageBreak/>
        <w:t>r</w:t>
      </w:r>
      <w:r w:rsidR="0071456E">
        <w:rPr>
          <w:b/>
          <w:i/>
        </w:rPr>
        <w:t>esidential/</w:t>
      </w:r>
      <w:proofErr w:type="gramEnd"/>
      <w:r w:rsidR="0071456E">
        <w:rPr>
          <w:b/>
          <w:i/>
        </w:rPr>
        <w:t xml:space="preserve">charity customer </w:t>
      </w:r>
      <w:r w:rsidRPr="00263A5E">
        <w:t xml:space="preserve">has the meaning </w:t>
      </w:r>
      <w:r w:rsidRPr="00B15B80">
        <w:t xml:space="preserve">given by </w:t>
      </w:r>
      <w:r w:rsidR="000948C1">
        <w:t>sub</w:t>
      </w:r>
      <w:r w:rsidRPr="00B15B80">
        <w:t>section 106</w:t>
      </w:r>
      <w:r w:rsidR="000948C1">
        <w:t>(4)</w:t>
      </w:r>
      <w:r w:rsidRPr="00B15B80">
        <w:t xml:space="preserve"> of the TCPSS Act.</w:t>
      </w:r>
    </w:p>
    <w:p w14:paraId="70A9613F" w14:textId="04599B94" w:rsidR="00836731" w:rsidRDefault="004B78D8" w:rsidP="00AB222A">
      <w:pPr>
        <w:tabs>
          <w:tab w:val="center" w:pos="-2127"/>
        </w:tabs>
        <w:spacing w:after="120"/>
        <w:ind w:left="1134"/>
        <w:rPr>
          <w:b/>
          <w:i/>
        </w:rPr>
      </w:pPr>
      <w:r>
        <w:rPr>
          <w:b/>
          <w:i/>
        </w:rPr>
        <w:t xml:space="preserve">TCPSS Act </w:t>
      </w:r>
      <w:r>
        <w:t xml:space="preserve">means the </w:t>
      </w:r>
      <w:r w:rsidRPr="004B78D8">
        <w:rPr>
          <w:i/>
        </w:rPr>
        <w:t>Telecommunications (Consumer Protection and Service Standards</w:t>
      </w:r>
      <w:r w:rsidR="000933F2">
        <w:rPr>
          <w:i/>
        </w:rPr>
        <w:t>)</w:t>
      </w:r>
      <w:r w:rsidRPr="004B78D8">
        <w:rPr>
          <w:i/>
        </w:rPr>
        <w:t xml:space="preserve"> Act 1999</w:t>
      </w:r>
      <w:r>
        <w:t>.</w:t>
      </w:r>
    </w:p>
    <w:p w14:paraId="222175D7" w14:textId="77777777" w:rsidR="00BA6695" w:rsidRDefault="00BA6695">
      <w:pPr>
        <w:tabs>
          <w:tab w:val="center" w:pos="-2127"/>
        </w:tabs>
        <w:ind w:left="851"/>
        <w:rPr>
          <w:i/>
          <w:sz w:val="20"/>
        </w:rPr>
      </w:pPr>
    </w:p>
    <w:p w14:paraId="2D04AF11" w14:textId="4B5A46F3" w:rsidR="00836731" w:rsidRDefault="00836731">
      <w:pPr>
        <w:tabs>
          <w:tab w:val="center" w:pos="-2127"/>
        </w:tabs>
        <w:ind w:left="851"/>
        <w:rPr>
          <w:sz w:val="20"/>
        </w:rPr>
      </w:pPr>
      <w:r>
        <w:rPr>
          <w:i/>
          <w:sz w:val="20"/>
        </w:rPr>
        <w:t>Note:</w:t>
      </w:r>
      <w:r>
        <w:rPr>
          <w:sz w:val="20"/>
        </w:rPr>
        <w:t xml:space="preserve">  The following </w:t>
      </w:r>
      <w:r w:rsidR="00330219">
        <w:rPr>
          <w:sz w:val="20"/>
        </w:rPr>
        <w:t xml:space="preserve">words and </w:t>
      </w:r>
      <w:r>
        <w:rPr>
          <w:sz w:val="20"/>
        </w:rPr>
        <w:t xml:space="preserve">expressions used in this </w:t>
      </w:r>
      <w:r w:rsidR="00DD4937">
        <w:rPr>
          <w:sz w:val="20"/>
        </w:rPr>
        <w:t xml:space="preserve">determination </w:t>
      </w:r>
      <w:r w:rsidR="00453978">
        <w:rPr>
          <w:sz w:val="20"/>
        </w:rPr>
        <w:t xml:space="preserve">have the </w:t>
      </w:r>
      <w:r w:rsidR="00862413">
        <w:rPr>
          <w:sz w:val="20"/>
        </w:rPr>
        <w:t xml:space="preserve">same </w:t>
      </w:r>
      <w:r w:rsidR="00453978">
        <w:rPr>
          <w:sz w:val="20"/>
        </w:rPr>
        <w:t xml:space="preserve">meaning </w:t>
      </w:r>
      <w:r w:rsidR="000F420B">
        <w:rPr>
          <w:sz w:val="20"/>
        </w:rPr>
        <w:t xml:space="preserve">as in </w:t>
      </w:r>
      <w:r>
        <w:rPr>
          <w:sz w:val="20"/>
        </w:rPr>
        <w:t>the Act (see</w:t>
      </w:r>
      <w:r w:rsidR="00453978">
        <w:rPr>
          <w:sz w:val="20"/>
        </w:rPr>
        <w:t>, in particular,</w:t>
      </w:r>
      <w:r>
        <w:rPr>
          <w:sz w:val="20"/>
        </w:rPr>
        <w:t xml:space="preserve"> sections 7</w:t>
      </w:r>
      <w:r w:rsidR="00BC0F90">
        <w:rPr>
          <w:sz w:val="20"/>
        </w:rPr>
        <w:t>,</w:t>
      </w:r>
      <w:r w:rsidR="000933F2">
        <w:rPr>
          <w:sz w:val="20"/>
        </w:rPr>
        <w:t xml:space="preserve"> </w:t>
      </w:r>
      <w:r>
        <w:rPr>
          <w:sz w:val="20"/>
        </w:rPr>
        <w:t>350</w:t>
      </w:r>
      <w:r w:rsidR="00BC0F90">
        <w:rPr>
          <w:sz w:val="20"/>
        </w:rPr>
        <w:t xml:space="preserve"> and 353</w:t>
      </w:r>
      <w:r>
        <w:rPr>
          <w:sz w:val="20"/>
        </w:rPr>
        <w:t>):</w:t>
      </w:r>
    </w:p>
    <w:p w14:paraId="27BCD859" w14:textId="77777777" w:rsidR="00836731" w:rsidRDefault="00836731">
      <w:pPr>
        <w:tabs>
          <w:tab w:val="center" w:pos="-2127"/>
        </w:tabs>
        <w:ind w:left="851"/>
        <w:rPr>
          <w:sz w:val="20"/>
        </w:rPr>
      </w:pPr>
    </w:p>
    <w:p w14:paraId="12C49884" w14:textId="77777777" w:rsidR="00836731" w:rsidRDefault="00836731" w:rsidP="00954596">
      <w:pPr>
        <w:numPr>
          <w:ilvl w:val="0"/>
          <w:numId w:val="1"/>
        </w:numPr>
        <w:tabs>
          <w:tab w:val="center" w:pos="-2127"/>
        </w:tabs>
        <w:rPr>
          <w:sz w:val="20"/>
        </w:rPr>
      </w:pPr>
      <w:r>
        <w:rPr>
          <w:sz w:val="20"/>
        </w:rPr>
        <w:t>AC</w:t>
      </w:r>
      <w:r w:rsidR="00304F1D">
        <w:rPr>
          <w:sz w:val="20"/>
        </w:rPr>
        <w:t>M</w:t>
      </w:r>
      <w:r>
        <w:rPr>
          <w:sz w:val="20"/>
        </w:rPr>
        <w:t>A;</w:t>
      </w:r>
    </w:p>
    <w:p w14:paraId="0FBCA046" w14:textId="77777777" w:rsidR="00836731" w:rsidRDefault="00836731" w:rsidP="00954596">
      <w:pPr>
        <w:numPr>
          <w:ilvl w:val="0"/>
          <w:numId w:val="1"/>
        </w:numPr>
        <w:tabs>
          <w:tab w:val="center" w:pos="-2127"/>
        </w:tabs>
        <w:rPr>
          <w:sz w:val="20"/>
        </w:rPr>
      </w:pPr>
      <w:r>
        <w:rPr>
          <w:sz w:val="20"/>
        </w:rPr>
        <w:t>carriage service;</w:t>
      </w:r>
    </w:p>
    <w:p w14:paraId="525D6A15" w14:textId="77777777" w:rsidR="00836731" w:rsidRDefault="00836731" w:rsidP="00954596">
      <w:pPr>
        <w:numPr>
          <w:ilvl w:val="0"/>
          <w:numId w:val="1"/>
        </w:numPr>
        <w:tabs>
          <w:tab w:val="center" w:pos="-2127"/>
        </w:tabs>
        <w:rPr>
          <w:sz w:val="20"/>
        </w:rPr>
      </w:pPr>
      <w:r>
        <w:rPr>
          <w:sz w:val="20"/>
        </w:rPr>
        <w:t>carriage service provider;</w:t>
      </w:r>
    </w:p>
    <w:p w14:paraId="64BB7A7F" w14:textId="77777777" w:rsidR="00304F1D" w:rsidRDefault="00304F1D" w:rsidP="00954596">
      <w:pPr>
        <w:numPr>
          <w:ilvl w:val="0"/>
          <w:numId w:val="1"/>
        </w:numPr>
        <w:tabs>
          <w:tab w:val="center" w:pos="-2127"/>
        </w:tabs>
        <w:rPr>
          <w:sz w:val="20"/>
        </w:rPr>
      </w:pPr>
      <w:r>
        <w:rPr>
          <w:sz w:val="20"/>
        </w:rPr>
        <w:t>carrier;</w:t>
      </w:r>
    </w:p>
    <w:p w14:paraId="0757564C" w14:textId="4A50834F" w:rsidR="00836731" w:rsidRDefault="00836731" w:rsidP="00954596">
      <w:pPr>
        <w:numPr>
          <w:ilvl w:val="0"/>
          <w:numId w:val="1"/>
        </w:numPr>
        <w:tabs>
          <w:tab w:val="center" w:pos="-2127"/>
        </w:tabs>
        <w:rPr>
          <w:sz w:val="20"/>
        </w:rPr>
      </w:pPr>
      <w:r>
        <w:rPr>
          <w:sz w:val="20"/>
        </w:rPr>
        <w:t>controlled facility;</w:t>
      </w:r>
    </w:p>
    <w:p w14:paraId="3C965443" w14:textId="77777777" w:rsidR="00836731" w:rsidRDefault="00836731" w:rsidP="00954596">
      <w:pPr>
        <w:numPr>
          <w:ilvl w:val="0"/>
          <w:numId w:val="1"/>
        </w:numPr>
        <w:tabs>
          <w:tab w:val="center" w:pos="-2127"/>
        </w:tabs>
        <w:rPr>
          <w:sz w:val="20"/>
        </w:rPr>
      </w:pPr>
      <w:r>
        <w:rPr>
          <w:sz w:val="20"/>
        </w:rPr>
        <w:t>controlled network;</w:t>
      </w:r>
    </w:p>
    <w:p w14:paraId="6E2B6016" w14:textId="77777777" w:rsidR="00836731" w:rsidRDefault="00836731" w:rsidP="00954596">
      <w:pPr>
        <w:numPr>
          <w:ilvl w:val="0"/>
          <w:numId w:val="1"/>
        </w:numPr>
        <w:tabs>
          <w:tab w:val="center" w:pos="-2127"/>
        </w:tabs>
        <w:rPr>
          <w:sz w:val="20"/>
        </w:rPr>
      </w:pPr>
      <w:r>
        <w:rPr>
          <w:sz w:val="20"/>
        </w:rPr>
        <w:t>end-user;</w:t>
      </w:r>
    </w:p>
    <w:p w14:paraId="7C70A2F2" w14:textId="77777777" w:rsidR="00836731" w:rsidRDefault="00836731" w:rsidP="00954596">
      <w:pPr>
        <w:numPr>
          <w:ilvl w:val="0"/>
          <w:numId w:val="1"/>
        </w:numPr>
        <w:tabs>
          <w:tab w:val="center" w:pos="-2127"/>
        </w:tabs>
        <w:rPr>
          <w:sz w:val="20"/>
        </w:rPr>
      </w:pPr>
      <w:r>
        <w:rPr>
          <w:sz w:val="20"/>
        </w:rPr>
        <w:t>over-ride dial codes;</w:t>
      </w:r>
    </w:p>
    <w:p w14:paraId="08281E58" w14:textId="77777777" w:rsidR="00836731" w:rsidRDefault="00836731" w:rsidP="00954596">
      <w:pPr>
        <w:numPr>
          <w:ilvl w:val="0"/>
          <w:numId w:val="1"/>
        </w:numPr>
        <w:tabs>
          <w:tab w:val="center" w:pos="-2127"/>
        </w:tabs>
        <w:rPr>
          <w:sz w:val="20"/>
        </w:rPr>
      </w:pPr>
      <w:r>
        <w:rPr>
          <w:sz w:val="20"/>
        </w:rPr>
        <w:t>public mobile telecommunications service;</w:t>
      </w:r>
    </w:p>
    <w:p w14:paraId="0620D656" w14:textId="77777777" w:rsidR="00836731" w:rsidRDefault="00836731" w:rsidP="00954596">
      <w:pPr>
        <w:numPr>
          <w:ilvl w:val="0"/>
          <w:numId w:val="1"/>
        </w:numPr>
        <w:tabs>
          <w:tab w:val="center" w:pos="-2127"/>
        </w:tabs>
        <w:rPr>
          <w:sz w:val="20"/>
        </w:rPr>
      </w:pPr>
      <w:proofErr w:type="gramStart"/>
      <w:r>
        <w:rPr>
          <w:sz w:val="20"/>
        </w:rPr>
        <w:t>standard</w:t>
      </w:r>
      <w:proofErr w:type="gramEnd"/>
      <w:r>
        <w:rPr>
          <w:sz w:val="20"/>
        </w:rPr>
        <w:t xml:space="preserve"> telephone service.</w:t>
      </w:r>
    </w:p>
    <w:p w14:paraId="077B42DC" w14:textId="77777777" w:rsidR="006F7371" w:rsidRDefault="006F7371" w:rsidP="006F7371">
      <w:pPr>
        <w:tabs>
          <w:tab w:val="center" w:pos="-2127"/>
        </w:tabs>
        <w:ind w:left="851"/>
        <w:rPr>
          <w:sz w:val="20"/>
        </w:rPr>
      </w:pPr>
    </w:p>
    <w:p w14:paraId="4A9A5103" w14:textId="58082FCC" w:rsidR="00836731" w:rsidRDefault="00836731">
      <w:pPr>
        <w:tabs>
          <w:tab w:val="center" w:pos="-2127"/>
        </w:tabs>
        <w:ind w:left="993" w:hanging="426"/>
      </w:pPr>
      <w:r>
        <w:t>(</w:t>
      </w:r>
      <w:r w:rsidR="005E5185">
        <w:t>2</w:t>
      </w:r>
      <w:r>
        <w:t>)</w:t>
      </w:r>
      <w:r>
        <w:tab/>
      </w:r>
      <w:r w:rsidR="001A3965">
        <w:t xml:space="preserve">Unless the contrary intention appears, an expression used in this determination and in the </w:t>
      </w:r>
      <w:r w:rsidR="00A97418">
        <w:t>1997 n</w:t>
      </w:r>
      <w:r w:rsidR="001A3965">
        <w:t xml:space="preserve">umbering </w:t>
      </w:r>
      <w:r w:rsidR="00A97418">
        <w:t>p</w:t>
      </w:r>
      <w:r w:rsidR="001A3965">
        <w:t>lan has the same meaning in this determinat</w:t>
      </w:r>
      <w:r w:rsidR="00936A4F">
        <w:t xml:space="preserve">ion as it has in the </w:t>
      </w:r>
      <w:r w:rsidR="00A97418">
        <w:t>1997 n</w:t>
      </w:r>
      <w:r w:rsidR="00936A4F">
        <w:t xml:space="preserve">umbering </w:t>
      </w:r>
      <w:r w:rsidR="00A97418">
        <w:t>p</w:t>
      </w:r>
      <w:r w:rsidR="001A3965">
        <w:t>lan.</w:t>
      </w:r>
    </w:p>
    <w:p w14:paraId="1D22CE89" w14:textId="77777777" w:rsidR="00836731" w:rsidRDefault="00836731">
      <w:pPr>
        <w:tabs>
          <w:tab w:val="center" w:pos="-2268"/>
          <w:tab w:val="center" w:pos="-2127"/>
        </w:tabs>
        <w:ind w:left="993" w:hanging="426"/>
      </w:pPr>
    </w:p>
    <w:p w14:paraId="5662DBBA" w14:textId="290F7E63" w:rsidR="000B63E9" w:rsidRDefault="000B63E9" w:rsidP="000B63E9">
      <w:pPr>
        <w:tabs>
          <w:tab w:val="center" w:pos="-2127"/>
        </w:tabs>
        <w:ind w:left="851"/>
        <w:rPr>
          <w:sz w:val="20"/>
        </w:rPr>
      </w:pPr>
      <w:r>
        <w:rPr>
          <w:i/>
          <w:sz w:val="20"/>
        </w:rPr>
        <w:t>Note:</w:t>
      </w:r>
      <w:r>
        <w:rPr>
          <w:sz w:val="20"/>
        </w:rPr>
        <w:t xml:space="preserve">  Several terms used in this determination are defined in</w:t>
      </w:r>
      <w:r w:rsidR="00EF14CA">
        <w:rPr>
          <w:sz w:val="20"/>
        </w:rPr>
        <w:t xml:space="preserve"> the</w:t>
      </w:r>
      <w:r>
        <w:rPr>
          <w:sz w:val="20"/>
        </w:rPr>
        <w:t xml:space="preserve"> </w:t>
      </w:r>
      <w:r w:rsidR="00A97418">
        <w:rPr>
          <w:sz w:val="20"/>
        </w:rPr>
        <w:t>1997 n</w:t>
      </w:r>
      <w:r>
        <w:rPr>
          <w:sz w:val="20"/>
        </w:rPr>
        <w:t xml:space="preserve">umbering </w:t>
      </w:r>
      <w:r w:rsidR="00A97418">
        <w:rPr>
          <w:sz w:val="20"/>
        </w:rPr>
        <w:t>p</w:t>
      </w:r>
      <w:r>
        <w:rPr>
          <w:sz w:val="20"/>
        </w:rPr>
        <w:t>lan.  Those terms include the following:</w:t>
      </w:r>
    </w:p>
    <w:p w14:paraId="29944AA9" w14:textId="77777777" w:rsidR="000B63E9" w:rsidRDefault="000B63E9" w:rsidP="000B63E9">
      <w:pPr>
        <w:tabs>
          <w:tab w:val="center" w:pos="-2127"/>
        </w:tabs>
        <w:ind w:left="851"/>
        <w:rPr>
          <w:sz w:val="20"/>
        </w:rPr>
      </w:pPr>
    </w:p>
    <w:p w14:paraId="3900F1F0" w14:textId="77777777" w:rsidR="000B63E9" w:rsidRDefault="000B63E9" w:rsidP="000B63E9">
      <w:pPr>
        <w:numPr>
          <w:ilvl w:val="0"/>
          <w:numId w:val="1"/>
        </w:numPr>
        <w:tabs>
          <w:tab w:val="center" w:pos="-2127"/>
        </w:tabs>
        <w:rPr>
          <w:sz w:val="20"/>
        </w:rPr>
      </w:pPr>
      <w:r>
        <w:rPr>
          <w:sz w:val="20"/>
        </w:rPr>
        <w:t>geographic number;</w:t>
      </w:r>
    </w:p>
    <w:p w14:paraId="744E5508" w14:textId="77777777" w:rsidR="000B63E9" w:rsidRDefault="000B63E9" w:rsidP="000B63E9">
      <w:pPr>
        <w:numPr>
          <w:ilvl w:val="0"/>
          <w:numId w:val="1"/>
        </w:numPr>
        <w:tabs>
          <w:tab w:val="center" w:pos="-2127"/>
        </w:tabs>
        <w:rPr>
          <w:sz w:val="20"/>
        </w:rPr>
      </w:pPr>
      <w:r>
        <w:rPr>
          <w:sz w:val="20"/>
        </w:rPr>
        <w:t>international direct dial service;</w:t>
      </w:r>
    </w:p>
    <w:p w14:paraId="7C2113BB" w14:textId="77777777" w:rsidR="000B63E9" w:rsidRPr="007D4B57" w:rsidRDefault="000B63E9" w:rsidP="000B63E9">
      <w:pPr>
        <w:numPr>
          <w:ilvl w:val="0"/>
          <w:numId w:val="1"/>
        </w:numPr>
        <w:tabs>
          <w:tab w:val="center" w:pos="-2127"/>
        </w:tabs>
        <w:rPr>
          <w:sz w:val="20"/>
        </w:rPr>
      </w:pPr>
      <w:r>
        <w:rPr>
          <w:sz w:val="20"/>
        </w:rPr>
        <w:t>international service;</w:t>
      </w:r>
    </w:p>
    <w:p w14:paraId="1BFEE8A5" w14:textId="77777777" w:rsidR="000B63E9" w:rsidRDefault="000B63E9" w:rsidP="000B63E9">
      <w:pPr>
        <w:numPr>
          <w:ilvl w:val="0"/>
          <w:numId w:val="1"/>
        </w:numPr>
        <w:tabs>
          <w:tab w:val="center" w:pos="-2127"/>
        </w:tabs>
        <w:rPr>
          <w:sz w:val="20"/>
        </w:rPr>
      </w:pPr>
      <w:r>
        <w:rPr>
          <w:sz w:val="20"/>
        </w:rPr>
        <w:t>local number;</w:t>
      </w:r>
    </w:p>
    <w:p w14:paraId="1D2FB139" w14:textId="77777777" w:rsidR="000B63E9" w:rsidRDefault="000B63E9" w:rsidP="000B63E9">
      <w:pPr>
        <w:numPr>
          <w:ilvl w:val="0"/>
          <w:numId w:val="1"/>
        </w:numPr>
        <w:tabs>
          <w:tab w:val="center" w:pos="-2127"/>
        </w:tabs>
        <w:rPr>
          <w:sz w:val="20"/>
        </w:rPr>
      </w:pPr>
      <w:r>
        <w:rPr>
          <w:sz w:val="20"/>
        </w:rPr>
        <w:t>operator service;</w:t>
      </w:r>
    </w:p>
    <w:p w14:paraId="49AEA2C9" w14:textId="77777777" w:rsidR="000B63E9" w:rsidRDefault="000B63E9" w:rsidP="000B63E9">
      <w:pPr>
        <w:numPr>
          <w:ilvl w:val="0"/>
          <w:numId w:val="1"/>
        </w:numPr>
        <w:tabs>
          <w:tab w:val="center" w:pos="-2127"/>
        </w:tabs>
        <w:rPr>
          <w:sz w:val="20"/>
        </w:rPr>
      </w:pPr>
      <w:proofErr w:type="gramStart"/>
      <w:r w:rsidRPr="00344B5D">
        <w:rPr>
          <w:sz w:val="20"/>
        </w:rPr>
        <w:t>ring</w:t>
      </w:r>
      <w:proofErr w:type="gramEnd"/>
      <w:r w:rsidRPr="00344B5D">
        <w:rPr>
          <w:sz w:val="20"/>
        </w:rPr>
        <w:t xml:space="preserve"> back price service</w:t>
      </w:r>
      <w:r>
        <w:rPr>
          <w:sz w:val="20"/>
        </w:rPr>
        <w:t>.</w:t>
      </w:r>
    </w:p>
    <w:p w14:paraId="7D7B6002" w14:textId="77777777" w:rsidR="005E5185" w:rsidRDefault="005E5185" w:rsidP="00B15B80">
      <w:pPr>
        <w:tabs>
          <w:tab w:val="center" w:pos="-2127"/>
        </w:tabs>
        <w:ind w:left="851"/>
        <w:rPr>
          <w:sz w:val="20"/>
        </w:rPr>
      </w:pPr>
    </w:p>
    <w:p w14:paraId="0AFFB634" w14:textId="357B1042" w:rsidR="005E5185" w:rsidRDefault="005E5185" w:rsidP="00361F0B">
      <w:pPr>
        <w:widowControl w:val="0"/>
        <w:tabs>
          <w:tab w:val="center" w:pos="-2127"/>
        </w:tabs>
        <w:ind w:left="993" w:hanging="426"/>
        <w:rPr>
          <w:i/>
          <w:sz w:val="20"/>
        </w:rPr>
      </w:pPr>
      <w:r>
        <w:t>(3)</w:t>
      </w:r>
      <w:r>
        <w:tab/>
        <w:t xml:space="preserve">A reference in this determination to a </w:t>
      </w:r>
      <w:r>
        <w:rPr>
          <w:b/>
          <w:i/>
        </w:rPr>
        <w:t xml:space="preserve">local call </w:t>
      </w:r>
      <w:r>
        <w:t xml:space="preserve">has the same meaning as </w:t>
      </w:r>
      <w:r>
        <w:rPr>
          <w:b/>
          <w:i/>
        </w:rPr>
        <w:t>eligible local call</w:t>
      </w:r>
      <w:r>
        <w:t xml:space="preserve"> in the TCPSS Act except that such calls are not limited to an </w:t>
      </w:r>
      <w:r>
        <w:rPr>
          <w:b/>
          <w:i/>
        </w:rPr>
        <w:t>eligible customer</w:t>
      </w:r>
      <w:r>
        <w:t xml:space="preserve"> who is a </w:t>
      </w:r>
      <w:r>
        <w:rPr>
          <w:b/>
          <w:i/>
        </w:rPr>
        <w:t>residential/charity customer</w:t>
      </w:r>
      <w:r>
        <w:t xml:space="preserve">.  </w:t>
      </w:r>
    </w:p>
    <w:p w14:paraId="6284C273" w14:textId="77777777" w:rsidR="005E5185" w:rsidRDefault="005E5185" w:rsidP="00B15B80">
      <w:pPr>
        <w:widowControl w:val="0"/>
        <w:tabs>
          <w:tab w:val="center" w:pos="-2127"/>
        </w:tabs>
        <w:ind w:left="851"/>
        <w:rPr>
          <w:sz w:val="20"/>
        </w:rPr>
      </w:pPr>
    </w:p>
    <w:p w14:paraId="333EBAB5" w14:textId="77777777" w:rsidR="00836731" w:rsidRDefault="00836731" w:rsidP="00361F0B">
      <w:pPr>
        <w:widowControl w:val="0"/>
        <w:tabs>
          <w:tab w:val="center" w:pos="-2127"/>
        </w:tabs>
      </w:pPr>
    </w:p>
    <w:p w14:paraId="395A2C59" w14:textId="06303A59" w:rsidR="00F174B5" w:rsidRDefault="001433AD" w:rsidP="00361F0B">
      <w:pPr>
        <w:widowControl w:val="0"/>
        <w:tabs>
          <w:tab w:val="center" w:pos="-2127"/>
        </w:tabs>
        <w:ind w:left="567" w:hanging="567"/>
        <w:rPr>
          <w:b/>
        </w:rPr>
      </w:pPr>
      <w:r>
        <w:rPr>
          <w:b/>
        </w:rPr>
        <w:t>5</w:t>
      </w:r>
      <w:r w:rsidR="00F174B5">
        <w:rPr>
          <w:b/>
        </w:rPr>
        <w:tab/>
        <w:t>Application</w:t>
      </w:r>
    </w:p>
    <w:p w14:paraId="5364194A" w14:textId="77777777" w:rsidR="00F174B5" w:rsidRDefault="00F174B5" w:rsidP="00361F0B">
      <w:pPr>
        <w:widowControl w:val="0"/>
        <w:tabs>
          <w:tab w:val="center" w:pos="-2127"/>
        </w:tabs>
        <w:ind w:left="567" w:hanging="567"/>
        <w:rPr>
          <w:b/>
        </w:rPr>
      </w:pPr>
    </w:p>
    <w:p w14:paraId="422B063F" w14:textId="77777777" w:rsidR="00F174B5" w:rsidRDefault="00F174B5" w:rsidP="00361F0B">
      <w:pPr>
        <w:pStyle w:val="ListParagraph"/>
        <w:widowControl w:val="0"/>
        <w:numPr>
          <w:ilvl w:val="0"/>
          <w:numId w:val="13"/>
        </w:numPr>
        <w:tabs>
          <w:tab w:val="center" w:pos="-2127"/>
        </w:tabs>
        <w:spacing w:after="120"/>
        <w:ind w:hanging="357"/>
        <w:contextualSpacing w:val="0"/>
      </w:pPr>
      <w:r>
        <w:t>Subject to subsection (2) this determination applies to a carrier or carriage service provider who supplies a standard telephone service.</w:t>
      </w:r>
    </w:p>
    <w:p w14:paraId="079B7AFA" w14:textId="429A20DF" w:rsidR="00F174B5" w:rsidRPr="000F5365" w:rsidRDefault="00F174B5" w:rsidP="00361F0B">
      <w:pPr>
        <w:pStyle w:val="ListParagraph"/>
        <w:widowControl w:val="0"/>
        <w:numPr>
          <w:ilvl w:val="0"/>
          <w:numId w:val="13"/>
        </w:numPr>
        <w:tabs>
          <w:tab w:val="center" w:pos="-2127"/>
        </w:tabs>
        <w:spacing w:after="120"/>
        <w:ind w:hanging="357"/>
        <w:contextualSpacing w:val="0"/>
        <w:rPr>
          <w:b/>
        </w:rPr>
      </w:pPr>
      <w:r>
        <w:t xml:space="preserve">This determination does not apply to a carrier or carriage service provider who supplies a standard telephone service </w:t>
      </w:r>
      <w:r w:rsidR="00500127">
        <w:t>unless</w:t>
      </w:r>
      <w:r>
        <w:t>:</w:t>
      </w:r>
    </w:p>
    <w:p w14:paraId="72C9855C" w14:textId="77777777" w:rsidR="00F174B5" w:rsidRDefault="00F174B5" w:rsidP="00361F0B">
      <w:pPr>
        <w:pStyle w:val="ListParagraph"/>
        <w:widowControl w:val="0"/>
        <w:numPr>
          <w:ilvl w:val="1"/>
          <w:numId w:val="9"/>
        </w:numPr>
        <w:tabs>
          <w:tab w:val="center" w:pos="-2127"/>
        </w:tabs>
        <w:spacing w:after="120"/>
        <w:ind w:hanging="357"/>
        <w:contextualSpacing w:val="0"/>
      </w:pPr>
      <w:r>
        <w:t xml:space="preserve">an end-user requests pre-selection in favour of a single carriage service provider as their preferred service provider for all of the pre-selectable </w:t>
      </w:r>
      <w:r>
        <w:lastRenderedPageBreak/>
        <w:t>services (</w:t>
      </w:r>
      <w:r w:rsidRPr="00515D7D">
        <w:rPr>
          <w:b/>
          <w:i/>
        </w:rPr>
        <w:t>the preferred CSP)</w:t>
      </w:r>
      <w:r w:rsidRPr="007463CB">
        <w:t>;</w:t>
      </w:r>
      <w:r>
        <w:t xml:space="preserve"> and</w:t>
      </w:r>
    </w:p>
    <w:p w14:paraId="5E377692" w14:textId="77777777" w:rsidR="00361F0B" w:rsidRDefault="00F174B5" w:rsidP="00361F0B">
      <w:pPr>
        <w:pStyle w:val="ListParagraph"/>
        <w:widowControl w:val="0"/>
        <w:numPr>
          <w:ilvl w:val="1"/>
          <w:numId w:val="9"/>
        </w:numPr>
        <w:tabs>
          <w:tab w:val="center" w:pos="-2127"/>
        </w:tabs>
        <w:spacing w:after="120"/>
        <w:ind w:hanging="357"/>
        <w:contextualSpacing w:val="0"/>
        <w:sectPr w:rsidR="00361F0B" w:rsidSect="002D1710">
          <w:headerReference w:type="default" r:id="rId23"/>
          <w:type w:val="continuous"/>
          <w:pgSz w:w="11907" w:h="16840" w:code="9"/>
          <w:pgMar w:top="1530" w:right="1797" w:bottom="1440" w:left="1797" w:header="720" w:footer="720" w:gutter="0"/>
          <w:cols w:space="720"/>
          <w:titlePg/>
          <w:docGrid w:linePitch="326"/>
        </w:sectPr>
      </w:pPr>
      <w:proofErr w:type="gramStart"/>
      <w:r>
        <w:t>the</w:t>
      </w:r>
      <w:proofErr w:type="gramEnd"/>
      <w:r>
        <w:t xml:space="preserve"> preferred CSP does, in fact, provide termination of all of the pre-selectable services.</w:t>
      </w:r>
    </w:p>
    <w:p w14:paraId="380E11A2" w14:textId="1C32A6D8" w:rsidR="00F174B5" w:rsidRDefault="00F174B5" w:rsidP="00361F0B">
      <w:pPr>
        <w:pStyle w:val="ListParagraph"/>
        <w:widowControl w:val="0"/>
        <w:tabs>
          <w:tab w:val="center" w:pos="-2127"/>
        </w:tabs>
        <w:spacing w:after="120"/>
        <w:ind w:left="1287"/>
        <w:contextualSpacing w:val="0"/>
      </w:pPr>
    </w:p>
    <w:p w14:paraId="0EF0D17E" w14:textId="77777777" w:rsidR="00F174B5" w:rsidRDefault="00F174B5" w:rsidP="00465508">
      <w:pPr>
        <w:pStyle w:val="ListParagraph"/>
        <w:numPr>
          <w:ilvl w:val="0"/>
          <w:numId w:val="13"/>
        </w:numPr>
        <w:tabs>
          <w:tab w:val="center" w:pos="-2127"/>
        </w:tabs>
        <w:spacing w:after="120"/>
        <w:ind w:hanging="357"/>
        <w:contextualSpacing w:val="0"/>
      </w:pPr>
      <w:r>
        <w:t xml:space="preserve">For the purposes of this determination, a reference to a </w:t>
      </w:r>
      <w:r w:rsidRPr="00EF28A9">
        <w:rPr>
          <w:b/>
          <w:i/>
        </w:rPr>
        <w:t>standard telephone service</w:t>
      </w:r>
      <w:r>
        <w:t xml:space="preserve"> does not include a reference to a service that is supplied by means of a public mobile telecommunications service.</w:t>
      </w:r>
    </w:p>
    <w:p w14:paraId="442C53E4" w14:textId="27C02301" w:rsidR="00F82C28" w:rsidRDefault="00F82C28" w:rsidP="00F82C28">
      <w:pPr>
        <w:tabs>
          <w:tab w:val="center" w:pos="-2127"/>
        </w:tabs>
        <w:ind w:left="993" w:hanging="426"/>
      </w:pPr>
      <w:r w:rsidRPr="007463CB">
        <w:rPr>
          <w:i/>
          <w:sz w:val="20"/>
        </w:rPr>
        <w:t>Note</w:t>
      </w:r>
      <w:r>
        <w:rPr>
          <w:i/>
          <w:sz w:val="20"/>
        </w:rPr>
        <w:t xml:space="preserve"> 1</w:t>
      </w:r>
      <w:r w:rsidRPr="007463CB">
        <w:rPr>
          <w:i/>
          <w:sz w:val="20"/>
        </w:rPr>
        <w:t xml:space="preserve">: </w:t>
      </w:r>
      <w:r w:rsidRPr="007463CB">
        <w:rPr>
          <w:sz w:val="20"/>
        </w:rPr>
        <w:t xml:space="preserve">The effect of subsection </w:t>
      </w:r>
      <w:r w:rsidR="0023510E">
        <w:rPr>
          <w:sz w:val="20"/>
        </w:rPr>
        <w:t>5</w:t>
      </w:r>
      <w:r>
        <w:rPr>
          <w:sz w:val="20"/>
        </w:rPr>
        <w:t>(2</w:t>
      </w:r>
      <w:r w:rsidRPr="007463CB">
        <w:rPr>
          <w:sz w:val="20"/>
        </w:rPr>
        <w:t xml:space="preserve">) is that </w:t>
      </w:r>
      <w:r w:rsidR="006F592F" w:rsidRPr="006F592F">
        <w:rPr>
          <w:sz w:val="20"/>
        </w:rPr>
        <w:t>a</w:t>
      </w:r>
      <w:r w:rsidR="006F592F" w:rsidRPr="00465508">
        <w:rPr>
          <w:sz w:val="20"/>
        </w:rPr>
        <w:t>ccess to pre-selectable services must be provide</w:t>
      </w:r>
      <w:r w:rsidR="006F592F">
        <w:rPr>
          <w:sz w:val="20"/>
        </w:rPr>
        <w:t xml:space="preserve">d as a ‘single basket’ of services by a carrier, enabling an end-user to obtain </w:t>
      </w:r>
      <w:r w:rsidR="008571AB">
        <w:rPr>
          <w:sz w:val="20"/>
        </w:rPr>
        <w:t xml:space="preserve">all of the pre-selectable services from their preferred CSP. </w:t>
      </w:r>
      <w:r w:rsidR="006F592F">
        <w:rPr>
          <w:i/>
          <w:sz w:val="20"/>
        </w:rPr>
        <w:t xml:space="preserve"> </w:t>
      </w:r>
    </w:p>
    <w:p w14:paraId="7F92F776" w14:textId="77777777" w:rsidR="00F82C28" w:rsidRDefault="00F82C28" w:rsidP="00F174B5">
      <w:pPr>
        <w:tabs>
          <w:tab w:val="center" w:pos="-2127"/>
        </w:tabs>
        <w:ind w:left="993" w:hanging="426"/>
        <w:rPr>
          <w:i/>
          <w:sz w:val="20"/>
        </w:rPr>
      </w:pPr>
    </w:p>
    <w:p w14:paraId="1C75C740" w14:textId="0524753B" w:rsidR="00F174B5" w:rsidRDefault="00F174B5" w:rsidP="00F174B5">
      <w:pPr>
        <w:tabs>
          <w:tab w:val="center" w:pos="-2127"/>
        </w:tabs>
        <w:ind w:left="993" w:hanging="426"/>
      </w:pPr>
      <w:r w:rsidRPr="007463CB">
        <w:rPr>
          <w:i/>
          <w:sz w:val="20"/>
        </w:rPr>
        <w:t>Note</w:t>
      </w:r>
      <w:r w:rsidR="00F82C28">
        <w:rPr>
          <w:i/>
          <w:sz w:val="20"/>
        </w:rPr>
        <w:t xml:space="preserve"> 2</w:t>
      </w:r>
      <w:r w:rsidRPr="007463CB">
        <w:rPr>
          <w:i/>
          <w:sz w:val="20"/>
        </w:rPr>
        <w:t xml:space="preserve">: </w:t>
      </w:r>
      <w:r w:rsidRPr="007463CB">
        <w:rPr>
          <w:sz w:val="20"/>
        </w:rPr>
        <w:t xml:space="preserve">The effect of subsection </w:t>
      </w:r>
      <w:r w:rsidR="0023510E">
        <w:rPr>
          <w:sz w:val="20"/>
        </w:rPr>
        <w:t>5</w:t>
      </w:r>
      <w:r w:rsidR="00F82C28">
        <w:rPr>
          <w:sz w:val="20"/>
        </w:rPr>
        <w:t>(3</w:t>
      </w:r>
      <w:r w:rsidRPr="007463CB">
        <w:rPr>
          <w:sz w:val="20"/>
        </w:rPr>
        <w:t xml:space="preserve">) is that this determination </w:t>
      </w:r>
      <w:r w:rsidR="00F56375">
        <w:rPr>
          <w:sz w:val="20"/>
        </w:rPr>
        <w:t>does not apply</w:t>
      </w:r>
      <w:r w:rsidRPr="007463CB">
        <w:rPr>
          <w:sz w:val="20"/>
        </w:rPr>
        <w:t xml:space="preserve"> to calls that originate on a standard telephone service that is a public mobile telecommunications service</w:t>
      </w:r>
      <w:r w:rsidR="00AB222A">
        <w:rPr>
          <w:sz w:val="20"/>
        </w:rPr>
        <w:t>.  However, it does</w:t>
      </w:r>
      <w:r w:rsidR="004A0E79">
        <w:rPr>
          <w:sz w:val="20"/>
        </w:rPr>
        <w:t xml:space="preserve"> </w:t>
      </w:r>
      <w:r w:rsidRPr="007463CB">
        <w:rPr>
          <w:sz w:val="20"/>
        </w:rPr>
        <w:t xml:space="preserve">apply to calls made from a standard telephone service which terminate on a public mobile telecommunications service. </w:t>
      </w:r>
    </w:p>
    <w:p w14:paraId="7FBAB90D" w14:textId="77777777" w:rsidR="00F174B5" w:rsidRDefault="00F174B5" w:rsidP="00361F0B">
      <w:pPr>
        <w:keepNext/>
        <w:tabs>
          <w:tab w:val="center" w:pos="-2127"/>
        </w:tabs>
        <w:rPr>
          <w:b/>
          <w:sz w:val="28"/>
          <w:szCs w:val="28"/>
        </w:rPr>
      </w:pPr>
    </w:p>
    <w:p w14:paraId="7EEDF07A" w14:textId="77777777" w:rsidR="00361F0B" w:rsidRDefault="00361F0B" w:rsidP="001825F5">
      <w:pPr>
        <w:keepNext/>
        <w:tabs>
          <w:tab w:val="center" w:pos="-2127"/>
        </w:tabs>
        <w:ind w:left="2268" w:hanging="2268"/>
        <w:rPr>
          <w:b/>
          <w:sz w:val="28"/>
          <w:szCs w:val="28"/>
        </w:rPr>
        <w:sectPr w:rsidR="00361F0B" w:rsidSect="00361F0B">
          <w:headerReference w:type="default" r:id="rId24"/>
          <w:headerReference w:type="first" r:id="rId25"/>
          <w:type w:val="continuous"/>
          <w:pgSz w:w="11907" w:h="16840" w:code="9"/>
          <w:pgMar w:top="1440" w:right="1797" w:bottom="1440" w:left="1797" w:header="720" w:footer="720" w:gutter="0"/>
          <w:cols w:space="720"/>
          <w:titlePg/>
          <w:docGrid w:linePitch="326"/>
        </w:sectPr>
      </w:pPr>
    </w:p>
    <w:p w14:paraId="088D7591" w14:textId="423B7B17" w:rsidR="00836731" w:rsidRPr="001B1C1F" w:rsidRDefault="00836731" w:rsidP="001825F5">
      <w:pPr>
        <w:keepNext/>
        <w:tabs>
          <w:tab w:val="center" w:pos="-2127"/>
        </w:tabs>
        <w:ind w:left="2268" w:hanging="2268"/>
        <w:rPr>
          <w:b/>
          <w:sz w:val="28"/>
          <w:szCs w:val="28"/>
        </w:rPr>
      </w:pPr>
      <w:r w:rsidRPr="001B1C1F">
        <w:rPr>
          <w:b/>
          <w:sz w:val="28"/>
          <w:szCs w:val="28"/>
        </w:rPr>
        <w:lastRenderedPageBreak/>
        <w:t>Part 2</w:t>
      </w:r>
      <w:r w:rsidRPr="001B1C1F">
        <w:rPr>
          <w:b/>
          <w:sz w:val="28"/>
          <w:szCs w:val="28"/>
        </w:rPr>
        <w:tab/>
        <w:t>Requirement to provide pre-selection</w:t>
      </w:r>
    </w:p>
    <w:p w14:paraId="7AA399F4" w14:textId="77777777" w:rsidR="00836731" w:rsidRPr="00E46CDE" w:rsidRDefault="00836731" w:rsidP="001825F5">
      <w:pPr>
        <w:keepNext/>
        <w:tabs>
          <w:tab w:val="center" w:pos="-2127"/>
        </w:tabs>
        <w:ind w:left="2268" w:hanging="2268"/>
        <w:rPr>
          <w:b/>
        </w:rPr>
      </w:pPr>
    </w:p>
    <w:p w14:paraId="71F284D1" w14:textId="52CEC435" w:rsidR="00D657BC" w:rsidRPr="00E46CDE" w:rsidRDefault="00575897" w:rsidP="001825F5">
      <w:pPr>
        <w:keepNext/>
        <w:tabs>
          <w:tab w:val="center" w:pos="-2127"/>
        </w:tabs>
        <w:spacing w:after="120"/>
        <w:ind w:left="567" w:hanging="567"/>
        <w:rPr>
          <w:b/>
        </w:rPr>
      </w:pPr>
      <w:r w:rsidRPr="00E46CDE">
        <w:rPr>
          <w:b/>
        </w:rPr>
        <w:t>6</w:t>
      </w:r>
      <w:r w:rsidRPr="00E46CDE">
        <w:rPr>
          <w:b/>
        </w:rPr>
        <w:tab/>
        <w:t xml:space="preserve">Determination </w:t>
      </w:r>
      <w:r w:rsidR="00E46CDE">
        <w:rPr>
          <w:b/>
        </w:rPr>
        <w:t xml:space="preserve">under </w:t>
      </w:r>
      <w:r w:rsidR="00E46CDE" w:rsidRPr="001B1C1F">
        <w:rPr>
          <w:b/>
        </w:rPr>
        <w:t>subsection 349(1) of the Act</w:t>
      </w:r>
    </w:p>
    <w:p w14:paraId="0050F69D" w14:textId="075D1C97" w:rsidR="003372C7" w:rsidRDefault="00D206B1" w:rsidP="00B15B80">
      <w:pPr>
        <w:pStyle w:val="ListParagraph"/>
        <w:tabs>
          <w:tab w:val="center" w:pos="-2127"/>
        </w:tabs>
        <w:ind w:left="927"/>
      </w:pPr>
      <w:r>
        <w:t>F</w:t>
      </w:r>
      <w:r w:rsidR="00BC0DD2">
        <w:t xml:space="preserve">or </w:t>
      </w:r>
      <w:r w:rsidR="00D657BC">
        <w:t xml:space="preserve">subsection 349(1) of the </w:t>
      </w:r>
      <w:r w:rsidR="008517CB">
        <w:t>Act</w:t>
      </w:r>
      <w:r w:rsidR="008D4B79">
        <w:t xml:space="preserve">, </w:t>
      </w:r>
      <w:r w:rsidR="002C2F56">
        <w:t>each carrier or carriage service provider who supplies a standard telephone service must</w:t>
      </w:r>
      <w:r w:rsidR="00D27250">
        <w:t xml:space="preserve"> </w:t>
      </w:r>
      <w:r w:rsidR="002C2F56">
        <w:t>comply with</w:t>
      </w:r>
      <w:r w:rsidR="003372C7">
        <w:t>:</w:t>
      </w:r>
    </w:p>
    <w:p w14:paraId="71AEADA6" w14:textId="120150E8" w:rsidR="003372C7" w:rsidRDefault="00DA1CD6" w:rsidP="007708C6">
      <w:pPr>
        <w:pStyle w:val="ListParagraph"/>
        <w:numPr>
          <w:ilvl w:val="1"/>
          <w:numId w:val="17"/>
        </w:numPr>
        <w:tabs>
          <w:tab w:val="center" w:pos="-2127"/>
        </w:tabs>
      </w:pPr>
      <w:r>
        <w:t>in the case of a carrier</w:t>
      </w:r>
      <w:r w:rsidR="003372C7">
        <w:t xml:space="preserve"> –</w:t>
      </w:r>
      <w:r w:rsidR="00912D00">
        <w:t xml:space="preserve"> </w:t>
      </w:r>
      <w:r w:rsidR="00AC093E">
        <w:t>section</w:t>
      </w:r>
      <w:r w:rsidR="00922269">
        <w:t>s</w:t>
      </w:r>
      <w:r w:rsidR="00AC093E">
        <w:t xml:space="preserve"> 7</w:t>
      </w:r>
      <w:r w:rsidR="00922269">
        <w:t>, 9 and 10</w:t>
      </w:r>
      <w:r w:rsidR="003372C7">
        <w:t>;</w:t>
      </w:r>
    </w:p>
    <w:p w14:paraId="402DC516" w14:textId="6C715ABB" w:rsidR="00FE0FE8" w:rsidRPr="007708C6" w:rsidRDefault="00DA1CD6" w:rsidP="007708C6">
      <w:pPr>
        <w:pStyle w:val="ListParagraph"/>
        <w:numPr>
          <w:ilvl w:val="1"/>
          <w:numId w:val="17"/>
        </w:numPr>
        <w:tabs>
          <w:tab w:val="center" w:pos="-2127"/>
        </w:tabs>
        <w:rPr>
          <w:b/>
        </w:rPr>
      </w:pPr>
      <w:proofErr w:type="gramStart"/>
      <w:r>
        <w:t>in</w:t>
      </w:r>
      <w:proofErr w:type="gramEnd"/>
      <w:r>
        <w:t xml:space="preserve"> the case of a </w:t>
      </w:r>
      <w:r w:rsidR="003372C7">
        <w:t xml:space="preserve">carriage service </w:t>
      </w:r>
      <w:r w:rsidR="0060062D">
        <w:t>provider</w:t>
      </w:r>
      <w:r w:rsidR="003372C7">
        <w:t xml:space="preserve"> –</w:t>
      </w:r>
      <w:r w:rsidR="00912D00">
        <w:t xml:space="preserve"> </w:t>
      </w:r>
      <w:r w:rsidR="003372C7">
        <w:t>section</w:t>
      </w:r>
      <w:r w:rsidR="00922269">
        <w:t>s</w:t>
      </w:r>
      <w:r w:rsidR="003372C7">
        <w:t xml:space="preserve"> </w:t>
      </w:r>
      <w:r w:rsidR="00AC093E">
        <w:t>8</w:t>
      </w:r>
      <w:r w:rsidR="00922269">
        <w:t>, 9 and 10</w:t>
      </w:r>
      <w:r w:rsidR="00E60AE7">
        <w:t>.</w:t>
      </w:r>
      <w:r w:rsidR="00FE0FE8">
        <w:t xml:space="preserve"> </w:t>
      </w:r>
    </w:p>
    <w:p w14:paraId="6806E61A" w14:textId="77777777" w:rsidR="00180D29" w:rsidRDefault="00180D29">
      <w:pPr>
        <w:tabs>
          <w:tab w:val="center" w:pos="-2127"/>
        </w:tabs>
        <w:ind w:left="567" w:hanging="567"/>
        <w:rPr>
          <w:b/>
        </w:rPr>
      </w:pPr>
    </w:p>
    <w:p w14:paraId="06748445" w14:textId="185DCDEB" w:rsidR="00836731" w:rsidRDefault="00AC093E">
      <w:pPr>
        <w:tabs>
          <w:tab w:val="center" w:pos="-2127"/>
        </w:tabs>
        <w:ind w:left="567" w:hanging="567"/>
        <w:rPr>
          <w:b/>
        </w:rPr>
      </w:pPr>
      <w:r>
        <w:rPr>
          <w:b/>
        </w:rPr>
        <w:t>7</w:t>
      </w:r>
      <w:r w:rsidR="00836731">
        <w:rPr>
          <w:b/>
        </w:rPr>
        <w:tab/>
        <w:t>Requirement to provide pre-selection - carriers</w:t>
      </w:r>
    </w:p>
    <w:p w14:paraId="3F02F600" w14:textId="77777777" w:rsidR="00836731" w:rsidRDefault="00836731">
      <w:pPr>
        <w:tabs>
          <w:tab w:val="center" w:pos="-2127"/>
        </w:tabs>
        <w:ind w:left="567" w:hanging="567"/>
        <w:rPr>
          <w:b/>
        </w:rPr>
      </w:pPr>
    </w:p>
    <w:p w14:paraId="6FA43AE9" w14:textId="0C0A214F" w:rsidR="00836731" w:rsidRDefault="00836731">
      <w:pPr>
        <w:tabs>
          <w:tab w:val="center" w:pos="-2127"/>
        </w:tabs>
        <w:ind w:left="993" w:hanging="426"/>
      </w:pPr>
      <w:r>
        <w:t>(1)</w:t>
      </w:r>
      <w:r>
        <w:tab/>
        <w:t>The controlled networks and controlled facilities of a carrier must permit an end-user to:</w:t>
      </w:r>
    </w:p>
    <w:p w14:paraId="0A74DF7B" w14:textId="77777777" w:rsidR="00836731" w:rsidRDefault="00836731">
      <w:pPr>
        <w:tabs>
          <w:tab w:val="center" w:pos="-2127"/>
        </w:tabs>
        <w:ind w:left="1560" w:hanging="426"/>
      </w:pPr>
      <w:r>
        <w:t>(a)</w:t>
      </w:r>
      <w:r>
        <w:tab/>
        <w:t>pre-select a carriage service provider as the end-user’s preferred carriage service provider for pre-selectable services for calls made using a standard telephone service; and</w:t>
      </w:r>
    </w:p>
    <w:p w14:paraId="4CC0E835" w14:textId="55733A69" w:rsidR="00A1730B" w:rsidRPr="001B1C1F" w:rsidRDefault="00836731" w:rsidP="00465508">
      <w:pPr>
        <w:tabs>
          <w:tab w:val="center" w:pos="-2127"/>
          <w:tab w:val="left" w:pos="1560"/>
        </w:tabs>
        <w:ind w:left="1134"/>
        <w:rPr>
          <w:sz w:val="20"/>
        </w:rPr>
      </w:pPr>
      <w:r>
        <w:t>(b)</w:t>
      </w:r>
      <w:r>
        <w:tab/>
      </w:r>
      <w:proofErr w:type="gramStart"/>
      <w:r>
        <w:t>change</w:t>
      </w:r>
      <w:proofErr w:type="gramEnd"/>
      <w:r>
        <w:t xml:space="preserve"> that pre-selection from time to time</w:t>
      </w:r>
      <w:r w:rsidR="00B71427">
        <w:t xml:space="preserve">. </w:t>
      </w:r>
    </w:p>
    <w:p w14:paraId="717302FB" w14:textId="77777777" w:rsidR="00836731" w:rsidRDefault="00836731">
      <w:pPr>
        <w:tabs>
          <w:tab w:val="center" w:pos="-2127"/>
        </w:tabs>
        <w:ind w:left="1560" w:hanging="426"/>
      </w:pPr>
    </w:p>
    <w:p w14:paraId="7834927C" w14:textId="77777777" w:rsidR="00836731" w:rsidRDefault="00836731">
      <w:pPr>
        <w:tabs>
          <w:tab w:val="center" w:pos="-2127"/>
        </w:tabs>
        <w:ind w:left="993" w:hanging="426"/>
      </w:pPr>
      <w:r>
        <w:t>(2)</w:t>
      </w:r>
      <w:r>
        <w:tab/>
        <w:t>The controlled networks and controlled facilities of a carrier must provide over-ride dial codes to be used by an end-user for selecting alternative carriage service providers on a call-by-call basis for calls made using a standard telephone service.</w:t>
      </w:r>
    </w:p>
    <w:p w14:paraId="465379B0" w14:textId="77777777" w:rsidR="00836731" w:rsidRDefault="00836731">
      <w:pPr>
        <w:tabs>
          <w:tab w:val="center" w:pos="-2127"/>
        </w:tabs>
        <w:ind w:left="993" w:hanging="426"/>
      </w:pPr>
    </w:p>
    <w:p w14:paraId="0B7028B6" w14:textId="61B16173" w:rsidR="00836731" w:rsidRDefault="00AC093E">
      <w:pPr>
        <w:tabs>
          <w:tab w:val="center" w:pos="-2127"/>
        </w:tabs>
        <w:ind w:left="567" w:hanging="567"/>
        <w:rPr>
          <w:b/>
        </w:rPr>
      </w:pPr>
      <w:r>
        <w:rPr>
          <w:b/>
        </w:rPr>
        <w:t>8</w:t>
      </w:r>
      <w:r w:rsidR="00836731">
        <w:rPr>
          <w:b/>
        </w:rPr>
        <w:tab/>
        <w:t>Requirement to provide pre-selection - carriage service providers</w:t>
      </w:r>
    </w:p>
    <w:p w14:paraId="68D68470" w14:textId="77777777" w:rsidR="00836731" w:rsidRDefault="00836731">
      <w:pPr>
        <w:tabs>
          <w:tab w:val="center" w:pos="-2127"/>
        </w:tabs>
        <w:ind w:left="567" w:hanging="567"/>
        <w:rPr>
          <w:b/>
        </w:rPr>
      </w:pPr>
    </w:p>
    <w:p w14:paraId="08A3B0FB" w14:textId="47373698" w:rsidR="00836731" w:rsidRDefault="00836731">
      <w:pPr>
        <w:tabs>
          <w:tab w:val="center" w:pos="-2127"/>
        </w:tabs>
        <w:ind w:left="993" w:hanging="426"/>
      </w:pPr>
      <w:r>
        <w:t>(1)</w:t>
      </w:r>
      <w:r>
        <w:tab/>
        <w:t>The controlled networks and controlled facilities of a carriage service provider must permit an end-user to:</w:t>
      </w:r>
    </w:p>
    <w:p w14:paraId="0AC93D11" w14:textId="77777777" w:rsidR="00836731" w:rsidRDefault="00836731">
      <w:pPr>
        <w:tabs>
          <w:tab w:val="center" w:pos="-2127"/>
        </w:tabs>
        <w:ind w:left="1560" w:hanging="426"/>
      </w:pPr>
      <w:r>
        <w:t>(a)</w:t>
      </w:r>
      <w:r>
        <w:tab/>
        <w:t>pre-select another carriage service provider as the end-user’s preferred carriage service provider for pre-selectable services for calls made using a standard telephone service; and</w:t>
      </w:r>
    </w:p>
    <w:p w14:paraId="65386B46" w14:textId="1946C29B" w:rsidR="00836731" w:rsidRDefault="00836731">
      <w:pPr>
        <w:tabs>
          <w:tab w:val="center" w:pos="-2127"/>
        </w:tabs>
        <w:ind w:left="1560" w:hanging="426"/>
      </w:pPr>
      <w:r>
        <w:t>(b)</w:t>
      </w:r>
      <w:r>
        <w:tab/>
      </w:r>
      <w:proofErr w:type="gramStart"/>
      <w:r>
        <w:t>change</w:t>
      </w:r>
      <w:proofErr w:type="gramEnd"/>
      <w:r>
        <w:t xml:space="preserve"> that pre-selection from time to time.</w:t>
      </w:r>
    </w:p>
    <w:p w14:paraId="40783BD0" w14:textId="77777777" w:rsidR="00836731" w:rsidRDefault="00836731">
      <w:pPr>
        <w:tabs>
          <w:tab w:val="center" w:pos="-2127"/>
        </w:tabs>
        <w:ind w:left="1560" w:hanging="426"/>
      </w:pPr>
    </w:p>
    <w:p w14:paraId="25F619E0" w14:textId="30FEF1D6" w:rsidR="00010E3A" w:rsidRDefault="00836731">
      <w:pPr>
        <w:tabs>
          <w:tab w:val="center" w:pos="-2127"/>
        </w:tabs>
        <w:ind w:left="993" w:hanging="426"/>
      </w:pPr>
      <w:r>
        <w:t>(2)</w:t>
      </w:r>
      <w:r>
        <w:tab/>
        <w:t>The controlled networks and controlled facilities of a carriage service provider must provide over-ride dial codes to be used by an end-user for selecting alternative carriage service providers on a call-by-call basis for calls made using a standard telephone service.</w:t>
      </w:r>
    </w:p>
    <w:p w14:paraId="457EE415" w14:textId="77777777" w:rsidR="0052583F" w:rsidRDefault="0052583F" w:rsidP="00010E3A">
      <w:pPr>
        <w:keepNext/>
        <w:tabs>
          <w:tab w:val="center" w:pos="-2127"/>
        </w:tabs>
        <w:ind w:left="567" w:hanging="567"/>
        <w:rPr>
          <w:b/>
        </w:rPr>
      </w:pPr>
    </w:p>
    <w:p w14:paraId="4210A424" w14:textId="6C2E46AC" w:rsidR="00836731" w:rsidRDefault="00AC093E" w:rsidP="00361F0B">
      <w:pPr>
        <w:keepNext/>
        <w:tabs>
          <w:tab w:val="center" w:pos="-2127"/>
        </w:tabs>
        <w:ind w:left="567" w:hanging="567"/>
        <w:rPr>
          <w:b/>
        </w:rPr>
      </w:pPr>
      <w:r>
        <w:rPr>
          <w:b/>
        </w:rPr>
        <w:t>9</w:t>
      </w:r>
      <w:r w:rsidR="00B55FD5">
        <w:rPr>
          <w:b/>
        </w:rPr>
        <w:tab/>
      </w:r>
      <w:r w:rsidR="00836731">
        <w:rPr>
          <w:b/>
        </w:rPr>
        <w:t>Records</w:t>
      </w:r>
    </w:p>
    <w:p w14:paraId="465A24E0" w14:textId="77777777" w:rsidR="00361F0B" w:rsidRDefault="00361F0B" w:rsidP="00361F0B">
      <w:pPr>
        <w:keepNext/>
        <w:tabs>
          <w:tab w:val="center" w:pos="-2127"/>
        </w:tabs>
        <w:ind w:left="567" w:hanging="567"/>
        <w:rPr>
          <w:b/>
        </w:rPr>
      </w:pPr>
    </w:p>
    <w:p w14:paraId="1375D28C" w14:textId="7B2FE4AD" w:rsidR="00836731" w:rsidRDefault="00836731" w:rsidP="001825F5">
      <w:pPr>
        <w:keepNext/>
        <w:tabs>
          <w:tab w:val="center" w:pos="-2127"/>
        </w:tabs>
        <w:ind w:left="720"/>
      </w:pPr>
      <w:r>
        <w:t>A</w:t>
      </w:r>
      <w:r w:rsidR="00F96F66">
        <w:t>n</w:t>
      </w:r>
      <w:r>
        <w:t xml:space="preserve"> </w:t>
      </w:r>
      <w:r w:rsidRPr="00465508">
        <w:t>access service deliverer</w:t>
      </w:r>
      <w:r w:rsidRPr="00C12BA3">
        <w:t xml:space="preserve"> </w:t>
      </w:r>
      <w:r>
        <w:t xml:space="preserve">must keep a written record of any terms and conditions agreed to by the </w:t>
      </w:r>
      <w:r w:rsidR="00D42117">
        <w:t>access service deliverer</w:t>
      </w:r>
      <w:r>
        <w:t xml:space="preserve"> under subsection 351(2) of the Act.</w:t>
      </w:r>
    </w:p>
    <w:p w14:paraId="2A1AF3B1" w14:textId="77777777" w:rsidR="00836731" w:rsidRDefault="00836731">
      <w:pPr>
        <w:tabs>
          <w:tab w:val="center" w:pos="-2127"/>
        </w:tabs>
        <w:ind w:left="567"/>
      </w:pPr>
    </w:p>
    <w:p w14:paraId="5F052884" w14:textId="62B21C18" w:rsidR="00836731" w:rsidRPr="001825F5" w:rsidRDefault="00EE711E">
      <w:pPr>
        <w:tabs>
          <w:tab w:val="center" w:pos="-2127"/>
        </w:tabs>
        <w:ind w:left="567"/>
        <w:rPr>
          <w:sz w:val="20"/>
        </w:rPr>
      </w:pPr>
      <w:r w:rsidRPr="001825F5">
        <w:rPr>
          <w:i/>
          <w:sz w:val="20"/>
        </w:rPr>
        <w:t>Note</w:t>
      </w:r>
      <w:r w:rsidR="0033601E">
        <w:rPr>
          <w:i/>
          <w:sz w:val="20"/>
        </w:rPr>
        <w:t>:</w:t>
      </w:r>
      <w:r w:rsidRPr="001825F5">
        <w:rPr>
          <w:i/>
          <w:sz w:val="20"/>
        </w:rPr>
        <w:t xml:space="preserve">  </w:t>
      </w:r>
      <w:r w:rsidR="006463CE">
        <w:rPr>
          <w:sz w:val="20"/>
        </w:rPr>
        <w:t xml:space="preserve">Under </w:t>
      </w:r>
      <w:r w:rsidR="006463CE" w:rsidRPr="001825F5">
        <w:rPr>
          <w:sz w:val="20"/>
        </w:rPr>
        <w:t>subsection 351(2) of the Act</w:t>
      </w:r>
      <w:r w:rsidR="006463CE">
        <w:rPr>
          <w:sz w:val="20"/>
        </w:rPr>
        <w:t xml:space="preserve"> a</w:t>
      </w:r>
      <w:r w:rsidR="00AD4F2A">
        <w:rPr>
          <w:sz w:val="20"/>
        </w:rPr>
        <w:t>n access service deliverer required to provide pre-selection may agree</w:t>
      </w:r>
      <w:r w:rsidR="00A6572C">
        <w:rPr>
          <w:sz w:val="20"/>
        </w:rPr>
        <w:t xml:space="preserve"> with </w:t>
      </w:r>
      <w:r w:rsidR="00263217">
        <w:rPr>
          <w:sz w:val="20"/>
        </w:rPr>
        <w:t xml:space="preserve">the </w:t>
      </w:r>
      <w:r w:rsidR="00AB222A">
        <w:rPr>
          <w:sz w:val="20"/>
        </w:rPr>
        <w:t xml:space="preserve">carriage service provider </w:t>
      </w:r>
      <w:r w:rsidR="00263217">
        <w:rPr>
          <w:sz w:val="20"/>
        </w:rPr>
        <w:t>in whose favour pre-selection is required to be provided,</w:t>
      </w:r>
      <w:r w:rsidR="00A6572C">
        <w:rPr>
          <w:sz w:val="20"/>
        </w:rPr>
        <w:t xml:space="preserve"> on the terms and conditions on which pre-selection is provided</w:t>
      </w:r>
      <w:r w:rsidR="006463CE">
        <w:rPr>
          <w:sz w:val="20"/>
        </w:rPr>
        <w:t>.</w:t>
      </w:r>
      <w:r w:rsidR="00AD4F2A">
        <w:rPr>
          <w:sz w:val="20"/>
        </w:rPr>
        <w:t xml:space="preserve"> </w:t>
      </w:r>
      <w:r w:rsidR="00263217">
        <w:rPr>
          <w:sz w:val="20"/>
        </w:rPr>
        <w:t xml:space="preserve"> Failing agreement, such terms and conditions may be determined by an arbitrator.</w:t>
      </w:r>
    </w:p>
    <w:p w14:paraId="49349B1F" w14:textId="77777777" w:rsidR="00EE711E" w:rsidRDefault="00EE711E">
      <w:pPr>
        <w:tabs>
          <w:tab w:val="center" w:pos="-2127"/>
        </w:tabs>
        <w:ind w:left="567"/>
      </w:pPr>
    </w:p>
    <w:p w14:paraId="63F02632" w14:textId="31FDCD97" w:rsidR="00836731" w:rsidRDefault="00AC093E" w:rsidP="001825F5">
      <w:pPr>
        <w:keepNext/>
        <w:tabs>
          <w:tab w:val="center" w:pos="-2127"/>
        </w:tabs>
        <w:ind w:left="567" w:hanging="567"/>
        <w:rPr>
          <w:b/>
        </w:rPr>
      </w:pPr>
      <w:r>
        <w:rPr>
          <w:b/>
        </w:rPr>
        <w:lastRenderedPageBreak/>
        <w:t>10</w:t>
      </w:r>
      <w:r w:rsidR="00836731">
        <w:rPr>
          <w:b/>
        </w:rPr>
        <w:tab/>
        <w:t>Technical quality of pre-selection</w:t>
      </w:r>
    </w:p>
    <w:p w14:paraId="0EF628A1" w14:textId="77777777" w:rsidR="00836731" w:rsidRDefault="00836731" w:rsidP="001825F5">
      <w:pPr>
        <w:keepNext/>
        <w:tabs>
          <w:tab w:val="center" w:pos="-2127"/>
        </w:tabs>
        <w:ind w:left="567" w:hanging="567"/>
        <w:rPr>
          <w:b/>
        </w:rPr>
      </w:pPr>
    </w:p>
    <w:p w14:paraId="14816183" w14:textId="4BB7E883" w:rsidR="00836731" w:rsidRDefault="00836731" w:rsidP="001825F5">
      <w:pPr>
        <w:keepNext/>
        <w:tabs>
          <w:tab w:val="center" w:pos="-2127"/>
        </w:tabs>
        <w:ind w:left="993" w:hanging="426"/>
      </w:pPr>
      <w:r>
        <w:t>(1)</w:t>
      </w:r>
      <w:r>
        <w:tab/>
        <w:t xml:space="preserve">An access service deliverer must take all reasonable steps to ensure that the quality of carriage services it supplies to the carriage service provider mentioned in paragraph </w:t>
      </w:r>
      <w:r w:rsidR="008C1BA2" w:rsidRPr="00465508">
        <w:t>7</w:t>
      </w:r>
      <w:r w:rsidRPr="00465508">
        <w:t>(1</w:t>
      </w:r>
      <w:proofErr w:type="gramStart"/>
      <w:r w:rsidRPr="00465508">
        <w:t>)(</w:t>
      </w:r>
      <w:proofErr w:type="gramEnd"/>
      <w:r w:rsidRPr="00465508">
        <w:t>a)</w:t>
      </w:r>
      <w:r>
        <w:t xml:space="preserve"> </w:t>
      </w:r>
      <w:r w:rsidRPr="00465508">
        <w:t xml:space="preserve">or </w:t>
      </w:r>
      <w:r w:rsidR="008C1BA2" w:rsidRPr="00465508">
        <w:t>8</w:t>
      </w:r>
      <w:r w:rsidRPr="00465508">
        <w:t>(1)(a) for pre-selectable</w:t>
      </w:r>
      <w:r>
        <w:t xml:space="preserve"> services is equivalent in all respects to the quality of carriage services it supplies to any other carriage service provider (including itself) for pre-selectable service</w:t>
      </w:r>
      <w:r w:rsidR="00D42117">
        <w:t>s</w:t>
      </w:r>
      <w:r>
        <w:t>.</w:t>
      </w:r>
    </w:p>
    <w:p w14:paraId="42869AD5" w14:textId="77777777" w:rsidR="00836731" w:rsidRDefault="00836731">
      <w:pPr>
        <w:tabs>
          <w:tab w:val="center" w:pos="-2127"/>
        </w:tabs>
        <w:ind w:left="993" w:hanging="426"/>
      </w:pPr>
    </w:p>
    <w:p w14:paraId="40EEB8B7" w14:textId="4F57B26F" w:rsidR="00836731" w:rsidRDefault="00836731">
      <w:pPr>
        <w:tabs>
          <w:tab w:val="center" w:pos="-2127"/>
        </w:tabs>
        <w:ind w:left="993" w:hanging="426"/>
      </w:pPr>
      <w:r>
        <w:t>(2)</w:t>
      </w:r>
      <w:r>
        <w:tab/>
        <w:t>The quality of carriage services supplied for pre-select</w:t>
      </w:r>
      <w:r w:rsidR="00D42117">
        <w:t>able</w:t>
      </w:r>
      <w:r>
        <w:t xml:space="preserve"> services in subsection (1) shall be measured by the following criteria:</w:t>
      </w:r>
    </w:p>
    <w:p w14:paraId="21312E6E" w14:textId="77777777" w:rsidR="00836731" w:rsidRDefault="00836731">
      <w:pPr>
        <w:tabs>
          <w:tab w:val="center" w:pos="-2127"/>
        </w:tabs>
        <w:ind w:left="1560" w:hanging="426"/>
      </w:pPr>
      <w:r>
        <w:t>(a)</w:t>
      </w:r>
      <w:r>
        <w:tab/>
      </w:r>
      <w:proofErr w:type="gramStart"/>
      <w:r>
        <w:t>technical</w:t>
      </w:r>
      <w:proofErr w:type="gramEnd"/>
      <w:r>
        <w:t xml:space="preserve"> and operational quality;</w:t>
      </w:r>
    </w:p>
    <w:p w14:paraId="76CF05A7" w14:textId="77777777" w:rsidR="00836731" w:rsidRDefault="00836731">
      <w:pPr>
        <w:tabs>
          <w:tab w:val="center" w:pos="-2127"/>
        </w:tabs>
        <w:ind w:left="1560" w:hanging="426"/>
      </w:pPr>
      <w:r>
        <w:t>(b)</w:t>
      </w:r>
      <w:r>
        <w:tab/>
      </w:r>
      <w:proofErr w:type="gramStart"/>
      <w:r>
        <w:t>fault</w:t>
      </w:r>
      <w:proofErr w:type="gramEnd"/>
      <w:r>
        <w:t xml:space="preserve"> detection;</w:t>
      </w:r>
    </w:p>
    <w:p w14:paraId="7F18D3BF" w14:textId="77777777" w:rsidR="00836731" w:rsidRDefault="00836731">
      <w:pPr>
        <w:tabs>
          <w:tab w:val="center" w:pos="-2127"/>
        </w:tabs>
        <w:ind w:left="1560" w:hanging="426"/>
      </w:pPr>
      <w:r>
        <w:t>(c)</w:t>
      </w:r>
      <w:r>
        <w:tab/>
      </w:r>
      <w:proofErr w:type="gramStart"/>
      <w:r>
        <w:t>handling</w:t>
      </w:r>
      <w:proofErr w:type="gramEnd"/>
      <w:r>
        <w:t xml:space="preserve"> and rectification of faults;</w:t>
      </w:r>
    </w:p>
    <w:p w14:paraId="76803ECB" w14:textId="77777777" w:rsidR="00836731" w:rsidRDefault="00836731">
      <w:pPr>
        <w:tabs>
          <w:tab w:val="center" w:pos="-2127"/>
        </w:tabs>
        <w:ind w:left="1560" w:hanging="426"/>
      </w:pPr>
      <w:r>
        <w:t>(d)</w:t>
      </w:r>
      <w:r>
        <w:tab/>
      </w:r>
      <w:proofErr w:type="gramStart"/>
      <w:r>
        <w:t>maintenance</w:t>
      </w:r>
      <w:proofErr w:type="gramEnd"/>
      <w:r>
        <w:t>.</w:t>
      </w:r>
    </w:p>
    <w:p w14:paraId="30F5EE0E" w14:textId="77777777" w:rsidR="00836731" w:rsidRDefault="00836731">
      <w:pPr>
        <w:tabs>
          <w:tab w:val="center" w:pos="-2127"/>
        </w:tabs>
        <w:ind w:left="1560" w:hanging="426"/>
      </w:pPr>
    </w:p>
    <w:p w14:paraId="37924939" w14:textId="4AA47A5E" w:rsidR="00836731" w:rsidRDefault="00836731">
      <w:pPr>
        <w:tabs>
          <w:tab w:val="center" w:pos="-2127"/>
        </w:tabs>
        <w:ind w:left="993" w:hanging="426"/>
        <w:rPr>
          <w:sz w:val="20"/>
        </w:rPr>
      </w:pPr>
      <w:r>
        <w:rPr>
          <w:i/>
          <w:sz w:val="20"/>
        </w:rPr>
        <w:t>Note</w:t>
      </w:r>
      <w:r w:rsidRPr="00A41640">
        <w:rPr>
          <w:i/>
          <w:sz w:val="20"/>
        </w:rPr>
        <w:t xml:space="preserve">: </w:t>
      </w:r>
      <w:r w:rsidR="003214EA">
        <w:rPr>
          <w:sz w:val="20"/>
        </w:rPr>
        <w:t>The</w:t>
      </w:r>
      <w:r w:rsidR="00416114" w:rsidRPr="00A41640">
        <w:rPr>
          <w:sz w:val="20"/>
        </w:rPr>
        <w:t xml:space="preserve"> industry code </w:t>
      </w:r>
      <w:r w:rsidR="00C7666F" w:rsidRPr="001825F5">
        <w:rPr>
          <w:i/>
          <w:sz w:val="20"/>
        </w:rPr>
        <w:t xml:space="preserve">ACIF </w:t>
      </w:r>
      <w:r w:rsidR="00416114" w:rsidRPr="001825F5">
        <w:rPr>
          <w:i/>
          <w:sz w:val="20"/>
        </w:rPr>
        <w:t>C515:2005 Pre-selection</w:t>
      </w:r>
      <w:r w:rsidR="00416114" w:rsidRPr="00A41640">
        <w:rPr>
          <w:sz w:val="20"/>
        </w:rPr>
        <w:t xml:space="preserve"> </w:t>
      </w:r>
      <w:r w:rsidR="00C63834">
        <w:rPr>
          <w:sz w:val="20"/>
        </w:rPr>
        <w:t xml:space="preserve">sets out procedures to facilitate </w:t>
      </w:r>
      <w:r w:rsidR="00416114" w:rsidRPr="00A41640">
        <w:rPr>
          <w:sz w:val="20"/>
        </w:rPr>
        <w:t>the provision of pre-selection</w:t>
      </w:r>
      <w:r w:rsidR="00C63834">
        <w:rPr>
          <w:sz w:val="20"/>
        </w:rPr>
        <w:t xml:space="preserve"> by access service deliverers</w:t>
      </w:r>
      <w:r w:rsidR="00416114" w:rsidRPr="00A41640">
        <w:rPr>
          <w:sz w:val="20"/>
        </w:rPr>
        <w:t>.</w:t>
      </w:r>
      <w:r w:rsidR="00C7666F">
        <w:rPr>
          <w:sz w:val="20"/>
        </w:rPr>
        <w:t xml:space="preserve">  A copy of the </w:t>
      </w:r>
      <w:r w:rsidR="00F82AF0">
        <w:rPr>
          <w:sz w:val="20"/>
        </w:rPr>
        <w:t xml:space="preserve">industry code </w:t>
      </w:r>
      <w:r w:rsidR="00C7666F">
        <w:rPr>
          <w:sz w:val="20"/>
        </w:rPr>
        <w:t xml:space="preserve">is available at </w:t>
      </w:r>
      <w:hyperlink r:id="rId26" w:history="1">
        <w:r w:rsidR="00C7666F" w:rsidRPr="00A822DC">
          <w:rPr>
            <w:rStyle w:val="Hyperlink"/>
            <w:sz w:val="20"/>
          </w:rPr>
          <w:t>www.commsalliance.com.au</w:t>
        </w:r>
      </w:hyperlink>
      <w:r w:rsidR="00C7666F">
        <w:rPr>
          <w:sz w:val="20"/>
        </w:rPr>
        <w:t xml:space="preserve"> </w:t>
      </w:r>
    </w:p>
    <w:p w14:paraId="7BA0ECC8" w14:textId="77777777" w:rsidR="00BA6695" w:rsidRDefault="00BA6695" w:rsidP="00361F0B">
      <w:pPr>
        <w:tabs>
          <w:tab w:val="center" w:pos="-2127"/>
        </w:tabs>
        <w:ind w:left="2268" w:hanging="2268"/>
        <w:rPr>
          <w:sz w:val="20"/>
        </w:rPr>
      </w:pPr>
    </w:p>
    <w:sectPr w:rsidR="00BA6695" w:rsidSect="002D1710">
      <w:headerReference w:type="default" r:id="rId27"/>
      <w:headerReference w:type="first" r:id="rId28"/>
      <w:pgSz w:w="11907" w:h="16840" w:code="9"/>
      <w:pgMar w:top="160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AA4BA" w14:textId="77777777" w:rsidR="00A73B4B" w:rsidRDefault="00A73B4B" w:rsidP="00A84D03">
      <w:r>
        <w:separator/>
      </w:r>
    </w:p>
  </w:endnote>
  <w:endnote w:type="continuationSeparator" w:id="0">
    <w:p w14:paraId="1B782D8F" w14:textId="77777777" w:rsidR="00A73B4B" w:rsidRDefault="00A73B4B" w:rsidP="00A8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CCFAB" w14:textId="77777777" w:rsidR="002D1710" w:rsidRDefault="002D17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9CD9" w14:textId="77777777" w:rsidR="00361F0B" w:rsidRPr="00361F0B" w:rsidRDefault="00361F0B" w:rsidP="00361F0B">
    <w:pPr>
      <w:pStyle w:val="Footer"/>
      <w:pBdr>
        <w:top w:val="single" w:sz="4" w:space="1" w:color="auto"/>
      </w:pBdr>
      <w:jc w:val="center"/>
      <w:rPr>
        <w:i/>
        <w:sz w:val="20"/>
      </w:rPr>
    </w:pPr>
  </w:p>
  <w:p w14:paraId="62FF4EC6" w14:textId="77777777" w:rsidR="00361F0B" w:rsidRPr="00361F0B" w:rsidRDefault="00A84D03" w:rsidP="00B15B80">
    <w:pPr>
      <w:pStyle w:val="Footer"/>
      <w:pBdr>
        <w:top w:val="single" w:sz="4" w:space="1" w:color="auto"/>
      </w:pBdr>
      <w:jc w:val="center"/>
      <w:rPr>
        <w:i/>
        <w:sz w:val="20"/>
      </w:rPr>
    </w:pPr>
    <w:r w:rsidRPr="00B15B80">
      <w:rPr>
        <w:i/>
        <w:sz w:val="20"/>
      </w:rPr>
      <w:t xml:space="preserve">Telecommunications (Provision of Pre-selection) </w:t>
    </w:r>
  </w:p>
  <w:p w14:paraId="174B6069" w14:textId="777DE129" w:rsidR="00A84D03" w:rsidRPr="00361F0B" w:rsidRDefault="00A84D03" w:rsidP="00361F0B">
    <w:pPr>
      <w:pStyle w:val="Footer"/>
      <w:jc w:val="center"/>
      <w:rPr>
        <w:i/>
        <w:sz w:val="20"/>
      </w:rPr>
    </w:pPr>
    <w:r w:rsidRPr="00B15B80">
      <w:rPr>
        <w:i/>
        <w:sz w:val="20"/>
      </w:rPr>
      <w:t>Determination 2015</w:t>
    </w:r>
  </w:p>
  <w:p w14:paraId="63F328C8" w14:textId="027060CB" w:rsidR="00361F0B" w:rsidRPr="00B15B80" w:rsidRDefault="00361F0B" w:rsidP="00361F0B">
    <w:pPr>
      <w:pStyle w:val="Footer"/>
      <w:jc w:val="right"/>
      <w:rPr>
        <w:sz w:val="20"/>
      </w:rPr>
    </w:pPr>
    <w:r w:rsidRPr="00361F0B">
      <w:rPr>
        <w:sz w:val="20"/>
      </w:rPr>
      <w:fldChar w:fldCharType="begin"/>
    </w:r>
    <w:r w:rsidRPr="00361F0B">
      <w:rPr>
        <w:sz w:val="20"/>
      </w:rPr>
      <w:instrText xml:space="preserve"> PAGE   \* MERGEFORMAT </w:instrText>
    </w:r>
    <w:r w:rsidRPr="00361F0B">
      <w:rPr>
        <w:sz w:val="20"/>
      </w:rPr>
      <w:fldChar w:fldCharType="separate"/>
    </w:r>
    <w:r w:rsidR="00FD5673">
      <w:rPr>
        <w:noProof/>
        <w:sz w:val="20"/>
      </w:rPr>
      <w:t>3</w:t>
    </w:r>
    <w:r w:rsidRPr="00361F0B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4B586" w14:textId="087C3A0F" w:rsidR="00361F0B" w:rsidRPr="00361F0B" w:rsidRDefault="00361F0B" w:rsidP="00361F0B">
    <w:pPr>
      <w:pStyle w:val="Footer"/>
      <w:jc w:val="right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787E6" w14:textId="77777777" w:rsidR="00FF5364" w:rsidRPr="00361F0B" w:rsidRDefault="00FF5364" w:rsidP="00FF5364">
    <w:pPr>
      <w:pStyle w:val="Footer"/>
      <w:pBdr>
        <w:top w:val="single" w:sz="4" w:space="1" w:color="auto"/>
      </w:pBdr>
      <w:jc w:val="center"/>
      <w:rPr>
        <w:i/>
        <w:sz w:val="20"/>
      </w:rPr>
    </w:pPr>
  </w:p>
  <w:p w14:paraId="38A54FBB" w14:textId="77777777" w:rsidR="00FF5364" w:rsidRPr="00361F0B" w:rsidRDefault="00FF5364" w:rsidP="00B15B80">
    <w:pPr>
      <w:pStyle w:val="Footer"/>
      <w:pBdr>
        <w:top w:val="single" w:sz="4" w:space="1" w:color="auto"/>
      </w:pBdr>
      <w:jc w:val="center"/>
      <w:rPr>
        <w:i/>
        <w:sz w:val="20"/>
      </w:rPr>
    </w:pPr>
    <w:r w:rsidRPr="00B15B80">
      <w:rPr>
        <w:i/>
        <w:sz w:val="20"/>
      </w:rPr>
      <w:t xml:space="preserve">Telecommunications (Provision of Pre-selection) </w:t>
    </w:r>
  </w:p>
  <w:p w14:paraId="38F09638" w14:textId="77777777" w:rsidR="00FF5364" w:rsidRPr="00361F0B" w:rsidRDefault="00FF5364" w:rsidP="00FF5364">
    <w:pPr>
      <w:pStyle w:val="Footer"/>
      <w:jc w:val="center"/>
      <w:rPr>
        <w:i/>
        <w:sz w:val="20"/>
      </w:rPr>
    </w:pPr>
    <w:r w:rsidRPr="00B15B80">
      <w:rPr>
        <w:i/>
        <w:sz w:val="20"/>
      </w:rPr>
      <w:t>Determination 2015</w:t>
    </w:r>
  </w:p>
  <w:p w14:paraId="00BFC1A8" w14:textId="77777777" w:rsidR="00FF5364" w:rsidRPr="00361F0B" w:rsidRDefault="00FF5364" w:rsidP="00361F0B">
    <w:pPr>
      <w:pStyle w:val="Footer"/>
      <w:jc w:val="right"/>
      <w:rPr>
        <w:sz w:val="20"/>
      </w:rPr>
    </w:pPr>
    <w:r w:rsidRPr="00FF5364">
      <w:rPr>
        <w:sz w:val="20"/>
      </w:rPr>
      <w:fldChar w:fldCharType="begin"/>
    </w:r>
    <w:r w:rsidRPr="00FF5364">
      <w:rPr>
        <w:sz w:val="20"/>
      </w:rPr>
      <w:instrText xml:space="preserve"> PAGE   \* MERGEFORMAT </w:instrText>
    </w:r>
    <w:r w:rsidRPr="00FF5364">
      <w:rPr>
        <w:sz w:val="20"/>
      </w:rPr>
      <w:fldChar w:fldCharType="separate"/>
    </w:r>
    <w:r w:rsidR="00FD5673">
      <w:rPr>
        <w:noProof/>
        <w:sz w:val="20"/>
      </w:rPr>
      <w:t>2</w:t>
    </w:r>
    <w:r w:rsidRPr="00FF5364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C55EF" w14:textId="77777777" w:rsidR="00A73B4B" w:rsidRDefault="00A73B4B" w:rsidP="00A84D03">
      <w:r>
        <w:separator/>
      </w:r>
    </w:p>
  </w:footnote>
  <w:footnote w:type="continuationSeparator" w:id="0">
    <w:p w14:paraId="2011A0FE" w14:textId="77777777" w:rsidR="00A73B4B" w:rsidRDefault="00A73B4B" w:rsidP="00A84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9C755" w14:textId="77777777" w:rsidR="002D1710" w:rsidRDefault="002D1710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FF0D8" w14:textId="64045CC5" w:rsidR="00FF5364" w:rsidRDefault="002D1710" w:rsidP="002D1710">
    <w:pPr>
      <w:pStyle w:val="Header"/>
      <w:pBdr>
        <w:bottom w:val="single" w:sz="4" w:space="1" w:color="auto"/>
      </w:pBdr>
      <w:tabs>
        <w:tab w:val="clear" w:pos="4513"/>
        <w:tab w:val="center" w:pos="3828"/>
      </w:tabs>
      <w:rPr>
        <w:b/>
        <w:sz w:val="20"/>
      </w:rPr>
    </w:pPr>
    <w:r>
      <w:rPr>
        <w:b/>
        <w:sz w:val="20"/>
      </w:rPr>
      <w:t>Part 2</w:t>
    </w:r>
    <w:r w:rsidR="00FF5364">
      <w:rPr>
        <w:b/>
        <w:sz w:val="20"/>
      </w:rPr>
      <w:tab/>
    </w:r>
    <w:r>
      <w:rPr>
        <w:b/>
        <w:sz w:val="20"/>
      </w:rPr>
      <w:t>Requirement to provide pre-selection</w:t>
    </w:r>
  </w:p>
  <w:p w14:paraId="13DF1675" w14:textId="77777777" w:rsidR="002D1710" w:rsidRDefault="002D1710" w:rsidP="002D1710">
    <w:pPr>
      <w:pStyle w:val="Header"/>
      <w:pBdr>
        <w:bottom w:val="single" w:sz="4" w:space="1" w:color="auto"/>
      </w:pBdr>
      <w:tabs>
        <w:tab w:val="clear" w:pos="4513"/>
        <w:tab w:val="center" w:pos="2977"/>
      </w:tabs>
      <w:rPr>
        <w:b/>
        <w:sz w:val="20"/>
      </w:rPr>
    </w:pPr>
  </w:p>
  <w:p w14:paraId="1EE77785" w14:textId="342A4992" w:rsidR="00FF5364" w:rsidRPr="00361F0B" w:rsidRDefault="00FF5364" w:rsidP="002D1710">
    <w:pPr>
      <w:pStyle w:val="Header"/>
      <w:pBdr>
        <w:bottom w:val="single" w:sz="4" w:space="1" w:color="auto"/>
      </w:pBdr>
      <w:tabs>
        <w:tab w:val="clear" w:pos="4513"/>
        <w:tab w:val="center" w:pos="2977"/>
      </w:tabs>
      <w:rPr>
        <w:b/>
        <w:sz w:val="20"/>
      </w:rPr>
    </w:pPr>
    <w:r>
      <w:rPr>
        <w:b/>
        <w:sz w:val="20"/>
      </w:rPr>
      <w:t>Section 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83629" w14:textId="64817EBF" w:rsidR="00361F0B" w:rsidRPr="00361F0B" w:rsidRDefault="00361F0B" w:rsidP="00361F0B">
    <w:pPr>
      <w:pStyle w:val="Header"/>
      <w:pBdr>
        <w:bottom w:val="single" w:sz="4" w:space="1" w:color="auto"/>
      </w:pBdr>
      <w:tabs>
        <w:tab w:val="clear" w:pos="4513"/>
        <w:tab w:val="center" w:pos="2977"/>
      </w:tabs>
      <w:rPr>
        <w:b/>
        <w:sz w:val="20"/>
      </w:rPr>
    </w:pPr>
    <w:r w:rsidRPr="00361F0B">
      <w:rPr>
        <w:b/>
        <w:sz w:val="20"/>
      </w:rPr>
      <w:t>Part 1</w:t>
    </w:r>
    <w:r w:rsidRPr="00361F0B">
      <w:rPr>
        <w:b/>
        <w:sz w:val="20"/>
      </w:rPr>
      <w:tab/>
      <w:t>Preliminary</w:t>
    </w:r>
  </w:p>
  <w:p w14:paraId="775A178E" w14:textId="6A917F0D" w:rsidR="00361F0B" w:rsidRPr="00361F0B" w:rsidRDefault="00361F0B" w:rsidP="00361F0B">
    <w:pPr>
      <w:pStyle w:val="Header"/>
      <w:pBdr>
        <w:bottom w:val="single" w:sz="4" w:space="1" w:color="auto"/>
      </w:pBdr>
      <w:rPr>
        <w:b/>
        <w:sz w:val="20"/>
      </w:rPr>
    </w:pPr>
    <w:r w:rsidRPr="00361F0B">
      <w:rPr>
        <w:b/>
        <w:sz w:val="20"/>
      </w:rPr>
      <w:t>Section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A0D4B" w14:textId="4D88BFF1" w:rsidR="00361F0B" w:rsidRPr="00361F0B" w:rsidRDefault="00361F0B" w:rsidP="00FF5364">
    <w:pPr>
      <w:pStyle w:val="Header"/>
      <w:tabs>
        <w:tab w:val="left" w:pos="236"/>
      </w:tabs>
      <w:rPr>
        <w:b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0CF91" w14:textId="77777777" w:rsidR="002D1710" w:rsidRPr="00361F0B" w:rsidRDefault="002D1710" w:rsidP="00361F0B">
    <w:pPr>
      <w:pStyle w:val="Header"/>
      <w:pBdr>
        <w:bottom w:val="single" w:sz="4" w:space="1" w:color="auto"/>
      </w:pBdr>
      <w:tabs>
        <w:tab w:val="clear" w:pos="4513"/>
        <w:tab w:val="center" w:pos="2977"/>
      </w:tabs>
      <w:rPr>
        <w:b/>
        <w:sz w:val="20"/>
      </w:rPr>
    </w:pPr>
    <w:r w:rsidRPr="00361F0B">
      <w:rPr>
        <w:b/>
        <w:sz w:val="20"/>
      </w:rPr>
      <w:t>Part 1</w:t>
    </w:r>
    <w:r w:rsidRPr="00361F0B">
      <w:rPr>
        <w:b/>
        <w:sz w:val="20"/>
      </w:rPr>
      <w:tab/>
      <w:t>Preliminary</w:t>
    </w:r>
  </w:p>
  <w:p w14:paraId="1BFD30C5" w14:textId="77777777" w:rsidR="002D1710" w:rsidRDefault="002D1710" w:rsidP="00361F0B">
    <w:pPr>
      <w:pStyle w:val="Header"/>
      <w:pBdr>
        <w:bottom w:val="single" w:sz="4" w:space="1" w:color="auto"/>
      </w:pBdr>
      <w:rPr>
        <w:b/>
        <w:sz w:val="20"/>
      </w:rPr>
    </w:pPr>
  </w:p>
  <w:p w14:paraId="03B7CA24" w14:textId="0A24A02E" w:rsidR="002D1710" w:rsidRPr="00361F0B" w:rsidRDefault="002D1710" w:rsidP="00361F0B">
    <w:pPr>
      <w:pStyle w:val="Header"/>
      <w:pBdr>
        <w:bottom w:val="single" w:sz="4" w:space="1" w:color="auto"/>
      </w:pBdr>
      <w:rPr>
        <w:b/>
        <w:sz w:val="20"/>
      </w:rPr>
    </w:pPr>
    <w:r>
      <w:rPr>
        <w:b/>
        <w:sz w:val="20"/>
      </w:rPr>
      <w:t>Section 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245F6" w14:textId="261A1CEB" w:rsidR="00FF5364" w:rsidRDefault="00FF5364" w:rsidP="00FF5364">
    <w:pPr>
      <w:pStyle w:val="Header"/>
      <w:pBdr>
        <w:bottom w:val="single" w:sz="4" w:space="1" w:color="auto"/>
      </w:pBdr>
      <w:tabs>
        <w:tab w:val="clear" w:pos="4513"/>
        <w:tab w:val="center" w:pos="2977"/>
      </w:tabs>
      <w:rPr>
        <w:b/>
        <w:sz w:val="20"/>
      </w:rPr>
    </w:pPr>
    <w:r>
      <w:rPr>
        <w:b/>
        <w:sz w:val="20"/>
      </w:rPr>
      <w:t>Part 1</w:t>
    </w:r>
    <w:r>
      <w:rPr>
        <w:b/>
        <w:sz w:val="20"/>
      </w:rPr>
      <w:tab/>
      <w:t>Preliminary</w:t>
    </w:r>
  </w:p>
  <w:p w14:paraId="7C7B1B25" w14:textId="77777777" w:rsidR="002D1710" w:rsidRDefault="002D1710" w:rsidP="00FF5364">
    <w:pPr>
      <w:pStyle w:val="Header"/>
      <w:pBdr>
        <w:bottom w:val="single" w:sz="4" w:space="1" w:color="auto"/>
      </w:pBdr>
      <w:tabs>
        <w:tab w:val="clear" w:pos="4513"/>
        <w:tab w:val="center" w:pos="2977"/>
      </w:tabs>
      <w:rPr>
        <w:b/>
        <w:sz w:val="20"/>
      </w:rPr>
    </w:pPr>
  </w:p>
  <w:p w14:paraId="52D4266E" w14:textId="7F83C074" w:rsidR="00FF5364" w:rsidRPr="00361F0B" w:rsidRDefault="00FF5364" w:rsidP="00FF5364">
    <w:pPr>
      <w:pStyle w:val="Header"/>
      <w:pBdr>
        <w:bottom w:val="single" w:sz="4" w:space="1" w:color="auto"/>
      </w:pBdr>
      <w:tabs>
        <w:tab w:val="clear" w:pos="4513"/>
        <w:tab w:val="center" w:pos="2977"/>
      </w:tabs>
      <w:rPr>
        <w:b/>
        <w:sz w:val="20"/>
      </w:rPr>
    </w:pPr>
    <w:r>
      <w:rPr>
        <w:b/>
        <w:sz w:val="20"/>
      </w:rPr>
      <w:t>Section 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FCCAA" w14:textId="213E1247" w:rsidR="00361F0B" w:rsidRPr="00361F0B" w:rsidRDefault="002D1710" w:rsidP="002D1710">
    <w:pPr>
      <w:pStyle w:val="Header"/>
      <w:pBdr>
        <w:bottom w:val="single" w:sz="4" w:space="1" w:color="auto"/>
      </w:pBdr>
      <w:tabs>
        <w:tab w:val="clear" w:pos="4513"/>
        <w:tab w:val="center" w:pos="2977"/>
      </w:tabs>
      <w:rPr>
        <w:b/>
        <w:sz w:val="20"/>
      </w:rPr>
    </w:pPr>
    <w:r>
      <w:rPr>
        <w:b/>
        <w:sz w:val="20"/>
      </w:rPr>
      <w:t>Part 1</w:t>
    </w:r>
    <w:r w:rsidR="00361F0B">
      <w:rPr>
        <w:b/>
        <w:sz w:val="20"/>
      </w:rPr>
      <w:tab/>
    </w:r>
    <w:r>
      <w:rPr>
        <w:b/>
        <w:sz w:val="20"/>
      </w:rPr>
      <w:t>Preliminary</w:t>
    </w:r>
  </w:p>
  <w:p w14:paraId="706D49B6" w14:textId="77777777" w:rsidR="002D1710" w:rsidRDefault="002D1710" w:rsidP="002D1710">
    <w:pPr>
      <w:pStyle w:val="Header"/>
      <w:pBdr>
        <w:bottom w:val="single" w:sz="4" w:space="1" w:color="auto"/>
      </w:pBdr>
      <w:rPr>
        <w:b/>
        <w:sz w:val="20"/>
      </w:rPr>
    </w:pPr>
  </w:p>
  <w:p w14:paraId="3CFB9609" w14:textId="1F05B905" w:rsidR="00361F0B" w:rsidRPr="00361F0B" w:rsidRDefault="00361F0B" w:rsidP="002D1710">
    <w:pPr>
      <w:pStyle w:val="Header"/>
      <w:pBdr>
        <w:bottom w:val="single" w:sz="4" w:space="1" w:color="auto"/>
      </w:pBdr>
      <w:rPr>
        <w:b/>
        <w:sz w:val="20"/>
      </w:rPr>
    </w:pPr>
    <w:r w:rsidRPr="00361F0B">
      <w:rPr>
        <w:b/>
        <w:sz w:val="20"/>
      </w:rPr>
      <w:t>S</w:t>
    </w:r>
    <w:r w:rsidR="002D1710">
      <w:rPr>
        <w:b/>
        <w:sz w:val="20"/>
      </w:rPr>
      <w:t>ection 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EFB0E" w14:textId="300635D2" w:rsidR="00361F0B" w:rsidRPr="00361F0B" w:rsidRDefault="00361F0B" w:rsidP="00361F0B">
    <w:pPr>
      <w:pStyle w:val="Header"/>
      <w:pBdr>
        <w:bottom w:val="single" w:sz="4" w:space="1" w:color="auto"/>
      </w:pBdr>
      <w:tabs>
        <w:tab w:val="clear" w:pos="4513"/>
        <w:tab w:val="center" w:pos="2977"/>
      </w:tabs>
      <w:rPr>
        <w:b/>
        <w:sz w:val="20"/>
      </w:rPr>
    </w:pPr>
    <w:r>
      <w:rPr>
        <w:b/>
        <w:sz w:val="20"/>
      </w:rPr>
      <w:t>Part 1</w:t>
    </w:r>
    <w:r>
      <w:rPr>
        <w:b/>
        <w:sz w:val="20"/>
      </w:rPr>
      <w:tab/>
      <w:t>Preliminary</w:t>
    </w:r>
  </w:p>
  <w:p w14:paraId="5391FF88" w14:textId="5E95617E" w:rsidR="00361F0B" w:rsidRPr="00361F0B" w:rsidRDefault="00361F0B" w:rsidP="00361F0B">
    <w:pPr>
      <w:pStyle w:val="Header"/>
      <w:pBdr>
        <w:bottom w:val="single" w:sz="4" w:space="1" w:color="auto"/>
      </w:pBdr>
      <w:rPr>
        <w:b/>
        <w:sz w:val="20"/>
      </w:rPr>
    </w:pPr>
    <w:r w:rsidRPr="00361F0B">
      <w:rPr>
        <w:b/>
        <w:sz w:val="20"/>
      </w:rPr>
      <w:t>S</w:t>
    </w:r>
    <w:r>
      <w:rPr>
        <w:b/>
        <w:sz w:val="20"/>
      </w:rPr>
      <w:t>ection 5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1736E" w14:textId="77777777" w:rsidR="002D1710" w:rsidRDefault="002D1710" w:rsidP="00FF5364">
    <w:pPr>
      <w:pStyle w:val="Header"/>
      <w:pBdr>
        <w:bottom w:val="single" w:sz="4" w:space="1" w:color="auto"/>
      </w:pBdr>
      <w:tabs>
        <w:tab w:val="clear" w:pos="4513"/>
        <w:tab w:val="center" w:pos="2977"/>
      </w:tabs>
      <w:rPr>
        <w:b/>
        <w:sz w:val="20"/>
      </w:rPr>
    </w:pPr>
    <w:r>
      <w:rPr>
        <w:b/>
        <w:sz w:val="20"/>
      </w:rPr>
      <w:t>Part 1</w:t>
    </w:r>
    <w:r>
      <w:rPr>
        <w:b/>
        <w:sz w:val="20"/>
      </w:rPr>
      <w:tab/>
      <w:t>Preliminary</w:t>
    </w:r>
  </w:p>
  <w:p w14:paraId="0B063BC0" w14:textId="667057AC" w:rsidR="002D1710" w:rsidRPr="00361F0B" w:rsidRDefault="002D1710" w:rsidP="00FF5364">
    <w:pPr>
      <w:pStyle w:val="Header"/>
      <w:pBdr>
        <w:bottom w:val="single" w:sz="4" w:space="1" w:color="auto"/>
      </w:pBdr>
      <w:tabs>
        <w:tab w:val="clear" w:pos="4513"/>
        <w:tab w:val="center" w:pos="2977"/>
      </w:tabs>
      <w:rPr>
        <w:b/>
        <w:sz w:val="20"/>
      </w:rPr>
    </w:pPr>
    <w:r>
      <w:rPr>
        <w:b/>
        <w:sz w:val="20"/>
      </w:rPr>
      <w:t>Section 5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CB13F" w14:textId="67AE0932" w:rsidR="00361F0B" w:rsidRPr="00361F0B" w:rsidRDefault="00361F0B" w:rsidP="00361F0B">
    <w:pPr>
      <w:pStyle w:val="Header"/>
      <w:pBdr>
        <w:bottom w:val="single" w:sz="4" w:space="1" w:color="auto"/>
      </w:pBdr>
      <w:tabs>
        <w:tab w:val="clear" w:pos="4513"/>
        <w:tab w:val="center" w:pos="2977"/>
      </w:tabs>
      <w:rPr>
        <w:b/>
        <w:sz w:val="20"/>
      </w:rPr>
    </w:pPr>
    <w:r>
      <w:rPr>
        <w:b/>
        <w:sz w:val="20"/>
      </w:rPr>
      <w:t>Part 2</w:t>
    </w:r>
    <w:r>
      <w:rPr>
        <w:b/>
        <w:sz w:val="20"/>
      </w:rPr>
      <w:tab/>
      <w:t>Requirement to provide pre-selection</w:t>
    </w:r>
  </w:p>
  <w:p w14:paraId="1DC7C50C" w14:textId="77777777" w:rsidR="002D1710" w:rsidRDefault="002D1710" w:rsidP="00361F0B">
    <w:pPr>
      <w:pStyle w:val="Header"/>
      <w:pBdr>
        <w:bottom w:val="single" w:sz="4" w:space="1" w:color="auto"/>
      </w:pBdr>
      <w:rPr>
        <w:b/>
        <w:sz w:val="20"/>
      </w:rPr>
    </w:pPr>
  </w:p>
  <w:p w14:paraId="7978AEF3" w14:textId="54C82888" w:rsidR="00361F0B" w:rsidRPr="00361F0B" w:rsidRDefault="00361F0B" w:rsidP="00361F0B">
    <w:pPr>
      <w:pStyle w:val="Header"/>
      <w:pBdr>
        <w:bottom w:val="single" w:sz="4" w:space="1" w:color="auto"/>
      </w:pBdr>
      <w:rPr>
        <w:b/>
        <w:sz w:val="20"/>
      </w:rPr>
    </w:pPr>
    <w:r w:rsidRPr="00361F0B">
      <w:rPr>
        <w:b/>
        <w:sz w:val="20"/>
      </w:rPr>
      <w:t>S</w:t>
    </w:r>
    <w:r>
      <w:rPr>
        <w:b/>
        <w:sz w:val="20"/>
      </w:rPr>
      <w:t>ection 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8B03288"/>
    <w:lvl w:ilvl="0">
      <w:numFmt w:val="bullet"/>
      <w:lvlText w:val="*"/>
      <w:lvlJc w:val="left"/>
    </w:lvl>
  </w:abstractNum>
  <w:abstractNum w:abstractNumId="1">
    <w:nsid w:val="03BB5B46"/>
    <w:multiLevelType w:val="multilevel"/>
    <w:tmpl w:val="272291DA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2">
    <w:nsid w:val="091936E8"/>
    <w:multiLevelType w:val="hybridMultilevel"/>
    <w:tmpl w:val="54A4951E"/>
    <w:lvl w:ilvl="0" w:tplc="3A204E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A049D8"/>
    <w:multiLevelType w:val="hybridMultilevel"/>
    <w:tmpl w:val="289ADEA2"/>
    <w:lvl w:ilvl="0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1C96628C"/>
    <w:multiLevelType w:val="hybridMultilevel"/>
    <w:tmpl w:val="0F300322"/>
    <w:lvl w:ilvl="0" w:tplc="337C7BD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3754AB"/>
    <w:multiLevelType w:val="hybridMultilevel"/>
    <w:tmpl w:val="F98C2F2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82B0C50"/>
    <w:multiLevelType w:val="hybridMultilevel"/>
    <w:tmpl w:val="1CE00C96"/>
    <w:lvl w:ilvl="0" w:tplc="17EE858E">
      <w:start w:val="5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95F1FA7"/>
    <w:multiLevelType w:val="hybridMultilevel"/>
    <w:tmpl w:val="F3FA6472"/>
    <w:lvl w:ilvl="0" w:tplc="4F2A891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4345D"/>
    <w:multiLevelType w:val="hybridMultilevel"/>
    <w:tmpl w:val="4434F59C"/>
    <w:lvl w:ilvl="0" w:tplc="6854C292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 w:tplc="F11452EE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205141"/>
    <w:multiLevelType w:val="multilevel"/>
    <w:tmpl w:val="847ADEDE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10">
    <w:nsid w:val="492D0609"/>
    <w:multiLevelType w:val="multilevel"/>
    <w:tmpl w:val="272291DA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11">
    <w:nsid w:val="59A275A1"/>
    <w:multiLevelType w:val="hybridMultilevel"/>
    <w:tmpl w:val="DC66EF28"/>
    <w:lvl w:ilvl="0" w:tplc="78BE7F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65FC6"/>
    <w:multiLevelType w:val="hybridMultilevel"/>
    <w:tmpl w:val="F774E776"/>
    <w:lvl w:ilvl="0" w:tplc="3A204E6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656E01AC"/>
    <w:multiLevelType w:val="multilevel"/>
    <w:tmpl w:val="272291DA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14">
    <w:nsid w:val="6E7679DD"/>
    <w:multiLevelType w:val="multilevel"/>
    <w:tmpl w:val="6EDC62CC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5">
    <w:nsid w:val="75C303BA"/>
    <w:multiLevelType w:val="hybridMultilevel"/>
    <w:tmpl w:val="4434F59C"/>
    <w:lvl w:ilvl="0" w:tplc="6854C292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 w:tplc="F11452EE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395FD3"/>
    <w:multiLevelType w:val="hybridMultilevel"/>
    <w:tmpl w:val="B85C2B96"/>
    <w:lvl w:ilvl="0" w:tplc="FA7ABCBA">
      <w:start w:val="1"/>
      <w:numFmt w:val="lowerLetter"/>
      <w:lvlText w:val="(%1)"/>
      <w:lvlJc w:val="left"/>
      <w:pPr>
        <w:ind w:left="1494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2"/>
  </w:num>
  <w:num w:numId="4">
    <w:abstractNumId w:val="6"/>
  </w:num>
  <w:num w:numId="5">
    <w:abstractNumId w:val="11"/>
  </w:num>
  <w:num w:numId="6">
    <w:abstractNumId w:val="2"/>
  </w:num>
  <w:num w:numId="7">
    <w:abstractNumId w:val="16"/>
  </w:num>
  <w:num w:numId="8">
    <w:abstractNumId w:val="4"/>
  </w:num>
  <w:num w:numId="9">
    <w:abstractNumId w:val="10"/>
  </w:num>
  <w:num w:numId="10">
    <w:abstractNumId w:val="3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1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96"/>
    <w:rsid w:val="00004383"/>
    <w:rsid w:val="00010E3A"/>
    <w:rsid w:val="00010E75"/>
    <w:rsid w:val="0002394E"/>
    <w:rsid w:val="000376BD"/>
    <w:rsid w:val="0004470E"/>
    <w:rsid w:val="00046FCA"/>
    <w:rsid w:val="00055FC2"/>
    <w:rsid w:val="000643C5"/>
    <w:rsid w:val="00091AF1"/>
    <w:rsid w:val="00092CD6"/>
    <w:rsid w:val="00092FAA"/>
    <w:rsid w:val="000933F2"/>
    <w:rsid w:val="00093D1C"/>
    <w:rsid w:val="000948C1"/>
    <w:rsid w:val="000A123F"/>
    <w:rsid w:val="000A5951"/>
    <w:rsid w:val="000B178E"/>
    <w:rsid w:val="000B63E9"/>
    <w:rsid w:val="000B6F29"/>
    <w:rsid w:val="000D6A6C"/>
    <w:rsid w:val="000E3D05"/>
    <w:rsid w:val="000E52E0"/>
    <w:rsid w:val="000E6489"/>
    <w:rsid w:val="000F1931"/>
    <w:rsid w:val="000F198E"/>
    <w:rsid w:val="000F2F84"/>
    <w:rsid w:val="000F420B"/>
    <w:rsid w:val="000F5365"/>
    <w:rsid w:val="001037D4"/>
    <w:rsid w:val="00103EBD"/>
    <w:rsid w:val="00105D85"/>
    <w:rsid w:val="00111064"/>
    <w:rsid w:val="00113685"/>
    <w:rsid w:val="00115118"/>
    <w:rsid w:val="001433AD"/>
    <w:rsid w:val="00164B36"/>
    <w:rsid w:val="00167678"/>
    <w:rsid w:val="00173A62"/>
    <w:rsid w:val="00180D29"/>
    <w:rsid w:val="00181EEA"/>
    <w:rsid w:val="001825F5"/>
    <w:rsid w:val="00191145"/>
    <w:rsid w:val="00194495"/>
    <w:rsid w:val="00194A91"/>
    <w:rsid w:val="001A3965"/>
    <w:rsid w:val="001A4035"/>
    <w:rsid w:val="001B0265"/>
    <w:rsid w:val="001B1C1F"/>
    <w:rsid w:val="001B39DD"/>
    <w:rsid w:val="001D4A30"/>
    <w:rsid w:val="001E1E43"/>
    <w:rsid w:val="001F70FC"/>
    <w:rsid w:val="00207182"/>
    <w:rsid w:val="002136E4"/>
    <w:rsid w:val="00225ECC"/>
    <w:rsid w:val="002303EE"/>
    <w:rsid w:val="0023510E"/>
    <w:rsid w:val="00250661"/>
    <w:rsid w:val="00253A12"/>
    <w:rsid w:val="00253D92"/>
    <w:rsid w:val="00263217"/>
    <w:rsid w:val="002669CE"/>
    <w:rsid w:val="00284F0D"/>
    <w:rsid w:val="002A55EC"/>
    <w:rsid w:val="002C1794"/>
    <w:rsid w:val="002C2F56"/>
    <w:rsid w:val="002C3B4B"/>
    <w:rsid w:val="002C685D"/>
    <w:rsid w:val="002C6F51"/>
    <w:rsid w:val="002D1710"/>
    <w:rsid w:val="002D36A9"/>
    <w:rsid w:val="00302646"/>
    <w:rsid w:val="00304F1D"/>
    <w:rsid w:val="00316A26"/>
    <w:rsid w:val="00320727"/>
    <w:rsid w:val="003214EA"/>
    <w:rsid w:val="00322971"/>
    <w:rsid w:val="003245C6"/>
    <w:rsid w:val="0032788B"/>
    <w:rsid w:val="00330219"/>
    <w:rsid w:val="00330347"/>
    <w:rsid w:val="00332CA4"/>
    <w:rsid w:val="003334EB"/>
    <w:rsid w:val="0033601E"/>
    <w:rsid w:val="003372C7"/>
    <w:rsid w:val="00341E25"/>
    <w:rsid w:val="00344B5D"/>
    <w:rsid w:val="00345C1A"/>
    <w:rsid w:val="0035754E"/>
    <w:rsid w:val="00361F0B"/>
    <w:rsid w:val="00366279"/>
    <w:rsid w:val="00366FF9"/>
    <w:rsid w:val="0037254A"/>
    <w:rsid w:val="00391104"/>
    <w:rsid w:val="00397A47"/>
    <w:rsid w:val="003A420B"/>
    <w:rsid w:val="003B41B4"/>
    <w:rsid w:val="003B6002"/>
    <w:rsid w:val="003E1119"/>
    <w:rsid w:val="003E341E"/>
    <w:rsid w:val="00410C2D"/>
    <w:rsid w:val="00414E2E"/>
    <w:rsid w:val="00416114"/>
    <w:rsid w:val="0043002C"/>
    <w:rsid w:val="0043138A"/>
    <w:rsid w:val="004371E6"/>
    <w:rsid w:val="00437CAC"/>
    <w:rsid w:val="00450EBE"/>
    <w:rsid w:val="00453978"/>
    <w:rsid w:val="00453BB5"/>
    <w:rsid w:val="0045551F"/>
    <w:rsid w:val="004577C9"/>
    <w:rsid w:val="00465508"/>
    <w:rsid w:val="00473EFF"/>
    <w:rsid w:val="00485265"/>
    <w:rsid w:val="0049403A"/>
    <w:rsid w:val="00497A15"/>
    <w:rsid w:val="004A0E79"/>
    <w:rsid w:val="004B2DCC"/>
    <w:rsid w:val="004B5187"/>
    <w:rsid w:val="004B5B13"/>
    <w:rsid w:val="004B78D8"/>
    <w:rsid w:val="004C33EB"/>
    <w:rsid w:val="004D5FEA"/>
    <w:rsid w:val="004E4DD4"/>
    <w:rsid w:val="004E5D82"/>
    <w:rsid w:val="004E7E11"/>
    <w:rsid w:val="004F3DCB"/>
    <w:rsid w:val="00500127"/>
    <w:rsid w:val="005029C0"/>
    <w:rsid w:val="00503199"/>
    <w:rsid w:val="00515D7D"/>
    <w:rsid w:val="0052583F"/>
    <w:rsid w:val="00554A9D"/>
    <w:rsid w:val="005559EF"/>
    <w:rsid w:val="00575897"/>
    <w:rsid w:val="005938FD"/>
    <w:rsid w:val="005956E2"/>
    <w:rsid w:val="005C2DF0"/>
    <w:rsid w:val="005C30C6"/>
    <w:rsid w:val="005C79A3"/>
    <w:rsid w:val="005D12F9"/>
    <w:rsid w:val="005D34E0"/>
    <w:rsid w:val="005D7A86"/>
    <w:rsid w:val="005E23ED"/>
    <w:rsid w:val="005E5185"/>
    <w:rsid w:val="005F422D"/>
    <w:rsid w:val="0060062D"/>
    <w:rsid w:val="00605C14"/>
    <w:rsid w:val="006337C5"/>
    <w:rsid w:val="006360A1"/>
    <w:rsid w:val="00636B12"/>
    <w:rsid w:val="00640509"/>
    <w:rsid w:val="0064535E"/>
    <w:rsid w:val="006463CE"/>
    <w:rsid w:val="00652621"/>
    <w:rsid w:val="006539E1"/>
    <w:rsid w:val="00662C12"/>
    <w:rsid w:val="00670689"/>
    <w:rsid w:val="00671EE0"/>
    <w:rsid w:val="00676FBD"/>
    <w:rsid w:val="00680677"/>
    <w:rsid w:val="00696E4C"/>
    <w:rsid w:val="006A0150"/>
    <w:rsid w:val="006B0422"/>
    <w:rsid w:val="006C71D5"/>
    <w:rsid w:val="006C7A25"/>
    <w:rsid w:val="006D36D7"/>
    <w:rsid w:val="006D4D9F"/>
    <w:rsid w:val="006F01BA"/>
    <w:rsid w:val="006F1938"/>
    <w:rsid w:val="006F4B35"/>
    <w:rsid w:val="006F592F"/>
    <w:rsid w:val="006F7371"/>
    <w:rsid w:val="0071456E"/>
    <w:rsid w:val="0073207D"/>
    <w:rsid w:val="00733C30"/>
    <w:rsid w:val="007464FD"/>
    <w:rsid w:val="00747E2C"/>
    <w:rsid w:val="00750865"/>
    <w:rsid w:val="00751E98"/>
    <w:rsid w:val="00753D8B"/>
    <w:rsid w:val="00754E07"/>
    <w:rsid w:val="00764CFF"/>
    <w:rsid w:val="007708C6"/>
    <w:rsid w:val="0078229C"/>
    <w:rsid w:val="00793A70"/>
    <w:rsid w:val="00796162"/>
    <w:rsid w:val="007D0D00"/>
    <w:rsid w:val="007D1223"/>
    <w:rsid w:val="007D4B57"/>
    <w:rsid w:val="007D514A"/>
    <w:rsid w:val="007D5D24"/>
    <w:rsid w:val="008029F2"/>
    <w:rsid w:val="008052E0"/>
    <w:rsid w:val="00810E2E"/>
    <w:rsid w:val="0081407A"/>
    <w:rsid w:val="0082798B"/>
    <w:rsid w:val="0083462A"/>
    <w:rsid w:val="00836731"/>
    <w:rsid w:val="00844838"/>
    <w:rsid w:val="008517CB"/>
    <w:rsid w:val="008571AB"/>
    <w:rsid w:val="00862413"/>
    <w:rsid w:val="0087132F"/>
    <w:rsid w:val="00872B2B"/>
    <w:rsid w:val="00872D6D"/>
    <w:rsid w:val="0087333C"/>
    <w:rsid w:val="00897EFC"/>
    <w:rsid w:val="008A17CD"/>
    <w:rsid w:val="008A710D"/>
    <w:rsid w:val="008B56A2"/>
    <w:rsid w:val="008C1BA2"/>
    <w:rsid w:val="008C580D"/>
    <w:rsid w:val="008D0A98"/>
    <w:rsid w:val="008D2225"/>
    <w:rsid w:val="008D2268"/>
    <w:rsid w:val="008D4B79"/>
    <w:rsid w:val="008E3B1D"/>
    <w:rsid w:val="008E5A74"/>
    <w:rsid w:val="008F2806"/>
    <w:rsid w:val="008F5399"/>
    <w:rsid w:val="00907B56"/>
    <w:rsid w:val="00911F2A"/>
    <w:rsid w:val="00912D00"/>
    <w:rsid w:val="00922269"/>
    <w:rsid w:val="00922E99"/>
    <w:rsid w:val="00926B45"/>
    <w:rsid w:val="0093440B"/>
    <w:rsid w:val="00936A4F"/>
    <w:rsid w:val="00942B5B"/>
    <w:rsid w:val="00953C55"/>
    <w:rsid w:val="00954596"/>
    <w:rsid w:val="00966850"/>
    <w:rsid w:val="00971F3C"/>
    <w:rsid w:val="009760A4"/>
    <w:rsid w:val="009774BF"/>
    <w:rsid w:val="00977B13"/>
    <w:rsid w:val="00987E25"/>
    <w:rsid w:val="009B4782"/>
    <w:rsid w:val="009B7129"/>
    <w:rsid w:val="009C426A"/>
    <w:rsid w:val="009E008F"/>
    <w:rsid w:val="009E10CF"/>
    <w:rsid w:val="009E1E6C"/>
    <w:rsid w:val="009E5C7B"/>
    <w:rsid w:val="009F44EC"/>
    <w:rsid w:val="00A0233B"/>
    <w:rsid w:val="00A02B14"/>
    <w:rsid w:val="00A07A79"/>
    <w:rsid w:val="00A07B97"/>
    <w:rsid w:val="00A100E5"/>
    <w:rsid w:val="00A124CD"/>
    <w:rsid w:val="00A13468"/>
    <w:rsid w:val="00A14A56"/>
    <w:rsid w:val="00A1730B"/>
    <w:rsid w:val="00A301B3"/>
    <w:rsid w:val="00A312EE"/>
    <w:rsid w:val="00A41640"/>
    <w:rsid w:val="00A6572C"/>
    <w:rsid w:val="00A72174"/>
    <w:rsid w:val="00A73B4B"/>
    <w:rsid w:val="00A80155"/>
    <w:rsid w:val="00A82C43"/>
    <w:rsid w:val="00A833F6"/>
    <w:rsid w:val="00A84D03"/>
    <w:rsid w:val="00A94C91"/>
    <w:rsid w:val="00A97418"/>
    <w:rsid w:val="00A9744B"/>
    <w:rsid w:val="00A97477"/>
    <w:rsid w:val="00AB222A"/>
    <w:rsid w:val="00AB3199"/>
    <w:rsid w:val="00AB4138"/>
    <w:rsid w:val="00AB4DA7"/>
    <w:rsid w:val="00AB7D75"/>
    <w:rsid w:val="00AC093E"/>
    <w:rsid w:val="00AC53CC"/>
    <w:rsid w:val="00AD4F2A"/>
    <w:rsid w:val="00AD789B"/>
    <w:rsid w:val="00AF3FB6"/>
    <w:rsid w:val="00B07E80"/>
    <w:rsid w:val="00B1004D"/>
    <w:rsid w:val="00B102AC"/>
    <w:rsid w:val="00B15B80"/>
    <w:rsid w:val="00B169E5"/>
    <w:rsid w:val="00B22671"/>
    <w:rsid w:val="00B24B5F"/>
    <w:rsid w:val="00B25BC7"/>
    <w:rsid w:val="00B358DC"/>
    <w:rsid w:val="00B40C64"/>
    <w:rsid w:val="00B47370"/>
    <w:rsid w:val="00B50DF4"/>
    <w:rsid w:val="00B55FD5"/>
    <w:rsid w:val="00B653F1"/>
    <w:rsid w:val="00B6638F"/>
    <w:rsid w:val="00B677CE"/>
    <w:rsid w:val="00B71427"/>
    <w:rsid w:val="00B718EC"/>
    <w:rsid w:val="00B830CF"/>
    <w:rsid w:val="00B85FA8"/>
    <w:rsid w:val="00B90560"/>
    <w:rsid w:val="00BA6695"/>
    <w:rsid w:val="00BB0F1D"/>
    <w:rsid w:val="00BB308D"/>
    <w:rsid w:val="00BC0DD2"/>
    <w:rsid w:val="00BC0F90"/>
    <w:rsid w:val="00BD170B"/>
    <w:rsid w:val="00BD2ACC"/>
    <w:rsid w:val="00BD6B1C"/>
    <w:rsid w:val="00BE3BB4"/>
    <w:rsid w:val="00C04C55"/>
    <w:rsid w:val="00C04E54"/>
    <w:rsid w:val="00C05BF3"/>
    <w:rsid w:val="00C0688A"/>
    <w:rsid w:val="00C12BA3"/>
    <w:rsid w:val="00C23D55"/>
    <w:rsid w:val="00C24A2D"/>
    <w:rsid w:val="00C266FE"/>
    <w:rsid w:val="00C32A8E"/>
    <w:rsid w:val="00C34A1C"/>
    <w:rsid w:val="00C3620D"/>
    <w:rsid w:val="00C44D78"/>
    <w:rsid w:val="00C50F66"/>
    <w:rsid w:val="00C518EF"/>
    <w:rsid w:val="00C57FD5"/>
    <w:rsid w:val="00C63834"/>
    <w:rsid w:val="00C663CC"/>
    <w:rsid w:val="00C709C8"/>
    <w:rsid w:val="00C730AA"/>
    <w:rsid w:val="00C7666F"/>
    <w:rsid w:val="00C84A61"/>
    <w:rsid w:val="00C940B3"/>
    <w:rsid w:val="00C95FD5"/>
    <w:rsid w:val="00C96B09"/>
    <w:rsid w:val="00CB0423"/>
    <w:rsid w:val="00CB5C80"/>
    <w:rsid w:val="00CC002F"/>
    <w:rsid w:val="00CC0FD0"/>
    <w:rsid w:val="00CC4B5A"/>
    <w:rsid w:val="00CD1A8F"/>
    <w:rsid w:val="00CE288B"/>
    <w:rsid w:val="00CE67C9"/>
    <w:rsid w:val="00CE6956"/>
    <w:rsid w:val="00D04671"/>
    <w:rsid w:val="00D148C9"/>
    <w:rsid w:val="00D1616C"/>
    <w:rsid w:val="00D206B1"/>
    <w:rsid w:val="00D2261A"/>
    <w:rsid w:val="00D2306F"/>
    <w:rsid w:val="00D24348"/>
    <w:rsid w:val="00D268B7"/>
    <w:rsid w:val="00D27250"/>
    <w:rsid w:val="00D322BE"/>
    <w:rsid w:val="00D42117"/>
    <w:rsid w:val="00D51C67"/>
    <w:rsid w:val="00D5287F"/>
    <w:rsid w:val="00D53A14"/>
    <w:rsid w:val="00D54FF6"/>
    <w:rsid w:val="00D554D1"/>
    <w:rsid w:val="00D554FC"/>
    <w:rsid w:val="00D657BC"/>
    <w:rsid w:val="00D703E0"/>
    <w:rsid w:val="00D70A17"/>
    <w:rsid w:val="00D86AAE"/>
    <w:rsid w:val="00D87DAC"/>
    <w:rsid w:val="00D97D30"/>
    <w:rsid w:val="00DA1CD6"/>
    <w:rsid w:val="00DA4204"/>
    <w:rsid w:val="00DA67F2"/>
    <w:rsid w:val="00DD2D3B"/>
    <w:rsid w:val="00DD368D"/>
    <w:rsid w:val="00DD4937"/>
    <w:rsid w:val="00E0384C"/>
    <w:rsid w:val="00E10439"/>
    <w:rsid w:val="00E22A90"/>
    <w:rsid w:val="00E31581"/>
    <w:rsid w:val="00E37C4A"/>
    <w:rsid w:val="00E46CDE"/>
    <w:rsid w:val="00E47CCE"/>
    <w:rsid w:val="00E566DF"/>
    <w:rsid w:val="00E60AE7"/>
    <w:rsid w:val="00E67364"/>
    <w:rsid w:val="00E67A47"/>
    <w:rsid w:val="00E715FB"/>
    <w:rsid w:val="00E757D5"/>
    <w:rsid w:val="00E87BD4"/>
    <w:rsid w:val="00E94671"/>
    <w:rsid w:val="00EA0BE2"/>
    <w:rsid w:val="00EA29D3"/>
    <w:rsid w:val="00EA6F6C"/>
    <w:rsid w:val="00EB518A"/>
    <w:rsid w:val="00ED3708"/>
    <w:rsid w:val="00ED53CE"/>
    <w:rsid w:val="00EE3247"/>
    <w:rsid w:val="00EE631F"/>
    <w:rsid w:val="00EE711E"/>
    <w:rsid w:val="00EF14CA"/>
    <w:rsid w:val="00EF28A9"/>
    <w:rsid w:val="00F0087C"/>
    <w:rsid w:val="00F03B09"/>
    <w:rsid w:val="00F11C1C"/>
    <w:rsid w:val="00F1268B"/>
    <w:rsid w:val="00F174B5"/>
    <w:rsid w:val="00F425B5"/>
    <w:rsid w:val="00F4443F"/>
    <w:rsid w:val="00F526B7"/>
    <w:rsid w:val="00F56375"/>
    <w:rsid w:val="00F62790"/>
    <w:rsid w:val="00F647CA"/>
    <w:rsid w:val="00F77337"/>
    <w:rsid w:val="00F82AF0"/>
    <w:rsid w:val="00F82C28"/>
    <w:rsid w:val="00F96F66"/>
    <w:rsid w:val="00FB46C6"/>
    <w:rsid w:val="00FD3029"/>
    <w:rsid w:val="00FD4BC8"/>
    <w:rsid w:val="00FD4E7C"/>
    <w:rsid w:val="00FD5673"/>
    <w:rsid w:val="00FE0B4B"/>
    <w:rsid w:val="00FE0FE8"/>
    <w:rsid w:val="00FE50BA"/>
    <w:rsid w:val="00FE52E6"/>
    <w:rsid w:val="00FF1F54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6396BD9"/>
  <w15:chartTrackingRefBased/>
  <w15:docId w15:val="{B491F0B3-05F9-4FC6-8854-DC93AD77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B56"/>
    <w:rPr>
      <w:rFonts w:ascii="Tahoma" w:hAnsi="Tahoma" w:cs="Tahoma"/>
      <w:sz w:val="16"/>
      <w:szCs w:val="16"/>
      <w:lang w:val="en-GB"/>
    </w:rPr>
  </w:style>
  <w:style w:type="paragraph" w:customStyle="1" w:styleId="Note">
    <w:name w:val="Note"/>
    <w:rsid w:val="00304F1D"/>
    <w:pPr>
      <w:spacing w:before="120" w:line="220" w:lineRule="exact"/>
      <w:ind w:left="964"/>
      <w:jc w:val="both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5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B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B1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B13"/>
    <w:rPr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4B5B13"/>
    <w:pPr>
      <w:ind w:left="720"/>
      <w:contextualSpacing/>
    </w:pPr>
  </w:style>
  <w:style w:type="paragraph" w:styleId="Title">
    <w:name w:val="Title"/>
    <w:basedOn w:val="Normal"/>
    <w:link w:val="TitleChar"/>
    <w:qFormat/>
    <w:rsid w:val="0037254A"/>
    <w:pPr>
      <w:overflowPunct/>
      <w:autoSpaceDE/>
      <w:autoSpaceDN/>
      <w:adjustRightInd/>
      <w:spacing w:before="240" w:after="60"/>
      <w:textAlignment w:val="auto"/>
    </w:pPr>
    <w:rPr>
      <w:rFonts w:ascii="Arial" w:hAnsi="Arial" w:cs="Arial"/>
      <w:b/>
      <w:bCs/>
      <w:sz w:val="40"/>
      <w:szCs w:val="40"/>
      <w:lang w:val="en-AU"/>
    </w:rPr>
  </w:style>
  <w:style w:type="character" w:customStyle="1" w:styleId="TitleChar">
    <w:name w:val="Title Char"/>
    <w:basedOn w:val="DefaultParagraphFont"/>
    <w:link w:val="Title"/>
    <w:rsid w:val="0037254A"/>
    <w:rPr>
      <w:rFonts w:ascii="Arial" w:hAnsi="Arial" w:cs="Arial"/>
      <w:b/>
      <w:bCs/>
      <w:sz w:val="40"/>
      <w:szCs w:val="40"/>
    </w:rPr>
  </w:style>
  <w:style w:type="paragraph" w:customStyle="1" w:styleId="CoverUpdate">
    <w:name w:val="CoverUpdate"/>
    <w:basedOn w:val="Normal"/>
    <w:rsid w:val="0037254A"/>
    <w:pPr>
      <w:overflowPunct/>
      <w:autoSpaceDE/>
      <w:autoSpaceDN/>
      <w:adjustRightInd/>
      <w:spacing w:before="240"/>
      <w:textAlignment w:val="auto"/>
    </w:pPr>
    <w:rPr>
      <w:szCs w:val="24"/>
      <w:lang w:val="en-AU"/>
    </w:rPr>
  </w:style>
  <w:style w:type="paragraph" w:customStyle="1" w:styleId="CoverAct">
    <w:name w:val="CoverAct"/>
    <w:basedOn w:val="Normal"/>
    <w:next w:val="CoverUpdate"/>
    <w:rsid w:val="0037254A"/>
    <w:pPr>
      <w:pBdr>
        <w:bottom w:val="single" w:sz="4" w:space="3" w:color="auto"/>
      </w:pBdr>
      <w:overflowPunct/>
      <w:autoSpaceDE/>
      <w:autoSpaceDN/>
      <w:adjustRightInd/>
      <w:textAlignment w:val="auto"/>
    </w:pPr>
    <w:rPr>
      <w:rFonts w:ascii="Arial" w:hAnsi="Arial"/>
      <w:i/>
      <w:sz w:val="28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C7666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A55EC"/>
    <w:rPr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84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D03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4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D03"/>
    <w:rPr>
      <w:sz w:val="24"/>
      <w:lang w:val="en-GB"/>
    </w:rPr>
  </w:style>
  <w:style w:type="paragraph" w:customStyle="1" w:styleId="definition">
    <w:name w:val="definition"/>
    <w:basedOn w:val="Normal"/>
    <w:rsid w:val="0049403A"/>
    <w:pPr>
      <w:overflowPunct/>
      <w:autoSpaceDE/>
      <w:autoSpaceDN/>
      <w:adjustRightInd/>
      <w:spacing w:before="80" w:line="260" w:lineRule="exact"/>
      <w:ind w:left="964"/>
      <w:jc w:val="both"/>
      <w:textAlignment w:val="auto"/>
    </w:pPr>
    <w:rPr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4080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0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1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2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86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9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26" Type="http://schemas.openxmlformats.org/officeDocument/2006/relationships/hyperlink" Target="http://www.commsalliance.com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10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033047a-93aa-421b-8aef-52cbfb63cf36" ContentTypeId="0x01010070E27D6A746B5B48ADF22C2128054D5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ord" ma:contentTypeID="0x01010070E27D6A746B5B48ADF22C2128054D5500EE817EA22CCD994CB2E127746CF12863" ma:contentTypeVersion="40" ma:contentTypeDescription="A document enhanced so that it is automatically captured by RecordPoint." ma:contentTypeScope="" ma:versionID="e4b41f60994b85d41917cbc701e8f128">
  <xsd:schema xmlns:xsd="http://www.w3.org/2001/XMLSchema" xmlns:xs="http://www.w3.org/2001/XMLSchema" xmlns:p="http://schemas.microsoft.com/office/2006/metadata/properties" xmlns:ns2="83630db1-6fc2-4dfd-b3fe-d61d34e1440c" xmlns:ns3="6db8f3c6-01a1-4322-b043-a3b2a190f7a8" xmlns:ns4="5e268b55-9e20-462b-aba6-694451a37717" xmlns:ns5="http://schemas.microsoft.com/sharepoint/v4" targetNamespace="http://schemas.microsoft.com/office/2006/metadata/properties" ma:root="true" ma:fieldsID="e9deb499b43edd75fe619984536fd035" ns2:_="" ns3:_="" ns4:_="" ns5:_="">
    <xsd:import namespace="83630db1-6fc2-4dfd-b3fe-d61d34e1440c"/>
    <xsd:import namespace="6db8f3c6-01a1-4322-b043-a3b2a190f7a8"/>
    <xsd:import namespace="5e268b55-9e20-462b-aba6-694451a3771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egacy_x0020_Record_x0020_Number" minOccurs="0"/>
                <xsd:element ref="ns2:Record_x0020_Number" minOccurs="0"/>
                <xsd:element ref="ns3:_dlc_DocId" minOccurs="0"/>
                <xsd:element ref="ns3:_dlc_DocIdUrl" minOccurs="0"/>
                <xsd:element ref="ns3:_dlc_DocIdPersistId" minOccurs="0"/>
                <xsd:element ref="ns4:Category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0db1-6fc2-4dfd-b3fe-d61d34e1440c" elementFormDefault="qualified">
    <xsd:import namespace="http://schemas.microsoft.com/office/2006/documentManagement/types"/>
    <xsd:import namespace="http://schemas.microsoft.com/office/infopath/2007/PartnerControls"/>
    <xsd:element name="Legacy_x0020_Record_x0020_Number" ma:index="8" nillable="true" ma:displayName="Legacy Record Number" ma:description="Captures legacy record numbers, eg from TRIM." ma:internalName="Legacy_x0020_Record_x0020_Number">
      <xsd:simpleType>
        <xsd:restriction base="dms:Text">
          <xsd:maxLength value="40"/>
        </xsd:restriction>
      </xsd:simpleType>
    </xsd:element>
    <xsd:element name="Record_x0020_Number" ma:index="9" nillable="true" ma:displayName="Record Number" ma:internalName="Record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68b55-9e20-462b-aba6-694451a37717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b8f3c6-01a1-4322-b043-a3b2a190f7a8">KNAH4PPFC442-3114-193</_dlc_DocId>
    <_dlc_DocIdUrl xmlns="6db8f3c6-01a1-4322-b043-a3b2a190f7a8">
      <Url>http://collaboration/organisation/Auth/Chair/Auth/_layouts/DocIdRedir.aspx?ID=KNAH4PPFC442-3114-193</Url>
      <Description>KNAH4PPFC442-3114-193</Description>
    </_dlc_DocIdUrl>
    <Record_x0020_Number xmlns="83630db1-6fc2-4dfd-b3fe-d61d34e1440c" xsi:nil="true"/>
    <Legacy_x0020_Record_x0020_Number xmlns="83630db1-6fc2-4dfd-b3fe-d61d34e1440c" xsi:nil="true"/>
    <IconOverlay xmlns="http://schemas.microsoft.com/sharepoint/v4" xsi:nil="true"/>
    <Category xmlns="5e268b55-9e20-462b-aba6-694451a37717">(none)</Category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9551-0D57-457B-A2D8-29FE47E7B4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F9B560-F9FF-4A9A-8799-EFCF67210C6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CD9E06C-C791-41FE-A031-EB77CC41D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30db1-6fc2-4dfd-b3fe-d61d34e1440c"/>
    <ds:schemaRef ds:uri="6db8f3c6-01a1-4322-b043-a3b2a190f7a8"/>
    <ds:schemaRef ds:uri="5e268b55-9e20-462b-aba6-694451a3771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25747A-305D-482E-8ECC-D46B935FB9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615CFC-DBDF-46DF-AC9C-3D1F86156C05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6db8f3c6-01a1-4322-b043-a3b2a190f7a8"/>
    <ds:schemaRef ds:uri="5e268b55-9e20-462b-aba6-694451a37717"/>
    <ds:schemaRef ds:uri="83630db1-6fc2-4dfd-b3fe-d61d34e1440c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C13E738C-0C4D-4964-9293-F48C94CB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COMMUNICATIONS AUTHORITY</vt:lpstr>
    </vt:vector>
  </TitlesOfParts>
  <Company>Australian Communications Authority</Company>
  <LinksUpToDate>false</LinksUpToDate>
  <CharactersWithSpaces>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COMMUNICATIONS AUTHORITY</dc:title>
  <dc:subject/>
  <dc:creator>Network User</dc:creator>
  <cp:keywords/>
  <cp:lastModifiedBy>Helen Turnbull</cp:lastModifiedBy>
  <cp:revision>3</cp:revision>
  <cp:lastPrinted>2014-10-27T01:13:00Z</cp:lastPrinted>
  <dcterms:created xsi:type="dcterms:W3CDTF">2015-03-06T00:06:00Z</dcterms:created>
  <dcterms:modified xsi:type="dcterms:W3CDTF">2015-03-17T01:03:00Z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fa8b2d5a-73be-4ae2-adc0-12c7c75c3729</vt:lpwstr>
  </property>
  <property fmtid="{D5CDD505-2E9C-101B-9397-08002B2CF9AE}" pid="3" name="ContentTypeId">
    <vt:lpwstr>0x01010070E27D6A746B5B48ADF22C2128054D5500EE817EA22CCD994CB2E127746CF12863</vt:lpwstr>
  </property>
  <property fmtid="{D5CDD505-2E9C-101B-9397-08002B2CF9AE}" pid="4" name="RecordPoint_SubmissionDate">
    <vt:lpwstr/>
  </property>
  <property fmtid="{D5CDD505-2E9C-101B-9397-08002B2CF9AE}" pid="5" name="RecordPoint_ActiveItemSiteId">
    <vt:lpwstr>{7ba5f3c1-1ab9-4cc3-a7c0-334d2b0aec73}</vt:lpwstr>
  </property>
  <property fmtid="{D5CDD505-2E9C-101B-9397-08002B2CF9AE}" pid="6" name="RecordPoint_ActiveItemListId">
    <vt:lpwstr>{f1c3c3d6-c421-46f6-a621-f79f6b29635f}</vt:lpwstr>
  </property>
  <property fmtid="{D5CDD505-2E9C-101B-9397-08002B2CF9AE}" pid="7" name="RecordPoint_RecordFormat">
    <vt:lpwstr/>
  </property>
  <property fmtid="{D5CDD505-2E9C-101B-9397-08002B2CF9AE}" pid="8" name="RecordPoint_ActiveItemUniqueId">
    <vt:lpwstr>{fa8b2d5a-73be-4ae2-adc0-12c7c75c3729}</vt:lpwstr>
  </property>
  <property fmtid="{D5CDD505-2E9C-101B-9397-08002B2CF9AE}" pid="9" name="RecordPoint_SubmissionCompleted">
    <vt:lpwstr/>
  </property>
  <property fmtid="{D5CDD505-2E9C-101B-9397-08002B2CF9AE}" pid="10" name="RecordPoint_ActiveItemMoved">
    <vt:lpwstr/>
  </property>
  <property fmtid="{D5CDD505-2E9C-101B-9397-08002B2CF9AE}" pid="11" name="RecordPoint_ActiveItemWebId">
    <vt:lpwstr>{e61cc4da-a431-400f-9f48-bf2ba12a7e9a}</vt:lpwstr>
  </property>
  <property fmtid="{D5CDD505-2E9C-101B-9397-08002B2CF9AE}" pid="12" name="RecordPoint_WorkflowType">
    <vt:lpwstr>ActiveSubmitStub</vt:lpwstr>
  </property>
</Properties>
</file>