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3CA9" w14:textId="77777777" w:rsidR="00667BC6" w:rsidRPr="00377DBC" w:rsidRDefault="00667BC6" w:rsidP="00667BC6">
      <w:pPr>
        <w:jc w:val="center"/>
        <w:rPr>
          <w:rFonts w:ascii="Arial" w:hAnsi="Arial" w:cs="Arial"/>
          <w:b/>
        </w:rPr>
      </w:pPr>
      <w:r w:rsidRPr="00377DBC">
        <w:rPr>
          <w:rFonts w:ascii="Arial" w:hAnsi="Arial" w:cs="Arial"/>
          <w:b/>
        </w:rPr>
        <w:t>EXPLAN</w:t>
      </w:r>
      <w:r>
        <w:rPr>
          <w:rFonts w:ascii="Arial" w:hAnsi="Arial" w:cs="Arial"/>
          <w:b/>
        </w:rPr>
        <w:t>A</w:t>
      </w:r>
      <w:r w:rsidRPr="00377DBC">
        <w:rPr>
          <w:rFonts w:ascii="Arial" w:hAnsi="Arial" w:cs="Arial"/>
          <w:b/>
        </w:rPr>
        <w:t>TORY STATEMENT</w:t>
      </w:r>
    </w:p>
    <w:p w14:paraId="528FFABB" w14:textId="77777777" w:rsidR="00667BC6" w:rsidRPr="00377DBC" w:rsidRDefault="00667BC6" w:rsidP="00667BC6">
      <w:pPr>
        <w:jc w:val="center"/>
        <w:rPr>
          <w:rFonts w:ascii="Arial" w:hAnsi="Arial" w:cs="Arial"/>
          <w:b/>
        </w:rPr>
      </w:pPr>
    </w:p>
    <w:p w14:paraId="7892C1E1" w14:textId="77777777" w:rsidR="00667BC6" w:rsidRDefault="00667BC6" w:rsidP="00667BC6">
      <w:pPr>
        <w:jc w:val="center"/>
        <w:rPr>
          <w:rFonts w:ascii="Arial" w:hAnsi="Arial" w:cs="Arial"/>
        </w:rPr>
      </w:pPr>
      <w:r w:rsidRPr="00377DBC">
        <w:rPr>
          <w:rFonts w:ascii="Arial" w:hAnsi="Arial" w:cs="Arial"/>
        </w:rPr>
        <w:t>Issued by the Australian Communications and Media Authority</w:t>
      </w:r>
      <w:r w:rsidRPr="00377DBC">
        <w:rPr>
          <w:rFonts w:ascii="Arial" w:hAnsi="Arial" w:cs="Arial"/>
        </w:rPr>
        <w:br/>
      </w:r>
    </w:p>
    <w:p w14:paraId="3124CECC" w14:textId="64DEA7EF" w:rsidR="00667BC6" w:rsidRPr="00CE79AD" w:rsidRDefault="006175DC" w:rsidP="00667BC6">
      <w:pPr>
        <w:jc w:val="center"/>
        <w:rPr>
          <w:rFonts w:ascii="Arial" w:hAnsi="Arial" w:cs="Arial"/>
          <w:b/>
        </w:rPr>
      </w:pPr>
      <w:r w:rsidRPr="00CE79AD">
        <w:rPr>
          <w:rFonts w:ascii="Arial" w:hAnsi="Arial" w:cs="Arial"/>
          <w:b/>
        </w:rPr>
        <w:t>Telecommunications (</w:t>
      </w:r>
      <w:r w:rsidR="00C8090B" w:rsidRPr="00CE79AD">
        <w:rPr>
          <w:rFonts w:ascii="Arial" w:hAnsi="Arial" w:cs="Arial"/>
          <w:b/>
        </w:rPr>
        <w:t>Provision of Pre-selection</w:t>
      </w:r>
      <w:r w:rsidRPr="00CE79AD">
        <w:rPr>
          <w:rFonts w:ascii="Arial" w:hAnsi="Arial" w:cs="Arial"/>
          <w:b/>
        </w:rPr>
        <w:t xml:space="preserve">) </w:t>
      </w:r>
      <w:r w:rsidR="00C8090B" w:rsidRPr="00CE79AD">
        <w:rPr>
          <w:rFonts w:ascii="Arial" w:hAnsi="Arial" w:cs="Arial"/>
          <w:b/>
        </w:rPr>
        <w:t>Determination</w:t>
      </w:r>
      <w:r w:rsidR="009A1BEE" w:rsidRPr="00CE79AD">
        <w:rPr>
          <w:rFonts w:ascii="Arial" w:hAnsi="Arial" w:cs="Arial"/>
          <w:b/>
        </w:rPr>
        <w:t xml:space="preserve"> </w:t>
      </w:r>
      <w:r w:rsidRPr="00CE79AD">
        <w:rPr>
          <w:rFonts w:ascii="Arial" w:hAnsi="Arial" w:cs="Arial"/>
          <w:b/>
        </w:rPr>
        <w:t>201</w:t>
      </w:r>
      <w:r w:rsidR="00CE79AD" w:rsidRPr="00CE79AD">
        <w:rPr>
          <w:rFonts w:ascii="Arial" w:hAnsi="Arial" w:cs="Arial"/>
          <w:b/>
        </w:rPr>
        <w:t>5</w:t>
      </w:r>
      <w:r w:rsidR="00900E7A" w:rsidRPr="00CE79AD">
        <w:rPr>
          <w:rFonts w:ascii="Arial" w:hAnsi="Arial" w:cs="Arial"/>
          <w:b/>
        </w:rPr>
        <w:t xml:space="preserve"> </w:t>
      </w:r>
    </w:p>
    <w:p w14:paraId="6C1E3DE6" w14:textId="77777777" w:rsidR="00667BC6" w:rsidRDefault="00667BC6" w:rsidP="00667BC6">
      <w:pPr>
        <w:jc w:val="center"/>
        <w:rPr>
          <w:rFonts w:ascii="Arial" w:hAnsi="Arial" w:cs="Arial"/>
          <w:i/>
        </w:rPr>
      </w:pPr>
      <w:r w:rsidRPr="00B12315">
        <w:rPr>
          <w:rFonts w:ascii="Arial" w:hAnsi="Arial" w:cs="Arial"/>
          <w:i/>
        </w:rPr>
        <w:t>Telecommunications</w:t>
      </w:r>
      <w:r>
        <w:rPr>
          <w:rFonts w:ascii="Arial" w:hAnsi="Arial" w:cs="Arial"/>
          <w:i/>
        </w:rPr>
        <w:t xml:space="preserve"> Act 1997</w:t>
      </w:r>
    </w:p>
    <w:p w14:paraId="5F399FEE" w14:textId="77777777" w:rsidR="00667BC6" w:rsidRPr="001B03E3" w:rsidRDefault="00667BC6" w:rsidP="00667BC6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Purpose</w:t>
      </w:r>
    </w:p>
    <w:p w14:paraId="75D05C11" w14:textId="659C7615" w:rsidR="00516BB6" w:rsidRDefault="00516BB6" w:rsidP="00516BB6">
      <w:pPr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02155">
        <w:rPr>
          <w:rFonts w:ascii="Arial" w:hAnsi="Arial" w:cs="Arial"/>
        </w:rPr>
        <w:t xml:space="preserve">purpose of the </w:t>
      </w:r>
      <w:r w:rsidRPr="00FA16AF">
        <w:rPr>
          <w:rFonts w:ascii="Arial" w:hAnsi="Arial" w:cs="Arial"/>
          <w:i/>
        </w:rPr>
        <w:t>Telecommunications (</w:t>
      </w:r>
      <w:r w:rsidR="00C8090B" w:rsidRPr="00FA16AF">
        <w:rPr>
          <w:rFonts w:ascii="Arial" w:hAnsi="Arial" w:cs="Arial"/>
          <w:i/>
        </w:rPr>
        <w:t>Provision of Pre-selection) Determination 201</w:t>
      </w:r>
      <w:r w:rsidR="00CE79AD" w:rsidRPr="00FA16AF">
        <w:rPr>
          <w:rFonts w:ascii="Arial" w:hAnsi="Arial" w:cs="Arial"/>
          <w:i/>
        </w:rPr>
        <w:t>5</w:t>
      </w:r>
      <w:r w:rsidRPr="00C45B22">
        <w:rPr>
          <w:rFonts w:ascii="Arial" w:hAnsi="Arial" w:cs="Arial"/>
        </w:rPr>
        <w:t xml:space="preserve"> (</w:t>
      </w:r>
      <w:r w:rsidR="00C8090B" w:rsidRPr="00FA16AF">
        <w:rPr>
          <w:rFonts w:ascii="Arial" w:hAnsi="Arial" w:cs="Arial"/>
        </w:rPr>
        <w:t>the</w:t>
      </w:r>
      <w:r w:rsidR="00C8090B">
        <w:rPr>
          <w:rFonts w:ascii="Arial" w:hAnsi="Arial" w:cs="Arial"/>
          <w:b/>
        </w:rPr>
        <w:t xml:space="preserve"> Determination</w:t>
      </w:r>
      <w:r w:rsidRPr="00CF5C87">
        <w:rPr>
          <w:rFonts w:ascii="Arial" w:hAnsi="Arial" w:cs="Arial"/>
        </w:rPr>
        <w:t>)</w:t>
      </w:r>
      <w:r w:rsidR="00A021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made by the Australian Communications and Media Author</w:t>
      </w:r>
      <w:r w:rsidR="00A02155">
        <w:rPr>
          <w:rFonts w:ascii="Arial" w:hAnsi="Arial" w:cs="Arial"/>
        </w:rPr>
        <w:t>ity (</w:t>
      </w:r>
      <w:r w:rsidR="00A02155" w:rsidRPr="00FA16AF">
        <w:rPr>
          <w:rFonts w:ascii="Arial" w:hAnsi="Arial" w:cs="Arial"/>
        </w:rPr>
        <w:t>the</w:t>
      </w:r>
      <w:r w:rsidR="00A02155" w:rsidRPr="001B03E3">
        <w:rPr>
          <w:rFonts w:ascii="Arial" w:hAnsi="Arial" w:cs="Arial"/>
          <w:b/>
        </w:rPr>
        <w:t xml:space="preserve"> ACMA</w:t>
      </w:r>
      <w:r w:rsidR="00A02155">
        <w:rPr>
          <w:rFonts w:ascii="Arial" w:hAnsi="Arial" w:cs="Arial"/>
        </w:rPr>
        <w:t xml:space="preserve">) under </w:t>
      </w:r>
      <w:r w:rsidR="001A4B01">
        <w:rPr>
          <w:rFonts w:ascii="Arial" w:hAnsi="Arial" w:cs="Arial"/>
        </w:rPr>
        <w:t>sub</w:t>
      </w:r>
      <w:r w:rsidR="00A02155">
        <w:rPr>
          <w:rFonts w:ascii="Arial" w:hAnsi="Arial" w:cs="Arial"/>
        </w:rPr>
        <w:t xml:space="preserve">section </w:t>
      </w:r>
      <w:r w:rsidR="00C8090B">
        <w:rPr>
          <w:rFonts w:ascii="Arial" w:hAnsi="Arial" w:cs="Arial"/>
        </w:rPr>
        <w:t>349</w:t>
      </w:r>
      <w:r w:rsidR="001A4B01">
        <w:rPr>
          <w:rFonts w:ascii="Arial" w:hAnsi="Arial" w:cs="Arial"/>
        </w:rPr>
        <w:t>(1)</w:t>
      </w:r>
      <w:r w:rsidR="00C80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</w:t>
      </w:r>
      <w:r>
        <w:rPr>
          <w:rFonts w:ascii="Arial" w:hAnsi="Arial" w:cs="Arial"/>
          <w:i/>
        </w:rPr>
        <w:t>Telecommunications Act 1997</w:t>
      </w:r>
      <w:r w:rsidR="00A02155">
        <w:rPr>
          <w:rFonts w:ascii="Arial" w:hAnsi="Arial" w:cs="Arial"/>
          <w:i/>
        </w:rPr>
        <w:t xml:space="preserve"> </w:t>
      </w:r>
      <w:r w:rsidR="00A02155">
        <w:rPr>
          <w:rFonts w:ascii="Arial" w:hAnsi="Arial" w:cs="Arial"/>
        </w:rPr>
        <w:t>(</w:t>
      </w:r>
      <w:r w:rsidR="003774BD">
        <w:rPr>
          <w:rFonts w:ascii="Arial" w:hAnsi="Arial" w:cs="Arial"/>
        </w:rPr>
        <w:t xml:space="preserve">the </w:t>
      </w:r>
      <w:r w:rsidR="00A02155">
        <w:rPr>
          <w:rFonts w:ascii="Arial" w:hAnsi="Arial" w:cs="Arial"/>
          <w:b/>
        </w:rPr>
        <w:t>Act</w:t>
      </w:r>
      <w:r w:rsidR="00A02155">
        <w:rPr>
          <w:rFonts w:ascii="Arial" w:hAnsi="Arial" w:cs="Arial"/>
        </w:rPr>
        <w:t>),</w:t>
      </w:r>
      <w:r w:rsidR="00A02155">
        <w:rPr>
          <w:rFonts w:ascii="Arial" w:hAnsi="Arial" w:cs="Arial"/>
          <w:i/>
        </w:rPr>
        <w:t xml:space="preserve"> </w:t>
      </w:r>
      <w:r w:rsidR="00A02155">
        <w:rPr>
          <w:rFonts w:ascii="Arial" w:hAnsi="Arial" w:cs="Arial"/>
        </w:rPr>
        <w:t xml:space="preserve">is to </w:t>
      </w:r>
      <w:r w:rsidR="00C8090B">
        <w:rPr>
          <w:rFonts w:ascii="Arial" w:hAnsi="Arial" w:cs="Arial"/>
        </w:rPr>
        <w:t xml:space="preserve">replace </w:t>
      </w:r>
      <w:r>
        <w:rPr>
          <w:rFonts w:ascii="Arial" w:hAnsi="Arial" w:cs="Arial"/>
        </w:rPr>
        <w:t>the</w:t>
      </w:r>
      <w:r w:rsidR="00CE79AD">
        <w:rPr>
          <w:rFonts w:ascii="Arial" w:hAnsi="Arial" w:cs="Arial"/>
        </w:rPr>
        <w:t xml:space="preserve"> following instruments</w:t>
      </w:r>
      <w:r w:rsidR="00A0215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6F69E34" w14:textId="562E7F3D" w:rsidR="00C8090B" w:rsidRDefault="00516BB6" w:rsidP="008C0E23">
      <w:pPr>
        <w:pStyle w:val="ListParagraph"/>
        <w:numPr>
          <w:ilvl w:val="0"/>
          <w:numId w:val="36"/>
        </w:numPr>
        <w:spacing w:after="120" w:line="280" w:lineRule="exact"/>
        <w:rPr>
          <w:rFonts w:ascii="Arial" w:hAnsi="Arial" w:cs="Arial"/>
        </w:rPr>
      </w:pPr>
      <w:r w:rsidRPr="00B33A17">
        <w:rPr>
          <w:rFonts w:ascii="Arial" w:hAnsi="Arial" w:cs="Arial"/>
          <w:i/>
        </w:rPr>
        <w:t>Telecommunications (</w:t>
      </w:r>
      <w:r w:rsidR="00C8090B" w:rsidRPr="00B33A17">
        <w:rPr>
          <w:rFonts w:ascii="Arial" w:hAnsi="Arial" w:cs="Arial"/>
          <w:i/>
        </w:rPr>
        <w:t>Provision of Pre-selection for a Standard Telephone Service</w:t>
      </w:r>
      <w:r w:rsidRPr="00B33A17">
        <w:rPr>
          <w:rFonts w:ascii="Arial" w:hAnsi="Arial" w:cs="Arial"/>
          <w:i/>
        </w:rPr>
        <w:t xml:space="preserve">) </w:t>
      </w:r>
      <w:r w:rsidR="00C8090B" w:rsidRPr="00B33A17">
        <w:rPr>
          <w:rFonts w:ascii="Arial" w:hAnsi="Arial" w:cs="Arial"/>
          <w:i/>
        </w:rPr>
        <w:t>Determination 1998</w:t>
      </w:r>
      <w:r w:rsidR="008C0E23">
        <w:rPr>
          <w:rFonts w:ascii="Arial" w:hAnsi="Arial" w:cs="Arial"/>
          <w:i/>
        </w:rPr>
        <w:t xml:space="preserve"> </w:t>
      </w:r>
      <w:r w:rsidR="00A03CA2">
        <w:rPr>
          <w:rFonts w:ascii="Arial" w:hAnsi="Arial" w:cs="Arial"/>
        </w:rPr>
        <w:t xml:space="preserve">(the </w:t>
      </w:r>
      <w:r w:rsidR="00A03CA2" w:rsidRPr="00D433E6">
        <w:rPr>
          <w:rFonts w:ascii="Arial" w:hAnsi="Arial" w:cs="Arial"/>
          <w:b/>
        </w:rPr>
        <w:t>STS Determination</w:t>
      </w:r>
      <w:r w:rsidR="00A03CA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6C29D40D" w14:textId="3C0DE65E" w:rsidR="00516BB6" w:rsidRDefault="00C8090B" w:rsidP="008C0E23">
      <w:pPr>
        <w:pStyle w:val="ListParagraph"/>
        <w:numPr>
          <w:ilvl w:val="0"/>
          <w:numId w:val="36"/>
        </w:numPr>
        <w:spacing w:after="120" w:line="280" w:lineRule="exact"/>
        <w:rPr>
          <w:rFonts w:ascii="Arial" w:hAnsi="Arial" w:cs="Arial"/>
        </w:rPr>
      </w:pPr>
      <w:r w:rsidRPr="00B33A17">
        <w:rPr>
          <w:rFonts w:ascii="Arial" w:hAnsi="Arial" w:cs="Arial"/>
          <w:i/>
        </w:rPr>
        <w:t>Telecommunications (Provision of Pre-selection for Specified Carriage Services) Determination 1998</w:t>
      </w:r>
      <w:r w:rsidR="008C0E23">
        <w:rPr>
          <w:rFonts w:ascii="Arial" w:hAnsi="Arial" w:cs="Arial"/>
          <w:i/>
        </w:rPr>
        <w:t xml:space="preserve"> </w:t>
      </w:r>
      <w:r w:rsidR="003774BD">
        <w:rPr>
          <w:rFonts w:ascii="Arial" w:hAnsi="Arial" w:cs="Arial"/>
        </w:rPr>
        <w:t xml:space="preserve">(the </w:t>
      </w:r>
      <w:r w:rsidR="003774BD" w:rsidRPr="00D433E6">
        <w:rPr>
          <w:rFonts w:ascii="Arial" w:hAnsi="Arial" w:cs="Arial"/>
          <w:b/>
        </w:rPr>
        <w:t>SCS Determination</w:t>
      </w:r>
      <w:r w:rsidR="003774BD">
        <w:rPr>
          <w:rFonts w:ascii="Arial" w:hAnsi="Arial" w:cs="Arial"/>
        </w:rPr>
        <w:t>)</w:t>
      </w:r>
      <w:r w:rsidR="00CE79AD" w:rsidRPr="008C0E23">
        <w:rPr>
          <w:rFonts w:ascii="Arial" w:hAnsi="Arial" w:cs="Arial"/>
        </w:rPr>
        <w:t>;</w:t>
      </w:r>
      <w:r w:rsidR="00516BB6">
        <w:rPr>
          <w:rFonts w:ascii="Arial" w:hAnsi="Arial" w:cs="Arial"/>
        </w:rPr>
        <w:t xml:space="preserve"> and</w:t>
      </w:r>
    </w:p>
    <w:p w14:paraId="3B640953" w14:textId="7B361A50" w:rsidR="00516BB6" w:rsidRPr="00B33A17" w:rsidRDefault="00516BB6" w:rsidP="008C0E23">
      <w:pPr>
        <w:pStyle w:val="ListParagraph"/>
        <w:numPr>
          <w:ilvl w:val="0"/>
          <w:numId w:val="36"/>
        </w:numPr>
        <w:spacing w:after="120" w:line="280" w:lineRule="exact"/>
        <w:rPr>
          <w:rFonts w:ascii="Arial" w:hAnsi="Arial" w:cs="Arial"/>
          <w:i/>
        </w:rPr>
      </w:pPr>
      <w:r w:rsidRPr="00B33A17">
        <w:rPr>
          <w:rFonts w:ascii="Arial" w:hAnsi="Arial" w:cs="Arial"/>
          <w:i/>
        </w:rPr>
        <w:t>Telecommunications (</w:t>
      </w:r>
      <w:r w:rsidR="00C8090B" w:rsidRPr="00B33A17">
        <w:rPr>
          <w:rFonts w:ascii="Arial" w:hAnsi="Arial" w:cs="Arial"/>
          <w:i/>
        </w:rPr>
        <w:t>Standard Telephone Service and Specified Carriage Service Exemption</w:t>
      </w:r>
      <w:r w:rsidRPr="00B33A17">
        <w:rPr>
          <w:rFonts w:ascii="Arial" w:hAnsi="Arial" w:cs="Arial"/>
          <w:i/>
        </w:rPr>
        <w:t xml:space="preserve">) </w:t>
      </w:r>
      <w:r w:rsidR="00C8090B" w:rsidRPr="00B33A17">
        <w:rPr>
          <w:rFonts w:ascii="Arial" w:hAnsi="Arial" w:cs="Arial"/>
          <w:i/>
        </w:rPr>
        <w:t>Declaration 1998</w:t>
      </w:r>
      <w:r w:rsidR="008C0E23">
        <w:rPr>
          <w:rFonts w:ascii="Arial" w:hAnsi="Arial" w:cs="Arial"/>
          <w:i/>
        </w:rPr>
        <w:t xml:space="preserve"> </w:t>
      </w:r>
      <w:r w:rsidR="003774BD">
        <w:rPr>
          <w:rFonts w:ascii="Arial" w:hAnsi="Arial" w:cs="Arial"/>
        </w:rPr>
        <w:t xml:space="preserve">(the </w:t>
      </w:r>
      <w:r w:rsidR="003774BD" w:rsidRPr="00D433E6">
        <w:rPr>
          <w:rFonts w:ascii="Arial" w:hAnsi="Arial" w:cs="Arial"/>
          <w:b/>
        </w:rPr>
        <w:t>Exemption Declaration</w:t>
      </w:r>
      <w:r w:rsidR="003774BD">
        <w:rPr>
          <w:rFonts w:ascii="Arial" w:hAnsi="Arial" w:cs="Arial"/>
        </w:rPr>
        <w:t>)</w:t>
      </w:r>
      <w:r w:rsidR="008C0E23" w:rsidRPr="008C0E23">
        <w:rPr>
          <w:rFonts w:ascii="Arial" w:hAnsi="Arial" w:cs="Arial"/>
        </w:rPr>
        <w:t>.</w:t>
      </w:r>
    </w:p>
    <w:p w14:paraId="50C72C5C" w14:textId="77777777" w:rsidR="005F6E31" w:rsidRDefault="005F6E31" w:rsidP="00CF5C87">
      <w:pPr>
        <w:spacing w:after="120" w:line="280" w:lineRule="exact"/>
        <w:rPr>
          <w:rFonts w:ascii="Arial" w:hAnsi="Arial" w:cs="Arial"/>
        </w:rPr>
      </w:pPr>
    </w:p>
    <w:p w14:paraId="03FDA855" w14:textId="77777777" w:rsidR="00667BC6" w:rsidRPr="001B03E3" w:rsidRDefault="00667BC6" w:rsidP="00667BC6">
      <w:pPr>
        <w:keepNext/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Legislative Provisions</w:t>
      </w:r>
    </w:p>
    <w:p w14:paraId="444994E1" w14:textId="20D74273" w:rsidR="005C7268" w:rsidRDefault="005C7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Subsection </w:t>
      </w:r>
      <w:r w:rsidR="00C8090B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9(1) </w:t>
      </w:r>
      <w:r w:rsidR="00A02155">
        <w:rPr>
          <w:rFonts w:ascii="Arial" w:hAnsi="Arial" w:cs="Arial"/>
        </w:rPr>
        <w:t xml:space="preserve">of the Act </w:t>
      </w:r>
      <w:r w:rsidR="00C8090B">
        <w:rPr>
          <w:rFonts w:ascii="Arial" w:hAnsi="Arial" w:cs="Arial"/>
        </w:rPr>
        <w:t xml:space="preserve">requires </w:t>
      </w:r>
      <w:r>
        <w:rPr>
          <w:rFonts w:ascii="Arial" w:hAnsi="Arial" w:cs="Arial"/>
        </w:rPr>
        <w:t xml:space="preserve">the ACMA to make </w:t>
      </w:r>
      <w:r w:rsidR="00C8090B">
        <w:rPr>
          <w:rFonts w:ascii="Arial" w:hAnsi="Arial" w:cs="Arial"/>
        </w:rPr>
        <w:t>a written determination requiring each carrier or carriage service provider who supplies a standard telephone service to provide pre-selection in favour of a specified carriage service provider, in relation to calls made using a standard telephone service.</w:t>
      </w:r>
      <w:r w:rsidRPr="004462A1">
        <w:rPr>
          <w:rFonts w:ascii="Arial" w:hAnsi="Arial" w:cs="Arial"/>
        </w:rPr>
        <w:t xml:space="preserve"> </w:t>
      </w:r>
    </w:p>
    <w:p w14:paraId="0A6138AE" w14:textId="77777777" w:rsidR="00A02155" w:rsidRDefault="00A02155" w:rsidP="005C7268">
      <w:pPr>
        <w:spacing w:after="0" w:line="240" w:lineRule="auto"/>
        <w:rPr>
          <w:rFonts w:ascii="Arial" w:hAnsi="Arial" w:cs="Arial"/>
        </w:rPr>
      </w:pPr>
    </w:p>
    <w:p w14:paraId="195233FA" w14:textId="0393F7DB" w:rsidR="00695360" w:rsidRDefault="00A02155" w:rsidP="005C7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8090B">
        <w:rPr>
          <w:rFonts w:ascii="Arial" w:hAnsi="Arial" w:cs="Arial"/>
        </w:rPr>
        <w:t>Determination</w:t>
      </w:r>
      <w:r>
        <w:rPr>
          <w:rFonts w:ascii="Arial" w:hAnsi="Arial" w:cs="Arial"/>
        </w:rPr>
        <w:t xml:space="preserve"> is a legislative instrument </w:t>
      </w:r>
      <w:r w:rsidR="00695360">
        <w:rPr>
          <w:rFonts w:ascii="Arial" w:hAnsi="Arial" w:cs="Arial"/>
        </w:rPr>
        <w:t xml:space="preserve">for the purposes of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 xml:space="preserve">Legislative Instruments Act 2003 </w:t>
      </w:r>
      <w:r>
        <w:rPr>
          <w:rFonts w:ascii="Arial" w:hAnsi="Arial" w:cs="Arial"/>
        </w:rPr>
        <w:t>(</w:t>
      </w:r>
      <w:r w:rsidR="00D06FEA">
        <w:rPr>
          <w:rFonts w:ascii="Arial" w:hAnsi="Arial" w:cs="Arial"/>
        </w:rPr>
        <w:t xml:space="preserve">the </w:t>
      </w:r>
      <w:r>
        <w:rPr>
          <w:rFonts w:ascii="Arial" w:hAnsi="Arial" w:cs="Arial"/>
          <w:b/>
        </w:rPr>
        <w:t>L</w:t>
      </w:r>
      <w:r w:rsidR="00D06FEA">
        <w:rPr>
          <w:rFonts w:ascii="Arial" w:hAnsi="Arial" w:cs="Arial"/>
          <w:b/>
        </w:rPr>
        <w:t>IA</w:t>
      </w:r>
      <w:r>
        <w:rPr>
          <w:rFonts w:ascii="Arial" w:hAnsi="Arial" w:cs="Arial"/>
        </w:rPr>
        <w:t xml:space="preserve">). </w:t>
      </w:r>
    </w:p>
    <w:p w14:paraId="6ED72651" w14:textId="2696810F" w:rsidR="00695360" w:rsidRPr="00A02155" w:rsidRDefault="00695360" w:rsidP="00D433E6">
      <w:pPr>
        <w:pStyle w:val="Heading1"/>
        <w:keepNext w:val="0"/>
        <w:rPr>
          <w:rFonts w:ascii="Arial" w:hAnsi="Arial" w:cs="Arial"/>
        </w:rPr>
      </w:pPr>
      <w:r w:rsidRPr="00D433E6">
        <w:rPr>
          <w:rFonts w:ascii="Arial" w:hAnsi="Arial" w:cs="Arial"/>
          <w:color w:val="000000" w:themeColor="text1"/>
          <w:sz w:val="22"/>
          <w:szCs w:val="22"/>
        </w:rPr>
        <w:t xml:space="preserve">Subsection 33(3) of the </w:t>
      </w:r>
      <w:r w:rsidRPr="00D433E6">
        <w:rPr>
          <w:rFonts w:ascii="Arial" w:hAnsi="Arial" w:cs="Arial"/>
          <w:i/>
          <w:color w:val="000000" w:themeColor="text1"/>
          <w:sz w:val="22"/>
          <w:szCs w:val="22"/>
        </w:rPr>
        <w:t>Acts Interpretation Act 1901</w:t>
      </w:r>
      <w:r w:rsidRPr="00D433E6">
        <w:rPr>
          <w:rFonts w:ascii="Arial" w:hAnsi="Arial" w:cs="Arial"/>
          <w:color w:val="000000" w:themeColor="text1"/>
          <w:sz w:val="22"/>
          <w:szCs w:val="22"/>
        </w:rPr>
        <w:t xml:space="preserve"> provides that where an Act confers a power to make a legislative instrument, the power shall be construed to include a power exercisable in the like manner and subject to the like conditions (if any) to repeal, rescind, revoke, amend or vary any such instrument.  The </w:t>
      </w:r>
      <w:r w:rsidR="003C4F0F" w:rsidRPr="00D433E6">
        <w:rPr>
          <w:rFonts w:ascii="Arial" w:hAnsi="Arial" w:cs="Arial"/>
          <w:color w:val="000000" w:themeColor="text1"/>
          <w:sz w:val="22"/>
          <w:szCs w:val="22"/>
        </w:rPr>
        <w:t>Determination is</w:t>
      </w:r>
      <w:r w:rsidRPr="00D433E6">
        <w:rPr>
          <w:rFonts w:ascii="Arial" w:hAnsi="Arial" w:cs="Arial"/>
          <w:color w:val="000000" w:themeColor="text1"/>
          <w:sz w:val="22"/>
          <w:szCs w:val="22"/>
        </w:rPr>
        <w:t xml:space="preserve"> made </w:t>
      </w:r>
      <w:r w:rsidRPr="00791AC3">
        <w:rPr>
          <w:rFonts w:ascii="Arial" w:hAnsi="Arial" w:cs="Arial"/>
          <w:color w:val="auto"/>
          <w:sz w:val="22"/>
          <w:szCs w:val="22"/>
        </w:rPr>
        <w:t xml:space="preserve">under </w:t>
      </w:r>
      <w:r w:rsidR="003C4F0F" w:rsidRPr="00791AC3">
        <w:rPr>
          <w:rFonts w:ascii="Arial" w:hAnsi="Arial" w:cs="Arial"/>
          <w:color w:val="auto"/>
          <w:sz w:val="22"/>
          <w:szCs w:val="22"/>
        </w:rPr>
        <w:t>subsection 349</w:t>
      </w:r>
      <w:r w:rsidRPr="00791AC3">
        <w:rPr>
          <w:rFonts w:ascii="Arial" w:hAnsi="Arial" w:cs="Arial"/>
          <w:color w:val="auto"/>
          <w:sz w:val="22"/>
          <w:szCs w:val="22"/>
        </w:rPr>
        <w:t>(1) of the Act and revoke</w:t>
      </w:r>
      <w:r w:rsidR="003C4F0F" w:rsidRPr="00791AC3">
        <w:rPr>
          <w:rFonts w:ascii="Arial" w:hAnsi="Arial" w:cs="Arial"/>
          <w:color w:val="auto"/>
          <w:sz w:val="22"/>
          <w:szCs w:val="22"/>
        </w:rPr>
        <w:t>s</w:t>
      </w:r>
      <w:r w:rsidRPr="00791AC3">
        <w:rPr>
          <w:rFonts w:ascii="Arial" w:hAnsi="Arial" w:cs="Arial"/>
          <w:color w:val="auto"/>
          <w:sz w:val="22"/>
          <w:szCs w:val="22"/>
        </w:rPr>
        <w:t xml:space="preserve"> </w:t>
      </w:r>
      <w:r w:rsidR="008C7BFD" w:rsidRPr="00791AC3">
        <w:rPr>
          <w:rFonts w:ascii="Arial" w:hAnsi="Arial" w:cs="Arial"/>
          <w:color w:val="auto"/>
          <w:sz w:val="22"/>
          <w:szCs w:val="22"/>
        </w:rPr>
        <w:t>the STS Determination, the SCS Determinat</w:t>
      </w:r>
      <w:r w:rsidR="008C7BFD">
        <w:rPr>
          <w:rFonts w:ascii="Arial" w:hAnsi="Arial" w:cs="Arial"/>
          <w:color w:val="000000" w:themeColor="text1"/>
          <w:sz w:val="22"/>
          <w:szCs w:val="22"/>
        </w:rPr>
        <w:t>ion and the Exemption Declaration</w:t>
      </w:r>
      <w:r w:rsidR="003C4F0F" w:rsidRPr="00D433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33E6">
        <w:rPr>
          <w:rFonts w:ascii="Arial" w:hAnsi="Arial" w:cs="Arial"/>
          <w:color w:val="000000" w:themeColor="text1"/>
          <w:sz w:val="22"/>
          <w:szCs w:val="22"/>
        </w:rPr>
        <w:t xml:space="preserve">previously made under the Act (see section 3 of </w:t>
      </w:r>
      <w:r w:rsidR="003C4F0F" w:rsidRPr="00D433E6">
        <w:rPr>
          <w:rFonts w:ascii="Arial" w:hAnsi="Arial" w:cs="Arial"/>
          <w:color w:val="000000" w:themeColor="text1"/>
          <w:sz w:val="22"/>
          <w:szCs w:val="22"/>
        </w:rPr>
        <w:t>the Determination</w:t>
      </w:r>
      <w:r w:rsidRPr="00D433E6">
        <w:rPr>
          <w:rFonts w:ascii="Arial" w:hAnsi="Arial" w:cs="Arial"/>
          <w:color w:val="000000" w:themeColor="text1"/>
          <w:sz w:val="22"/>
          <w:szCs w:val="22"/>
        </w:rPr>
        <w:t xml:space="preserve">).  </w:t>
      </w:r>
    </w:p>
    <w:p w14:paraId="55E1434B" w14:textId="40C65074" w:rsidR="004B02A2" w:rsidRDefault="004B02A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DF7FFE" w14:textId="77777777" w:rsidR="00667BC6" w:rsidRPr="001B03E3" w:rsidRDefault="00667BC6" w:rsidP="00667BC6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Background</w:t>
      </w:r>
    </w:p>
    <w:p w14:paraId="08DB1471" w14:textId="7EB85E2E" w:rsidR="00346A61" w:rsidRDefault="001A2867" w:rsidP="001A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1998</w:t>
      </w:r>
      <w:r w:rsidR="00346A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545A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</w:t>
      </w:r>
      <w:r w:rsidRPr="001A2867">
        <w:rPr>
          <w:rFonts w:ascii="Arial" w:hAnsi="Arial" w:cs="Arial"/>
        </w:rPr>
        <w:t>hree instruments which g</w:t>
      </w:r>
      <w:r w:rsidR="006A221E">
        <w:rPr>
          <w:rFonts w:ascii="Arial" w:hAnsi="Arial" w:cs="Arial"/>
        </w:rPr>
        <w:t>a</w:t>
      </w:r>
      <w:r w:rsidRPr="001A2867">
        <w:rPr>
          <w:rFonts w:ascii="Arial" w:hAnsi="Arial" w:cs="Arial"/>
        </w:rPr>
        <w:t xml:space="preserve">ve effect to pre-selection obligations in </w:t>
      </w:r>
      <w:r w:rsidR="00C45B22">
        <w:rPr>
          <w:rFonts w:ascii="Arial" w:hAnsi="Arial" w:cs="Arial"/>
        </w:rPr>
        <w:t>P</w:t>
      </w:r>
      <w:r w:rsidR="006A221E">
        <w:rPr>
          <w:rFonts w:ascii="Arial" w:hAnsi="Arial" w:cs="Arial"/>
        </w:rPr>
        <w:t xml:space="preserve">art 17 of </w:t>
      </w:r>
      <w:r w:rsidRPr="001A2867">
        <w:rPr>
          <w:rFonts w:ascii="Arial" w:hAnsi="Arial" w:cs="Arial"/>
        </w:rPr>
        <w:t xml:space="preserve">the Act </w:t>
      </w:r>
      <w:r>
        <w:rPr>
          <w:rFonts w:ascii="Arial" w:hAnsi="Arial" w:cs="Arial"/>
        </w:rPr>
        <w:t xml:space="preserve">were made. </w:t>
      </w:r>
    </w:p>
    <w:p w14:paraId="7661B59D" w14:textId="77777777" w:rsidR="00346A61" w:rsidRDefault="00346A61" w:rsidP="001A2867">
      <w:pPr>
        <w:spacing w:after="0" w:line="240" w:lineRule="auto"/>
        <w:rPr>
          <w:rFonts w:ascii="Arial" w:hAnsi="Arial" w:cs="Arial"/>
        </w:rPr>
      </w:pPr>
    </w:p>
    <w:p w14:paraId="1247C6E2" w14:textId="0201F9C2" w:rsidR="00885FE8" w:rsidRDefault="00346A61" w:rsidP="001A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82577">
        <w:rPr>
          <w:rFonts w:ascii="Arial" w:hAnsi="Arial" w:cs="Arial"/>
        </w:rPr>
        <w:t>STS and SCS Determinations</w:t>
      </w:r>
      <w:r>
        <w:rPr>
          <w:rFonts w:ascii="Arial" w:hAnsi="Arial" w:cs="Arial"/>
        </w:rPr>
        <w:t xml:space="preserve"> require</w:t>
      </w:r>
      <w:r w:rsidR="00211F5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carriers and carriage service providers </w:t>
      </w:r>
      <w:r w:rsidR="00D159BA">
        <w:rPr>
          <w:rFonts w:ascii="Arial" w:hAnsi="Arial" w:cs="Arial"/>
        </w:rPr>
        <w:t>to allow end-users to select a provider for certain</w:t>
      </w:r>
      <w:r w:rsidR="00885FE8">
        <w:rPr>
          <w:rFonts w:ascii="Arial" w:hAnsi="Arial" w:cs="Arial"/>
        </w:rPr>
        <w:t>, ‘pre-selectable</w:t>
      </w:r>
      <w:r w:rsidR="00D159BA">
        <w:rPr>
          <w:rFonts w:ascii="Arial" w:hAnsi="Arial" w:cs="Arial"/>
        </w:rPr>
        <w:t xml:space="preserve"> services</w:t>
      </w:r>
      <w:r w:rsidR="00885FE8">
        <w:rPr>
          <w:rFonts w:ascii="Arial" w:hAnsi="Arial" w:cs="Arial"/>
        </w:rPr>
        <w:t>’</w:t>
      </w:r>
      <w:r w:rsidR="00C45B22">
        <w:rPr>
          <w:rFonts w:ascii="Arial" w:hAnsi="Arial" w:cs="Arial"/>
        </w:rPr>
        <w:t>,</w:t>
      </w:r>
      <w:r w:rsidR="00D159BA">
        <w:rPr>
          <w:rFonts w:ascii="Arial" w:hAnsi="Arial" w:cs="Arial"/>
        </w:rPr>
        <w:t xml:space="preserve"> and </w:t>
      </w:r>
      <w:r w:rsidR="00885FE8">
        <w:rPr>
          <w:rFonts w:ascii="Arial" w:hAnsi="Arial" w:cs="Arial"/>
        </w:rPr>
        <w:t xml:space="preserve">the </w:t>
      </w:r>
      <w:r w:rsidR="00882577">
        <w:rPr>
          <w:rFonts w:ascii="Arial" w:hAnsi="Arial" w:cs="Arial"/>
        </w:rPr>
        <w:t>E</w:t>
      </w:r>
      <w:r w:rsidR="00885FE8">
        <w:rPr>
          <w:rFonts w:ascii="Arial" w:hAnsi="Arial" w:cs="Arial"/>
        </w:rPr>
        <w:t xml:space="preserve">xemption </w:t>
      </w:r>
      <w:r w:rsidR="00882577">
        <w:rPr>
          <w:rFonts w:ascii="Arial" w:hAnsi="Arial" w:cs="Arial"/>
        </w:rPr>
        <w:t>D</w:t>
      </w:r>
      <w:r w:rsidR="00885FE8">
        <w:rPr>
          <w:rFonts w:ascii="Arial" w:hAnsi="Arial" w:cs="Arial"/>
        </w:rPr>
        <w:t>eclaration ensure</w:t>
      </w:r>
      <w:r w:rsidR="00211F5D">
        <w:rPr>
          <w:rFonts w:ascii="Arial" w:hAnsi="Arial" w:cs="Arial"/>
        </w:rPr>
        <w:t>d</w:t>
      </w:r>
      <w:r w:rsidR="00885FE8">
        <w:rPr>
          <w:rFonts w:ascii="Arial" w:hAnsi="Arial" w:cs="Arial"/>
        </w:rPr>
        <w:t xml:space="preserve"> </w:t>
      </w:r>
      <w:r w:rsidR="00D159BA">
        <w:rPr>
          <w:rFonts w:ascii="Arial" w:hAnsi="Arial" w:cs="Arial"/>
        </w:rPr>
        <w:t xml:space="preserve">that </w:t>
      </w:r>
      <w:r w:rsidR="00885FE8">
        <w:rPr>
          <w:rFonts w:ascii="Arial" w:hAnsi="Arial" w:cs="Arial"/>
        </w:rPr>
        <w:t xml:space="preserve">the </w:t>
      </w:r>
      <w:r w:rsidR="00D159BA">
        <w:rPr>
          <w:rFonts w:ascii="Arial" w:hAnsi="Arial" w:cs="Arial"/>
        </w:rPr>
        <w:t xml:space="preserve">selection </w:t>
      </w:r>
      <w:r w:rsidR="00885FE8">
        <w:rPr>
          <w:rFonts w:ascii="Arial" w:hAnsi="Arial" w:cs="Arial"/>
        </w:rPr>
        <w:t xml:space="preserve">is for a </w:t>
      </w:r>
      <w:r w:rsidR="00211F5D">
        <w:rPr>
          <w:rFonts w:ascii="Arial" w:hAnsi="Arial" w:cs="Arial"/>
        </w:rPr>
        <w:t>‘</w:t>
      </w:r>
      <w:r w:rsidR="00885FE8">
        <w:rPr>
          <w:rFonts w:ascii="Arial" w:hAnsi="Arial" w:cs="Arial"/>
        </w:rPr>
        <w:t>single basket</w:t>
      </w:r>
      <w:r w:rsidR="00211F5D">
        <w:rPr>
          <w:rFonts w:ascii="Arial" w:hAnsi="Arial" w:cs="Arial"/>
        </w:rPr>
        <w:t>’</w:t>
      </w:r>
      <w:r w:rsidR="00885FE8">
        <w:rPr>
          <w:rFonts w:ascii="Arial" w:hAnsi="Arial" w:cs="Arial"/>
        </w:rPr>
        <w:t xml:space="preserve"> </w:t>
      </w:r>
      <w:r w:rsidR="004B6340">
        <w:rPr>
          <w:rFonts w:ascii="Arial" w:hAnsi="Arial" w:cs="Arial"/>
        </w:rPr>
        <w:t xml:space="preserve">of pre-selectable services </w:t>
      </w:r>
      <w:r w:rsidR="00C45B22">
        <w:rPr>
          <w:rFonts w:ascii="Arial" w:hAnsi="Arial" w:cs="Arial"/>
        </w:rPr>
        <w:t xml:space="preserve">so that </w:t>
      </w:r>
      <w:r w:rsidR="00885FE8">
        <w:rPr>
          <w:rFonts w:ascii="Arial" w:hAnsi="Arial" w:cs="Arial"/>
        </w:rPr>
        <w:t xml:space="preserve">an end-user cannot select a different provider for each different pre-selectable service. </w:t>
      </w:r>
    </w:p>
    <w:p w14:paraId="16D738CF" w14:textId="6A4FAE26" w:rsidR="004A1A30" w:rsidRDefault="00CD0E18" w:rsidP="00CD0E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Determination replace</w:t>
      </w:r>
      <w:r w:rsidR="00211F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6E09AD">
        <w:rPr>
          <w:rFonts w:ascii="Arial" w:hAnsi="Arial" w:cs="Arial"/>
        </w:rPr>
        <w:t>STS Determination, the SCS Determination and the Exemption Declaration</w:t>
      </w:r>
      <w:r>
        <w:rPr>
          <w:rFonts w:ascii="Arial" w:hAnsi="Arial" w:cs="Arial"/>
        </w:rPr>
        <w:t xml:space="preserve">. </w:t>
      </w:r>
      <w:r w:rsidR="007E0D90">
        <w:rPr>
          <w:rFonts w:ascii="Arial" w:hAnsi="Arial" w:cs="Arial"/>
        </w:rPr>
        <w:t xml:space="preserve"> </w:t>
      </w:r>
      <w:r w:rsidR="00210E95">
        <w:rPr>
          <w:rFonts w:ascii="Arial" w:hAnsi="Arial" w:cs="Arial"/>
        </w:rPr>
        <w:t xml:space="preserve">The Determination </w:t>
      </w:r>
      <w:r w:rsidR="00210E95" w:rsidRPr="000F7AD2">
        <w:rPr>
          <w:rFonts w:ascii="Arial" w:hAnsi="Arial" w:cs="Arial"/>
        </w:rPr>
        <w:t>maintains the requirements on industry to provide pre-selection and does not substantively alter the scope of the pre-selection requirements</w:t>
      </w:r>
      <w:r w:rsidR="007E0D90">
        <w:rPr>
          <w:rFonts w:ascii="Arial" w:hAnsi="Arial" w:cs="Arial"/>
        </w:rPr>
        <w:t xml:space="preserve">, while </w:t>
      </w:r>
      <w:r w:rsidR="00C673CE">
        <w:rPr>
          <w:rFonts w:ascii="Arial" w:hAnsi="Arial" w:cs="Arial"/>
        </w:rPr>
        <w:t>incorporating those obligations</w:t>
      </w:r>
      <w:r w:rsidR="007E0D90">
        <w:rPr>
          <w:rFonts w:ascii="Arial" w:hAnsi="Arial" w:cs="Arial"/>
        </w:rPr>
        <w:t xml:space="preserve"> into a single instrument</w:t>
      </w:r>
      <w:r w:rsidR="00C673CE">
        <w:rPr>
          <w:rFonts w:ascii="Arial" w:hAnsi="Arial" w:cs="Arial"/>
        </w:rPr>
        <w:t xml:space="preserve">.  </w:t>
      </w:r>
    </w:p>
    <w:p w14:paraId="7BF22028" w14:textId="77777777" w:rsidR="00A67DF3" w:rsidRDefault="00A67DF3" w:rsidP="00CD0E18">
      <w:pPr>
        <w:spacing w:after="0" w:line="240" w:lineRule="auto"/>
        <w:rPr>
          <w:rFonts w:ascii="Arial" w:hAnsi="Arial" w:cs="Arial"/>
        </w:rPr>
      </w:pPr>
    </w:p>
    <w:p w14:paraId="347A28B5" w14:textId="536F1BBC" w:rsidR="00A67DF3" w:rsidRPr="00D159BA" w:rsidRDefault="00A67DF3" w:rsidP="00A67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pre-selectable services </w:t>
      </w:r>
      <w:r w:rsidR="009C4D40">
        <w:rPr>
          <w:rFonts w:ascii="Arial" w:hAnsi="Arial" w:cs="Arial"/>
        </w:rPr>
        <w:t>required by the Determination to be provided</w:t>
      </w:r>
      <w:r>
        <w:rPr>
          <w:rFonts w:ascii="Arial" w:hAnsi="Arial" w:cs="Arial"/>
        </w:rPr>
        <w:t xml:space="preserve"> are </w:t>
      </w:r>
      <w:r w:rsidRPr="00D159BA">
        <w:rPr>
          <w:rFonts w:ascii="Arial" w:hAnsi="Arial" w:cs="Arial"/>
        </w:rPr>
        <w:t xml:space="preserve">calls </w:t>
      </w:r>
      <w:r>
        <w:rPr>
          <w:rFonts w:ascii="Arial" w:hAnsi="Arial" w:cs="Arial"/>
        </w:rPr>
        <w:t xml:space="preserve">made </w:t>
      </w:r>
      <w:r w:rsidRPr="00D159BA">
        <w:rPr>
          <w:rFonts w:ascii="Arial" w:hAnsi="Arial" w:cs="Arial"/>
        </w:rPr>
        <w:t>using a standard telephone service to any of the following:</w:t>
      </w:r>
    </w:p>
    <w:p w14:paraId="4D788304" w14:textId="77777777" w:rsidR="00A67DF3" w:rsidRPr="000C0C80" w:rsidRDefault="00A67DF3" w:rsidP="00A67DF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0C0C80">
        <w:rPr>
          <w:rFonts w:ascii="Arial" w:hAnsi="Arial" w:cs="Arial"/>
        </w:rPr>
        <w:t>a geographic number or local number that is not a local call;</w:t>
      </w:r>
    </w:p>
    <w:p w14:paraId="2347136F" w14:textId="77777777" w:rsidR="00A67DF3" w:rsidRPr="000C0C80" w:rsidRDefault="00A67DF3" w:rsidP="00A67DF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0C0C80">
        <w:rPr>
          <w:rFonts w:ascii="Arial" w:hAnsi="Arial" w:cs="Arial"/>
        </w:rPr>
        <w:t>an international direct dial service;</w:t>
      </w:r>
    </w:p>
    <w:p w14:paraId="78C16123" w14:textId="77777777" w:rsidR="00A67DF3" w:rsidRPr="000C0C80" w:rsidRDefault="00A67DF3" w:rsidP="00A67DF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0C0C80">
        <w:rPr>
          <w:rFonts w:ascii="Arial" w:hAnsi="Arial" w:cs="Arial"/>
        </w:rPr>
        <w:t>an operator service for which the numbering plan specifies the use of a shared selectable number;</w:t>
      </w:r>
    </w:p>
    <w:p w14:paraId="2DB8776C" w14:textId="77777777" w:rsidR="00A67DF3" w:rsidRPr="000C0C80" w:rsidRDefault="00A67DF3" w:rsidP="00A67DF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0C0C80">
        <w:rPr>
          <w:rFonts w:ascii="Arial" w:hAnsi="Arial" w:cs="Arial"/>
        </w:rPr>
        <w:t>a carriage service that is both a ring back price service and an international service;</w:t>
      </w:r>
    </w:p>
    <w:p w14:paraId="18CA3FE1" w14:textId="77777777" w:rsidR="00A67DF3" w:rsidRPr="000C0C80" w:rsidRDefault="00A67DF3" w:rsidP="00A67DF3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proofErr w:type="gramStart"/>
      <w:r w:rsidRPr="000C0C80">
        <w:rPr>
          <w:rFonts w:ascii="Arial" w:hAnsi="Arial" w:cs="Arial"/>
        </w:rPr>
        <w:t>a</w:t>
      </w:r>
      <w:proofErr w:type="gramEnd"/>
      <w:r w:rsidRPr="000C0C80">
        <w:rPr>
          <w:rFonts w:ascii="Arial" w:hAnsi="Arial" w:cs="Arial"/>
        </w:rPr>
        <w:t xml:space="preserve"> public mobile telecommunications service. </w:t>
      </w:r>
    </w:p>
    <w:p w14:paraId="12C897F4" w14:textId="77777777" w:rsidR="00A67DF3" w:rsidRDefault="00A67DF3" w:rsidP="00CD0E18">
      <w:pPr>
        <w:spacing w:after="0" w:line="240" w:lineRule="auto"/>
        <w:rPr>
          <w:rFonts w:ascii="Arial" w:hAnsi="Arial" w:cs="Arial"/>
        </w:rPr>
      </w:pPr>
    </w:p>
    <w:p w14:paraId="380C1799" w14:textId="1F57B673" w:rsidR="004C5D87" w:rsidRPr="00CD0E18" w:rsidRDefault="00575AA3" w:rsidP="00CD0E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C3AC2" w:rsidRPr="006E75AA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‘</w:t>
      </w:r>
      <w:r w:rsidR="00CC3AC2" w:rsidRPr="006E75AA">
        <w:rPr>
          <w:rFonts w:ascii="Arial" w:hAnsi="Arial" w:cs="Arial"/>
        </w:rPr>
        <w:t>single basket</w:t>
      </w:r>
      <w:r>
        <w:rPr>
          <w:rFonts w:ascii="Arial" w:hAnsi="Arial" w:cs="Arial"/>
        </w:rPr>
        <w:t>’ requirement</w:t>
      </w:r>
      <w:r w:rsidR="00CC3AC2" w:rsidRPr="006E75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formerly found in the</w:t>
      </w:r>
      <w:r w:rsidR="00CC3AC2" w:rsidRPr="006E75AA">
        <w:rPr>
          <w:rFonts w:ascii="Arial" w:hAnsi="Arial" w:cs="Arial"/>
        </w:rPr>
        <w:t xml:space="preserve"> </w:t>
      </w:r>
      <w:r w:rsidR="00CC3AC2">
        <w:rPr>
          <w:rFonts w:ascii="Arial" w:hAnsi="Arial" w:cs="Arial"/>
        </w:rPr>
        <w:t>E</w:t>
      </w:r>
      <w:r w:rsidR="00CC3AC2" w:rsidRPr="006E75AA">
        <w:rPr>
          <w:rFonts w:ascii="Arial" w:hAnsi="Arial" w:cs="Arial"/>
        </w:rPr>
        <w:t xml:space="preserve">xemption </w:t>
      </w:r>
      <w:r w:rsidR="00CC3AC2">
        <w:rPr>
          <w:rFonts w:ascii="Arial" w:hAnsi="Arial" w:cs="Arial"/>
        </w:rPr>
        <w:t>Declaration</w:t>
      </w:r>
      <w:r w:rsidR="00CC3AC2" w:rsidRPr="006E75AA">
        <w:rPr>
          <w:rFonts w:ascii="Arial" w:hAnsi="Arial" w:cs="Arial"/>
        </w:rPr>
        <w:t>, has also been incorpor</w:t>
      </w:r>
      <w:r>
        <w:rPr>
          <w:rFonts w:ascii="Arial" w:hAnsi="Arial" w:cs="Arial"/>
        </w:rPr>
        <w:t>ated into the new Determination</w:t>
      </w:r>
      <w:r w:rsidR="00CC3AC2" w:rsidRPr="006E75AA">
        <w:rPr>
          <w:rFonts w:ascii="Arial" w:hAnsi="Arial" w:cs="Arial"/>
        </w:rPr>
        <w:t xml:space="preserve"> as a limit on the obligation to provide pre-selection</w:t>
      </w:r>
      <w:r>
        <w:rPr>
          <w:rFonts w:ascii="Arial" w:hAnsi="Arial" w:cs="Arial"/>
        </w:rPr>
        <w:t>.</w:t>
      </w:r>
    </w:p>
    <w:p w14:paraId="59AB1266" w14:textId="77777777" w:rsidR="001E709A" w:rsidRPr="00201C19" w:rsidRDefault="001E709A" w:rsidP="005C7268">
      <w:pPr>
        <w:pStyle w:val="ACMANumberedList"/>
        <w:autoSpaceDE/>
        <w:autoSpaceDN/>
        <w:adjustRightInd/>
        <w:spacing w:before="20" w:after="20"/>
        <w:rPr>
          <w:sz w:val="22"/>
          <w:szCs w:val="22"/>
        </w:rPr>
      </w:pPr>
    </w:p>
    <w:p w14:paraId="12EDAB8C" w14:textId="77777777" w:rsidR="002140C9" w:rsidRPr="001B03E3" w:rsidRDefault="00667BC6" w:rsidP="002140C9">
      <w:pPr>
        <w:keepNext/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Consultation</w:t>
      </w:r>
    </w:p>
    <w:p w14:paraId="61FDEBA4" w14:textId="5E395F42" w:rsidR="00667BC6" w:rsidRPr="00201C19" w:rsidRDefault="00BE205F" w:rsidP="00667BC6">
      <w:pPr>
        <w:spacing w:after="0" w:line="240" w:lineRule="auto"/>
        <w:rPr>
          <w:rFonts w:ascii="Arial" w:hAnsi="Arial" w:cs="Arial"/>
        </w:rPr>
      </w:pPr>
      <w:r w:rsidRPr="00D433E6">
        <w:rPr>
          <w:rFonts w:ascii="Arial" w:hAnsi="Arial" w:cs="Arial"/>
          <w:snapToGrid w:val="0"/>
        </w:rPr>
        <w:t xml:space="preserve">The ACMA has consulted with industry stakeholders and the general public on the making of the </w:t>
      </w:r>
      <w:r>
        <w:rPr>
          <w:rFonts w:ascii="Arial" w:hAnsi="Arial" w:cs="Arial"/>
          <w:snapToGrid w:val="0"/>
        </w:rPr>
        <w:t>Determination</w:t>
      </w:r>
      <w:r w:rsidRPr="00D433E6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352C0C">
        <w:rPr>
          <w:rFonts w:ascii="Arial" w:hAnsi="Arial" w:cs="Arial"/>
          <w:snapToGrid w:val="0"/>
          <w:sz w:val="20"/>
          <w:szCs w:val="20"/>
        </w:rPr>
        <w:t xml:space="preserve"> </w:t>
      </w:r>
      <w:r w:rsidR="00667BC6" w:rsidRPr="00352292">
        <w:rPr>
          <w:rFonts w:ascii="Arial" w:hAnsi="Arial" w:cs="Arial"/>
        </w:rPr>
        <w:t xml:space="preserve">Section 17 of the </w:t>
      </w:r>
      <w:r w:rsidR="00667BC6" w:rsidRPr="001B03E3">
        <w:rPr>
          <w:rFonts w:ascii="Arial" w:hAnsi="Arial" w:cs="Arial"/>
        </w:rPr>
        <w:t>LIA</w:t>
      </w:r>
      <w:r w:rsidR="00667BC6" w:rsidRPr="00352292">
        <w:rPr>
          <w:rFonts w:ascii="Arial" w:hAnsi="Arial" w:cs="Arial"/>
        </w:rPr>
        <w:t xml:space="preserve"> requires </w:t>
      </w:r>
      <w:r w:rsidR="001E170B" w:rsidRPr="00352292">
        <w:rPr>
          <w:rFonts w:ascii="Arial" w:hAnsi="Arial" w:cs="Arial"/>
        </w:rPr>
        <w:t>that</w:t>
      </w:r>
      <w:r w:rsidR="005D12F8">
        <w:rPr>
          <w:rFonts w:ascii="Arial" w:hAnsi="Arial" w:cs="Arial"/>
        </w:rPr>
        <w:t>,</w:t>
      </w:r>
      <w:r w:rsidR="001E170B" w:rsidRPr="00352292">
        <w:rPr>
          <w:rFonts w:ascii="Arial" w:hAnsi="Arial" w:cs="Arial"/>
        </w:rPr>
        <w:t xml:space="preserve"> before making a legislative instrument, </w:t>
      </w:r>
      <w:r w:rsidR="00667BC6" w:rsidRPr="00352292">
        <w:rPr>
          <w:rFonts w:ascii="Arial" w:hAnsi="Arial" w:cs="Arial"/>
        </w:rPr>
        <w:t xml:space="preserve">the ACMA </w:t>
      </w:r>
      <w:r w:rsidR="001E170B" w:rsidRPr="00352292">
        <w:rPr>
          <w:rFonts w:ascii="Arial" w:hAnsi="Arial" w:cs="Arial"/>
        </w:rPr>
        <w:t>must</w:t>
      </w:r>
      <w:r w:rsidR="00667BC6" w:rsidRPr="00352292">
        <w:rPr>
          <w:rFonts w:ascii="Arial" w:hAnsi="Arial" w:cs="Arial"/>
        </w:rPr>
        <w:t xml:space="preserve"> </w:t>
      </w:r>
      <w:r w:rsidR="001E170B" w:rsidRPr="00352292">
        <w:rPr>
          <w:rFonts w:ascii="Arial" w:hAnsi="Arial" w:cs="Arial"/>
        </w:rPr>
        <w:t xml:space="preserve">be </w:t>
      </w:r>
      <w:r w:rsidR="00667BC6" w:rsidRPr="00352292">
        <w:rPr>
          <w:rFonts w:ascii="Arial" w:hAnsi="Arial" w:cs="Arial"/>
        </w:rPr>
        <w:t>satisfied that any consultation it considers to be appropriate and that is reasonably practicable to undertake has been undertaken.</w:t>
      </w:r>
    </w:p>
    <w:p w14:paraId="131E70FD" w14:textId="77777777" w:rsidR="000C0C80" w:rsidRDefault="000C0C80" w:rsidP="000C0C80">
      <w:pPr>
        <w:spacing w:after="0" w:line="240" w:lineRule="auto"/>
        <w:rPr>
          <w:rFonts w:ascii="Arial" w:hAnsi="Arial" w:cs="Arial"/>
        </w:rPr>
      </w:pPr>
    </w:p>
    <w:p w14:paraId="54655DBD" w14:textId="7D1CE761" w:rsidR="00756D84" w:rsidRDefault="00351288" w:rsidP="000C0C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30780">
        <w:rPr>
          <w:rFonts w:ascii="Arial" w:hAnsi="Arial" w:cs="Arial"/>
        </w:rPr>
        <w:t>n 1 December 2014</w:t>
      </w:r>
      <w:r w:rsidR="00D545A9">
        <w:rPr>
          <w:rFonts w:ascii="Arial" w:hAnsi="Arial" w:cs="Arial"/>
        </w:rPr>
        <w:t>,</w:t>
      </w:r>
      <w:r w:rsidR="00230780">
        <w:rPr>
          <w:rFonts w:ascii="Arial" w:hAnsi="Arial" w:cs="Arial"/>
        </w:rPr>
        <w:t xml:space="preserve"> </w:t>
      </w:r>
      <w:r w:rsidR="00130A49">
        <w:rPr>
          <w:rFonts w:ascii="Arial" w:hAnsi="Arial" w:cs="Arial"/>
        </w:rPr>
        <w:t>t</w:t>
      </w:r>
      <w:r w:rsidR="000C0C80">
        <w:rPr>
          <w:rFonts w:ascii="Arial" w:hAnsi="Arial" w:cs="Arial"/>
        </w:rPr>
        <w:t xml:space="preserve">he ACMA </w:t>
      </w:r>
      <w:r w:rsidR="00D7436C">
        <w:rPr>
          <w:rFonts w:ascii="Arial" w:hAnsi="Arial" w:cs="Arial"/>
        </w:rPr>
        <w:t xml:space="preserve">released </w:t>
      </w:r>
      <w:r w:rsidR="00230780">
        <w:rPr>
          <w:rFonts w:ascii="Arial" w:hAnsi="Arial" w:cs="Arial"/>
        </w:rPr>
        <w:t xml:space="preserve">the Determination in draft form </w:t>
      </w:r>
      <w:r w:rsidR="00D7436C">
        <w:rPr>
          <w:rFonts w:ascii="Arial" w:hAnsi="Arial" w:cs="Arial"/>
        </w:rPr>
        <w:t>for public consultation</w:t>
      </w:r>
      <w:r w:rsidR="00230780">
        <w:rPr>
          <w:rFonts w:ascii="Arial" w:hAnsi="Arial" w:cs="Arial"/>
        </w:rPr>
        <w:t xml:space="preserve"> together with a </w:t>
      </w:r>
      <w:r w:rsidR="00C45B22">
        <w:rPr>
          <w:rFonts w:ascii="Arial" w:hAnsi="Arial" w:cs="Arial"/>
        </w:rPr>
        <w:t xml:space="preserve">consultation </w:t>
      </w:r>
      <w:r w:rsidR="00230780">
        <w:rPr>
          <w:rFonts w:ascii="Arial" w:hAnsi="Arial" w:cs="Arial"/>
        </w:rPr>
        <w:t>paper</w:t>
      </w:r>
      <w:r w:rsidR="00D7436C">
        <w:rPr>
          <w:rFonts w:ascii="Arial" w:hAnsi="Arial" w:cs="Arial"/>
        </w:rPr>
        <w:t xml:space="preserve">. </w:t>
      </w:r>
    </w:p>
    <w:p w14:paraId="1493AD58" w14:textId="77777777" w:rsidR="00756D84" w:rsidRDefault="00756D84" w:rsidP="000C0C80">
      <w:pPr>
        <w:spacing w:after="0" w:line="240" w:lineRule="auto"/>
        <w:rPr>
          <w:rFonts w:ascii="Arial" w:hAnsi="Arial" w:cs="Arial"/>
        </w:rPr>
      </w:pPr>
    </w:p>
    <w:p w14:paraId="78C3343B" w14:textId="36A8CE2B" w:rsidR="000C0C80" w:rsidRDefault="005E1001" w:rsidP="000C0C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r w:rsidR="00D7436C">
        <w:rPr>
          <w:rFonts w:ascii="Arial" w:hAnsi="Arial" w:cs="Arial"/>
        </w:rPr>
        <w:t>submission w</w:t>
      </w:r>
      <w:r>
        <w:rPr>
          <w:rFonts w:ascii="Arial" w:hAnsi="Arial" w:cs="Arial"/>
        </w:rPr>
        <w:t>as</w:t>
      </w:r>
      <w:r w:rsidR="00D7436C">
        <w:rPr>
          <w:rFonts w:ascii="Arial" w:hAnsi="Arial" w:cs="Arial"/>
        </w:rPr>
        <w:t xml:space="preserve"> received</w:t>
      </w:r>
      <w:r>
        <w:rPr>
          <w:rFonts w:ascii="Arial" w:hAnsi="Arial" w:cs="Arial"/>
        </w:rPr>
        <w:t xml:space="preserve"> from </w:t>
      </w:r>
      <w:r w:rsidR="00D347DE">
        <w:rPr>
          <w:rFonts w:ascii="Arial" w:hAnsi="Arial" w:cs="Arial"/>
        </w:rPr>
        <w:t>an industry participant</w:t>
      </w:r>
      <w:r>
        <w:rPr>
          <w:rFonts w:ascii="Arial" w:hAnsi="Arial" w:cs="Arial"/>
        </w:rPr>
        <w:t xml:space="preserve"> </w:t>
      </w:r>
      <w:r w:rsidR="00756D84">
        <w:rPr>
          <w:rFonts w:ascii="Arial" w:hAnsi="Arial" w:cs="Arial"/>
        </w:rPr>
        <w:t>in response to the ACMA consultation</w:t>
      </w:r>
      <w:r w:rsidR="00BC37AA">
        <w:rPr>
          <w:rFonts w:ascii="Arial" w:hAnsi="Arial" w:cs="Arial"/>
        </w:rPr>
        <w:t xml:space="preserve"> paper</w:t>
      </w:r>
      <w:r w:rsidR="00756D84">
        <w:rPr>
          <w:rFonts w:ascii="Arial" w:hAnsi="Arial" w:cs="Arial"/>
        </w:rPr>
        <w:t xml:space="preserve">. The submission </w:t>
      </w:r>
      <w:r>
        <w:rPr>
          <w:rFonts w:ascii="Arial" w:hAnsi="Arial" w:cs="Arial"/>
        </w:rPr>
        <w:t xml:space="preserve">did not raise any </w:t>
      </w:r>
      <w:r w:rsidR="0070633C">
        <w:rPr>
          <w:rFonts w:ascii="Arial" w:hAnsi="Arial" w:cs="Arial"/>
        </w:rPr>
        <w:t>concerns about</w:t>
      </w:r>
      <w:r>
        <w:rPr>
          <w:rFonts w:ascii="Arial" w:hAnsi="Arial" w:cs="Arial"/>
        </w:rPr>
        <w:t xml:space="preserve"> the Determination.</w:t>
      </w:r>
    </w:p>
    <w:p w14:paraId="04FA28E2" w14:textId="77777777" w:rsidR="00C45B22" w:rsidRDefault="00C45B22" w:rsidP="000C0C80">
      <w:pPr>
        <w:spacing w:after="0" w:line="240" w:lineRule="auto"/>
        <w:rPr>
          <w:rFonts w:ascii="Arial" w:hAnsi="Arial" w:cs="Arial"/>
        </w:rPr>
      </w:pPr>
    </w:p>
    <w:p w14:paraId="0BFF10BD" w14:textId="50CB1F31" w:rsidR="00C45B22" w:rsidRDefault="00C45B22" w:rsidP="000C0C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 section 349(6) of the Act, the ACMA must consult with the ACCC before making a pre-selection determination. The ACMA commenced consultation with the ACCC (in September 2014) prior to issuing the consultation paper, and at the ACCC’s request</w:t>
      </w:r>
      <w:r w:rsidR="00021D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provided a copy of the submission received in response to the consultation paper. The ACCC responded in writing on 3 February 2015, advising </w:t>
      </w:r>
      <w:r w:rsidR="00021D2E">
        <w:rPr>
          <w:rFonts w:ascii="Arial" w:hAnsi="Arial" w:cs="Arial"/>
        </w:rPr>
        <w:t xml:space="preserve">the ACMA </w:t>
      </w:r>
      <w:r>
        <w:rPr>
          <w:rFonts w:ascii="Arial" w:hAnsi="Arial" w:cs="Arial"/>
        </w:rPr>
        <w:t>that it did not have any substantive comments on the Determination.</w:t>
      </w:r>
    </w:p>
    <w:p w14:paraId="1B569CA8" w14:textId="03E798EF" w:rsidR="005E3338" w:rsidRDefault="005E3338">
      <w:pPr>
        <w:spacing w:after="0" w:line="240" w:lineRule="auto"/>
        <w:rPr>
          <w:rFonts w:ascii="Arial" w:hAnsi="Arial" w:cs="Arial"/>
        </w:rPr>
      </w:pPr>
    </w:p>
    <w:p w14:paraId="64C498CB" w14:textId="3CECD3CD" w:rsidR="00667BC6" w:rsidRPr="001B03E3" w:rsidRDefault="00667BC6" w:rsidP="00667BC6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Regulat</w:t>
      </w:r>
      <w:r w:rsidR="00590EFA" w:rsidRPr="001B03E3">
        <w:rPr>
          <w:rFonts w:ascii="Arial" w:hAnsi="Arial" w:cs="Arial"/>
          <w:b/>
          <w:sz w:val="24"/>
          <w:szCs w:val="24"/>
        </w:rPr>
        <w:t>ory</w:t>
      </w:r>
      <w:r w:rsidRPr="001B03E3">
        <w:rPr>
          <w:rFonts w:ascii="Arial" w:hAnsi="Arial" w:cs="Arial"/>
          <w:b/>
          <w:sz w:val="24"/>
          <w:szCs w:val="24"/>
        </w:rPr>
        <w:t xml:space="preserve"> Impact</w:t>
      </w:r>
      <w:r w:rsidR="00590EFA" w:rsidRPr="001B03E3">
        <w:rPr>
          <w:rFonts w:ascii="Arial" w:hAnsi="Arial" w:cs="Arial"/>
          <w:b/>
          <w:sz w:val="24"/>
          <w:szCs w:val="24"/>
        </w:rPr>
        <w:t xml:space="preserve"> Statement</w:t>
      </w:r>
    </w:p>
    <w:p w14:paraId="652693B0" w14:textId="28A49604" w:rsidR="00667BC6" w:rsidRDefault="00667BC6" w:rsidP="00667BC6">
      <w:pPr>
        <w:autoSpaceDE w:val="0"/>
        <w:autoSpaceDN w:val="0"/>
        <w:adjustRightInd w:val="0"/>
        <w:spacing w:after="0" w:line="240" w:lineRule="auto"/>
        <w:rPr>
          <w:rFonts w:ascii="Arial" w:hAnsi="Arial"/>
          <w:lang w:eastAsia="en-AU"/>
        </w:rPr>
      </w:pPr>
      <w:r w:rsidRPr="00E11B96">
        <w:rPr>
          <w:rFonts w:ascii="Arial" w:hAnsi="Arial" w:cs="Arial"/>
          <w:lang w:eastAsia="en-AU"/>
        </w:rPr>
        <w:t xml:space="preserve">The Office of Best Practice Regulation </w:t>
      </w:r>
      <w:r w:rsidR="000B0BDE" w:rsidRPr="00E11B96">
        <w:rPr>
          <w:rFonts w:ascii="Arial" w:hAnsi="Arial" w:cs="Arial"/>
          <w:lang w:eastAsia="en-AU"/>
        </w:rPr>
        <w:t>(</w:t>
      </w:r>
      <w:r w:rsidR="000B0BDE" w:rsidRPr="00E11B96">
        <w:rPr>
          <w:rFonts w:ascii="Arial" w:hAnsi="Arial" w:cs="Arial"/>
          <w:b/>
          <w:lang w:eastAsia="en-AU"/>
        </w:rPr>
        <w:t>OBPR</w:t>
      </w:r>
      <w:r w:rsidR="000B0BDE" w:rsidRPr="00E11B96">
        <w:rPr>
          <w:rFonts w:ascii="Arial" w:hAnsi="Arial" w:cs="Arial"/>
          <w:lang w:eastAsia="en-AU"/>
        </w:rPr>
        <w:t xml:space="preserve">) </w:t>
      </w:r>
      <w:r w:rsidRPr="00E11B96">
        <w:rPr>
          <w:rFonts w:ascii="Arial" w:hAnsi="Arial" w:cs="Arial"/>
          <w:lang w:eastAsia="en-AU"/>
        </w:rPr>
        <w:t xml:space="preserve">has considered the matter and formed an opinion </w:t>
      </w:r>
      <w:r w:rsidR="000C0C80" w:rsidRPr="00E11B96">
        <w:rPr>
          <w:rFonts w:ascii="Arial" w:hAnsi="Arial" w:cs="Arial"/>
          <w:lang w:eastAsia="en-AU"/>
        </w:rPr>
        <w:t xml:space="preserve">that the impact of the Determination </w:t>
      </w:r>
      <w:r w:rsidR="00BD73DE" w:rsidRPr="00E11B96">
        <w:rPr>
          <w:rFonts w:ascii="Arial" w:hAnsi="Arial" w:cs="Arial"/>
          <w:lang w:eastAsia="en-AU"/>
        </w:rPr>
        <w:t>is</w:t>
      </w:r>
      <w:r w:rsidR="000C0C80" w:rsidRPr="00E11B96">
        <w:rPr>
          <w:rFonts w:ascii="Arial" w:hAnsi="Arial" w:cs="Arial"/>
          <w:lang w:eastAsia="en-AU"/>
        </w:rPr>
        <w:t xml:space="preserve"> minor</w:t>
      </w:r>
      <w:r w:rsidR="00590EFA" w:rsidRPr="00E11B96">
        <w:rPr>
          <w:rFonts w:ascii="Arial" w:hAnsi="Arial" w:cs="Arial"/>
          <w:lang w:eastAsia="en-AU"/>
        </w:rPr>
        <w:t xml:space="preserve"> </w:t>
      </w:r>
      <w:r w:rsidR="00BD73DE" w:rsidRPr="00E11B96">
        <w:rPr>
          <w:rFonts w:ascii="Arial" w:hAnsi="Arial" w:cs="Arial"/>
          <w:lang w:eastAsia="en-AU"/>
        </w:rPr>
        <w:t xml:space="preserve">or machinery in nature </w:t>
      </w:r>
      <w:r w:rsidR="00590EFA" w:rsidRPr="00E11B96">
        <w:rPr>
          <w:rFonts w:ascii="Arial" w:hAnsi="Arial" w:cs="Arial"/>
          <w:lang w:eastAsia="en-AU"/>
        </w:rPr>
        <w:t>and</w:t>
      </w:r>
      <w:r w:rsidR="00D545A9">
        <w:rPr>
          <w:rFonts w:ascii="Arial" w:hAnsi="Arial" w:cs="Arial"/>
          <w:lang w:eastAsia="en-AU"/>
        </w:rPr>
        <w:t>,</w:t>
      </w:r>
      <w:r w:rsidR="00590EFA" w:rsidRPr="00E11B96">
        <w:rPr>
          <w:rFonts w:ascii="Arial" w:hAnsi="Arial" w:cs="Arial"/>
          <w:lang w:eastAsia="en-AU"/>
        </w:rPr>
        <w:t xml:space="preserve"> on that basis, a Regulatory Impact Statement is not required</w:t>
      </w:r>
      <w:r w:rsidRPr="00E11B96">
        <w:rPr>
          <w:rFonts w:ascii="Arial" w:hAnsi="Arial" w:cs="Arial"/>
          <w:lang w:eastAsia="en-AU"/>
        </w:rPr>
        <w:t xml:space="preserve">. The OBPR </w:t>
      </w:r>
      <w:r w:rsidR="009A1BEE" w:rsidRPr="00E11B96">
        <w:rPr>
          <w:rFonts w:ascii="Arial" w:hAnsi="Arial"/>
          <w:lang w:eastAsia="en-AU"/>
        </w:rPr>
        <w:t>reference</w:t>
      </w:r>
      <w:r w:rsidRPr="00E11B96">
        <w:rPr>
          <w:rFonts w:ascii="Arial" w:hAnsi="Arial"/>
          <w:lang w:eastAsia="en-AU"/>
        </w:rPr>
        <w:t xml:space="preserve"> is ID</w:t>
      </w:r>
      <w:r w:rsidR="00F031E4" w:rsidRPr="00E11B96">
        <w:rPr>
          <w:rFonts w:ascii="Arial" w:hAnsi="Arial"/>
          <w:lang w:eastAsia="en-AU"/>
        </w:rPr>
        <w:t xml:space="preserve"> </w:t>
      </w:r>
      <w:r w:rsidR="000C0C80" w:rsidRPr="00E11B96">
        <w:rPr>
          <w:rFonts w:ascii="Arial" w:hAnsi="Arial"/>
          <w:lang w:eastAsia="en-AU"/>
        </w:rPr>
        <w:t>17568</w:t>
      </w:r>
      <w:r w:rsidRPr="00E11B96">
        <w:rPr>
          <w:rFonts w:ascii="Arial" w:hAnsi="Arial"/>
          <w:lang w:eastAsia="en-AU"/>
        </w:rPr>
        <w:t>.</w:t>
      </w:r>
    </w:p>
    <w:p w14:paraId="294A2676" w14:textId="77777777" w:rsidR="00096501" w:rsidRDefault="00096501" w:rsidP="00667BC6">
      <w:pPr>
        <w:autoSpaceDE w:val="0"/>
        <w:autoSpaceDN w:val="0"/>
        <w:adjustRightInd w:val="0"/>
        <w:spacing w:after="0" w:line="240" w:lineRule="auto"/>
        <w:rPr>
          <w:rFonts w:ascii="Arial" w:hAnsi="Arial"/>
          <w:lang w:eastAsia="en-AU"/>
        </w:rPr>
      </w:pPr>
    </w:p>
    <w:p w14:paraId="3A14631D" w14:textId="54CF9070" w:rsidR="00096501" w:rsidRPr="00946FF6" w:rsidRDefault="00096501" w:rsidP="00096501">
      <w:pPr>
        <w:rPr>
          <w:rFonts w:ascii="Arial" w:hAnsi="Arial" w:cs="Arial"/>
          <w:b/>
          <w:snapToGrid w:val="0"/>
        </w:rPr>
      </w:pPr>
      <w:r w:rsidRPr="00946FF6">
        <w:rPr>
          <w:rFonts w:ascii="Arial" w:hAnsi="Arial" w:cs="Arial"/>
          <w:b/>
          <w:snapToGrid w:val="0"/>
        </w:rPr>
        <w:t xml:space="preserve">Documents incorporated in the </w:t>
      </w:r>
      <w:r>
        <w:rPr>
          <w:rFonts w:ascii="Arial" w:hAnsi="Arial" w:cs="Arial"/>
          <w:b/>
          <w:snapToGrid w:val="0"/>
        </w:rPr>
        <w:t>Determination</w:t>
      </w:r>
      <w:r w:rsidRPr="00946FF6">
        <w:rPr>
          <w:rFonts w:ascii="Arial" w:hAnsi="Arial" w:cs="Arial"/>
          <w:b/>
          <w:snapToGrid w:val="0"/>
        </w:rPr>
        <w:t xml:space="preserve"> by reference </w:t>
      </w:r>
    </w:p>
    <w:p w14:paraId="01779E35" w14:textId="7C4B66B8" w:rsidR="00096501" w:rsidRPr="00946FF6" w:rsidRDefault="00096501" w:rsidP="00AD6DCE">
      <w:pPr>
        <w:pStyle w:val="ACMABodyText"/>
        <w:jc w:val="both"/>
        <w:rPr>
          <w:rFonts w:ascii="Arial" w:hAnsi="Arial" w:cs="Arial"/>
          <w:sz w:val="22"/>
          <w:szCs w:val="22"/>
          <w:lang w:val="en-US"/>
        </w:rPr>
      </w:pPr>
      <w:r w:rsidRPr="00946FF6">
        <w:rPr>
          <w:rFonts w:ascii="Arial" w:hAnsi="Arial" w:cs="Arial"/>
          <w:sz w:val="22"/>
          <w:szCs w:val="22"/>
          <w:lang w:val="en-US"/>
        </w:rPr>
        <w:t xml:space="preserve">The </w:t>
      </w:r>
      <w:r w:rsidR="007553F1">
        <w:rPr>
          <w:rFonts w:ascii="Arial" w:hAnsi="Arial" w:cs="Arial"/>
          <w:sz w:val="22"/>
          <w:szCs w:val="22"/>
          <w:lang w:val="en-US"/>
        </w:rPr>
        <w:t>Determination</w:t>
      </w:r>
      <w:r w:rsidRPr="00946FF6">
        <w:rPr>
          <w:rFonts w:ascii="Arial" w:hAnsi="Arial" w:cs="Arial"/>
          <w:sz w:val="22"/>
          <w:szCs w:val="22"/>
          <w:lang w:val="en-US"/>
        </w:rPr>
        <w:t xml:space="preserve"> incorporate</w:t>
      </w:r>
      <w:r w:rsidR="007553F1">
        <w:rPr>
          <w:rFonts w:ascii="Arial" w:hAnsi="Arial" w:cs="Arial"/>
          <w:sz w:val="22"/>
          <w:szCs w:val="22"/>
          <w:lang w:val="en-US"/>
        </w:rPr>
        <w:t>s,</w:t>
      </w:r>
      <w:r w:rsidRPr="00946FF6">
        <w:rPr>
          <w:rFonts w:ascii="Arial" w:hAnsi="Arial" w:cs="Arial"/>
          <w:sz w:val="22"/>
          <w:szCs w:val="22"/>
          <w:lang w:val="en-US"/>
        </w:rPr>
        <w:t xml:space="preserve"> by reference</w:t>
      </w:r>
      <w:r w:rsidR="00C45B22">
        <w:rPr>
          <w:rFonts w:ascii="Arial" w:hAnsi="Arial" w:cs="Arial"/>
          <w:sz w:val="22"/>
          <w:szCs w:val="22"/>
          <w:lang w:val="en-US"/>
        </w:rPr>
        <w:t>, some definitions and other material taken from</w:t>
      </w:r>
      <w:r w:rsidRPr="00946FF6">
        <w:rPr>
          <w:rFonts w:ascii="Arial" w:hAnsi="Arial" w:cs="Arial"/>
          <w:sz w:val="22"/>
          <w:szCs w:val="22"/>
          <w:lang w:val="en-US"/>
        </w:rPr>
        <w:t xml:space="preserve"> </w:t>
      </w:r>
      <w:r w:rsidR="00AD6DCE">
        <w:rPr>
          <w:rFonts w:ascii="Arial" w:hAnsi="Arial" w:cs="Arial"/>
          <w:sz w:val="22"/>
          <w:szCs w:val="22"/>
          <w:lang w:val="en-US"/>
        </w:rPr>
        <w:t>the following documents</w:t>
      </w:r>
      <w:r w:rsidRPr="00946FF6">
        <w:rPr>
          <w:rFonts w:ascii="Arial" w:hAnsi="Arial" w:cs="Arial"/>
          <w:sz w:val="22"/>
          <w:szCs w:val="22"/>
          <w:lang w:val="en-US"/>
        </w:rPr>
        <w:t>:</w:t>
      </w:r>
    </w:p>
    <w:p w14:paraId="64FD052F" w14:textId="1B7885F3" w:rsidR="00096501" w:rsidRPr="00946FF6" w:rsidRDefault="00096501" w:rsidP="00096501">
      <w:pPr>
        <w:pStyle w:val="ACMABodyText"/>
        <w:numPr>
          <w:ilvl w:val="0"/>
          <w:numId w:val="47"/>
        </w:numPr>
        <w:rPr>
          <w:rFonts w:cs="Arial"/>
          <w:sz w:val="22"/>
          <w:szCs w:val="22"/>
        </w:rPr>
      </w:pPr>
      <w:r w:rsidRPr="00946FF6">
        <w:rPr>
          <w:rFonts w:ascii="Arial" w:hAnsi="Arial" w:cs="Arial"/>
          <w:sz w:val="22"/>
          <w:szCs w:val="22"/>
          <w:lang w:val="en-US"/>
        </w:rPr>
        <w:t xml:space="preserve">the Act; </w:t>
      </w:r>
    </w:p>
    <w:p w14:paraId="23BC08C2" w14:textId="5F3ADAE5" w:rsidR="00AD6DCE" w:rsidRDefault="00AD6DCE" w:rsidP="00096501">
      <w:pPr>
        <w:pStyle w:val="ACMABodyText"/>
        <w:numPr>
          <w:ilvl w:val="0"/>
          <w:numId w:val="47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946FF6">
        <w:rPr>
          <w:rFonts w:ascii="Arial" w:hAnsi="Arial" w:cs="Arial"/>
          <w:i/>
          <w:sz w:val="22"/>
          <w:szCs w:val="22"/>
          <w:lang w:val="en-US"/>
        </w:rPr>
        <w:t>Telecommunications (Consumer Protection and Service Standards) Act 1999</w:t>
      </w:r>
      <w:r w:rsidR="0075408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54083" w:rsidRPr="00946FF6">
        <w:rPr>
          <w:rFonts w:ascii="Arial" w:hAnsi="Arial" w:cs="Arial"/>
          <w:sz w:val="22"/>
          <w:szCs w:val="22"/>
          <w:lang w:val="en-US"/>
        </w:rPr>
        <w:t xml:space="preserve">(the </w:t>
      </w:r>
      <w:r w:rsidR="00754083" w:rsidRPr="00946FF6">
        <w:rPr>
          <w:rFonts w:ascii="Arial" w:hAnsi="Arial" w:cs="Arial"/>
          <w:b/>
          <w:sz w:val="22"/>
          <w:szCs w:val="22"/>
          <w:lang w:val="en-US"/>
        </w:rPr>
        <w:t>TCPSS Act</w:t>
      </w:r>
      <w:r w:rsidR="00754083" w:rsidRPr="00946FF6">
        <w:rPr>
          <w:rFonts w:ascii="Arial" w:hAnsi="Arial" w:cs="Arial"/>
          <w:sz w:val="22"/>
          <w:szCs w:val="22"/>
          <w:lang w:val="en-US"/>
        </w:rPr>
        <w:t>)</w:t>
      </w:r>
      <w:r w:rsidRPr="00754083">
        <w:rPr>
          <w:rFonts w:ascii="Arial" w:hAnsi="Arial" w:cs="Arial"/>
          <w:sz w:val="22"/>
          <w:szCs w:val="22"/>
          <w:lang w:val="en-US"/>
        </w:rPr>
        <w:t>;</w:t>
      </w:r>
      <w:r w:rsidR="009D344B">
        <w:rPr>
          <w:rFonts w:ascii="Arial" w:hAnsi="Arial" w:cs="Arial"/>
          <w:sz w:val="22"/>
          <w:szCs w:val="22"/>
          <w:lang w:val="en-US"/>
        </w:rPr>
        <w:t xml:space="preserve"> and</w:t>
      </w:r>
    </w:p>
    <w:p w14:paraId="59BCC32D" w14:textId="79329DE3" w:rsidR="00096501" w:rsidRPr="00946FF6" w:rsidRDefault="00096501" w:rsidP="00096501">
      <w:pPr>
        <w:pStyle w:val="ACMABodyText"/>
        <w:numPr>
          <w:ilvl w:val="0"/>
          <w:numId w:val="47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 w:rsidRPr="00946FF6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Pr="00946FF6">
        <w:rPr>
          <w:rFonts w:ascii="Arial" w:hAnsi="Arial" w:cs="Arial"/>
          <w:sz w:val="22"/>
          <w:szCs w:val="22"/>
          <w:lang w:val="en-US"/>
        </w:rPr>
        <w:t xml:space="preserve"> </w:t>
      </w:r>
      <w:r w:rsidRPr="00946FF6">
        <w:rPr>
          <w:rFonts w:ascii="Arial" w:hAnsi="Arial" w:cs="Arial"/>
          <w:i/>
          <w:sz w:val="22"/>
          <w:szCs w:val="22"/>
        </w:rPr>
        <w:t xml:space="preserve">Telecommunications </w:t>
      </w:r>
      <w:r w:rsidR="00AD6DCE">
        <w:rPr>
          <w:rFonts w:ascii="Arial" w:hAnsi="Arial" w:cs="Arial"/>
          <w:i/>
          <w:sz w:val="22"/>
          <w:szCs w:val="22"/>
        </w:rPr>
        <w:t xml:space="preserve">Numbering Plan </w:t>
      </w:r>
      <w:r w:rsidR="00AD6DCE" w:rsidRPr="00F3537F">
        <w:rPr>
          <w:rFonts w:ascii="Arial" w:hAnsi="Arial" w:cs="Arial"/>
          <w:i/>
          <w:sz w:val="22"/>
          <w:szCs w:val="22"/>
        </w:rPr>
        <w:t>1997</w:t>
      </w:r>
      <w:r w:rsidR="00AD6DCE" w:rsidRPr="00946FF6">
        <w:rPr>
          <w:rFonts w:ascii="Arial" w:hAnsi="Arial" w:cs="Arial"/>
          <w:sz w:val="22"/>
          <w:szCs w:val="22"/>
        </w:rPr>
        <w:t xml:space="preserve"> </w:t>
      </w:r>
      <w:r w:rsidR="00F3537F">
        <w:rPr>
          <w:rFonts w:ascii="Arial" w:hAnsi="Arial" w:cs="Arial"/>
          <w:sz w:val="22"/>
          <w:szCs w:val="22"/>
        </w:rPr>
        <w:t xml:space="preserve">(the </w:t>
      </w:r>
      <w:r w:rsidR="006763AE" w:rsidRPr="00946FF6">
        <w:rPr>
          <w:rFonts w:ascii="Arial" w:hAnsi="Arial" w:cs="Arial"/>
          <w:b/>
          <w:sz w:val="22"/>
          <w:szCs w:val="22"/>
        </w:rPr>
        <w:t xml:space="preserve">1997 </w:t>
      </w:r>
      <w:r w:rsidR="00F3537F" w:rsidRPr="00946FF6">
        <w:rPr>
          <w:rFonts w:ascii="Arial" w:hAnsi="Arial" w:cs="Arial"/>
          <w:b/>
          <w:sz w:val="22"/>
          <w:szCs w:val="22"/>
        </w:rPr>
        <w:t>Numbering Plan</w:t>
      </w:r>
      <w:r w:rsidR="00F3537F">
        <w:rPr>
          <w:rFonts w:ascii="Arial" w:hAnsi="Arial" w:cs="Arial"/>
          <w:sz w:val="22"/>
          <w:szCs w:val="22"/>
        </w:rPr>
        <w:t xml:space="preserve">) </w:t>
      </w:r>
      <w:r w:rsidR="00AD6DCE" w:rsidRPr="00946FF6">
        <w:rPr>
          <w:rFonts w:ascii="Arial" w:hAnsi="Arial" w:cs="Arial"/>
          <w:sz w:val="22"/>
          <w:szCs w:val="22"/>
        </w:rPr>
        <w:t>(made</w:t>
      </w:r>
      <w:r w:rsidR="00F810AA">
        <w:rPr>
          <w:rFonts w:ascii="Arial" w:hAnsi="Arial" w:cs="Arial"/>
          <w:sz w:val="22"/>
          <w:szCs w:val="22"/>
        </w:rPr>
        <w:t xml:space="preserve"> under subsection 455(1) of the</w:t>
      </w:r>
      <w:bookmarkStart w:id="0" w:name="_GoBack"/>
      <w:bookmarkEnd w:id="0"/>
      <w:r w:rsidR="00754083" w:rsidRPr="00946FF6">
        <w:rPr>
          <w:rFonts w:ascii="Arial" w:hAnsi="Arial" w:cs="Arial"/>
          <w:sz w:val="22"/>
          <w:szCs w:val="22"/>
        </w:rPr>
        <w:t xml:space="preserve"> </w:t>
      </w:r>
      <w:r w:rsidR="00AD6DCE" w:rsidRPr="00946FF6">
        <w:rPr>
          <w:rFonts w:ascii="Arial" w:hAnsi="Arial" w:cs="Arial"/>
          <w:sz w:val="22"/>
          <w:szCs w:val="22"/>
        </w:rPr>
        <w:t>Act</w:t>
      </w:r>
      <w:r w:rsidR="00754083" w:rsidRPr="00754083">
        <w:rPr>
          <w:rFonts w:ascii="Arial" w:hAnsi="Arial" w:cs="Arial"/>
          <w:sz w:val="22"/>
          <w:szCs w:val="22"/>
        </w:rPr>
        <w:t>)</w:t>
      </w:r>
      <w:r w:rsidRPr="00946FF6">
        <w:rPr>
          <w:rFonts w:ascii="Arial" w:hAnsi="Arial" w:cs="Arial"/>
          <w:sz w:val="22"/>
          <w:szCs w:val="22"/>
        </w:rPr>
        <w:t xml:space="preserve">.  </w:t>
      </w:r>
    </w:p>
    <w:p w14:paraId="39987841" w14:textId="73B09CC6" w:rsidR="00096501" w:rsidRPr="00946FF6" w:rsidRDefault="00096501" w:rsidP="00096501">
      <w:pPr>
        <w:pStyle w:val="ACMABodyText"/>
        <w:rPr>
          <w:rFonts w:ascii="Arial" w:hAnsi="Arial" w:cs="Arial"/>
          <w:sz w:val="22"/>
          <w:szCs w:val="22"/>
          <w:lang w:val="en-US"/>
        </w:rPr>
      </w:pPr>
      <w:proofErr w:type="gramStart"/>
      <w:r w:rsidRPr="00946FF6">
        <w:rPr>
          <w:rFonts w:ascii="Arial" w:hAnsi="Arial" w:cs="Arial"/>
          <w:sz w:val="22"/>
          <w:szCs w:val="22"/>
          <w:lang w:val="en-US"/>
        </w:rPr>
        <w:lastRenderedPageBreak/>
        <w:t xml:space="preserve">The </w:t>
      </w:r>
      <w:r w:rsidR="00C45B22">
        <w:rPr>
          <w:rFonts w:ascii="Arial" w:hAnsi="Arial" w:cs="Arial"/>
          <w:sz w:val="22"/>
          <w:szCs w:val="22"/>
          <w:lang w:val="en-US"/>
        </w:rPr>
        <w:t xml:space="preserve"> </w:t>
      </w:r>
      <w:r w:rsidRPr="00946FF6">
        <w:rPr>
          <w:rFonts w:ascii="Arial" w:hAnsi="Arial" w:cs="Arial"/>
          <w:sz w:val="22"/>
          <w:szCs w:val="22"/>
          <w:lang w:val="en-US"/>
        </w:rPr>
        <w:t>Act</w:t>
      </w:r>
      <w:proofErr w:type="gramEnd"/>
      <w:r w:rsidR="00F3537F">
        <w:rPr>
          <w:rFonts w:ascii="Arial" w:hAnsi="Arial" w:cs="Arial"/>
          <w:sz w:val="22"/>
          <w:szCs w:val="22"/>
          <w:lang w:val="en-US"/>
        </w:rPr>
        <w:t>, the TCPSS Act</w:t>
      </w:r>
      <w:r w:rsidRPr="00946FF6">
        <w:rPr>
          <w:rFonts w:ascii="Arial" w:hAnsi="Arial" w:cs="Arial"/>
          <w:sz w:val="22"/>
          <w:szCs w:val="22"/>
          <w:lang w:val="en-US"/>
        </w:rPr>
        <w:t xml:space="preserve"> and the </w:t>
      </w:r>
      <w:r w:rsidR="006763AE">
        <w:rPr>
          <w:rFonts w:ascii="Arial" w:hAnsi="Arial" w:cs="Arial"/>
          <w:sz w:val="22"/>
          <w:szCs w:val="22"/>
          <w:lang w:val="en-US"/>
        </w:rPr>
        <w:t xml:space="preserve">1997 </w:t>
      </w:r>
      <w:r w:rsidR="00F3537F">
        <w:rPr>
          <w:rFonts w:ascii="Arial" w:hAnsi="Arial" w:cs="Arial"/>
          <w:sz w:val="22"/>
          <w:szCs w:val="22"/>
          <w:lang w:val="en-US"/>
        </w:rPr>
        <w:t>Numbering Plan</w:t>
      </w:r>
      <w:r w:rsidRPr="00946FF6">
        <w:rPr>
          <w:rFonts w:ascii="Arial" w:hAnsi="Arial" w:cs="Arial"/>
          <w:sz w:val="22"/>
          <w:szCs w:val="22"/>
          <w:lang w:val="en-US"/>
        </w:rPr>
        <w:t xml:space="preserve"> can be found on the Australian Government’s </w:t>
      </w:r>
      <w:proofErr w:type="spellStart"/>
      <w:r w:rsidRPr="00946FF6">
        <w:rPr>
          <w:rFonts w:ascii="Arial" w:hAnsi="Arial" w:cs="Arial"/>
          <w:sz w:val="22"/>
          <w:szCs w:val="22"/>
          <w:lang w:val="en-US"/>
        </w:rPr>
        <w:t>ComLaw</w:t>
      </w:r>
      <w:proofErr w:type="spellEnd"/>
      <w:r w:rsidRPr="00946FF6">
        <w:rPr>
          <w:rFonts w:ascii="Arial" w:hAnsi="Arial" w:cs="Arial"/>
          <w:sz w:val="22"/>
          <w:szCs w:val="22"/>
          <w:lang w:val="en-US"/>
        </w:rPr>
        <w:t xml:space="preserve"> website (</w:t>
      </w:r>
      <w:hyperlink r:id="rId13" w:history="1">
        <w:r w:rsidRPr="00946FF6">
          <w:rPr>
            <w:rFonts w:ascii="Arial" w:hAnsi="Arial" w:cs="Arial"/>
            <w:sz w:val="22"/>
            <w:szCs w:val="22"/>
          </w:rPr>
          <w:t>http://www.comlaw.gov.au/</w:t>
        </w:r>
      </w:hyperlink>
      <w:r w:rsidRPr="00946FF6">
        <w:rPr>
          <w:rFonts w:ascii="Arial" w:hAnsi="Arial" w:cs="Arial"/>
          <w:sz w:val="22"/>
          <w:szCs w:val="22"/>
          <w:lang w:val="en-US"/>
        </w:rPr>
        <w:t>).</w:t>
      </w:r>
    </w:p>
    <w:p w14:paraId="70099134" w14:textId="77777777" w:rsidR="00096501" w:rsidRPr="00096501" w:rsidRDefault="00096501" w:rsidP="00667BC6">
      <w:pPr>
        <w:autoSpaceDE w:val="0"/>
        <w:autoSpaceDN w:val="0"/>
        <w:adjustRightInd w:val="0"/>
        <w:spacing w:after="0" w:line="240" w:lineRule="auto"/>
        <w:rPr>
          <w:rFonts w:ascii="Arial" w:hAnsi="Arial"/>
          <w:lang w:eastAsia="en-AU"/>
        </w:rPr>
      </w:pPr>
    </w:p>
    <w:p w14:paraId="5FD2EB64" w14:textId="69382850" w:rsidR="000B0BDE" w:rsidRPr="001B03E3" w:rsidRDefault="000B0BDE" w:rsidP="00E4731E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 xml:space="preserve">Notes on </w:t>
      </w:r>
      <w:r w:rsidR="00590EFA" w:rsidRPr="001B03E3">
        <w:rPr>
          <w:rFonts w:ascii="Arial" w:hAnsi="Arial" w:cs="Arial"/>
          <w:b/>
          <w:sz w:val="24"/>
          <w:szCs w:val="24"/>
        </w:rPr>
        <w:t>instrument</w:t>
      </w:r>
    </w:p>
    <w:p w14:paraId="399D4B59" w14:textId="48E70702" w:rsidR="000B0BDE" w:rsidRDefault="000B0BDE" w:rsidP="00E473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lang w:eastAsia="en-AU"/>
        </w:rPr>
        <w:t xml:space="preserve">The provisions of the </w:t>
      </w:r>
      <w:r w:rsidR="000C0C80">
        <w:rPr>
          <w:rFonts w:ascii="Arial" w:hAnsi="Arial" w:cs="Arial"/>
          <w:lang w:eastAsia="en-AU"/>
        </w:rPr>
        <w:t xml:space="preserve">Determination </w:t>
      </w:r>
      <w:r w:rsidR="00F031E4">
        <w:rPr>
          <w:rFonts w:ascii="Arial" w:hAnsi="Arial" w:cs="Arial"/>
          <w:lang w:eastAsia="en-AU"/>
        </w:rPr>
        <w:t xml:space="preserve">are described in Attachment </w:t>
      </w:r>
      <w:r w:rsidR="001C5970">
        <w:rPr>
          <w:rFonts w:ascii="Arial" w:hAnsi="Arial" w:cs="Arial"/>
          <w:lang w:eastAsia="en-AU"/>
        </w:rPr>
        <w:t>1</w:t>
      </w:r>
      <w:r w:rsidR="00F031E4">
        <w:rPr>
          <w:rFonts w:ascii="Arial" w:hAnsi="Arial" w:cs="Arial"/>
          <w:lang w:eastAsia="en-AU"/>
        </w:rPr>
        <w:t>.</w:t>
      </w:r>
    </w:p>
    <w:p w14:paraId="62605E03" w14:textId="77777777" w:rsidR="00E4731E" w:rsidRPr="001B03E3" w:rsidRDefault="00E4731E" w:rsidP="00E4731E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>Statement of compatibility with human rights</w:t>
      </w:r>
    </w:p>
    <w:p w14:paraId="26037A46" w14:textId="7AD4962B" w:rsidR="000B0BDE" w:rsidRPr="000B0BDE" w:rsidRDefault="000B0BDE" w:rsidP="00E47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 </w:t>
      </w:r>
      <w:r w:rsidR="002A65B5">
        <w:rPr>
          <w:rFonts w:ascii="Arial" w:hAnsi="Arial" w:cs="Arial"/>
          <w:lang w:eastAsia="en-AU"/>
        </w:rPr>
        <w:t>S</w:t>
      </w:r>
      <w:r>
        <w:rPr>
          <w:rFonts w:ascii="Arial" w:hAnsi="Arial" w:cs="Arial"/>
          <w:lang w:eastAsia="en-AU"/>
        </w:rPr>
        <w:t xml:space="preserve">tatement of </w:t>
      </w:r>
      <w:r w:rsidR="002A65B5">
        <w:rPr>
          <w:rFonts w:ascii="Arial" w:hAnsi="Arial" w:cs="Arial"/>
          <w:lang w:eastAsia="en-AU"/>
        </w:rPr>
        <w:t>C</w:t>
      </w:r>
      <w:r>
        <w:rPr>
          <w:rFonts w:ascii="Arial" w:hAnsi="Arial" w:cs="Arial"/>
          <w:lang w:eastAsia="en-AU"/>
        </w:rPr>
        <w:t xml:space="preserve">ompatibility with </w:t>
      </w:r>
      <w:r w:rsidR="002A65B5">
        <w:rPr>
          <w:rFonts w:ascii="Arial" w:hAnsi="Arial" w:cs="Arial"/>
          <w:lang w:eastAsia="en-AU"/>
        </w:rPr>
        <w:t>H</w:t>
      </w:r>
      <w:r>
        <w:rPr>
          <w:rFonts w:ascii="Arial" w:hAnsi="Arial" w:cs="Arial"/>
          <w:lang w:eastAsia="en-AU"/>
        </w:rPr>
        <w:t xml:space="preserve">uman </w:t>
      </w:r>
      <w:r w:rsidR="002A65B5">
        <w:rPr>
          <w:rFonts w:ascii="Arial" w:hAnsi="Arial" w:cs="Arial"/>
          <w:lang w:eastAsia="en-AU"/>
        </w:rPr>
        <w:t>R</w:t>
      </w:r>
      <w:r>
        <w:rPr>
          <w:rFonts w:ascii="Arial" w:hAnsi="Arial" w:cs="Arial"/>
          <w:lang w:eastAsia="en-AU"/>
        </w:rPr>
        <w:t xml:space="preserve">ights </w:t>
      </w:r>
      <w:r w:rsidR="002A65B5">
        <w:rPr>
          <w:rFonts w:ascii="Arial" w:hAnsi="Arial" w:cs="Arial"/>
          <w:lang w:eastAsia="en-AU"/>
        </w:rPr>
        <w:t xml:space="preserve">has been prepared in accordance with </w:t>
      </w:r>
      <w:r>
        <w:rPr>
          <w:rFonts w:ascii="Arial" w:hAnsi="Arial" w:cs="Arial"/>
          <w:lang w:eastAsia="en-AU"/>
        </w:rPr>
        <w:t xml:space="preserve">Part 3 of the </w:t>
      </w:r>
      <w:r w:rsidRPr="00E4731E">
        <w:rPr>
          <w:rFonts w:ascii="Arial" w:hAnsi="Arial" w:cs="Arial"/>
          <w:i/>
          <w:lang w:eastAsia="en-AU"/>
        </w:rPr>
        <w:t>Human Rights (Parliamentary Scrutiny) Act 2011</w:t>
      </w:r>
      <w:r>
        <w:rPr>
          <w:rFonts w:ascii="Arial" w:hAnsi="Arial" w:cs="Arial"/>
          <w:i/>
          <w:lang w:eastAsia="en-AU"/>
        </w:rPr>
        <w:t xml:space="preserve"> </w:t>
      </w:r>
      <w:r w:rsidR="002A65B5" w:rsidRPr="007425B4">
        <w:rPr>
          <w:rFonts w:ascii="Arial" w:hAnsi="Arial" w:cs="Arial"/>
          <w:lang w:eastAsia="en-AU"/>
        </w:rPr>
        <w:t>and</w:t>
      </w:r>
      <w:r w:rsidR="002A65B5" w:rsidRPr="005E333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is set out in Attachment </w:t>
      </w:r>
      <w:r w:rsidR="005E3338">
        <w:rPr>
          <w:rFonts w:ascii="Arial" w:hAnsi="Arial" w:cs="Arial"/>
          <w:lang w:eastAsia="en-AU"/>
        </w:rPr>
        <w:t>2</w:t>
      </w:r>
      <w:r>
        <w:rPr>
          <w:rFonts w:ascii="Arial" w:hAnsi="Arial" w:cs="Arial"/>
          <w:lang w:eastAsia="en-AU"/>
        </w:rPr>
        <w:t xml:space="preserve">. </w:t>
      </w:r>
    </w:p>
    <w:p w14:paraId="6E769975" w14:textId="77777777" w:rsidR="000B0BDE" w:rsidRDefault="000B0BDE" w:rsidP="00E47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AU"/>
        </w:rPr>
      </w:pPr>
    </w:p>
    <w:p w14:paraId="56EA0906" w14:textId="34A728BB" w:rsidR="005B6B8B" w:rsidRDefault="005B6B8B" w:rsidP="00E47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AU"/>
        </w:rPr>
        <w:sectPr w:rsidR="005B6B8B" w:rsidSect="00CE79AD">
          <w:footerReference w:type="defaul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DF795CD" w14:textId="77777777" w:rsidR="00C51FCC" w:rsidRDefault="00C51F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39815B8" w14:textId="3395EFC6" w:rsidR="00C51FCC" w:rsidRDefault="00C51FCC" w:rsidP="00C51FC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1</w:t>
      </w:r>
    </w:p>
    <w:p w14:paraId="6B691E31" w14:textId="5FB84537" w:rsidR="00667BC6" w:rsidRPr="001B03E3" w:rsidRDefault="00667BC6" w:rsidP="00C51FCC">
      <w:pPr>
        <w:rPr>
          <w:rFonts w:ascii="Arial" w:hAnsi="Arial" w:cs="Arial"/>
          <w:b/>
          <w:sz w:val="24"/>
          <w:szCs w:val="24"/>
        </w:rPr>
      </w:pPr>
      <w:r w:rsidRPr="001B03E3">
        <w:rPr>
          <w:rFonts w:ascii="Arial" w:hAnsi="Arial" w:cs="Arial"/>
          <w:b/>
          <w:sz w:val="24"/>
          <w:szCs w:val="24"/>
        </w:rPr>
        <w:t xml:space="preserve">Notes on </w:t>
      </w:r>
      <w:r w:rsidR="00590EFA" w:rsidRPr="001B03E3">
        <w:rPr>
          <w:rFonts w:ascii="Arial" w:hAnsi="Arial" w:cs="Arial"/>
          <w:b/>
          <w:sz w:val="24"/>
          <w:szCs w:val="24"/>
        </w:rPr>
        <w:t>Instrument</w:t>
      </w:r>
    </w:p>
    <w:p w14:paraId="120BAE97" w14:textId="59318115" w:rsidR="00A31274" w:rsidRPr="00946FF6" w:rsidRDefault="00A31274" w:rsidP="00CC3131">
      <w:pPr>
        <w:pStyle w:val="Heading3"/>
        <w:tabs>
          <w:tab w:val="left" w:pos="1620"/>
        </w:tabs>
        <w:rPr>
          <w:rFonts w:ascii="Arial" w:hAnsi="Arial" w:cs="Arial"/>
          <w:szCs w:val="24"/>
        </w:rPr>
      </w:pPr>
      <w:r w:rsidRPr="00946FF6">
        <w:rPr>
          <w:rFonts w:ascii="Arial" w:hAnsi="Arial" w:cs="Arial"/>
          <w:szCs w:val="24"/>
        </w:rPr>
        <w:t>Part 1</w:t>
      </w:r>
      <w:r w:rsidR="00354DFD" w:rsidRPr="00946FF6">
        <w:rPr>
          <w:rFonts w:ascii="Arial" w:hAnsi="Arial" w:cs="Arial"/>
          <w:szCs w:val="24"/>
        </w:rPr>
        <w:tab/>
        <w:t>Preliminary</w:t>
      </w:r>
    </w:p>
    <w:p w14:paraId="48242A36" w14:textId="6204AD11" w:rsidR="00CC3131" w:rsidRPr="00946FF6" w:rsidRDefault="00CC3131" w:rsidP="00662F78">
      <w:pPr>
        <w:pStyle w:val="Heading3"/>
        <w:tabs>
          <w:tab w:val="left" w:pos="1620"/>
        </w:tabs>
        <w:spacing w:after="120"/>
        <w:rPr>
          <w:rFonts w:ascii="Arial" w:hAnsi="Arial" w:cs="Arial"/>
          <w:szCs w:val="24"/>
        </w:rPr>
      </w:pPr>
      <w:r w:rsidRPr="00946FF6">
        <w:rPr>
          <w:rFonts w:ascii="Arial" w:hAnsi="Arial" w:cs="Arial"/>
          <w:szCs w:val="24"/>
        </w:rPr>
        <w:t>Section 1</w:t>
      </w:r>
      <w:r w:rsidRPr="00946FF6">
        <w:rPr>
          <w:rFonts w:ascii="Arial" w:hAnsi="Arial" w:cs="Arial"/>
          <w:szCs w:val="24"/>
        </w:rPr>
        <w:tab/>
        <w:t xml:space="preserve">Name of </w:t>
      </w:r>
      <w:r w:rsidR="0068424D" w:rsidRPr="00946FF6">
        <w:rPr>
          <w:rFonts w:ascii="Arial" w:hAnsi="Arial" w:cs="Arial"/>
          <w:szCs w:val="24"/>
        </w:rPr>
        <w:t>Determination</w:t>
      </w:r>
    </w:p>
    <w:p w14:paraId="2E744092" w14:textId="53F65988" w:rsidR="00CC3131" w:rsidRPr="00E4731E" w:rsidRDefault="00CC3131" w:rsidP="00662F78">
      <w:pPr>
        <w:spacing w:after="120" w:line="240" w:lineRule="auto"/>
        <w:rPr>
          <w:rFonts w:ascii="Arial" w:hAnsi="Arial" w:cs="Arial"/>
        </w:rPr>
      </w:pPr>
      <w:r w:rsidRPr="00E4731E">
        <w:rPr>
          <w:rFonts w:ascii="Arial" w:hAnsi="Arial" w:cs="Arial"/>
        </w:rPr>
        <w:t xml:space="preserve">This section provides that the title of the </w:t>
      </w:r>
      <w:r w:rsidR="0068424D">
        <w:rPr>
          <w:rFonts w:ascii="Arial" w:hAnsi="Arial" w:cs="Arial"/>
        </w:rPr>
        <w:t>Determination</w:t>
      </w:r>
      <w:r w:rsidR="0068424D" w:rsidRPr="00E4731E">
        <w:rPr>
          <w:rFonts w:ascii="Arial" w:hAnsi="Arial" w:cs="Arial"/>
        </w:rPr>
        <w:t xml:space="preserve"> </w:t>
      </w:r>
      <w:r w:rsidRPr="00E4731E">
        <w:rPr>
          <w:rFonts w:ascii="Arial" w:hAnsi="Arial" w:cs="Arial"/>
        </w:rPr>
        <w:t xml:space="preserve">is the </w:t>
      </w:r>
      <w:r w:rsidR="00E4731E" w:rsidRPr="00E4731E">
        <w:rPr>
          <w:rFonts w:ascii="Arial" w:hAnsi="Arial" w:cs="Arial"/>
          <w:i/>
        </w:rPr>
        <w:t xml:space="preserve">Telecommunications </w:t>
      </w:r>
      <w:r w:rsidR="0068424D" w:rsidRPr="0068424D">
        <w:rPr>
          <w:rFonts w:ascii="Arial" w:hAnsi="Arial" w:cs="Arial"/>
          <w:i/>
        </w:rPr>
        <w:t>(Provision of Pre-selection) Determination 201</w:t>
      </w:r>
      <w:r w:rsidR="000664A3">
        <w:rPr>
          <w:rFonts w:ascii="Arial" w:hAnsi="Arial" w:cs="Arial"/>
          <w:i/>
        </w:rPr>
        <w:t>5</w:t>
      </w:r>
      <w:r w:rsidRPr="00E4731E">
        <w:rPr>
          <w:rFonts w:ascii="Arial" w:hAnsi="Arial" w:cs="Arial"/>
        </w:rPr>
        <w:t>.</w:t>
      </w:r>
    </w:p>
    <w:p w14:paraId="3CDDEA8B" w14:textId="77777777" w:rsidR="00CC3131" w:rsidRPr="00946FF6" w:rsidRDefault="00CC3131" w:rsidP="00662F78">
      <w:pPr>
        <w:pStyle w:val="Heading3"/>
        <w:tabs>
          <w:tab w:val="left" w:pos="1620"/>
        </w:tabs>
        <w:spacing w:after="120"/>
        <w:rPr>
          <w:rFonts w:ascii="Arial" w:hAnsi="Arial" w:cs="Arial"/>
          <w:szCs w:val="24"/>
        </w:rPr>
      </w:pPr>
      <w:r w:rsidRPr="00946FF6">
        <w:rPr>
          <w:rFonts w:ascii="Arial" w:hAnsi="Arial" w:cs="Arial"/>
          <w:szCs w:val="24"/>
        </w:rPr>
        <w:t>Section 2</w:t>
      </w:r>
      <w:r w:rsidRPr="00946FF6">
        <w:rPr>
          <w:rFonts w:ascii="Arial" w:hAnsi="Arial" w:cs="Arial"/>
          <w:szCs w:val="24"/>
        </w:rPr>
        <w:tab/>
        <w:t>Commencement</w:t>
      </w:r>
    </w:p>
    <w:p w14:paraId="287BB79B" w14:textId="61B89C4A" w:rsidR="00CC3131" w:rsidRPr="001F628C" w:rsidRDefault="00CC3131" w:rsidP="004B6340">
      <w:pPr>
        <w:spacing w:after="120" w:line="240" w:lineRule="auto"/>
        <w:rPr>
          <w:rFonts w:ascii="Arial" w:hAnsi="Arial" w:cs="Arial"/>
        </w:rPr>
      </w:pPr>
      <w:r w:rsidRPr="00E4731E">
        <w:rPr>
          <w:rFonts w:ascii="Arial" w:hAnsi="Arial" w:cs="Arial"/>
        </w:rPr>
        <w:t xml:space="preserve">This section </w:t>
      </w:r>
      <w:r w:rsidR="00170BD0">
        <w:rPr>
          <w:rFonts w:ascii="Arial" w:hAnsi="Arial" w:cs="Arial"/>
        </w:rPr>
        <w:t>sta</w:t>
      </w:r>
      <w:r w:rsidR="00417016">
        <w:rPr>
          <w:rFonts w:ascii="Arial" w:hAnsi="Arial" w:cs="Arial"/>
        </w:rPr>
        <w:t>t</w:t>
      </w:r>
      <w:r w:rsidR="00170BD0">
        <w:rPr>
          <w:rFonts w:ascii="Arial" w:hAnsi="Arial" w:cs="Arial"/>
        </w:rPr>
        <w:t>es</w:t>
      </w:r>
      <w:r w:rsidR="00170BD0" w:rsidRPr="00E4731E">
        <w:rPr>
          <w:rFonts w:ascii="Arial" w:hAnsi="Arial" w:cs="Arial"/>
        </w:rPr>
        <w:t xml:space="preserve"> </w:t>
      </w:r>
      <w:r w:rsidR="00C75A19">
        <w:rPr>
          <w:rFonts w:ascii="Arial" w:hAnsi="Arial" w:cs="Arial"/>
        </w:rPr>
        <w:t xml:space="preserve">that </w:t>
      </w:r>
      <w:r w:rsidRPr="00E4731E">
        <w:rPr>
          <w:rFonts w:ascii="Arial" w:hAnsi="Arial" w:cs="Arial"/>
        </w:rPr>
        <w:t xml:space="preserve">the </w:t>
      </w:r>
      <w:r w:rsidR="0068424D">
        <w:rPr>
          <w:rFonts w:ascii="Arial" w:hAnsi="Arial" w:cs="Arial"/>
        </w:rPr>
        <w:t>Determination</w:t>
      </w:r>
      <w:r w:rsidR="0068424D" w:rsidRPr="00C75A19">
        <w:rPr>
          <w:rFonts w:ascii="Arial" w:hAnsi="Arial" w:cs="Arial"/>
          <w:i/>
        </w:rPr>
        <w:t xml:space="preserve"> </w:t>
      </w:r>
      <w:r w:rsidR="000A69C2" w:rsidRPr="009A63D7">
        <w:rPr>
          <w:rFonts w:ascii="Arial" w:hAnsi="Arial" w:cs="Arial"/>
        </w:rPr>
        <w:t>will</w:t>
      </w:r>
      <w:r w:rsidR="000A69C2">
        <w:rPr>
          <w:rFonts w:ascii="Arial" w:hAnsi="Arial" w:cs="Arial"/>
        </w:rPr>
        <w:t xml:space="preserve"> </w:t>
      </w:r>
      <w:r w:rsidRPr="00E4731E">
        <w:rPr>
          <w:rFonts w:ascii="Arial" w:hAnsi="Arial" w:cs="Arial"/>
        </w:rPr>
        <w:t xml:space="preserve">commence </w:t>
      </w:r>
      <w:r w:rsidR="001F628C">
        <w:rPr>
          <w:rFonts w:ascii="Arial" w:hAnsi="Arial" w:cs="Arial"/>
        </w:rPr>
        <w:t xml:space="preserve">on the </w:t>
      </w:r>
      <w:r w:rsidR="0068424D" w:rsidRPr="001F628C">
        <w:rPr>
          <w:rFonts w:ascii="Arial" w:hAnsi="Arial" w:cs="Arial"/>
        </w:rPr>
        <w:t>day after it is registered</w:t>
      </w:r>
      <w:r w:rsidR="00170BD0">
        <w:rPr>
          <w:rFonts w:ascii="Arial" w:hAnsi="Arial" w:cs="Arial"/>
        </w:rPr>
        <w:t xml:space="preserve"> on the Federal </w:t>
      </w:r>
      <w:r w:rsidR="00FF2919">
        <w:rPr>
          <w:rFonts w:ascii="Arial" w:hAnsi="Arial" w:cs="Arial"/>
        </w:rPr>
        <w:t>Register</w:t>
      </w:r>
      <w:r w:rsidR="005B6FE3">
        <w:rPr>
          <w:rFonts w:ascii="Arial" w:hAnsi="Arial" w:cs="Arial"/>
        </w:rPr>
        <w:t xml:space="preserve"> of Legislative Instruments</w:t>
      </w:r>
      <w:r w:rsidR="005572A7" w:rsidRPr="001F628C">
        <w:rPr>
          <w:rFonts w:ascii="Arial" w:hAnsi="Arial" w:cs="Arial"/>
        </w:rPr>
        <w:t>.</w:t>
      </w:r>
    </w:p>
    <w:p w14:paraId="2DBF1993" w14:textId="77B8170A" w:rsidR="00A31274" w:rsidRPr="00946FF6" w:rsidRDefault="00CC3131" w:rsidP="00662F78">
      <w:pPr>
        <w:pStyle w:val="Heading3"/>
        <w:tabs>
          <w:tab w:val="left" w:pos="1620"/>
        </w:tabs>
        <w:spacing w:after="120"/>
        <w:rPr>
          <w:rFonts w:ascii="Arial" w:hAnsi="Arial" w:cs="Arial"/>
          <w:color w:val="000000" w:themeColor="text1"/>
          <w:szCs w:val="24"/>
        </w:rPr>
      </w:pPr>
      <w:r w:rsidRPr="00946FF6">
        <w:rPr>
          <w:rFonts w:ascii="Arial" w:hAnsi="Arial" w:cs="Arial"/>
          <w:color w:val="000000" w:themeColor="text1"/>
          <w:szCs w:val="24"/>
        </w:rPr>
        <w:t>Section 3</w:t>
      </w:r>
      <w:r w:rsidRPr="00946FF6">
        <w:rPr>
          <w:rFonts w:ascii="Arial" w:hAnsi="Arial" w:cs="Arial"/>
          <w:color w:val="000000" w:themeColor="text1"/>
          <w:szCs w:val="24"/>
        </w:rPr>
        <w:tab/>
      </w:r>
      <w:r w:rsidR="00E27979" w:rsidRPr="00946FF6">
        <w:rPr>
          <w:rFonts w:ascii="Arial" w:hAnsi="Arial" w:cs="Arial"/>
          <w:color w:val="000000" w:themeColor="text1"/>
          <w:szCs w:val="24"/>
        </w:rPr>
        <w:t>Revocation</w:t>
      </w:r>
      <w:r w:rsidR="005D692C" w:rsidRPr="00946FF6">
        <w:rPr>
          <w:rFonts w:ascii="Arial" w:hAnsi="Arial" w:cs="Arial"/>
          <w:color w:val="000000" w:themeColor="text1"/>
          <w:szCs w:val="24"/>
        </w:rPr>
        <w:t>s</w:t>
      </w:r>
    </w:p>
    <w:p w14:paraId="6A3F7DA2" w14:textId="6A2050CC" w:rsidR="00B34F22" w:rsidRDefault="005D692C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Section 3 has the effect of</w:t>
      </w:r>
      <w:r w:rsidR="00B34F22">
        <w:rPr>
          <w:rFonts w:ascii="Arial" w:hAnsi="Arial" w:cs="Arial"/>
          <w:color w:val="000000" w:themeColor="text1"/>
        </w:rPr>
        <w:t xml:space="preserve"> revok</w:t>
      </w:r>
      <w:r>
        <w:rPr>
          <w:rFonts w:ascii="Arial" w:hAnsi="Arial" w:cs="Arial"/>
          <w:color w:val="000000" w:themeColor="text1"/>
        </w:rPr>
        <w:t>ing</w:t>
      </w:r>
      <w:r w:rsidR="00B34F22">
        <w:rPr>
          <w:rFonts w:ascii="Arial" w:hAnsi="Arial" w:cs="Arial"/>
          <w:color w:val="000000" w:themeColor="text1"/>
        </w:rPr>
        <w:t xml:space="preserve"> the:</w:t>
      </w:r>
    </w:p>
    <w:p w14:paraId="79A7545B" w14:textId="77777777" w:rsidR="00B34F22" w:rsidRDefault="00B34F22" w:rsidP="00B34F22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46FF6">
        <w:rPr>
          <w:rFonts w:ascii="Arial" w:hAnsi="Arial" w:cs="Arial"/>
          <w:i/>
          <w:color w:val="000000" w:themeColor="text1"/>
        </w:rPr>
        <w:t>Telecommunications (Provision of Pre-selection for a Standard Telephone Service) Determination 1998</w:t>
      </w:r>
      <w:r w:rsidRPr="00B34F22">
        <w:rPr>
          <w:rFonts w:ascii="Arial" w:hAnsi="Arial" w:cs="Arial"/>
          <w:color w:val="000000" w:themeColor="text1"/>
        </w:rPr>
        <w:t xml:space="preserve"> (FRLI No. F2005B00452);</w:t>
      </w:r>
    </w:p>
    <w:p w14:paraId="4AA4730D" w14:textId="77777777" w:rsidR="00B34F22" w:rsidRDefault="00B34F22" w:rsidP="00B34F22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46FF6">
        <w:rPr>
          <w:rFonts w:ascii="Arial" w:hAnsi="Arial" w:cs="Arial"/>
          <w:i/>
          <w:color w:val="000000" w:themeColor="text1"/>
        </w:rPr>
        <w:t>Telecommunications (Provision of Pre-selection for Specified Carriage Services) Determination 1998</w:t>
      </w:r>
      <w:r w:rsidRPr="00B34F22">
        <w:rPr>
          <w:rFonts w:ascii="Arial" w:hAnsi="Arial" w:cs="Arial"/>
          <w:color w:val="000000" w:themeColor="text1"/>
        </w:rPr>
        <w:t xml:space="preserve"> (FRLI No. F2005B00451); and</w:t>
      </w:r>
    </w:p>
    <w:p w14:paraId="39354457" w14:textId="46BD8B9F" w:rsidR="00B34F22" w:rsidRPr="00B34F22" w:rsidRDefault="00B34F22" w:rsidP="00B34F22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946FF6">
        <w:rPr>
          <w:rFonts w:ascii="Arial" w:hAnsi="Arial" w:cs="Arial"/>
          <w:i/>
          <w:color w:val="000000" w:themeColor="text1"/>
        </w:rPr>
        <w:t xml:space="preserve">Telecommunications (Standard Telephone Service and Specified Carriage Service Exemption) Declaration 1998 </w:t>
      </w:r>
      <w:r w:rsidRPr="00B34F22">
        <w:rPr>
          <w:rFonts w:ascii="Arial" w:hAnsi="Arial" w:cs="Arial"/>
          <w:color w:val="000000" w:themeColor="text1"/>
        </w:rPr>
        <w:t>(FRLI No. F2005B00455)</w:t>
      </w:r>
      <w:r w:rsidR="00C45B22">
        <w:rPr>
          <w:rFonts w:ascii="Arial" w:hAnsi="Arial" w:cs="Arial"/>
          <w:color w:val="000000" w:themeColor="text1"/>
        </w:rPr>
        <w:t>.</w:t>
      </w:r>
    </w:p>
    <w:p w14:paraId="260AF003" w14:textId="77777777" w:rsidR="00371ED5" w:rsidRPr="009E3332" w:rsidRDefault="00E27979" w:rsidP="00371ED5">
      <w:pPr>
        <w:pStyle w:val="Heading3"/>
        <w:tabs>
          <w:tab w:val="left" w:pos="1620"/>
        </w:tabs>
        <w:spacing w:after="120"/>
        <w:rPr>
          <w:rFonts w:ascii="Arial" w:hAnsi="Arial" w:cs="Arial"/>
          <w:color w:val="000000" w:themeColor="text1"/>
          <w:szCs w:val="24"/>
        </w:rPr>
      </w:pPr>
      <w:r w:rsidRPr="009E3332">
        <w:rPr>
          <w:rFonts w:ascii="Arial" w:hAnsi="Arial" w:cs="Arial"/>
          <w:color w:val="000000" w:themeColor="text1"/>
          <w:szCs w:val="24"/>
        </w:rPr>
        <w:t>Section 4</w:t>
      </w:r>
      <w:r w:rsidRPr="009E3332">
        <w:rPr>
          <w:rFonts w:ascii="Arial" w:hAnsi="Arial" w:cs="Arial"/>
          <w:color w:val="000000" w:themeColor="text1"/>
          <w:szCs w:val="24"/>
        </w:rPr>
        <w:tab/>
      </w:r>
      <w:r w:rsidR="00371ED5" w:rsidRPr="009E3332">
        <w:rPr>
          <w:rFonts w:ascii="Arial" w:hAnsi="Arial" w:cs="Arial"/>
          <w:color w:val="000000" w:themeColor="text1"/>
          <w:szCs w:val="24"/>
        </w:rPr>
        <w:t>Definitions</w:t>
      </w:r>
    </w:p>
    <w:p w14:paraId="302DAC99" w14:textId="3B3BE481" w:rsidR="00EF0F6B" w:rsidRDefault="00371ED5" w:rsidP="00371ED5">
      <w:pPr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This section </w:t>
      </w:r>
      <w:r w:rsidR="0007585A">
        <w:rPr>
          <w:rFonts w:ascii="Arial" w:hAnsi="Arial" w:cs="Arial"/>
          <w:lang w:eastAsia="en-AU"/>
        </w:rPr>
        <w:t xml:space="preserve">sets out </w:t>
      </w:r>
      <w:r w:rsidR="00417016">
        <w:rPr>
          <w:rFonts w:ascii="Arial" w:hAnsi="Arial" w:cs="Arial"/>
          <w:lang w:eastAsia="en-AU"/>
        </w:rPr>
        <w:t xml:space="preserve">some </w:t>
      </w:r>
      <w:r w:rsidR="005D692C">
        <w:rPr>
          <w:rFonts w:ascii="Arial" w:hAnsi="Arial" w:cs="Arial"/>
          <w:lang w:eastAsia="en-AU"/>
        </w:rPr>
        <w:t xml:space="preserve">key </w:t>
      </w:r>
      <w:r>
        <w:rPr>
          <w:rFonts w:ascii="Arial" w:hAnsi="Arial" w:cs="Arial"/>
          <w:lang w:eastAsia="en-AU"/>
        </w:rPr>
        <w:t>terms used in the Determination.</w:t>
      </w:r>
      <w:r w:rsidR="00170BD0">
        <w:rPr>
          <w:rFonts w:ascii="Arial" w:hAnsi="Arial" w:cs="Arial"/>
          <w:lang w:eastAsia="en-AU"/>
        </w:rPr>
        <w:t xml:space="preserve">  </w:t>
      </w:r>
      <w:r w:rsidR="005D692C">
        <w:rPr>
          <w:rFonts w:ascii="Arial" w:hAnsi="Arial" w:cs="Arial"/>
          <w:lang w:eastAsia="en-AU"/>
        </w:rPr>
        <w:t xml:space="preserve">The </w:t>
      </w:r>
      <w:r w:rsidR="00674DA9">
        <w:rPr>
          <w:rFonts w:ascii="Arial" w:hAnsi="Arial" w:cs="Arial"/>
          <w:lang w:eastAsia="en-AU"/>
        </w:rPr>
        <w:t>terms</w:t>
      </w:r>
      <w:r w:rsidR="005D692C">
        <w:rPr>
          <w:rFonts w:ascii="Arial" w:hAnsi="Arial" w:cs="Arial"/>
          <w:lang w:eastAsia="en-AU"/>
        </w:rPr>
        <w:t xml:space="preserve"> are the same as those used in </w:t>
      </w:r>
      <w:r w:rsidR="00EF0F6B">
        <w:rPr>
          <w:rFonts w:ascii="Arial" w:hAnsi="Arial" w:cs="Arial"/>
          <w:lang w:eastAsia="en-AU"/>
        </w:rPr>
        <w:t>instruments which the Determination replaces other than the following:</w:t>
      </w:r>
    </w:p>
    <w:p w14:paraId="0CA679EF" w14:textId="03BA0F5F" w:rsidR="00371ED5" w:rsidRDefault="000B1105" w:rsidP="009E3332">
      <w:pPr>
        <w:pStyle w:val="ListParagraph"/>
        <w:numPr>
          <w:ilvl w:val="0"/>
          <w:numId w:val="48"/>
        </w:numPr>
        <w:spacing w:after="120"/>
        <w:rPr>
          <w:rFonts w:ascii="Arial" w:hAnsi="Arial" w:cs="Arial"/>
          <w:lang w:eastAsia="en-AU"/>
        </w:rPr>
      </w:pPr>
      <w:r w:rsidRPr="009E3332">
        <w:rPr>
          <w:rFonts w:ascii="Arial" w:hAnsi="Arial" w:cs="Arial"/>
          <w:i/>
          <w:lang w:eastAsia="en-AU"/>
        </w:rPr>
        <w:t>a</w:t>
      </w:r>
      <w:r w:rsidR="008B3F37" w:rsidRPr="009E3332">
        <w:rPr>
          <w:rFonts w:ascii="Arial" w:hAnsi="Arial" w:cs="Arial"/>
          <w:i/>
          <w:lang w:eastAsia="en-AU"/>
        </w:rPr>
        <w:t>ccess service deliverer</w:t>
      </w:r>
      <w:r>
        <w:rPr>
          <w:rFonts w:ascii="Arial" w:hAnsi="Arial" w:cs="Arial"/>
          <w:lang w:eastAsia="en-AU"/>
        </w:rPr>
        <w:t xml:space="preserve"> means a carrier or a carriage service provider who is required under section 7 or section 8 of the Determination to provide pre-selection;</w:t>
      </w:r>
    </w:p>
    <w:p w14:paraId="7F4F45BD" w14:textId="79FF0D6D" w:rsidR="00674DA9" w:rsidRPr="002B2C58" w:rsidRDefault="00674DA9" w:rsidP="009E3332">
      <w:pPr>
        <w:pStyle w:val="ListParagraph"/>
        <w:numPr>
          <w:ilvl w:val="0"/>
          <w:numId w:val="48"/>
        </w:numPr>
        <w:spacing w:after="120"/>
        <w:rPr>
          <w:rFonts w:ascii="Arial" w:hAnsi="Arial" w:cs="Arial"/>
          <w:lang w:eastAsia="en-AU"/>
        </w:rPr>
      </w:pPr>
      <w:r w:rsidRPr="009E3332">
        <w:rPr>
          <w:rFonts w:ascii="Arial" w:hAnsi="Arial" w:cs="Arial"/>
          <w:lang w:eastAsia="en-AU"/>
        </w:rPr>
        <w:t>the inclusion of</w:t>
      </w:r>
      <w:r w:rsidRPr="0030451F">
        <w:rPr>
          <w:rFonts w:ascii="Arial" w:hAnsi="Arial" w:cs="Arial"/>
          <w:lang w:eastAsia="en-AU"/>
        </w:rPr>
        <w:t xml:space="preserve"> </w:t>
      </w:r>
      <w:r w:rsidRPr="00FA16AF">
        <w:rPr>
          <w:rFonts w:ascii="Arial" w:hAnsi="Arial" w:cs="Arial"/>
          <w:lang w:eastAsia="en-AU"/>
        </w:rPr>
        <w:t>a</w:t>
      </w:r>
      <w:r w:rsidRPr="002416F1">
        <w:rPr>
          <w:rFonts w:ascii="Arial" w:hAnsi="Arial" w:cs="Arial"/>
          <w:i/>
          <w:lang w:eastAsia="en-AU"/>
        </w:rPr>
        <w:t xml:space="preserve"> </w:t>
      </w:r>
      <w:r w:rsidRPr="00FA16AF">
        <w:rPr>
          <w:rFonts w:ascii="Arial" w:hAnsi="Arial" w:cs="Arial"/>
          <w:lang w:eastAsia="en-AU"/>
        </w:rPr>
        <w:t>public mobile telecommunications service</w:t>
      </w:r>
      <w:r w:rsidRPr="009E3332">
        <w:rPr>
          <w:rFonts w:ascii="Arial" w:hAnsi="Arial" w:cs="Arial"/>
          <w:lang w:eastAsia="en-AU"/>
        </w:rPr>
        <w:t xml:space="preserve"> </w:t>
      </w:r>
      <w:r w:rsidR="002416F1" w:rsidRPr="002416F1">
        <w:rPr>
          <w:rFonts w:ascii="Arial" w:hAnsi="Arial" w:cs="Arial"/>
          <w:lang w:eastAsia="en-AU"/>
        </w:rPr>
        <w:t xml:space="preserve">in </w:t>
      </w:r>
      <w:r w:rsidR="002416F1">
        <w:rPr>
          <w:rFonts w:ascii="Arial" w:hAnsi="Arial" w:cs="Arial"/>
          <w:lang w:eastAsia="en-AU"/>
        </w:rPr>
        <w:t>the</w:t>
      </w:r>
      <w:r w:rsidR="002416F1" w:rsidRPr="002416F1">
        <w:rPr>
          <w:rFonts w:ascii="Arial" w:hAnsi="Arial" w:cs="Arial"/>
          <w:lang w:eastAsia="en-AU"/>
        </w:rPr>
        <w:t xml:space="preserve"> </w:t>
      </w:r>
      <w:r w:rsidR="002416F1">
        <w:rPr>
          <w:rFonts w:ascii="Arial" w:hAnsi="Arial" w:cs="Arial"/>
          <w:lang w:eastAsia="en-AU"/>
        </w:rPr>
        <w:t>definition of</w:t>
      </w:r>
      <w:r w:rsidR="002416F1" w:rsidRPr="009E3332">
        <w:rPr>
          <w:rFonts w:ascii="Arial" w:hAnsi="Arial" w:cs="Arial"/>
          <w:lang w:eastAsia="en-AU"/>
        </w:rPr>
        <w:t xml:space="preserve"> a </w:t>
      </w:r>
      <w:r w:rsidR="002416F1" w:rsidRPr="00FA16AF">
        <w:rPr>
          <w:rFonts w:ascii="Arial" w:hAnsi="Arial" w:cs="Arial"/>
          <w:i/>
          <w:lang w:eastAsia="en-AU"/>
        </w:rPr>
        <w:t>pre-selectable service</w:t>
      </w:r>
      <w:r w:rsidR="002B2C58" w:rsidRPr="002B2C58">
        <w:rPr>
          <w:rFonts w:ascii="Arial" w:hAnsi="Arial" w:cs="Arial"/>
          <w:lang w:eastAsia="en-AU"/>
        </w:rPr>
        <w:t>;</w:t>
      </w:r>
    </w:p>
    <w:p w14:paraId="2AA0E85D" w14:textId="79B78B5F" w:rsidR="002B2C58" w:rsidRPr="002416F1" w:rsidRDefault="002B2C58" w:rsidP="009E3332">
      <w:pPr>
        <w:pStyle w:val="ListParagraph"/>
        <w:numPr>
          <w:ilvl w:val="0"/>
          <w:numId w:val="48"/>
        </w:numPr>
        <w:spacing w:after="120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the</w:t>
      </w:r>
      <w:proofErr w:type="gramEnd"/>
      <w:r>
        <w:rPr>
          <w:rFonts w:ascii="Arial" w:hAnsi="Arial" w:cs="Arial"/>
          <w:lang w:eastAsia="en-AU"/>
        </w:rPr>
        <w:t xml:space="preserve"> inclusion of </w:t>
      </w:r>
      <w:r w:rsidR="00251A8A" w:rsidRPr="0061505A">
        <w:rPr>
          <w:rFonts w:ascii="Arial" w:hAnsi="Arial" w:cs="Arial"/>
          <w:i/>
          <w:lang w:eastAsia="en-AU"/>
        </w:rPr>
        <w:t xml:space="preserve">1997 </w:t>
      </w:r>
      <w:r w:rsidR="009E3332">
        <w:rPr>
          <w:rFonts w:ascii="Arial" w:hAnsi="Arial" w:cs="Arial"/>
          <w:i/>
          <w:lang w:eastAsia="en-AU"/>
        </w:rPr>
        <w:t>n</w:t>
      </w:r>
      <w:r w:rsidRPr="009E3332">
        <w:rPr>
          <w:rFonts w:ascii="Arial" w:hAnsi="Arial" w:cs="Arial"/>
          <w:i/>
          <w:lang w:eastAsia="en-AU"/>
        </w:rPr>
        <w:t xml:space="preserve">umbering </w:t>
      </w:r>
      <w:r w:rsidR="009E3332">
        <w:rPr>
          <w:rFonts w:ascii="Arial" w:hAnsi="Arial" w:cs="Arial"/>
          <w:i/>
          <w:lang w:eastAsia="en-AU"/>
        </w:rPr>
        <w:t>p</w:t>
      </w:r>
      <w:r w:rsidRPr="009E3332">
        <w:rPr>
          <w:rFonts w:ascii="Arial" w:hAnsi="Arial" w:cs="Arial"/>
          <w:i/>
          <w:lang w:eastAsia="en-AU"/>
        </w:rPr>
        <w:t>lan</w:t>
      </w:r>
      <w:r w:rsidR="00485E7A" w:rsidRPr="00485E7A">
        <w:rPr>
          <w:rFonts w:ascii="Arial" w:hAnsi="Arial" w:cs="Arial"/>
          <w:i/>
          <w:lang w:eastAsia="en-AU"/>
        </w:rPr>
        <w:t xml:space="preserve"> </w:t>
      </w:r>
      <w:r w:rsidR="009773CC">
        <w:rPr>
          <w:rFonts w:ascii="Arial" w:hAnsi="Arial" w:cs="Arial"/>
          <w:lang w:eastAsia="en-AU"/>
        </w:rPr>
        <w:t xml:space="preserve">(the plan </w:t>
      </w:r>
      <w:r>
        <w:rPr>
          <w:rFonts w:ascii="Arial" w:hAnsi="Arial" w:cs="Arial"/>
          <w:lang w:eastAsia="en-AU"/>
        </w:rPr>
        <w:t>made by the ACMA under subsection 455(1) of the Act</w:t>
      </w:r>
      <w:r w:rsidR="009773CC">
        <w:rPr>
          <w:rFonts w:ascii="Arial" w:hAnsi="Arial" w:cs="Arial"/>
          <w:lang w:eastAsia="en-AU"/>
        </w:rPr>
        <w:t>)</w:t>
      </w:r>
      <w:r w:rsidR="00D1504F">
        <w:rPr>
          <w:rFonts w:ascii="Arial" w:hAnsi="Arial" w:cs="Arial"/>
          <w:lang w:eastAsia="en-AU"/>
        </w:rPr>
        <w:t xml:space="preserve"> as a defined term</w:t>
      </w:r>
      <w:r>
        <w:rPr>
          <w:rFonts w:ascii="Arial" w:hAnsi="Arial" w:cs="Arial"/>
          <w:lang w:eastAsia="en-AU"/>
        </w:rPr>
        <w:t>.</w:t>
      </w:r>
    </w:p>
    <w:p w14:paraId="50473EB0" w14:textId="31ACCFD2" w:rsidR="00170BD0" w:rsidRPr="00C02E6A" w:rsidRDefault="00110BD5" w:rsidP="00371ED5">
      <w:pPr>
        <w:spacing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Other terms defined in section 4 refer to </w:t>
      </w:r>
      <w:r w:rsidR="00D25174">
        <w:rPr>
          <w:rFonts w:ascii="Arial" w:hAnsi="Arial" w:cs="Arial"/>
          <w:lang w:eastAsia="en-AU"/>
        </w:rPr>
        <w:t>legislation or instrument</w:t>
      </w:r>
      <w:r w:rsidR="00773CEF">
        <w:rPr>
          <w:rFonts w:ascii="Arial" w:hAnsi="Arial" w:cs="Arial"/>
          <w:lang w:eastAsia="en-AU"/>
        </w:rPr>
        <w:t>s incorporated by reference in</w:t>
      </w:r>
      <w:r w:rsidR="00D25174">
        <w:rPr>
          <w:rFonts w:ascii="Arial" w:hAnsi="Arial" w:cs="Arial"/>
          <w:lang w:eastAsia="en-AU"/>
        </w:rPr>
        <w:t xml:space="preserve"> the Determination including terms defined in the TCPSS Act and </w:t>
      </w:r>
      <w:r w:rsidR="000C4521">
        <w:rPr>
          <w:rFonts w:ascii="Arial" w:hAnsi="Arial" w:cs="Arial"/>
          <w:lang w:eastAsia="en-AU"/>
        </w:rPr>
        <w:t xml:space="preserve">in </w:t>
      </w:r>
      <w:r w:rsidR="00D25174">
        <w:rPr>
          <w:rFonts w:ascii="Arial" w:hAnsi="Arial" w:cs="Arial"/>
          <w:lang w:eastAsia="en-AU"/>
        </w:rPr>
        <w:t>the 1997 Numbering Plan.</w:t>
      </w:r>
    </w:p>
    <w:p w14:paraId="43451423" w14:textId="77777777" w:rsidR="00371ED5" w:rsidRPr="00AE2C3C" w:rsidRDefault="00E27979" w:rsidP="00371ED5">
      <w:pPr>
        <w:pStyle w:val="Heading3"/>
        <w:tabs>
          <w:tab w:val="left" w:pos="1620"/>
        </w:tabs>
        <w:spacing w:after="120"/>
        <w:rPr>
          <w:rFonts w:ascii="Arial" w:hAnsi="Arial" w:cs="Arial"/>
          <w:color w:val="000000" w:themeColor="text1"/>
          <w:szCs w:val="24"/>
        </w:rPr>
      </w:pPr>
      <w:r w:rsidRPr="00AE2C3C">
        <w:rPr>
          <w:rFonts w:ascii="Arial" w:hAnsi="Arial" w:cs="Arial"/>
          <w:color w:val="000000" w:themeColor="text1"/>
          <w:szCs w:val="24"/>
        </w:rPr>
        <w:t>Section 5</w:t>
      </w:r>
      <w:r w:rsidRPr="00AE2C3C">
        <w:rPr>
          <w:rFonts w:ascii="Arial" w:hAnsi="Arial" w:cs="Arial"/>
          <w:color w:val="000000" w:themeColor="text1"/>
          <w:szCs w:val="24"/>
        </w:rPr>
        <w:tab/>
      </w:r>
      <w:r w:rsidR="00371ED5" w:rsidRPr="00AE2C3C">
        <w:rPr>
          <w:rFonts w:ascii="Arial" w:hAnsi="Arial" w:cs="Arial"/>
          <w:color w:val="000000" w:themeColor="text1"/>
          <w:szCs w:val="24"/>
        </w:rPr>
        <w:t>Application</w:t>
      </w:r>
    </w:p>
    <w:p w14:paraId="3BD62FA2" w14:textId="2E84F90D" w:rsidR="0068279F" w:rsidRDefault="0018061D" w:rsidP="00371ED5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Subsection 5(1) </w:t>
      </w:r>
      <w:r w:rsidR="00371ED5" w:rsidRPr="00724A51">
        <w:rPr>
          <w:rFonts w:ascii="Arial" w:hAnsi="Arial" w:cs="Arial"/>
          <w:color w:val="000000" w:themeColor="text1"/>
        </w:rPr>
        <w:t xml:space="preserve">provides that the </w:t>
      </w:r>
      <w:r w:rsidR="00371ED5">
        <w:rPr>
          <w:rFonts w:ascii="Arial" w:hAnsi="Arial" w:cs="Arial"/>
          <w:color w:val="000000" w:themeColor="text1"/>
        </w:rPr>
        <w:t>Det</w:t>
      </w:r>
      <w:r w:rsidR="00E05B5A">
        <w:rPr>
          <w:rFonts w:ascii="Arial" w:hAnsi="Arial" w:cs="Arial"/>
          <w:color w:val="000000" w:themeColor="text1"/>
        </w:rPr>
        <w:t>ermination applies to a carrier</w:t>
      </w:r>
      <w:r w:rsidR="00371ED5">
        <w:rPr>
          <w:rFonts w:ascii="Arial" w:hAnsi="Arial" w:cs="Arial"/>
          <w:color w:val="000000" w:themeColor="text1"/>
        </w:rPr>
        <w:t xml:space="preserve"> or carriage service provider who supplies a standard telephone service</w:t>
      </w:r>
      <w:r w:rsidR="0068279F">
        <w:rPr>
          <w:rFonts w:ascii="Arial" w:hAnsi="Arial" w:cs="Arial"/>
          <w:color w:val="000000" w:themeColor="text1"/>
        </w:rPr>
        <w:t>.</w:t>
      </w:r>
    </w:p>
    <w:p w14:paraId="03235CD0" w14:textId="0146C03A" w:rsidR="008777DD" w:rsidRDefault="0068279F" w:rsidP="00371ED5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Subsection 5(2) limits the application of the Determination to </w:t>
      </w:r>
      <w:r w:rsidR="00896E4D">
        <w:rPr>
          <w:rFonts w:ascii="Arial" w:hAnsi="Arial" w:cs="Arial"/>
          <w:color w:val="000000" w:themeColor="text1"/>
        </w:rPr>
        <w:t>only those circumstances in which</w:t>
      </w:r>
      <w:r w:rsidR="003E344F">
        <w:rPr>
          <w:rFonts w:ascii="Arial" w:hAnsi="Arial" w:cs="Arial"/>
          <w:color w:val="000000" w:themeColor="text1"/>
        </w:rPr>
        <w:t xml:space="preserve"> the end-user requests pre-selection for all of the</w:t>
      </w:r>
      <w:r w:rsidR="00896E4D">
        <w:rPr>
          <w:rFonts w:ascii="Arial" w:hAnsi="Arial" w:cs="Arial"/>
          <w:color w:val="000000" w:themeColor="text1"/>
        </w:rPr>
        <w:t xml:space="preserve"> </w:t>
      </w:r>
      <w:r w:rsidR="00C45B22">
        <w:rPr>
          <w:rFonts w:ascii="Arial" w:hAnsi="Arial" w:cs="Arial"/>
          <w:color w:val="000000" w:themeColor="text1"/>
        </w:rPr>
        <w:t>end</w:t>
      </w:r>
      <w:r w:rsidR="0030451F">
        <w:rPr>
          <w:rFonts w:ascii="Arial" w:hAnsi="Arial" w:cs="Arial"/>
          <w:color w:val="000000" w:themeColor="text1"/>
        </w:rPr>
        <w:t>-</w:t>
      </w:r>
      <w:r w:rsidR="00C45B22">
        <w:rPr>
          <w:rFonts w:ascii="Arial" w:hAnsi="Arial" w:cs="Arial"/>
          <w:color w:val="000000" w:themeColor="text1"/>
        </w:rPr>
        <w:t xml:space="preserve">user’s </w:t>
      </w:r>
      <w:r w:rsidR="003E344F">
        <w:rPr>
          <w:rFonts w:ascii="Arial" w:hAnsi="Arial" w:cs="Arial"/>
          <w:color w:val="000000" w:themeColor="text1"/>
        </w:rPr>
        <w:t>pre-selectable services</w:t>
      </w:r>
      <w:r w:rsidR="005D0E9C">
        <w:rPr>
          <w:rFonts w:ascii="Arial" w:hAnsi="Arial" w:cs="Arial"/>
          <w:color w:val="000000" w:themeColor="text1"/>
        </w:rPr>
        <w:t xml:space="preserve"> and where the carriage service provider</w:t>
      </w:r>
      <w:r w:rsidR="008777DD">
        <w:rPr>
          <w:rFonts w:ascii="Arial" w:hAnsi="Arial" w:cs="Arial"/>
          <w:color w:val="000000" w:themeColor="text1"/>
        </w:rPr>
        <w:t xml:space="preserve"> requested by the end-user as the</w:t>
      </w:r>
      <w:r w:rsidR="00C45B22">
        <w:rPr>
          <w:rFonts w:ascii="Arial" w:hAnsi="Arial" w:cs="Arial"/>
          <w:color w:val="000000" w:themeColor="text1"/>
        </w:rPr>
        <w:t>ir</w:t>
      </w:r>
      <w:r w:rsidR="008777DD">
        <w:rPr>
          <w:rFonts w:ascii="Arial" w:hAnsi="Arial" w:cs="Arial"/>
          <w:color w:val="000000" w:themeColor="text1"/>
        </w:rPr>
        <w:t xml:space="preserve"> provider does, in fact, provide termination of all the pre-selectable services</w:t>
      </w:r>
      <w:r w:rsidR="00371ED5">
        <w:rPr>
          <w:rFonts w:ascii="Arial" w:hAnsi="Arial" w:cs="Arial"/>
          <w:color w:val="000000" w:themeColor="text1"/>
        </w:rPr>
        <w:t>.</w:t>
      </w:r>
      <w:r w:rsidR="003E344F">
        <w:rPr>
          <w:rFonts w:ascii="Arial" w:hAnsi="Arial" w:cs="Arial"/>
          <w:color w:val="000000" w:themeColor="text1"/>
        </w:rPr>
        <w:t xml:space="preserve"> </w:t>
      </w:r>
    </w:p>
    <w:p w14:paraId="4801443A" w14:textId="76D253F3" w:rsidR="00A31274" w:rsidRPr="00C02E6A" w:rsidRDefault="008777DD" w:rsidP="00AE2C3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Subsection 5(3) </w:t>
      </w:r>
      <w:r w:rsidR="00197CAF">
        <w:rPr>
          <w:rFonts w:ascii="Arial" w:hAnsi="Arial" w:cs="Arial"/>
          <w:color w:val="000000" w:themeColor="text1"/>
        </w:rPr>
        <w:t xml:space="preserve">excludes from the definition of standard telephone service a </w:t>
      </w:r>
      <w:r w:rsidR="003E344F">
        <w:rPr>
          <w:rFonts w:ascii="Arial" w:hAnsi="Arial" w:cs="Arial"/>
          <w:color w:val="000000" w:themeColor="text1"/>
        </w:rPr>
        <w:t>service supplied by means of a public mobile telecommunications service (mobile service)</w:t>
      </w:r>
      <w:r w:rsidR="000B5FF9">
        <w:rPr>
          <w:rFonts w:ascii="Arial" w:hAnsi="Arial" w:cs="Arial"/>
          <w:color w:val="000000" w:themeColor="text1"/>
        </w:rPr>
        <w:t>.  The effect of subsection 5(3) is that</w:t>
      </w:r>
      <w:r w:rsidR="003E344F">
        <w:rPr>
          <w:rFonts w:ascii="Arial" w:hAnsi="Arial" w:cs="Arial"/>
          <w:color w:val="000000" w:themeColor="text1"/>
        </w:rPr>
        <w:t xml:space="preserve"> </w:t>
      </w:r>
      <w:r w:rsidR="00220B3D">
        <w:rPr>
          <w:rFonts w:ascii="Arial" w:hAnsi="Arial" w:cs="Arial"/>
          <w:color w:val="000000" w:themeColor="text1"/>
        </w:rPr>
        <w:t xml:space="preserve">pre-selection is not required to be provided for </w:t>
      </w:r>
      <w:r w:rsidR="006B4795">
        <w:rPr>
          <w:rFonts w:ascii="Arial" w:hAnsi="Arial" w:cs="Arial"/>
          <w:color w:val="000000" w:themeColor="text1"/>
        </w:rPr>
        <w:t xml:space="preserve">a </w:t>
      </w:r>
      <w:r w:rsidR="003E344F">
        <w:rPr>
          <w:rFonts w:ascii="Arial" w:hAnsi="Arial" w:cs="Arial"/>
          <w:color w:val="000000" w:themeColor="text1"/>
        </w:rPr>
        <w:t xml:space="preserve">call </w:t>
      </w:r>
      <w:r w:rsidR="007854AE">
        <w:rPr>
          <w:rFonts w:ascii="Arial" w:hAnsi="Arial" w:cs="Arial"/>
          <w:color w:val="000000" w:themeColor="text1"/>
        </w:rPr>
        <w:t xml:space="preserve">which originates on </w:t>
      </w:r>
      <w:r w:rsidR="003E344F">
        <w:rPr>
          <w:rFonts w:ascii="Arial" w:hAnsi="Arial" w:cs="Arial"/>
          <w:color w:val="000000" w:themeColor="text1"/>
        </w:rPr>
        <w:t xml:space="preserve">a standard telephone service </w:t>
      </w:r>
      <w:r w:rsidR="007854AE">
        <w:rPr>
          <w:rFonts w:ascii="Arial" w:hAnsi="Arial" w:cs="Arial"/>
          <w:color w:val="000000" w:themeColor="text1"/>
        </w:rPr>
        <w:t xml:space="preserve">which is </w:t>
      </w:r>
      <w:r w:rsidR="003E344F">
        <w:rPr>
          <w:rFonts w:ascii="Arial" w:hAnsi="Arial" w:cs="Arial"/>
          <w:color w:val="000000" w:themeColor="text1"/>
        </w:rPr>
        <w:t>a mobile service</w:t>
      </w:r>
      <w:r w:rsidR="007854AE">
        <w:rPr>
          <w:rFonts w:ascii="Arial" w:hAnsi="Arial" w:cs="Arial"/>
          <w:color w:val="000000" w:themeColor="text1"/>
        </w:rPr>
        <w:t>.  However, a call made from a standard telephone service which terminates on a mobile service</w:t>
      </w:r>
      <w:r w:rsidR="007E000A">
        <w:rPr>
          <w:rFonts w:ascii="Arial" w:hAnsi="Arial" w:cs="Arial"/>
          <w:color w:val="000000" w:themeColor="text1"/>
        </w:rPr>
        <w:t xml:space="preserve"> </w:t>
      </w:r>
      <w:r w:rsidR="006B4795">
        <w:rPr>
          <w:rFonts w:ascii="Arial" w:hAnsi="Arial" w:cs="Arial"/>
          <w:color w:val="000000" w:themeColor="text1"/>
        </w:rPr>
        <w:t>is a pre-selectable service</w:t>
      </w:r>
      <w:r w:rsidR="007854AE">
        <w:rPr>
          <w:rFonts w:ascii="Arial" w:hAnsi="Arial" w:cs="Arial"/>
          <w:color w:val="000000" w:themeColor="text1"/>
        </w:rPr>
        <w:t xml:space="preserve"> for which pre-selection must be provided.</w:t>
      </w:r>
      <w:r w:rsidR="002E5DF1">
        <w:rPr>
          <w:rFonts w:ascii="Arial" w:hAnsi="Arial" w:cs="Arial"/>
          <w:color w:val="000000" w:themeColor="text1"/>
        </w:rPr>
        <w:t xml:space="preserve"> </w:t>
      </w:r>
    </w:p>
    <w:p w14:paraId="530E44C8" w14:textId="25423DFB" w:rsidR="00A31274" w:rsidRPr="0069376B" w:rsidRDefault="00A31274" w:rsidP="00354DFD">
      <w:pPr>
        <w:pStyle w:val="Heading3"/>
        <w:tabs>
          <w:tab w:val="left" w:pos="1620"/>
        </w:tabs>
        <w:rPr>
          <w:rFonts w:ascii="Arial" w:hAnsi="Arial" w:cs="Arial"/>
          <w:szCs w:val="24"/>
        </w:rPr>
      </w:pPr>
      <w:r w:rsidRPr="0069376B">
        <w:rPr>
          <w:rFonts w:ascii="Arial" w:hAnsi="Arial" w:cs="Arial"/>
          <w:szCs w:val="24"/>
        </w:rPr>
        <w:t>Part 2</w:t>
      </w:r>
      <w:r w:rsidR="00354DFD" w:rsidRPr="0069376B">
        <w:rPr>
          <w:rFonts w:ascii="Arial" w:hAnsi="Arial" w:cs="Arial"/>
          <w:szCs w:val="24"/>
        </w:rPr>
        <w:tab/>
        <w:t>Requirement to provide pre-selection</w:t>
      </w:r>
    </w:p>
    <w:p w14:paraId="1203BC82" w14:textId="3879B57B" w:rsidR="00354DFD" w:rsidRPr="00C97767" w:rsidRDefault="00354DFD" w:rsidP="00662F78">
      <w:pPr>
        <w:pStyle w:val="Heading3"/>
        <w:tabs>
          <w:tab w:val="left" w:pos="1620"/>
        </w:tabs>
        <w:spacing w:after="120"/>
        <w:rPr>
          <w:rFonts w:ascii="Arial" w:hAnsi="Arial" w:cs="Arial"/>
          <w:color w:val="000000" w:themeColor="text1"/>
          <w:szCs w:val="24"/>
        </w:rPr>
      </w:pPr>
      <w:r w:rsidRPr="0069376B">
        <w:rPr>
          <w:rFonts w:ascii="Arial" w:hAnsi="Arial" w:cs="Arial"/>
          <w:szCs w:val="24"/>
        </w:rPr>
        <w:t>Section 6</w:t>
      </w:r>
      <w:r w:rsidRPr="0069376B">
        <w:rPr>
          <w:rFonts w:ascii="Arial" w:hAnsi="Arial" w:cs="Arial"/>
          <w:color w:val="000000" w:themeColor="text1"/>
          <w:szCs w:val="24"/>
        </w:rPr>
        <w:tab/>
        <w:t>Determination under subsection 349(1) of the Act</w:t>
      </w:r>
    </w:p>
    <w:p w14:paraId="213264BB" w14:textId="3F39054A" w:rsidR="00354DFD" w:rsidRDefault="00354DFD" w:rsidP="00662F78">
      <w:pPr>
        <w:spacing w:after="120" w:line="240" w:lineRule="auto"/>
        <w:rPr>
          <w:rFonts w:ascii="Arial" w:hAnsi="Arial" w:cs="Arial"/>
        </w:rPr>
      </w:pPr>
      <w:r w:rsidRPr="00354DF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his section </w:t>
      </w:r>
      <w:r w:rsidR="00C36678">
        <w:rPr>
          <w:rFonts w:ascii="Arial" w:hAnsi="Arial" w:cs="Arial"/>
        </w:rPr>
        <w:t>sets out the provisions of the Determination with which</w:t>
      </w:r>
      <w:r>
        <w:rPr>
          <w:rFonts w:ascii="Arial" w:hAnsi="Arial" w:cs="Arial"/>
        </w:rPr>
        <w:t xml:space="preserve"> each carrier or carriage service provider who supplies a standard telephone service must comply</w:t>
      </w:r>
      <w:r w:rsidR="00A3563D">
        <w:rPr>
          <w:rFonts w:ascii="Arial" w:hAnsi="Arial" w:cs="Arial"/>
        </w:rPr>
        <w:t>:</w:t>
      </w:r>
    </w:p>
    <w:p w14:paraId="363BCDB6" w14:textId="05A95A5C" w:rsidR="00A3563D" w:rsidRDefault="00A3563D" w:rsidP="00917511">
      <w:pPr>
        <w:pStyle w:val="ListParagraph"/>
        <w:numPr>
          <w:ilvl w:val="0"/>
          <w:numId w:val="4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 case of a carrier – sections 7, 9 and 10;</w:t>
      </w:r>
    </w:p>
    <w:p w14:paraId="291D97BC" w14:textId="0423E243" w:rsidR="00A3563D" w:rsidRPr="00A3563D" w:rsidRDefault="00A3563D" w:rsidP="00917511">
      <w:pPr>
        <w:pStyle w:val="ListParagraph"/>
        <w:numPr>
          <w:ilvl w:val="0"/>
          <w:numId w:val="46"/>
        </w:num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the case of a carriage service provider – sections 8, 9 and 10.</w:t>
      </w:r>
    </w:p>
    <w:p w14:paraId="254F179A" w14:textId="77777777" w:rsidR="00354DFD" w:rsidRDefault="00354DFD" w:rsidP="00CC3131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6F99DCA" w14:textId="50B009A9" w:rsidR="00CC3131" w:rsidRPr="00C97767" w:rsidRDefault="00A31274" w:rsidP="00662F7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639">
        <w:rPr>
          <w:rFonts w:ascii="Arial" w:hAnsi="Arial" w:cs="Arial"/>
          <w:b/>
          <w:color w:val="000000" w:themeColor="text1"/>
          <w:sz w:val="24"/>
          <w:szCs w:val="24"/>
        </w:rPr>
        <w:t xml:space="preserve">Section </w:t>
      </w:r>
      <w:r w:rsidR="00B34F22" w:rsidRPr="00C25639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C25639">
        <w:rPr>
          <w:rFonts w:ascii="Arial" w:hAnsi="Arial" w:cs="Arial"/>
          <w:b/>
          <w:color w:val="000000" w:themeColor="text1"/>
          <w:sz w:val="24"/>
          <w:szCs w:val="24"/>
        </w:rPr>
        <w:tab/>
        <w:t>Requirement to provide pre-selection – carriers</w:t>
      </w:r>
    </w:p>
    <w:p w14:paraId="431F5C12" w14:textId="098CCE9D" w:rsidR="00A31274" w:rsidRDefault="008A069D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</w:t>
      </w:r>
      <w:r w:rsidR="00A31274">
        <w:rPr>
          <w:rFonts w:ascii="Arial" w:hAnsi="Arial" w:cs="Arial"/>
          <w:color w:val="000000" w:themeColor="text1"/>
        </w:rPr>
        <w:t xml:space="preserve">section </w:t>
      </w:r>
      <w:r>
        <w:rPr>
          <w:rFonts w:ascii="Arial" w:hAnsi="Arial" w:cs="Arial"/>
          <w:color w:val="000000" w:themeColor="text1"/>
        </w:rPr>
        <w:t xml:space="preserve">7(1) </w:t>
      </w:r>
      <w:r w:rsidR="00A31274">
        <w:rPr>
          <w:rFonts w:ascii="Arial" w:hAnsi="Arial" w:cs="Arial"/>
          <w:color w:val="000000" w:themeColor="text1"/>
        </w:rPr>
        <w:t>requires carriers to</w:t>
      </w:r>
      <w:r>
        <w:rPr>
          <w:rFonts w:ascii="Arial" w:hAnsi="Arial" w:cs="Arial"/>
          <w:color w:val="000000" w:themeColor="text1"/>
        </w:rPr>
        <w:t xml:space="preserve"> ensure that their controlled networks and facilities permit an end-user to</w:t>
      </w:r>
      <w:r w:rsidR="00A31274">
        <w:rPr>
          <w:rFonts w:ascii="Arial" w:hAnsi="Arial" w:cs="Arial"/>
          <w:color w:val="000000" w:themeColor="text1"/>
        </w:rPr>
        <w:t>:</w:t>
      </w:r>
    </w:p>
    <w:p w14:paraId="2B5A183D" w14:textId="79DF11A2" w:rsidR="00A31274" w:rsidRDefault="00A31274" w:rsidP="00C02E6A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02E6A">
        <w:rPr>
          <w:rFonts w:ascii="Arial" w:hAnsi="Arial" w:cs="Arial"/>
          <w:color w:val="000000" w:themeColor="text1"/>
        </w:rPr>
        <w:t>pre-select</w:t>
      </w:r>
      <w:r w:rsidR="006C346E">
        <w:rPr>
          <w:rFonts w:ascii="Arial" w:hAnsi="Arial" w:cs="Arial"/>
          <w:color w:val="000000" w:themeColor="text1"/>
        </w:rPr>
        <w:t xml:space="preserve"> a carriage service provider as the </w:t>
      </w:r>
      <w:r w:rsidR="006F1996">
        <w:rPr>
          <w:rFonts w:ascii="Arial" w:hAnsi="Arial" w:cs="Arial"/>
          <w:color w:val="000000" w:themeColor="text1"/>
        </w:rPr>
        <w:t xml:space="preserve">person’s </w:t>
      </w:r>
      <w:r w:rsidR="006C346E">
        <w:rPr>
          <w:rFonts w:ascii="Arial" w:hAnsi="Arial" w:cs="Arial"/>
          <w:color w:val="000000" w:themeColor="text1"/>
        </w:rPr>
        <w:t>preferred carriage service provider</w:t>
      </w:r>
      <w:r>
        <w:rPr>
          <w:rFonts w:ascii="Arial" w:hAnsi="Arial" w:cs="Arial"/>
          <w:color w:val="000000" w:themeColor="text1"/>
        </w:rPr>
        <w:t>;</w:t>
      </w:r>
      <w:r w:rsidR="006F1996">
        <w:rPr>
          <w:rFonts w:ascii="Arial" w:hAnsi="Arial" w:cs="Arial"/>
          <w:color w:val="000000" w:themeColor="text1"/>
        </w:rPr>
        <w:t xml:space="preserve"> and </w:t>
      </w:r>
    </w:p>
    <w:p w14:paraId="30BC6F8B" w14:textId="7DB46152" w:rsidR="006F1996" w:rsidRDefault="00A31274" w:rsidP="00C02E6A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C02E6A">
        <w:rPr>
          <w:rFonts w:ascii="Arial" w:hAnsi="Arial" w:cs="Arial"/>
          <w:color w:val="000000" w:themeColor="text1"/>
        </w:rPr>
        <w:t>change</w:t>
      </w:r>
      <w:proofErr w:type="gramEnd"/>
      <w:r w:rsidRPr="00C02E6A">
        <w:rPr>
          <w:rFonts w:ascii="Arial" w:hAnsi="Arial" w:cs="Arial"/>
          <w:color w:val="000000" w:themeColor="text1"/>
        </w:rPr>
        <w:t xml:space="preserve"> that pre-selection from time to time</w:t>
      </w:r>
      <w:r w:rsidR="006F1996">
        <w:rPr>
          <w:rFonts w:ascii="Arial" w:hAnsi="Arial" w:cs="Arial"/>
          <w:color w:val="000000" w:themeColor="text1"/>
        </w:rPr>
        <w:t>.</w:t>
      </w:r>
    </w:p>
    <w:p w14:paraId="254B23E1" w14:textId="77777777" w:rsidR="006F1996" w:rsidRDefault="006F1996" w:rsidP="0069376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40B037F" w14:textId="4AAB66F1" w:rsidR="00A31274" w:rsidRPr="00C02E6A" w:rsidRDefault="006F1996" w:rsidP="0069376B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Subsection 7</w:t>
      </w:r>
      <w:r w:rsidR="000E0D59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B42D18">
        <w:rPr>
          <w:rFonts w:ascii="Arial" w:hAnsi="Arial" w:cs="Arial"/>
          <w:color w:val="000000" w:themeColor="text1"/>
        </w:rPr>
        <w:t xml:space="preserve">) </w:t>
      </w:r>
      <w:r w:rsidR="000E0D59">
        <w:rPr>
          <w:rFonts w:ascii="Arial" w:hAnsi="Arial" w:cs="Arial"/>
          <w:color w:val="000000" w:themeColor="text1"/>
        </w:rPr>
        <w:t xml:space="preserve">requires carriers to ensure that their controlled networks and facilities provide over-ride </w:t>
      </w:r>
      <w:r w:rsidR="00651246">
        <w:rPr>
          <w:rFonts w:ascii="Arial" w:hAnsi="Arial" w:cs="Arial"/>
          <w:color w:val="000000" w:themeColor="text1"/>
        </w:rPr>
        <w:t xml:space="preserve">dial </w:t>
      </w:r>
      <w:r w:rsidR="000E0D59">
        <w:rPr>
          <w:rFonts w:ascii="Arial" w:hAnsi="Arial" w:cs="Arial"/>
          <w:color w:val="000000" w:themeColor="text1"/>
        </w:rPr>
        <w:t xml:space="preserve">codes which enable an end-user to select alternative </w:t>
      </w:r>
      <w:r w:rsidR="00EA140E">
        <w:rPr>
          <w:rFonts w:ascii="Arial" w:hAnsi="Arial" w:cs="Arial"/>
          <w:color w:val="000000" w:themeColor="text1"/>
        </w:rPr>
        <w:t xml:space="preserve">carriage service providers on a </w:t>
      </w:r>
      <w:r w:rsidR="00A31274">
        <w:rPr>
          <w:rFonts w:ascii="Arial" w:hAnsi="Arial" w:cs="Arial"/>
          <w:color w:val="000000" w:themeColor="text1"/>
        </w:rPr>
        <w:t>call-by-call basis</w:t>
      </w:r>
      <w:r w:rsidR="00A31274" w:rsidRPr="00C02E6A">
        <w:rPr>
          <w:rFonts w:ascii="Arial" w:hAnsi="Arial" w:cs="Arial"/>
          <w:color w:val="000000" w:themeColor="text1"/>
        </w:rPr>
        <w:t>.</w:t>
      </w:r>
    </w:p>
    <w:p w14:paraId="5A181898" w14:textId="77777777" w:rsidR="00A31274" w:rsidRDefault="00A31274" w:rsidP="00CC313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4F7F8C" w14:textId="2A393C93" w:rsidR="00857371" w:rsidRPr="00C97767" w:rsidRDefault="00857371" w:rsidP="00662F7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639">
        <w:rPr>
          <w:rFonts w:ascii="Arial" w:hAnsi="Arial" w:cs="Arial"/>
          <w:b/>
          <w:color w:val="000000" w:themeColor="text1"/>
          <w:sz w:val="24"/>
          <w:szCs w:val="24"/>
        </w:rPr>
        <w:t xml:space="preserve">Section </w:t>
      </w:r>
      <w:r w:rsidR="00B34F22" w:rsidRPr="00C25639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C25639">
        <w:rPr>
          <w:rFonts w:ascii="Arial" w:hAnsi="Arial" w:cs="Arial"/>
          <w:b/>
          <w:color w:val="000000" w:themeColor="text1"/>
          <w:sz w:val="24"/>
          <w:szCs w:val="24"/>
        </w:rPr>
        <w:tab/>
        <w:t>Requirement to provide pre-selection – carriage service providers</w:t>
      </w:r>
    </w:p>
    <w:p w14:paraId="2014AB57" w14:textId="20C73147" w:rsidR="00857371" w:rsidRDefault="00E112FD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Subs</w:t>
      </w:r>
      <w:r w:rsidR="00857371">
        <w:rPr>
          <w:rFonts w:ascii="Arial" w:hAnsi="Arial" w:cs="Arial"/>
          <w:color w:val="000000" w:themeColor="text1"/>
        </w:rPr>
        <w:t xml:space="preserve">ection </w:t>
      </w:r>
      <w:r>
        <w:rPr>
          <w:rFonts w:ascii="Arial" w:hAnsi="Arial" w:cs="Arial"/>
          <w:color w:val="000000" w:themeColor="text1"/>
        </w:rPr>
        <w:t xml:space="preserve">8(1) </w:t>
      </w:r>
      <w:r w:rsidR="00857371">
        <w:rPr>
          <w:rFonts w:ascii="Arial" w:hAnsi="Arial" w:cs="Arial"/>
          <w:color w:val="000000" w:themeColor="text1"/>
        </w:rPr>
        <w:t>requires carriage service providers to</w:t>
      </w:r>
      <w:r>
        <w:rPr>
          <w:rFonts w:ascii="Arial" w:hAnsi="Arial" w:cs="Arial"/>
          <w:color w:val="000000" w:themeColor="text1"/>
        </w:rPr>
        <w:t xml:space="preserve"> ensure that their controlled networks and facilities permit an end-user to:</w:t>
      </w:r>
    </w:p>
    <w:p w14:paraId="53FDF542" w14:textId="14BA28D8" w:rsidR="00857371" w:rsidRDefault="006C346E" w:rsidP="00857371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02E6A">
        <w:rPr>
          <w:rFonts w:ascii="Arial" w:hAnsi="Arial" w:cs="Arial"/>
          <w:color w:val="000000" w:themeColor="text1"/>
        </w:rPr>
        <w:t>pre-select</w:t>
      </w:r>
      <w:r>
        <w:rPr>
          <w:rFonts w:ascii="Arial" w:hAnsi="Arial" w:cs="Arial"/>
          <w:color w:val="000000" w:themeColor="text1"/>
        </w:rPr>
        <w:t xml:space="preserve"> another carriage service provider as the </w:t>
      </w:r>
      <w:r w:rsidR="00B42D18">
        <w:rPr>
          <w:rFonts w:ascii="Arial" w:hAnsi="Arial" w:cs="Arial"/>
          <w:color w:val="000000" w:themeColor="text1"/>
        </w:rPr>
        <w:t xml:space="preserve">person’s </w:t>
      </w:r>
      <w:r>
        <w:rPr>
          <w:rFonts w:ascii="Arial" w:hAnsi="Arial" w:cs="Arial"/>
          <w:color w:val="000000" w:themeColor="text1"/>
        </w:rPr>
        <w:t>preferred carriage service provider</w:t>
      </w:r>
      <w:r w:rsidR="00857371">
        <w:rPr>
          <w:rFonts w:ascii="Arial" w:hAnsi="Arial" w:cs="Arial"/>
          <w:color w:val="000000" w:themeColor="text1"/>
        </w:rPr>
        <w:t>;</w:t>
      </w:r>
      <w:r w:rsidR="00B42D18">
        <w:rPr>
          <w:rFonts w:ascii="Arial" w:hAnsi="Arial" w:cs="Arial"/>
          <w:color w:val="000000" w:themeColor="text1"/>
        </w:rPr>
        <w:t xml:space="preserve"> and</w:t>
      </w:r>
    </w:p>
    <w:p w14:paraId="50B6B7D9" w14:textId="38043362" w:rsidR="00857371" w:rsidRDefault="00857371" w:rsidP="00857371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F93567">
        <w:rPr>
          <w:rFonts w:ascii="Arial" w:hAnsi="Arial" w:cs="Arial"/>
          <w:color w:val="000000" w:themeColor="text1"/>
        </w:rPr>
        <w:t>change</w:t>
      </w:r>
      <w:proofErr w:type="gramEnd"/>
      <w:r w:rsidRPr="00F93567">
        <w:rPr>
          <w:rFonts w:ascii="Arial" w:hAnsi="Arial" w:cs="Arial"/>
          <w:color w:val="000000" w:themeColor="text1"/>
        </w:rPr>
        <w:t xml:space="preserve"> that pre-selection from time to time</w:t>
      </w:r>
      <w:r w:rsidR="00B42D18">
        <w:rPr>
          <w:rFonts w:ascii="Arial" w:hAnsi="Arial" w:cs="Arial"/>
          <w:color w:val="000000" w:themeColor="text1"/>
        </w:rPr>
        <w:t>.</w:t>
      </w:r>
    </w:p>
    <w:p w14:paraId="151E05B9" w14:textId="77777777" w:rsidR="00B42D18" w:rsidRDefault="00B42D18" w:rsidP="0069376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E73CB94" w14:textId="5B23A08E" w:rsidR="00857371" w:rsidRPr="00C02E6A" w:rsidRDefault="00B42D18" w:rsidP="0069376B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Subsection 8(2) requires carriage service providers to ensure that their controlled networks and facilities</w:t>
      </w:r>
      <w:r w:rsidR="00651246">
        <w:rPr>
          <w:rFonts w:ascii="Arial" w:hAnsi="Arial" w:cs="Arial"/>
          <w:color w:val="000000" w:themeColor="text1"/>
        </w:rPr>
        <w:t xml:space="preserve"> </w:t>
      </w:r>
      <w:r w:rsidR="00857371">
        <w:rPr>
          <w:rFonts w:ascii="Arial" w:hAnsi="Arial" w:cs="Arial"/>
          <w:color w:val="000000" w:themeColor="text1"/>
        </w:rPr>
        <w:t xml:space="preserve">provide over-ride dial codes </w:t>
      </w:r>
      <w:r w:rsidR="0069376B">
        <w:rPr>
          <w:rFonts w:ascii="Arial" w:hAnsi="Arial" w:cs="Arial"/>
          <w:color w:val="000000" w:themeColor="text1"/>
        </w:rPr>
        <w:t>which enable</w:t>
      </w:r>
      <w:r w:rsidR="00857371">
        <w:rPr>
          <w:rFonts w:ascii="Arial" w:hAnsi="Arial" w:cs="Arial"/>
          <w:color w:val="000000" w:themeColor="text1"/>
        </w:rPr>
        <w:t xml:space="preserve"> an end-user </w:t>
      </w:r>
      <w:r w:rsidR="0069376B">
        <w:rPr>
          <w:rFonts w:ascii="Arial" w:hAnsi="Arial" w:cs="Arial"/>
          <w:color w:val="000000" w:themeColor="text1"/>
        </w:rPr>
        <w:t xml:space="preserve">to select alternative carriage service providers </w:t>
      </w:r>
      <w:r w:rsidR="00857371">
        <w:rPr>
          <w:rFonts w:ascii="Arial" w:hAnsi="Arial" w:cs="Arial"/>
          <w:color w:val="000000" w:themeColor="text1"/>
        </w:rPr>
        <w:t>on a call-by-call basis</w:t>
      </w:r>
      <w:r w:rsidR="00857371" w:rsidRPr="00F93567">
        <w:rPr>
          <w:rFonts w:ascii="Arial" w:hAnsi="Arial" w:cs="Arial"/>
          <w:color w:val="000000" w:themeColor="text1"/>
        </w:rPr>
        <w:t>.</w:t>
      </w:r>
    </w:p>
    <w:p w14:paraId="1207B8F6" w14:textId="77777777" w:rsidR="00857371" w:rsidRDefault="00857371" w:rsidP="00CC313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DDB8F44" w14:textId="57B2DAC6" w:rsidR="00B34F22" w:rsidRPr="00C97767" w:rsidRDefault="00B34F22" w:rsidP="00662F7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91AC3">
        <w:rPr>
          <w:rFonts w:ascii="Arial" w:hAnsi="Arial" w:cs="Arial"/>
          <w:b/>
          <w:color w:val="000000" w:themeColor="text1"/>
          <w:sz w:val="24"/>
          <w:szCs w:val="24"/>
        </w:rPr>
        <w:t>Section 9</w:t>
      </w:r>
      <w:r w:rsidRPr="00791AC3">
        <w:rPr>
          <w:rFonts w:ascii="Arial" w:hAnsi="Arial" w:cs="Arial"/>
          <w:b/>
          <w:color w:val="000000" w:themeColor="text1"/>
          <w:sz w:val="24"/>
          <w:szCs w:val="24"/>
        </w:rPr>
        <w:tab/>
        <w:t>Records</w:t>
      </w:r>
    </w:p>
    <w:p w14:paraId="2E2F0E06" w14:textId="12490FF2" w:rsidR="00F8459C" w:rsidRDefault="00F8459C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Under subsection 351(2) of the Act, a person required to provide pre-selection m</w:t>
      </w:r>
      <w:r w:rsidR="006C50B6">
        <w:rPr>
          <w:rFonts w:ascii="Arial" w:hAnsi="Arial" w:cs="Arial"/>
          <w:color w:val="000000" w:themeColor="text1"/>
        </w:rPr>
        <w:t xml:space="preserve">ust do so in accordance with a determination under </w:t>
      </w:r>
      <w:r w:rsidR="009F1421">
        <w:rPr>
          <w:rFonts w:ascii="Arial" w:hAnsi="Arial" w:cs="Arial"/>
          <w:color w:val="000000" w:themeColor="text1"/>
        </w:rPr>
        <w:t>section 349</w:t>
      </w:r>
      <w:r w:rsidR="006C50B6">
        <w:rPr>
          <w:rFonts w:ascii="Arial" w:hAnsi="Arial" w:cs="Arial"/>
          <w:color w:val="000000" w:themeColor="text1"/>
        </w:rPr>
        <w:t xml:space="preserve"> and on such </w:t>
      </w:r>
      <w:r>
        <w:rPr>
          <w:rFonts w:ascii="Arial" w:hAnsi="Arial" w:cs="Arial"/>
          <w:color w:val="000000" w:themeColor="text1"/>
        </w:rPr>
        <w:t xml:space="preserve">terms and conditions </w:t>
      </w:r>
      <w:r w:rsidR="006C50B6">
        <w:rPr>
          <w:rFonts w:ascii="Arial" w:hAnsi="Arial" w:cs="Arial"/>
          <w:color w:val="000000" w:themeColor="text1"/>
        </w:rPr>
        <w:t>as are agreed</w:t>
      </w:r>
      <w:r w:rsidR="00ED06A3">
        <w:rPr>
          <w:rFonts w:ascii="Arial" w:hAnsi="Arial" w:cs="Arial"/>
          <w:color w:val="000000" w:themeColor="text1"/>
        </w:rPr>
        <w:t xml:space="preserve"> between that person and the carriage service provider in whose favour pre-selection is required to be provided</w:t>
      </w:r>
      <w:r w:rsidR="0007759D">
        <w:rPr>
          <w:rFonts w:ascii="Arial" w:hAnsi="Arial" w:cs="Arial"/>
          <w:color w:val="000000" w:themeColor="text1"/>
        </w:rPr>
        <w:t xml:space="preserve">. </w:t>
      </w:r>
    </w:p>
    <w:p w14:paraId="17ADBDC9" w14:textId="7D5CD6F9" w:rsidR="00B34F22" w:rsidRDefault="008B3F37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E34A9E">
        <w:rPr>
          <w:rFonts w:ascii="Arial" w:hAnsi="Arial" w:cs="Arial"/>
          <w:color w:val="000000" w:themeColor="text1"/>
        </w:rPr>
        <w:t xml:space="preserve">ection </w:t>
      </w:r>
      <w:r w:rsidR="002B270C">
        <w:rPr>
          <w:rFonts w:ascii="Arial" w:hAnsi="Arial" w:cs="Arial"/>
          <w:color w:val="000000" w:themeColor="text1"/>
        </w:rPr>
        <w:t xml:space="preserve">9 </w:t>
      </w:r>
      <w:r w:rsidR="005E1523">
        <w:rPr>
          <w:rFonts w:ascii="Arial" w:hAnsi="Arial" w:cs="Arial"/>
          <w:color w:val="000000" w:themeColor="text1"/>
        </w:rPr>
        <w:t xml:space="preserve">of the Determination </w:t>
      </w:r>
      <w:r w:rsidR="00E34A9E">
        <w:rPr>
          <w:rFonts w:ascii="Arial" w:hAnsi="Arial" w:cs="Arial"/>
          <w:color w:val="000000" w:themeColor="text1"/>
        </w:rPr>
        <w:t xml:space="preserve">requires an access service deliverer </w:t>
      </w:r>
      <w:r w:rsidR="00462C11">
        <w:rPr>
          <w:rFonts w:ascii="Arial" w:hAnsi="Arial" w:cs="Arial"/>
          <w:color w:val="000000" w:themeColor="text1"/>
        </w:rPr>
        <w:t xml:space="preserve">who is </w:t>
      </w:r>
      <w:r w:rsidR="00B34F22">
        <w:rPr>
          <w:rFonts w:ascii="Arial" w:hAnsi="Arial" w:cs="Arial"/>
          <w:color w:val="000000" w:themeColor="text1"/>
        </w:rPr>
        <w:t xml:space="preserve">required to provide pre-selection to keep a written record of </w:t>
      </w:r>
      <w:r w:rsidR="00EC186A">
        <w:rPr>
          <w:rFonts w:ascii="Arial" w:hAnsi="Arial" w:cs="Arial"/>
          <w:color w:val="000000" w:themeColor="text1"/>
        </w:rPr>
        <w:t xml:space="preserve">any </w:t>
      </w:r>
      <w:r w:rsidR="00137DEC">
        <w:rPr>
          <w:rFonts w:ascii="Arial" w:hAnsi="Arial" w:cs="Arial"/>
          <w:color w:val="000000" w:themeColor="text1"/>
        </w:rPr>
        <w:t xml:space="preserve">such </w:t>
      </w:r>
      <w:r w:rsidR="00EC186A">
        <w:rPr>
          <w:rFonts w:ascii="Arial" w:hAnsi="Arial" w:cs="Arial"/>
          <w:color w:val="000000" w:themeColor="text1"/>
        </w:rPr>
        <w:t xml:space="preserve">agreed </w:t>
      </w:r>
      <w:r w:rsidR="00B34F22">
        <w:rPr>
          <w:rFonts w:ascii="Arial" w:hAnsi="Arial" w:cs="Arial"/>
          <w:color w:val="000000" w:themeColor="text1"/>
        </w:rPr>
        <w:t>terms and conditions</w:t>
      </w:r>
      <w:r w:rsidR="00137DEC">
        <w:rPr>
          <w:rFonts w:ascii="Arial" w:hAnsi="Arial" w:cs="Arial"/>
          <w:color w:val="000000" w:themeColor="text1"/>
        </w:rPr>
        <w:t>.</w:t>
      </w:r>
      <w:r w:rsidR="00B34F22">
        <w:rPr>
          <w:rFonts w:ascii="Arial" w:hAnsi="Arial" w:cs="Arial"/>
          <w:color w:val="000000" w:themeColor="text1"/>
        </w:rPr>
        <w:t xml:space="preserve"> </w:t>
      </w:r>
    </w:p>
    <w:p w14:paraId="7F56805D" w14:textId="77777777" w:rsidR="00B34F22" w:rsidRDefault="00B34F22" w:rsidP="00B34F2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4876067" w14:textId="584C149F" w:rsidR="00B34F22" w:rsidRPr="00C97767" w:rsidRDefault="00B34F22" w:rsidP="00662F78">
      <w:pP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80A">
        <w:rPr>
          <w:rFonts w:ascii="Arial" w:hAnsi="Arial" w:cs="Arial"/>
          <w:b/>
          <w:color w:val="000000" w:themeColor="text1"/>
          <w:sz w:val="24"/>
          <w:szCs w:val="24"/>
        </w:rPr>
        <w:t>Section 10</w:t>
      </w:r>
      <w:r w:rsidRPr="00D6680A">
        <w:rPr>
          <w:rFonts w:ascii="Arial" w:hAnsi="Arial" w:cs="Arial"/>
          <w:b/>
          <w:color w:val="000000" w:themeColor="text1"/>
          <w:sz w:val="24"/>
          <w:szCs w:val="24"/>
        </w:rPr>
        <w:tab/>
        <w:t>Technical quality of pre-selection</w:t>
      </w:r>
    </w:p>
    <w:p w14:paraId="17A009D1" w14:textId="00D35416" w:rsidR="004D56F5" w:rsidRDefault="00865798" w:rsidP="00662F78">
      <w:p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</w:t>
      </w:r>
      <w:r w:rsidR="00B34F22">
        <w:rPr>
          <w:rFonts w:ascii="Arial" w:hAnsi="Arial" w:cs="Arial"/>
          <w:color w:val="000000" w:themeColor="text1"/>
        </w:rPr>
        <w:t xml:space="preserve">section </w:t>
      </w:r>
      <w:r>
        <w:rPr>
          <w:rFonts w:ascii="Arial" w:hAnsi="Arial" w:cs="Arial"/>
          <w:color w:val="000000" w:themeColor="text1"/>
        </w:rPr>
        <w:t xml:space="preserve">10(1) </w:t>
      </w:r>
      <w:r w:rsidR="00B34F22">
        <w:rPr>
          <w:rFonts w:ascii="Arial" w:hAnsi="Arial" w:cs="Arial"/>
          <w:color w:val="000000" w:themeColor="text1"/>
        </w:rPr>
        <w:t xml:space="preserve">requires an access service deliverer to take all reasonable steps to ensure the quality of carriage services supplied </w:t>
      </w:r>
      <w:r w:rsidR="00E34A9E">
        <w:rPr>
          <w:rFonts w:ascii="Arial" w:hAnsi="Arial" w:cs="Arial"/>
          <w:color w:val="000000" w:themeColor="text1"/>
        </w:rPr>
        <w:t xml:space="preserve">to the carriage service provider </w:t>
      </w:r>
      <w:r w:rsidR="00B34F22">
        <w:rPr>
          <w:rFonts w:ascii="Arial" w:hAnsi="Arial" w:cs="Arial"/>
          <w:color w:val="000000" w:themeColor="text1"/>
        </w:rPr>
        <w:t xml:space="preserve">for pre-selectable services is equivalent in all respects to the quality of carriage services it supplies to any other carriage service provider. </w:t>
      </w:r>
    </w:p>
    <w:p w14:paraId="1313FD39" w14:textId="4DF512AE" w:rsidR="00FA4334" w:rsidRPr="00BF5A9B" w:rsidRDefault="00865798" w:rsidP="00FA16A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Subsection 10(2) sets out the</w:t>
      </w:r>
      <w:r w:rsidR="00B34F22">
        <w:rPr>
          <w:rFonts w:ascii="Arial" w:hAnsi="Arial" w:cs="Arial"/>
          <w:color w:val="000000" w:themeColor="text1"/>
        </w:rPr>
        <w:t xml:space="preserve"> four criteria by which the quality </w:t>
      </w:r>
      <w:r w:rsidR="002B270C">
        <w:rPr>
          <w:rFonts w:ascii="Arial" w:hAnsi="Arial" w:cs="Arial"/>
          <w:color w:val="000000" w:themeColor="text1"/>
        </w:rPr>
        <w:t xml:space="preserve">of the </w:t>
      </w:r>
      <w:r>
        <w:rPr>
          <w:rFonts w:ascii="Arial" w:hAnsi="Arial" w:cs="Arial"/>
          <w:color w:val="000000" w:themeColor="text1"/>
        </w:rPr>
        <w:t xml:space="preserve">carriage </w:t>
      </w:r>
      <w:r w:rsidR="002B270C">
        <w:rPr>
          <w:rFonts w:ascii="Arial" w:hAnsi="Arial" w:cs="Arial"/>
          <w:color w:val="000000" w:themeColor="text1"/>
        </w:rPr>
        <w:t>service</w:t>
      </w:r>
      <w:r>
        <w:rPr>
          <w:rFonts w:ascii="Arial" w:hAnsi="Arial" w:cs="Arial"/>
          <w:color w:val="000000" w:themeColor="text1"/>
        </w:rPr>
        <w:t>s</w:t>
      </w:r>
      <w:r w:rsidR="002B270C">
        <w:rPr>
          <w:rFonts w:ascii="Arial" w:hAnsi="Arial" w:cs="Arial"/>
          <w:color w:val="000000" w:themeColor="text1"/>
        </w:rPr>
        <w:t xml:space="preserve"> supplied </w:t>
      </w:r>
      <w:r>
        <w:rPr>
          <w:rFonts w:ascii="Arial" w:hAnsi="Arial" w:cs="Arial"/>
          <w:color w:val="000000" w:themeColor="text1"/>
        </w:rPr>
        <w:t xml:space="preserve">for pre-selectable services </w:t>
      </w:r>
      <w:r w:rsidR="00980977">
        <w:rPr>
          <w:rFonts w:ascii="Arial" w:hAnsi="Arial" w:cs="Arial"/>
          <w:color w:val="000000" w:themeColor="text1"/>
        </w:rPr>
        <w:t>are</w:t>
      </w:r>
      <w:r w:rsidR="002B270C">
        <w:rPr>
          <w:rFonts w:ascii="Arial" w:hAnsi="Arial" w:cs="Arial"/>
          <w:color w:val="000000" w:themeColor="text1"/>
        </w:rPr>
        <w:t xml:space="preserve"> to </w:t>
      </w:r>
      <w:r w:rsidR="00B34F22">
        <w:rPr>
          <w:rFonts w:ascii="Arial" w:hAnsi="Arial" w:cs="Arial"/>
          <w:color w:val="000000" w:themeColor="text1"/>
        </w:rPr>
        <w:t xml:space="preserve">be measured. </w:t>
      </w:r>
    </w:p>
    <w:p w14:paraId="2BFD5E81" w14:textId="77777777" w:rsidR="00FA4334" w:rsidRPr="00FA4334" w:rsidRDefault="00FA4334" w:rsidP="00D8361D">
      <w:pPr>
        <w:rPr>
          <w:rFonts w:ascii="Arial" w:hAnsi="Arial" w:cs="Arial"/>
          <w:color w:val="FF0000"/>
        </w:rPr>
        <w:sectPr w:rsidR="00FA4334" w:rsidRPr="00FA4334" w:rsidSect="00E97CDB">
          <w:headerReference w:type="defaul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3946EC" w14:textId="6C3E93D4" w:rsidR="008568AC" w:rsidRDefault="008568AC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D0BC43" w14:textId="05C9D96C" w:rsidR="00FA4334" w:rsidRPr="00C51FCC" w:rsidRDefault="00FA4334" w:rsidP="00FA433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C51FCC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Attachment </w:t>
      </w:r>
      <w:r w:rsidR="005E3338" w:rsidRPr="00C51FCC">
        <w:rPr>
          <w:rFonts w:ascii="Arial" w:eastAsia="Times New Roman" w:hAnsi="Arial" w:cs="Arial"/>
          <w:b/>
          <w:sz w:val="24"/>
          <w:szCs w:val="24"/>
          <w:lang w:eastAsia="en-AU"/>
        </w:rPr>
        <w:t>2</w:t>
      </w:r>
    </w:p>
    <w:p w14:paraId="0CD3271E" w14:textId="77777777" w:rsidR="00FA4334" w:rsidRPr="008C67AD" w:rsidRDefault="00FA4334" w:rsidP="00FA4334">
      <w:pPr>
        <w:rPr>
          <w:rFonts w:ascii="Arial" w:hAnsi="Arial" w:cs="Arial"/>
        </w:rPr>
      </w:pPr>
    </w:p>
    <w:p w14:paraId="1B905609" w14:textId="77777777" w:rsidR="00FA4334" w:rsidRPr="00C51FCC" w:rsidRDefault="00FA4334" w:rsidP="00C51FCC">
      <w:pPr>
        <w:rPr>
          <w:rFonts w:ascii="Arial" w:hAnsi="Arial" w:cs="Arial"/>
          <w:b/>
          <w:sz w:val="24"/>
          <w:szCs w:val="24"/>
        </w:rPr>
      </w:pPr>
      <w:r w:rsidRPr="00C51FCC">
        <w:rPr>
          <w:rFonts w:ascii="Arial" w:hAnsi="Arial" w:cs="Arial"/>
          <w:b/>
          <w:sz w:val="24"/>
          <w:szCs w:val="24"/>
        </w:rPr>
        <w:t>Statement of Compatibility with Human Rights</w:t>
      </w:r>
    </w:p>
    <w:p w14:paraId="0A058940" w14:textId="28638075" w:rsidR="00D054C6" w:rsidRDefault="00D054C6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D054C6">
        <w:rPr>
          <w:rFonts w:ascii="Arial" w:eastAsia="Times New Roman" w:hAnsi="Arial" w:cs="Arial"/>
          <w:lang w:eastAsia="en-AU"/>
        </w:rPr>
        <w:t xml:space="preserve">Prepared in accordance with Part 3 of the </w:t>
      </w:r>
      <w:r w:rsidRPr="00D054C6">
        <w:rPr>
          <w:rFonts w:ascii="Arial" w:eastAsia="Times New Roman" w:hAnsi="Arial" w:cs="Arial"/>
          <w:i/>
          <w:lang w:eastAsia="en-AU"/>
        </w:rPr>
        <w:t>Human Rights (Parliamentary Scrutiny) Act 2011</w:t>
      </w:r>
      <w:r>
        <w:rPr>
          <w:rFonts w:ascii="Arial" w:eastAsia="Times New Roman" w:hAnsi="Arial" w:cs="Arial"/>
          <w:lang w:eastAsia="en-AU"/>
        </w:rPr>
        <w:t>.</w:t>
      </w:r>
    </w:p>
    <w:p w14:paraId="3BFA649A" w14:textId="2AD6DE82" w:rsidR="00D054C6" w:rsidRDefault="00D054C6" w:rsidP="00C51FCC">
      <w:pPr>
        <w:spacing w:before="120" w:after="120" w:line="240" w:lineRule="auto"/>
        <w:rPr>
          <w:rFonts w:ascii="Arial" w:eastAsia="Times New Roman" w:hAnsi="Arial" w:cs="Arial"/>
          <w:b/>
          <w:i/>
          <w:lang w:eastAsia="en-AU"/>
        </w:rPr>
      </w:pPr>
    </w:p>
    <w:p w14:paraId="1DB79F35" w14:textId="104DA3DF" w:rsidR="00D054C6" w:rsidRPr="00D054C6" w:rsidRDefault="00D054C6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D054C6">
        <w:rPr>
          <w:rFonts w:ascii="Arial" w:eastAsia="Times New Roman" w:hAnsi="Arial" w:cs="Arial"/>
          <w:b/>
          <w:lang w:eastAsia="en-AU"/>
        </w:rPr>
        <w:t>Telecommunications (Provision of Pre-selection</w:t>
      </w:r>
      <w:r w:rsidR="000664A3">
        <w:rPr>
          <w:rFonts w:ascii="Arial" w:eastAsia="Times New Roman" w:hAnsi="Arial" w:cs="Arial"/>
          <w:b/>
          <w:lang w:eastAsia="en-AU"/>
        </w:rPr>
        <w:t>) Determination 2015</w:t>
      </w:r>
    </w:p>
    <w:p w14:paraId="5DD53914" w14:textId="267D9CF0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C51FCC">
        <w:rPr>
          <w:rFonts w:ascii="Arial" w:eastAsia="Times New Roman" w:hAnsi="Arial" w:cs="Arial"/>
          <w:lang w:eastAsia="en-AU"/>
        </w:rPr>
        <w:t xml:space="preserve">This Legislative Instrument is compatible with the human rights and freedoms recognised or declared in the international instruments listed in section 3 of the </w:t>
      </w:r>
      <w:r w:rsidRPr="00D054C6">
        <w:rPr>
          <w:rFonts w:ascii="Arial" w:eastAsia="Times New Roman" w:hAnsi="Arial" w:cs="Arial"/>
          <w:i/>
          <w:lang w:eastAsia="en-AU"/>
        </w:rPr>
        <w:t>Human Rights (Parliamentary Scrutiny) Act 2011</w:t>
      </w:r>
      <w:r w:rsidRPr="00C51FCC">
        <w:rPr>
          <w:rFonts w:ascii="Arial" w:eastAsia="Times New Roman" w:hAnsi="Arial" w:cs="Arial"/>
          <w:lang w:eastAsia="en-AU"/>
        </w:rPr>
        <w:t>.</w:t>
      </w:r>
    </w:p>
    <w:p w14:paraId="68A7120E" w14:textId="77777777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</w:p>
    <w:p w14:paraId="6C6C9BDE" w14:textId="0FF23161" w:rsidR="00C51FCC" w:rsidRPr="00D054C6" w:rsidRDefault="00C51FCC" w:rsidP="00C51FCC">
      <w:pPr>
        <w:spacing w:before="120" w:after="120" w:line="240" w:lineRule="auto"/>
        <w:rPr>
          <w:rFonts w:ascii="Arial" w:eastAsia="Times New Roman" w:hAnsi="Arial" w:cs="Arial"/>
          <w:b/>
          <w:lang w:eastAsia="en-AU"/>
        </w:rPr>
      </w:pPr>
      <w:r w:rsidRPr="00D054C6">
        <w:rPr>
          <w:rFonts w:ascii="Arial" w:eastAsia="Times New Roman" w:hAnsi="Arial" w:cs="Arial"/>
          <w:b/>
          <w:lang w:eastAsia="en-AU"/>
        </w:rPr>
        <w:t>Overview of the Legislative Instrument</w:t>
      </w:r>
    </w:p>
    <w:p w14:paraId="1DA48C5C" w14:textId="57071C8E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C51FCC">
        <w:rPr>
          <w:rFonts w:ascii="Arial" w:eastAsia="Times New Roman" w:hAnsi="Arial" w:cs="Arial"/>
          <w:lang w:eastAsia="en-AU"/>
        </w:rPr>
        <w:t xml:space="preserve">The </w:t>
      </w:r>
      <w:r w:rsidRPr="00D6680A">
        <w:rPr>
          <w:rFonts w:ascii="Arial" w:eastAsia="Times New Roman" w:hAnsi="Arial" w:cs="Arial"/>
          <w:i/>
          <w:lang w:eastAsia="en-AU"/>
        </w:rPr>
        <w:t>Telecommunications (Provision of Pre-selection</w:t>
      </w:r>
      <w:r w:rsidR="000664A3" w:rsidRPr="00D6680A">
        <w:rPr>
          <w:rFonts w:ascii="Arial" w:eastAsia="Times New Roman" w:hAnsi="Arial" w:cs="Arial"/>
          <w:i/>
          <w:lang w:eastAsia="en-AU"/>
        </w:rPr>
        <w:t>) Determination 2015</w:t>
      </w:r>
      <w:r w:rsidRPr="00D6680A">
        <w:rPr>
          <w:rFonts w:ascii="Arial" w:eastAsia="Times New Roman" w:hAnsi="Arial" w:cs="Arial"/>
          <w:i/>
          <w:lang w:eastAsia="en-AU"/>
        </w:rPr>
        <w:t xml:space="preserve"> </w:t>
      </w:r>
      <w:r w:rsidRPr="00C51FCC">
        <w:rPr>
          <w:rFonts w:ascii="Arial" w:eastAsia="Times New Roman" w:hAnsi="Arial" w:cs="Arial"/>
          <w:lang w:eastAsia="en-AU"/>
        </w:rPr>
        <w:t xml:space="preserve">requires carriers and carriage service providers supplying a standard telephone service to provide pre-selection to end-users. It gives effect to pre-selection obligations set out in subsection 349(1) of Part 17 of the </w:t>
      </w:r>
      <w:r w:rsidRPr="00D054C6">
        <w:rPr>
          <w:rFonts w:ascii="Arial" w:eastAsia="Times New Roman" w:hAnsi="Arial" w:cs="Arial"/>
          <w:i/>
          <w:lang w:eastAsia="en-AU"/>
        </w:rPr>
        <w:t>Telecommunications Act 1997</w:t>
      </w:r>
      <w:r w:rsidRPr="00C51FCC">
        <w:rPr>
          <w:rFonts w:ascii="Arial" w:eastAsia="Times New Roman" w:hAnsi="Arial" w:cs="Arial"/>
          <w:lang w:eastAsia="en-AU"/>
        </w:rPr>
        <w:t>.</w:t>
      </w:r>
    </w:p>
    <w:p w14:paraId="4CA970E0" w14:textId="17F5641A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C51FCC">
        <w:rPr>
          <w:rFonts w:ascii="Arial" w:eastAsia="Times New Roman" w:hAnsi="Arial" w:cs="Arial"/>
          <w:lang w:eastAsia="en-AU"/>
        </w:rPr>
        <w:t xml:space="preserve">The Determination allows an end-user to choose their preferred carriage service provider for </w:t>
      </w:r>
      <w:r w:rsidR="00C45B22">
        <w:rPr>
          <w:rFonts w:ascii="Arial" w:eastAsia="Times New Roman" w:hAnsi="Arial" w:cs="Arial"/>
          <w:lang w:eastAsia="en-AU"/>
        </w:rPr>
        <w:t>certain</w:t>
      </w:r>
      <w:r w:rsidR="00C45B22" w:rsidRPr="00C51FCC">
        <w:rPr>
          <w:rFonts w:ascii="Arial" w:eastAsia="Times New Roman" w:hAnsi="Arial" w:cs="Arial"/>
          <w:lang w:eastAsia="en-AU"/>
        </w:rPr>
        <w:t xml:space="preserve"> </w:t>
      </w:r>
      <w:r w:rsidRPr="00C51FCC">
        <w:rPr>
          <w:rFonts w:ascii="Arial" w:eastAsia="Times New Roman" w:hAnsi="Arial" w:cs="Arial"/>
          <w:lang w:eastAsia="en-AU"/>
        </w:rPr>
        <w:t>telephone services.</w:t>
      </w:r>
    </w:p>
    <w:p w14:paraId="1B5C17D8" w14:textId="77777777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</w:p>
    <w:p w14:paraId="370B8479" w14:textId="77777777" w:rsidR="00C51FCC" w:rsidRPr="00D054C6" w:rsidRDefault="00C51FCC" w:rsidP="00C51FCC">
      <w:pPr>
        <w:spacing w:before="120" w:after="120" w:line="240" w:lineRule="auto"/>
        <w:rPr>
          <w:rFonts w:ascii="Arial" w:eastAsia="Times New Roman" w:hAnsi="Arial" w:cs="Arial"/>
          <w:b/>
          <w:lang w:eastAsia="en-AU"/>
        </w:rPr>
      </w:pPr>
      <w:r w:rsidRPr="00D054C6">
        <w:rPr>
          <w:rFonts w:ascii="Arial" w:eastAsia="Times New Roman" w:hAnsi="Arial" w:cs="Arial"/>
          <w:b/>
          <w:lang w:eastAsia="en-AU"/>
        </w:rPr>
        <w:t>Human rights implications</w:t>
      </w:r>
    </w:p>
    <w:p w14:paraId="4FE5E8FA" w14:textId="595D0A03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  <w:r w:rsidRPr="00C51FCC">
        <w:rPr>
          <w:rFonts w:ascii="Arial" w:eastAsia="Times New Roman" w:hAnsi="Arial" w:cs="Arial"/>
          <w:lang w:eastAsia="en-AU"/>
        </w:rPr>
        <w:t>This Legislative Instrument does not engage any of the applicable rights or freedoms.</w:t>
      </w:r>
    </w:p>
    <w:p w14:paraId="4227A28D" w14:textId="77777777" w:rsidR="00C51FCC" w:rsidRPr="00C51FCC" w:rsidRDefault="00C51FCC" w:rsidP="00C51FCC">
      <w:pPr>
        <w:spacing w:before="120" w:after="120" w:line="240" w:lineRule="auto"/>
        <w:rPr>
          <w:rFonts w:ascii="Arial" w:eastAsia="Times New Roman" w:hAnsi="Arial" w:cs="Arial"/>
          <w:lang w:eastAsia="en-AU"/>
        </w:rPr>
      </w:pPr>
    </w:p>
    <w:p w14:paraId="0593CC00" w14:textId="77777777" w:rsidR="00C51FCC" w:rsidRPr="00D054C6" w:rsidRDefault="00C51FCC" w:rsidP="00C51FCC">
      <w:pPr>
        <w:spacing w:before="120" w:after="120" w:line="240" w:lineRule="auto"/>
        <w:rPr>
          <w:rFonts w:ascii="Arial" w:eastAsia="Times New Roman" w:hAnsi="Arial" w:cs="Arial"/>
          <w:b/>
          <w:lang w:eastAsia="en-AU"/>
        </w:rPr>
      </w:pPr>
      <w:r w:rsidRPr="00D054C6">
        <w:rPr>
          <w:rFonts w:ascii="Arial" w:eastAsia="Times New Roman" w:hAnsi="Arial" w:cs="Arial"/>
          <w:b/>
          <w:lang w:eastAsia="en-AU"/>
        </w:rPr>
        <w:t>Conclusion</w:t>
      </w:r>
    </w:p>
    <w:p w14:paraId="466E1E72" w14:textId="3BAFF01F" w:rsidR="00FA4334" w:rsidRPr="008C67AD" w:rsidRDefault="00C51FCC" w:rsidP="00C51FCC">
      <w:pPr>
        <w:spacing w:before="120" w:after="120" w:line="240" w:lineRule="auto"/>
        <w:rPr>
          <w:rFonts w:ascii="Arial" w:hAnsi="Arial" w:cs="Arial"/>
        </w:rPr>
      </w:pPr>
      <w:r w:rsidRPr="00C51FCC">
        <w:rPr>
          <w:rFonts w:ascii="Arial" w:eastAsia="Times New Roman" w:hAnsi="Arial" w:cs="Arial"/>
          <w:lang w:eastAsia="en-AU"/>
        </w:rPr>
        <w:t>This Legislative Instrument is compatible with human rights as it does not raise any human rights issues.</w:t>
      </w:r>
    </w:p>
    <w:sectPr w:rsidR="00FA4334" w:rsidRPr="008C67AD" w:rsidSect="002925C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C1AC" w14:textId="77777777" w:rsidR="00E85FD3" w:rsidRDefault="00E85FD3" w:rsidP="00377860">
      <w:pPr>
        <w:spacing w:after="0" w:line="240" w:lineRule="auto"/>
      </w:pPr>
      <w:r>
        <w:separator/>
      </w:r>
    </w:p>
  </w:endnote>
  <w:endnote w:type="continuationSeparator" w:id="0">
    <w:p w14:paraId="6B876513" w14:textId="77777777" w:rsidR="00E85FD3" w:rsidRDefault="00E85FD3" w:rsidP="0037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55ECF" w14:textId="77777777" w:rsidR="000D1BE7" w:rsidRDefault="000D1B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10AA">
      <w:rPr>
        <w:noProof/>
      </w:rPr>
      <w:t>3</w:t>
    </w:r>
    <w:r>
      <w:rPr>
        <w:noProof/>
      </w:rPr>
      <w:fldChar w:fldCharType="end"/>
    </w:r>
  </w:p>
  <w:p w14:paraId="1492DD7B" w14:textId="77777777" w:rsidR="000D1BE7" w:rsidRDefault="000D1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1CAEF" w14:textId="77777777" w:rsidR="00E85FD3" w:rsidRDefault="00E85FD3" w:rsidP="00377860">
      <w:pPr>
        <w:spacing w:after="0" w:line="240" w:lineRule="auto"/>
      </w:pPr>
      <w:r>
        <w:separator/>
      </w:r>
    </w:p>
  </w:footnote>
  <w:footnote w:type="continuationSeparator" w:id="0">
    <w:p w14:paraId="1B277E41" w14:textId="77777777" w:rsidR="00E85FD3" w:rsidRDefault="00E85FD3" w:rsidP="0037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3F07" w14:textId="26D62477" w:rsidR="000D1BE7" w:rsidRPr="00FA16AF" w:rsidRDefault="000D1BE7" w:rsidP="00FA16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3CA"/>
    <w:multiLevelType w:val="hybridMultilevel"/>
    <w:tmpl w:val="AA60D7C0"/>
    <w:lvl w:ilvl="0" w:tplc="A9DC0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34C"/>
    <w:multiLevelType w:val="hybridMultilevel"/>
    <w:tmpl w:val="4E3E1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6A542A"/>
    <w:multiLevelType w:val="hybridMultilevel"/>
    <w:tmpl w:val="0A24740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D831CB6"/>
    <w:multiLevelType w:val="hybridMultilevel"/>
    <w:tmpl w:val="506EF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9DF"/>
    <w:multiLevelType w:val="hybridMultilevel"/>
    <w:tmpl w:val="B8726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20124"/>
    <w:multiLevelType w:val="hybridMultilevel"/>
    <w:tmpl w:val="BFFA7CA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14232EA"/>
    <w:multiLevelType w:val="hybridMultilevel"/>
    <w:tmpl w:val="D4100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00B62"/>
    <w:multiLevelType w:val="hybridMultilevel"/>
    <w:tmpl w:val="941C95FA"/>
    <w:lvl w:ilvl="0" w:tplc="DEBC8E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1066C"/>
    <w:multiLevelType w:val="hybridMultilevel"/>
    <w:tmpl w:val="7158D36A"/>
    <w:lvl w:ilvl="0" w:tplc="D1507F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73D2C"/>
    <w:multiLevelType w:val="hybridMultilevel"/>
    <w:tmpl w:val="FDF8E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BA7ED7"/>
    <w:multiLevelType w:val="hybridMultilevel"/>
    <w:tmpl w:val="A4BEA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15062"/>
    <w:multiLevelType w:val="hybridMultilevel"/>
    <w:tmpl w:val="B9240A6E"/>
    <w:lvl w:ilvl="0" w:tplc="90D6CF6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C49E3"/>
    <w:multiLevelType w:val="hybridMultilevel"/>
    <w:tmpl w:val="B7A6D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60BEB"/>
    <w:multiLevelType w:val="hybridMultilevel"/>
    <w:tmpl w:val="E03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E13DE4"/>
    <w:multiLevelType w:val="hybridMultilevel"/>
    <w:tmpl w:val="4336B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3431E"/>
    <w:multiLevelType w:val="hybridMultilevel"/>
    <w:tmpl w:val="202C8CEA"/>
    <w:lvl w:ilvl="0" w:tplc="5DB66C3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1A5"/>
    <w:multiLevelType w:val="hybridMultilevel"/>
    <w:tmpl w:val="042A1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E316F"/>
    <w:multiLevelType w:val="hybridMultilevel"/>
    <w:tmpl w:val="673CEA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8B23D6"/>
    <w:multiLevelType w:val="hybridMultilevel"/>
    <w:tmpl w:val="45122CFE"/>
    <w:lvl w:ilvl="0" w:tplc="6CF68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B6AE5"/>
    <w:multiLevelType w:val="hybridMultilevel"/>
    <w:tmpl w:val="40E88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66EDA"/>
    <w:multiLevelType w:val="hybridMultilevel"/>
    <w:tmpl w:val="53B81D54"/>
    <w:lvl w:ilvl="0" w:tplc="D2129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5C3664"/>
    <w:multiLevelType w:val="hybridMultilevel"/>
    <w:tmpl w:val="BED69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673BD"/>
    <w:multiLevelType w:val="hybridMultilevel"/>
    <w:tmpl w:val="E3527554"/>
    <w:lvl w:ilvl="0" w:tplc="B4DE5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21460"/>
    <w:multiLevelType w:val="hybridMultilevel"/>
    <w:tmpl w:val="D9D66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0604F"/>
    <w:multiLevelType w:val="hybridMultilevel"/>
    <w:tmpl w:val="E5F219D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47200DD"/>
    <w:multiLevelType w:val="hybridMultilevel"/>
    <w:tmpl w:val="843A3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321A1"/>
    <w:multiLevelType w:val="hybridMultilevel"/>
    <w:tmpl w:val="8A8A4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F7D4C"/>
    <w:multiLevelType w:val="hybridMultilevel"/>
    <w:tmpl w:val="195C6264"/>
    <w:lvl w:ilvl="0" w:tplc="B69AA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0071D"/>
    <w:multiLevelType w:val="hybridMultilevel"/>
    <w:tmpl w:val="48FC67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7F13F8"/>
    <w:multiLevelType w:val="hybridMultilevel"/>
    <w:tmpl w:val="9E22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E15F6"/>
    <w:multiLevelType w:val="hybridMultilevel"/>
    <w:tmpl w:val="6F381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D2EF5"/>
    <w:multiLevelType w:val="singleLevel"/>
    <w:tmpl w:val="F624684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Times New Roman" w:hint="default"/>
        <w:b w:val="0"/>
      </w:rPr>
    </w:lvl>
  </w:abstractNum>
  <w:abstractNum w:abstractNumId="32">
    <w:nsid w:val="5B510206"/>
    <w:multiLevelType w:val="hybridMultilevel"/>
    <w:tmpl w:val="B3D2204A"/>
    <w:lvl w:ilvl="0" w:tplc="0C090001">
      <w:start w:val="1"/>
      <w:numFmt w:val="lowerLetter"/>
      <w:lvlText w:val="%1)"/>
      <w:lvlJc w:val="left"/>
      <w:pPr>
        <w:ind w:left="720" w:hanging="360"/>
      </w:p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11C3C"/>
    <w:multiLevelType w:val="hybridMultilevel"/>
    <w:tmpl w:val="BFACA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21FC7"/>
    <w:multiLevelType w:val="hybridMultilevel"/>
    <w:tmpl w:val="B5448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C187F"/>
    <w:multiLevelType w:val="hybridMultilevel"/>
    <w:tmpl w:val="D4AA1DE0"/>
    <w:lvl w:ilvl="0" w:tplc="0C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62158"/>
    <w:multiLevelType w:val="hybridMultilevel"/>
    <w:tmpl w:val="D0608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B2302"/>
    <w:multiLevelType w:val="hybridMultilevel"/>
    <w:tmpl w:val="F9865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C0441C"/>
    <w:multiLevelType w:val="hybridMultilevel"/>
    <w:tmpl w:val="4F76D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40B78"/>
    <w:multiLevelType w:val="hybridMultilevel"/>
    <w:tmpl w:val="7A86F208"/>
    <w:lvl w:ilvl="0" w:tplc="363E3F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217DA"/>
    <w:multiLevelType w:val="hybridMultilevel"/>
    <w:tmpl w:val="7DC0A7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3373CF"/>
    <w:multiLevelType w:val="hybridMultilevel"/>
    <w:tmpl w:val="32F06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33FF4"/>
    <w:multiLevelType w:val="hybridMultilevel"/>
    <w:tmpl w:val="78D6140E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8B54880C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C34500"/>
    <w:multiLevelType w:val="hybridMultilevel"/>
    <w:tmpl w:val="891EB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2C7D2E"/>
    <w:multiLevelType w:val="hybridMultilevel"/>
    <w:tmpl w:val="57EC9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106A4E"/>
    <w:multiLevelType w:val="hybridMultilevel"/>
    <w:tmpl w:val="5AEC674E"/>
    <w:lvl w:ilvl="0" w:tplc="3A204E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B778C"/>
    <w:multiLevelType w:val="hybridMultilevel"/>
    <w:tmpl w:val="F6DE4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9D7D44"/>
    <w:multiLevelType w:val="hybridMultilevel"/>
    <w:tmpl w:val="F9AA970C"/>
    <w:lvl w:ilvl="0" w:tplc="EDDCA6BC">
      <w:start w:val="1"/>
      <w:numFmt w:val="bullet"/>
      <w:lvlText w:val=""/>
      <w:lvlJc w:val="left"/>
      <w:pPr>
        <w:tabs>
          <w:tab w:val="num" w:pos="-568"/>
        </w:tabs>
        <w:ind w:left="2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46"/>
  </w:num>
  <w:num w:numId="4">
    <w:abstractNumId w:val="2"/>
  </w:num>
  <w:num w:numId="5">
    <w:abstractNumId w:val="26"/>
  </w:num>
  <w:num w:numId="6">
    <w:abstractNumId w:val="44"/>
  </w:num>
  <w:num w:numId="7">
    <w:abstractNumId w:val="35"/>
  </w:num>
  <w:num w:numId="8">
    <w:abstractNumId w:val="1"/>
  </w:num>
  <w:num w:numId="9">
    <w:abstractNumId w:val="14"/>
  </w:num>
  <w:num w:numId="10">
    <w:abstractNumId w:val="42"/>
  </w:num>
  <w:num w:numId="11">
    <w:abstractNumId w:val="31"/>
  </w:num>
  <w:num w:numId="12">
    <w:abstractNumId w:val="34"/>
  </w:num>
  <w:num w:numId="13">
    <w:abstractNumId w:val="15"/>
  </w:num>
  <w:num w:numId="14">
    <w:abstractNumId w:val="30"/>
  </w:num>
  <w:num w:numId="15">
    <w:abstractNumId w:val="11"/>
  </w:num>
  <w:num w:numId="16">
    <w:abstractNumId w:val="23"/>
  </w:num>
  <w:num w:numId="17">
    <w:abstractNumId w:val="3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8"/>
  </w:num>
  <w:num w:numId="21">
    <w:abstractNumId w:val="37"/>
  </w:num>
  <w:num w:numId="22">
    <w:abstractNumId w:val="36"/>
  </w:num>
  <w:num w:numId="23">
    <w:abstractNumId w:val="13"/>
  </w:num>
  <w:num w:numId="24">
    <w:abstractNumId w:val="21"/>
  </w:num>
  <w:num w:numId="25">
    <w:abstractNumId w:val="9"/>
  </w:num>
  <w:num w:numId="26">
    <w:abstractNumId w:val="25"/>
  </w:num>
  <w:num w:numId="27">
    <w:abstractNumId w:val="29"/>
  </w:num>
  <w:num w:numId="28">
    <w:abstractNumId w:val="18"/>
  </w:num>
  <w:num w:numId="29">
    <w:abstractNumId w:val="6"/>
  </w:num>
  <w:num w:numId="30">
    <w:abstractNumId w:val="28"/>
  </w:num>
  <w:num w:numId="31">
    <w:abstractNumId w:val="17"/>
  </w:num>
  <w:num w:numId="32">
    <w:abstractNumId w:val="43"/>
  </w:num>
  <w:num w:numId="33">
    <w:abstractNumId w:val="33"/>
  </w:num>
  <w:num w:numId="34">
    <w:abstractNumId w:val="5"/>
  </w:num>
  <w:num w:numId="35">
    <w:abstractNumId w:val="47"/>
  </w:num>
  <w:num w:numId="36">
    <w:abstractNumId w:val="19"/>
  </w:num>
  <w:num w:numId="37">
    <w:abstractNumId w:val="4"/>
  </w:num>
  <w:num w:numId="38">
    <w:abstractNumId w:val="40"/>
  </w:num>
  <w:num w:numId="39">
    <w:abstractNumId w:val="10"/>
  </w:num>
  <w:num w:numId="40">
    <w:abstractNumId w:val="45"/>
  </w:num>
  <w:num w:numId="41">
    <w:abstractNumId w:val="24"/>
  </w:num>
  <w:num w:numId="42">
    <w:abstractNumId w:val="8"/>
  </w:num>
  <w:num w:numId="43">
    <w:abstractNumId w:val="0"/>
  </w:num>
  <w:num w:numId="44">
    <w:abstractNumId w:val="27"/>
  </w:num>
  <w:num w:numId="45">
    <w:abstractNumId w:val="7"/>
  </w:num>
  <w:num w:numId="46">
    <w:abstractNumId w:val="4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D1C3868-CA78-487C-BFDC-EDA2B9DB2B63}"/>
    <w:docVar w:name="dgnword-eventsink" w:val="320677240"/>
  </w:docVars>
  <w:rsids>
    <w:rsidRoot w:val="00377DBC"/>
    <w:rsid w:val="00003468"/>
    <w:rsid w:val="000039FB"/>
    <w:rsid w:val="00003A45"/>
    <w:rsid w:val="000056CC"/>
    <w:rsid w:val="00015DFC"/>
    <w:rsid w:val="00016BED"/>
    <w:rsid w:val="000173BB"/>
    <w:rsid w:val="0002068D"/>
    <w:rsid w:val="00021D2E"/>
    <w:rsid w:val="0002216F"/>
    <w:rsid w:val="00027FB0"/>
    <w:rsid w:val="000337D8"/>
    <w:rsid w:val="00034164"/>
    <w:rsid w:val="00037FCA"/>
    <w:rsid w:val="0004141B"/>
    <w:rsid w:val="00041A55"/>
    <w:rsid w:val="00041F2A"/>
    <w:rsid w:val="00042072"/>
    <w:rsid w:val="000471DC"/>
    <w:rsid w:val="00051B0B"/>
    <w:rsid w:val="00057711"/>
    <w:rsid w:val="00057D6F"/>
    <w:rsid w:val="00060008"/>
    <w:rsid w:val="00060130"/>
    <w:rsid w:val="00060DB1"/>
    <w:rsid w:val="00062BD0"/>
    <w:rsid w:val="00064E76"/>
    <w:rsid w:val="000659B2"/>
    <w:rsid w:val="000664A3"/>
    <w:rsid w:val="000669D9"/>
    <w:rsid w:val="00070AC4"/>
    <w:rsid w:val="0007166D"/>
    <w:rsid w:val="00074054"/>
    <w:rsid w:val="0007585A"/>
    <w:rsid w:val="0007759D"/>
    <w:rsid w:val="00082924"/>
    <w:rsid w:val="00084AA1"/>
    <w:rsid w:val="00084B79"/>
    <w:rsid w:val="00085508"/>
    <w:rsid w:val="000858C4"/>
    <w:rsid w:val="0009047B"/>
    <w:rsid w:val="00090635"/>
    <w:rsid w:val="00091A33"/>
    <w:rsid w:val="00095101"/>
    <w:rsid w:val="00096501"/>
    <w:rsid w:val="000970D3"/>
    <w:rsid w:val="000971F7"/>
    <w:rsid w:val="000A69C2"/>
    <w:rsid w:val="000B0BDE"/>
    <w:rsid w:val="000B1105"/>
    <w:rsid w:val="000B1662"/>
    <w:rsid w:val="000B311B"/>
    <w:rsid w:val="000B5204"/>
    <w:rsid w:val="000B5FF9"/>
    <w:rsid w:val="000C0C80"/>
    <w:rsid w:val="000C2EF7"/>
    <w:rsid w:val="000C4521"/>
    <w:rsid w:val="000D041A"/>
    <w:rsid w:val="000D0767"/>
    <w:rsid w:val="000D1BE7"/>
    <w:rsid w:val="000D1EBA"/>
    <w:rsid w:val="000D2D0D"/>
    <w:rsid w:val="000D7B0F"/>
    <w:rsid w:val="000E0D59"/>
    <w:rsid w:val="000E1FB9"/>
    <w:rsid w:val="000E48F5"/>
    <w:rsid w:val="000E4A73"/>
    <w:rsid w:val="000E51D7"/>
    <w:rsid w:val="000F090E"/>
    <w:rsid w:val="000F4E98"/>
    <w:rsid w:val="000F63A5"/>
    <w:rsid w:val="00110BD5"/>
    <w:rsid w:val="001110DE"/>
    <w:rsid w:val="00117F33"/>
    <w:rsid w:val="0012092A"/>
    <w:rsid w:val="00122A1D"/>
    <w:rsid w:val="001249F7"/>
    <w:rsid w:val="00130A49"/>
    <w:rsid w:val="001354A8"/>
    <w:rsid w:val="00137AEC"/>
    <w:rsid w:val="00137CBB"/>
    <w:rsid w:val="00137DEC"/>
    <w:rsid w:val="00143093"/>
    <w:rsid w:val="00145D36"/>
    <w:rsid w:val="0014662C"/>
    <w:rsid w:val="00154109"/>
    <w:rsid w:val="001602FF"/>
    <w:rsid w:val="00164ECB"/>
    <w:rsid w:val="00165BBF"/>
    <w:rsid w:val="00165E4B"/>
    <w:rsid w:val="00167E37"/>
    <w:rsid w:val="00170BD0"/>
    <w:rsid w:val="001726FA"/>
    <w:rsid w:val="001775F9"/>
    <w:rsid w:val="0018061D"/>
    <w:rsid w:val="00181903"/>
    <w:rsid w:val="00181BEB"/>
    <w:rsid w:val="00181C65"/>
    <w:rsid w:val="00181FA8"/>
    <w:rsid w:val="0018292B"/>
    <w:rsid w:val="001873E5"/>
    <w:rsid w:val="00190D1C"/>
    <w:rsid w:val="00192D94"/>
    <w:rsid w:val="0019472D"/>
    <w:rsid w:val="00195DB1"/>
    <w:rsid w:val="00197CAF"/>
    <w:rsid w:val="001A1CC5"/>
    <w:rsid w:val="001A1F90"/>
    <w:rsid w:val="001A2867"/>
    <w:rsid w:val="001A32C0"/>
    <w:rsid w:val="001A4B01"/>
    <w:rsid w:val="001A4CE9"/>
    <w:rsid w:val="001A5A59"/>
    <w:rsid w:val="001A5EC1"/>
    <w:rsid w:val="001A78FD"/>
    <w:rsid w:val="001A7A49"/>
    <w:rsid w:val="001B03E3"/>
    <w:rsid w:val="001B35B1"/>
    <w:rsid w:val="001B5B3C"/>
    <w:rsid w:val="001B685C"/>
    <w:rsid w:val="001B7BF9"/>
    <w:rsid w:val="001C191E"/>
    <w:rsid w:val="001C2953"/>
    <w:rsid w:val="001C3C32"/>
    <w:rsid w:val="001C406D"/>
    <w:rsid w:val="001C40CE"/>
    <w:rsid w:val="001C5970"/>
    <w:rsid w:val="001C5F9E"/>
    <w:rsid w:val="001C6BDB"/>
    <w:rsid w:val="001D5AE9"/>
    <w:rsid w:val="001D699F"/>
    <w:rsid w:val="001E170B"/>
    <w:rsid w:val="001E6F17"/>
    <w:rsid w:val="001E709A"/>
    <w:rsid w:val="001F2E63"/>
    <w:rsid w:val="001F31ED"/>
    <w:rsid w:val="001F628C"/>
    <w:rsid w:val="00201C19"/>
    <w:rsid w:val="00204D5E"/>
    <w:rsid w:val="00210E44"/>
    <w:rsid w:val="00210E95"/>
    <w:rsid w:val="002116C7"/>
    <w:rsid w:val="00211F5D"/>
    <w:rsid w:val="002140C9"/>
    <w:rsid w:val="00220B3D"/>
    <w:rsid w:val="0022102B"/>
    <w:rsid w:val="002231F1"/>
    <w:rsid w:val="00224305"/>
    <w:rsid w:val="0023064E"/>
    <w:rsid w:val="00230780"/>
    <w:rsid w:val="00231A67"/>
    <w:rsid w:val="002338BC"/>
    <w:rsid w:val="00235E70"/>
    <w:rsid w:val="0023637C"/>
    <w:rsid w:val="002416F1"/>
    <w:rsid w:val="002421ED"/>
    <w:rsid w:val="0024747C"/>
    <w:rsid w:val="00251223"/>
    <w:rsid w:val="00251A75"/>
    <w:rsid w:val="00251A8A"/>
    <w:rsid w:val="00252BAE"/>
    <w:rsid w:val="00256692"/>
    <w:rsid w:val="00264CBF"/>
    <w:rsid w:val="00265F67"/>
    <w:rsid w:val="0026655F"/>
    <w:rsid w:val="00270B4A"/>
    <w:rsid w:val="002732D8"/>
    <w:rsid w:val="0027600D"/>
    <w:rsid w:val="00276507"/>
    <w:rsid w:val="00282DBB"/>
    <w:rsid w:val="00283606"/>
    <w:rsid w:val="00284910"/>
    <w:rsid w:val="002849D4"/>
    <w:rsid w:val="00287154"/>
    <w:rsid w:val="002925C0"/>
    <w:rsid w:val="002947F9"/>
    <w:rsid w:val="00295645"/>
    <w:rsid w:val="00295771"/>
    <w:rsid w:val="002A0931"/>
    <w:rsid w:val="002A14B3"/>
    <w:rsid w:val="002A65B5"/>
    <w:rsid w:val="002B0576"/>
    <w:rsid w:val="002B2130"/>
    <w:rsid w:val="002B270C"/>
    <w:rsid w:val="002B2C58"/>
    <w:rsid w:val="002B3AE0"/>
    <w:rsid w:val="002B3AF8"/>
    <w:rsid w:val="002C336F"/>
    <w:rsid w:val="002C3E91"/>
    <w:rsid w:val="002C6ECD"/>
    <w:rsid w:val="002C7ED8"/>
    <w:rsid w:val="002D002E"/>
    <w:rsid w:val="002D0831"/>
    <w:rsid w:val="002D0C17"/>
    <w:rsid w:val="002D22AC"/>
    <w:rsid w:val="002D74DF"/>
    <w:rsid w:val="002E276A"/>
    <w:rsid w:val="002E4D90"/>
    <w:rsid w:val="002E5DF1"/>
    <w:rsid w:val="002E61A4"/>
    <w:rsid w:val="002F3382"/>
    <w:rsid w:val="002F33DF"/>
    <w:rsid w:val="002F4664"/>
    <w:rsid w:val="002F7EBF"/>
    <w:rsid w:val="0030451F"/>
    <w:rsid w:val="003047F0"/>
    <w:rsid w:val="00304B6C"/>
    <w:rsid w:val="00305092"/>
    <w:rsid w:val="0030626E"/>
    <w:rsid w:val="003073F7"/>
    <w:rsid w:val="00335C08"/>
    <w:rsid w:val="00346A61"/>
    <w:rsid w:val="0035017B"/>
    <w:rsid w:val="00351288"/>
    <w:rsid w:val="00352292"/>
    <w:rsid w:val="00354DFD"/>
    <w:rsid w:val="0036023C"/>
    <w:rsid w:val="0036438A"/>
    <w:rsid w:val="0036713A"/>
    <w:rsid w:val="0036726B"/>
    <w:rsid w:val="00371ED5"/>
    <w:rsid w:val="00374632"/>
    <w:rsid w:val="00376620"/>
    <w:rsid w:val="00377455"/>
    <w:rsid w:val="003774BD"/>
    <w:rsid w:val="00377860"/>
    <w:rsid w:val="00377DBC"/>
    <w:rsid w:val="00382AB8"/>
    <w:rsid w:val="00385095"/>
    <w:rsid w:val="00385DB8"/>
    <w:rsid w:val="00391284"/>
    <w:rsid w:val="003939B4"/>
    <w:rsid w:val="00397643"/>
    <w:rsid w:val="003A1548"/>
    <w:rsid w:val="003A4247"/>
    <w:rsid w:val="003A4BF0"/>
    <w:rsid w:val="003A7B36"/>
    <w:rsid w:val="003B0E3E"/>
    <w:rsid w:val="003B511B"/>
    <w:rsid w:val="003B5292"/>
    <w:rsid w:val="003B7418"/>
    <w:rsid w:val="003B7B6B"/>
    <w:rsid w:val="003C27CC"/>
    <w:rsid w:val="003C4F0F"/>
    <w:rsid w:val="003C77AA"/>
    <w:rsid w:val="003D429C"/>
    <w:rsid w:val="003D4B65"/>
    <w:rsid w:val="003D544E"/>
    <w:rsid w:val="003D6EC1"/>
    <w:rsid w:val="003D740B"/>
    <w:rsid w:val="003D7C51"/>
    <w:rsid w:val="003E344F"/>
    <w:rsid w:val="003E69A5"/>
    <w:rsid w:val="003F2438"/>
    <w:rsid w:val="003F2943"/>
    <w:rsid w:val="004066C1"/>
    <w:rsid w:val="004074EA"/>
    <w:rsid w:val="00412FDF"/>
    <w:rsid w:val="004159BA"/>
    <w:rsid w:val="00417016"/>
    <w:rsid w:val="0042082A"/>
    <w:rsid w:val="0042087D"/>
    <w:rsid w:val="00421274"/>
    <w:rsid w:val="00422D89"/>
    <w:rsid w:val="00424ED7"/>
    <w:rsid w:val="0042624B"/>
    <w:rsid w:val="00426D16"/>
    <w:rsid w:val="00427DAB"/>
    <w:rsid w:val="00430F28"/>
    <w:rsid w:val="00433877"/>
    <w:rsid w:val="00437090"/>
    <w:rsid w:val="004409CF"/>
    <w:rsid w:val="004462A1"/>
    <w:rsid w:val="00446BA8"/>
    <w:rsid w:val="00447098"/>
    <w:rsid w:val="00452EC4"/>
    <w:rsid w:val="0045549D"/>
    <w:rsid w:val="004571C1"/>
    <w:rsid w:val="00460C23"/>
    <w:rsid w:val="00462C11"/>
    <w:rsid w:val="00463BC2"/>
    <w:rsid w:val="0046772F"/>
    <w:rsid w:val="004736F2"/>
    <w:rsid w:val="0047432F"/>
    <w:rsid w:val="004752A1"/>
    <w:rsid w:val="004769D6"/>
    <w:rsid w:val="004836BE"/>
    <w:rsid w:val="00485E7A"/>
    <w:rsid w:val="00491FD2"/>
    <w:rsid w:val="004931E6"/>
    <w:rsid w:val="00494A58"/>
    <w:rsid w:val="004954BD"/>
    <w:rsid w:val="004A1A30"/>
    <w:rsid w:val="004A2410"/>
    <w:rsid w:val="004A279C"/>
    <w:rsid w:val="004A3521"/>
    <w:rsid w:val="004A39BB"/>
    <w:rsid w:val="004A4475"/>
    <w:rsid w:val="004B02A2"/>
    <w:rsid w:val="004B192C"/>
    <w:rsid w:val="004B5122"/>
    <w:rsid w:val="004B6340"/>
    <w:rsid w:val="004B68D6"/>
    <w:rsid w:val="004B72EC"/>
    <w:rsid w:val="004B7F4D"/>
    <w:rsid w:val="004C2D36"/>
    <w:rsid w:val="004C5D87"/>
    <w:rsid w:val="004C6C41"/>
    <w:rsid w:val="004C7222"/>
    <w:rsid w:val="004D0C31"/>
    <w:rsid w:val="004D251D"/>
    <w:rsid w:val="004D4BA3"/>
    <w:rsid w:val="004D56F5"/>
    <w:rsid w:val="004F2FE0"/>
    <w:rsid w:val="004F31AB"/>
    <w:rsid w:val="004F70ED"/>
    <w:rsid w:val="004F75A5"/>
    <w:rsid w:val="00504B49"/>
    <w:rsid w:val="00504C2D"/>
    <w:rsid w:val="0050685C"/>
    <w:rsid w:val="00507BC5"/>
    <w:rsid w:val="00511BDA"/>
    <w:rsid w:val="00512E7A"/>
    <w:rsid w:val="00514D03"/>
    <w:rsid w:val="0051620F"/>
    <w:rsid w:val="00516BB6"/>
    <w:rsid w:val="00521FF2"/>
    <w:rsid w:val="005261B4"/>
    <w:rsid w:val="005277DA"/>
    <w:rsid w:val="0053004E"/>
    <w:rsid w:val="00530632"/>
    <w:rsid w:val="00530EFC"/>
    <w:rsid w:val="00531849"/>
    <w:rsid w:val="00536C6B"/>
    <w:rsid w:val="00536D37"/>
    <w:rsid w:val="00540C4F"/>
    <w:rsid w:val="00542FF7"/>
    <w:rsid w:val="00550034"/>
    <w:rsid w:val="0055302F"/>
    <w:rsid w:val="0055363B"/>
    <w:rsid w:val="00554787"/>
    <w:rsid w:val="005572A7"/>
    <w:rsid w:val="005615E2"/>
    <w:rsid w:val="00566580"/>
    <w:rsid w:val="0057453E"/>
    <w:rsid w:val="00575AA3"/>
    <w:rsid w:val="00575D97"/>
    <w:rsid w:val="00576509"/>
    <w:rsid w:val="005807E0"/>
    <w:rsid w:val="00580F8D"/>
    <w:rsid w:val="0058219A"/>
    <w:rsid w:val="0059053E"/>
    <w:rsid w:val="00590EFA"/>
    <w:rsid w:val="00591CEC"/>
    <w:rsid w:val="005924BE"/>
    <w:rsid w:val="0059360C"/>
    <w:rsid w:val="005A1C3E"/>
    <w:rsid w:val="005A7480"/>
    <w:rsid w:val="005B2C3D"/>
    <w:rsid w:val="005B6B8B"/>
    <w:rsid w:val="005B6FE3"/>
    <w:rsid w:val="005B7839"/>
    <w:rsid w:val="005C0971"/>
    <w:rsid w:val="005C1261"/>
    <w:rsid w:val="005C2DCB"/>
    <w:rsid w:val="005C7268"/>
    <w:rsid w:val="005C7408"/>
    <w:rsid w:val="005D0BAF"/>
    <w:rsid w:val="005D0E9C"/>
    <w:rsid w:val="005D12F8"/>
    <w:rsid w:val="005D692C"/>
    <w:rsid w:val="005D7743"/>
    <w:rsid w:val="005D7FCA"/>
    <w:rsid w:val="005E1001"/>
    <w:rsid w:val="005E1523"/>
    <w:rsid w:val="005E3338"/>
    <w:rsid w:val="005E3854"/>
    <w:rsid w:val="005E4497"/>
    <w:rsid w:val="005E4619"/>
    <w:rsid w:val="005E5049"/>
    <w:rsid w:val="005E7225"/>
    <w:rsid w:val="005F04EC"/>
    <w:rsid w:val="005F0A93"/>
    <w:rsid w:val="005F4610"/>
    <w:rsid w:val="005F4F9C"/>
    <w:rsid w:val="005F6E31"/>
    <w:rsid w:val="00600F49"/>
    <w:rsid w:val="00601CDA"/>
    <w:rsid w:val="00604615"/>
    <w:rsid w:val="00604BAF"/>
    <w:rsid w:val="00605934"/>
    <w:rsid w:val="00606EDE"/>
    <w:rsid w:val="00607677"/>
    <w:rsid w:val="00614342"/>
    <w:rsid w:val="0061495E"/>
    <w:rsid w:val="0061505A"/>
    <w:rsid w:val="006175DC"/>
    <w:rsid w:val="006239FD"/>
    <w:rsid w:val="00623F40"/>
    <w:rsid w:val="00626485"/>
    <w:rsid w:val="00627AD9"/>
    <w:rsid w:val="00634ADD"/>
    <w:rsid w:val="006350D3"/>
    <w:rsid w:val="00636D86"/>
    <w:rsid w:val="0063746D"/>
    <w:rsid w:val="006438F8"/>
    <w:rsid w:val="0064466C"/>
    <w:rsid w:val="00644A36"/>
    <w:rsid w:val="00647737"/>
    <w:rsid w:val="0065004B"/>
    <w:rsid w:val="00651246"/>
    <w:rsid w:val="00652C82"/>
    <w:rsid w:val="00653E07"/>
    <w:rsid w:val="0065687E"/>
    <w:rsid w:val="006602A1"/>
    <w:rsid w:val="00660F9B"/>
    <w:rsid w:val="00662F78"/>
    <w:rsid w:val="0066311B"/>
    <w:rsid w:val="00664616"/>
    <w:rsid w:val="00665C0A"/>
    <w:rsid w:val="00667BC6"/>
    <w:rsid w:val="00667FB8"/>
    <w:rsid w:val="00671938"/>
    <w:rsid w:val="00672E9C"/>
    <w:rsid w:val="00674DA9"/>
    <w:rsid w:val="006763AE"/>
    <w:rsid w:val="006763FF"/>
    <w:rsid w:val="00676FD8"/>
    <w:rsid w:val="00680C97"/>
    <w:rsid w:val="00680F80"/>
    <w:rsid w:val="0068279F"/>
    <w:rsid w:val="00682824"/>
    <w:rsid w:val="00684046"/>
    <w:rsid w:val="0068424D"/>
    <w:rsid w:val="00685A5F"/>
    <w:rsid w:val="00691545"/>
    <w:rsid w:val="0069366B"/>
    <w:rsid w:val="0069376B"/>
    <w:rsid w:val="00693869"/>
    <w:rsid w:val="00694151"/>
    <w:rsid w:val="00695360"/>
    <w:rsid w:val="006A1E03"/>
    <w:rsid w:val="006A221E"/>
    <w:rsid w:val="006A7469"/>
    <w:rsid w:val="006B393C"/>
    <w:rsid w:val="006B4795"/>
    <w:rsid w:val="006B527E"/>
    <w:rsid w:val="006B5712"/>
    <w:rsid w:val="006B637F"/>
    <w:rsid w:val="006B7E33"/>
    <w:rsid w:val="006C1391"/>
    <w:rsid w:val="006C1BAD"/>
    <w:rsid w:val="006C318D"/>
    <w:rsid w:val="006C346E"/>
    <w:rsid w:val="006C50B6"/>
    <w:rsid w:val="006C55C5"/>
    <w:rsid w:val="006D0534"/>
    <w:rsid w:val="006D0E6D"/>
    <w:rsid w:val="006D142A"/>
    <w:rsid w:val="006D3A44"/>
    <w:rsid w:val="006D49B1"/>
    <w:rsid w:val="006D4EAF"/>
    <w:rsid w:val="006D6B54"/>
    <w:rsid w:val="006D70D2"/>
    <w:rsid w:val="006E09AD"/>
    <w:rsid w:val="006E0B58"/>
    <w:rsid w:val="006E4D6E"/>
    <w:rsid w:val="006E51EC"/>
    <w:rsid w:val="006F1996"/>
    <w:rsid w:val="006F25DC"/>
    <w:rsid w:val="006F289B"/>
    <w:rsid w:val="006F5720"/>
    <w:rsid w:val="006F5FF7"/>
    <w:rsid w:val="006F7E37"/>
    <w:rsid w:val="007014D8"/>
    <w:rsid w:val="0070155E"/>
    <w:rsid w:val="00701C38"/>
    <w:rsid w:val="00702ACF"/>
    <w:rsid w:val="0070633C"/>
    <w:rsid w:val="00707AF6"/>
    <w:rsid w:val="007112BF"/>
    <w:rsid w:val="00713870"/>
    <w:rsid w:val="00713D78"/>
    <w:rsid w:val="00716B79"/>
    <w:rsid w:val="0072373A"/>
    <w:rsid w:val="00723E9D"/>
    <w:rsid w:val="00724A51"/>
    <w:rsid w:val="00724BC6"/>
    <w:rsid w:val="00727CF3"/>
    <w:rsid w:val="007302EC"/>
    <w:rsid w:val="00732471"/>
    <w:rsid w:val="007324BE"/>
    <w:rsid w:val="00741CA2"/>
    <w:rsid w:val="00742216"/>
    <w:rsid w:val="007425B4"/>
    <w:rsid w:val="00746513"/>
    <w:rsid w:val="00747B9F"/>
    <w:rsid w:val="0075112D"/>
    <w:rsid w:val="00753D2A"/>
    <w:rsid w:val="00754083"/>
    <w:rsid w:val="007553F1"/>
    <w:rsid w:val="00755633"/>
    <w:rsid w:val="007562C8"/>
    <w:rsid w:val="00756D84"/>
    <w:rsid w:val="00761606"/>
    <w:rsid w:val="0076369D"/>
    <w:rsid w:val="00767EE3"/>
    <w:rsid w:val="00771481"/>
    <w:rsid w:val="00773CEF"/>
    <w:rsid w:val="00782412"/>
    <w:rsid w:val="0078370B"/>
    <w:rsid w:val="00784880"/>
    <w:rsid w:val="007854AE"/>
    <w:rsid w:val="00785FB2"/>
    <w:rsid w:val="00787A2E"/>
    <w:rsid w:val="00787D3D"/>
    <w:rsid w:val="00791983"/>
    <w:rsid w:val="00791AC3"/>
    <w:rsid w:val="00791EDE"/>
    <w:rsid w:val="0079278A"/>
    <w:rsid w:val="00794D6D"/>
    <w:rsid w:val="007A1977"/>
    <w:rsid w:val="007A5742"/>
    <w:rsid w:val="007B0E0B"/>
    <w:rsid w:val="007B459B"/>
    <w:rsid w:val="007B5A3A"/>
    <w:rsid w:val="007B7220"/>
    <w:rsid w:val="007C0FA4"/>
    <w:rsid w:val="007C119D"/>
    <w:rsid w:val="007C27DE"/>
    <w:rsid w:val="007C42F1"/>
    <w:rsid w:val="007C437D"/>
    <w:rsid w:val="007C6705"/>
    <w:rsid w:val="007C74DF"/>
    <w:rsid w:val="007D7174"/>
    <w:rsid w:val="007E000A"/>
    <w:rsid w:val="007E0D90"/>
    <w:rsid w:val="007F1940"/>
    <w:rsid w:val="007F6D9D"/>
    <w:rsid w:val="00805165"/>
    <w:rsid w:val="008057CB"/>
    <w:rsid w:val="0081055A"/>
    <w:rsid w:val="00811F3B"/>
    <w:rsid w:val="00811F9E"/>
    <w:rsid w:val="00812075"/>
    <w:rsid w:val="008168CB"/>
    <w:rsid w:val="00816E34"/>
    <w:rsid w:val="00822567"/>
    <w:rsid w:val="00825809"/>
    <w:rsid w:val="008262E7"/>
    <w:rsid w:val="00827618"/>
    <w:rsid w:val="0083036F"/>
    <w:rsid w:val="008430EC"/>
    <w:rsid w:val="0084363A"/>
    <w:rsid w:val="00844ABB"/>
    <w:rsid w:val="00852275"/>
    <w:rsid w:val="008568AC"/>
    <w:rsid w:val="00857371"/>
    <w:rsid w:val="00865798"/>
    <w:rsid w:val="00874536"/>
    <w:rsid w:val="00875A16"/>
    <w:rsid w:val="00876BAD"/>
    <w:rsid w:val="00876DA0"/>
    <w:rsid w:val="008777DD"/>
    <w:rsid w:val="00877AA6"/>
    <w:rsid w:val="00881AB6"/>
    <w:rsid w:val="00882577"/>
    <w:rsid w:val="008835F0"/>
    <w:rsid w:val="008851AA"/>
    <w:rsid w:val="00885691"/>
    <w:rsid w:val="00885FE8"/>
    <w:rsid w:val="00890849"/>
    <w:rsid w:val="008922E5"/>
    <w:rsid w:val="00896E4D"/>
    <w:rsid w:val="00897421"/>
    <w:rsid w:val="008977EE"/>
    <w:rsid w:val="008A069D"/>
    <w:rsid w:val="008A5054"/>
    <w:rsid w:val="008A63E1"/>
    <w:rsid w:val="008B05FD"/>
    <w:rsid w:val="008B07F9"/>
    <w:rsid w:val="008B14EE"/>
    <w:rsid w:val="008B3F37"/>
    <w:rsid w:val="008B4736"/>
    <w:rsid w:val="008C0E23"/>
    <w:rsid w:val="008C6180"/>
    <w:rsid w:val="008C67AD"/>
    <w:rsid w:val="008C7766"/>
    <w:rsid w:val="008C7BFD"/>
    <w:rsid w:val="008C7EF0"/>
    <w:rsid w:val="008D0AA2"/>
    <w:rsid w:val="008D18E1"/>
    <w:rsid w:val="008D4F08"/>
    <w:rsid w:val="008D6613"/>
    <w:rsid w:val="008D6770"/>
    <w:rsid w:val="008E29A9"/>
    <w:rsid w:val="008E77A5"/>
    <w:rsid w:val="008E79DB"/>
    <w:rsid w:val="008F15B4"/>
    <w:rsid w:val="008F24C4"/>
    <w:rsid w:val="008F3E49"/>
    <w:rsid w:val="008F678C"/>
    <w:rsid w:val="008F7DBD"/>
    <w:rsid w:val="009004E0"/>
    <w:rsid w:val="00900E7A"/>
    <w:rsid w:val="00901795"/>
    <w:rsid w:val="00902B6E"/>
    <w:rsid w:val="00911F77"/>
    <w:rsid w:val="009127BD"/>
    <w:rsid w:val="0091303F"/>
    <w:rsid w:val="00917511"/>
    <w:rsid w:val="00924324"/>
    <w:rsid w:val="009244EC"/>
    <w:rsid w:val="009245A6"/>
    <w:rsid w:val="00930E05"/>
    <w:rsid w:val="00934887"/>
    <w:rsid w:val="0093651B"/>
    <w:rsid w:val="009408E2"/>
    <w:rsid w:val="00940B62"/>
    <w:rsid w:val="009467C5"/>
    <w:rsid w:val="00946FF6"/>
    <w:rsid w:val="00951B2A"/>
    <w:rsid w:val="00954EF4"/>
    <w:rsid w:val="0095510E"/>
    <w:rsid w:val="00956D94"/>
    <w:rsid w:val="00956EE3"/>
    <w:rsid w:val="00960048"/>
    <w:rsid w:val="009611CA"/>
    <w:rsid w:val="009619A5"/>
    <w:rsid w:val="00964BB8"/>
    <w:rsid w:val="00967C44"/>
    <w:rsid w:val="00972708"/>
    <w:rsid w:val="00974798"/>
    <w:rsid w:val="009770BB"/>
    <w:rsid w:val="009773CC"/>
    <w:rsid w:val="00980977"/>
    <w:rsid w:val="00980F85"/>
    <w:rsid w:val="009836D8"/>
    <w:rsid w:val="00986418"/>
    <w:rsid w:val="009910A4"/>
    <w:rsid w:val="00991F4E"/>
    <w:rsid w:val="009932A2"/>
    <w:rsid w:val="00997036"/>
    <w:rsid w:val="009A0F84"/>
    <w:rsid w:val="009A1BEE"/>
    <w:rsid w:val="009A1E8A"/>
    <w:rsid w:val="009A20BF"/>
    <w:rsid w:val="009A2434"/>
    <w:rsid w:val="009A2F3E"/>
    <w:rsid w:val="009A5392"/>
    <w:rsid w:val="009A63D7"/>
    <w:rsid w:val="009B5991"/>
    <w:rsid w:val="009B68AC"/>
    <w:rsid w:val="009B7EC3"/>
    <w:rsid w:val="009C0BAA"/>
    <w:rsid w:val="009C26F8"/>
    <w:rsid w:val="009C4D40"/>
    <w:rsid w:val="009C5787"/>
    <w:rsid w:val="009C7795"/>
    <w:rsid w:val="009D344B"/>
    <w:rsid w:val="009D40B6"/>
    <w:rsid w:val="009E0171"/>
    <w:rsid w:val="009E0266"/>
    <w:rsid w:val="009E3332"/>
    <w:rsid w:val="009E5D67"/>
    <w:rsid w:val="009E7A7E"/>
    <w:rsid w:val="009E7D17"/>
    <w:rsid w:val="009F1421"/>
    <w:rsid w:val="009F654D"/>
    <w:rsid w:val="009F762E"/>
    <w:rsid w:val="00A01D65"/>
    <w:rsid w:val="00A02155"/>
    <w:rsid w:val="00A03419"/>
    <w:rsid w:val="00A03CA2"/>
    <w:rsid w:val="00A053A6"/>
    <w:rsid w:val="00A12696"/>
    <w:rsid w:val="00A12C87"/>
    <w:rsid w:val="00A1408E"/>
    <w:rsid w:val="00A27B55"/>
    <w:rsid w:val="00A31274"/>
    <w:rsid w:val="00A32D8D"/>
    <w:rsid w:val="00A3563D"/>
    <w:rsid w:val="00A4477B"/>
    <w:rsid w:val="00A4532B"/>
    <w:rsid w:val="00A45E6A"/>
    <w:rsid w:val="00A51D42"/>
    <w:rsid w:val="00A52259"/>
    <w:rsid w:val="00A55D32"/>
    <w:rsid w:val="00A55EE5"/>
    <w:rsid w:val="00A57666"/>
    <w:rsid w:val="00A665AB"/>
    <w:rsid w:val="00A67DF3"/>
    <w:rsid w:val="00A711B5"/>
    <w:rsid w:val="00A73C36"/>
    <w:rsid w:val="00A7513A"/>
    <w:rsid w:val="00A764E2"/>
    <w:rsid w:val="00A81578"/>
    <w:rsid w:val="00A87E9E"/>
    <w:rsid w:val="00A9216D"/>
    <w:rsid w:val="00A93533"/>
    <w:rsid w:val="00A9526F"/>
    <w:rsid w:val="00A9604D"/>
    <w:rsid w:val="00AA01E8"/>
    <w:rsid w:val="00AA34FB"/>
    <w:rsid w:val="00AA5438"/>
    <w:rsid w:val="00AB0B94"/>
    <w:rsid w:val="00AB2E87"/>
    <w:rsid w:val="00AB5D92"/>
    <w:rsid w:val="00AC0996"/>
    <w:rsid w:val="00AC37B9"/>
    <w:rsid w:val="00AC60E2"/>
    <w:rsid w:val="00AC7A11"/>
    <w:rsid w:val="00AD38A1"/>
    <w:rsid w:val="00AD4EED"/>
    <w:rsid w:val="00AD6DCE"/>
    <w:rsid w:val="00AE03B3"/>
    <w:rsid w:val="00AE0BE7"/>
    <w:rsid w:val="00AE2C3C"/>
    <w:rsid w:val="00AF4BE1"/>
    <w:rsid w:val="00B02968"/>
    <w:rsid w:val="00B02C5C"/>
    <w:rsid w:val="00B12315"/>
    <w:rsid w:val="00B151C7"/>
    <w:rsid w:val="00B1683F"/>
    <w:rsid w:val="00B2267C"/>
    <w:rsid w:val="00B30F23"/>
    <w:rsid w:val="00B31EAA"/>
    <w:rsid w:val="00B32617"/>
    <w:rsid w:val="00B33A17"/>
    <w:rsid w:val="00B34F22"/>
    <w:rsid w:val="00B36DBD"/>
    <w:rsid w:val="00B4103E"/>
    <w:rsid w:val="00B42D18"/>
    <w:rsid w:val="00B44319"/>
    <w:rsid w:val="00B44CB6"/>
    <w:rsid w:val="00B46285"/>
    <w:rsid w:val="00B51947"/>
    <w:rsid w:val="00B5601D"/>
    <w:rsid w:val="00B56C3D"/>
    <w:rsid w:val="00B633E3"/>
    <w:rsid w:val="00B652B7"/>
    <w:rsid w:val="00B6659A"/>
    <w:rsid w:val="00B70ED9"/>
    <w:rsid w:val="00B71903"/>
    <w:rsid w:val="00B72FE4"/>
    <w:rsid w:val="00B91E64"/>
    <w:rsid w:val="00B922E4"/>
    <w:rsid w:val="00B92E82"/>
    <w:rsid w:val="00B96617"/>
    <w:rsid w:val="00B97C88"/>
    <w:rsid w:val="00BA2C80"/>
    <w:rsid w:val="00BA3778"/>
    <w:rsid w:val="00BA449E"/>
    <w:rsid w:val="00BA779C"/>
    <w:rsid w:val="00BB0D8C"/>
    <w:rsid w:val="00BB353D"/>
    <w:rsid w:val="00BB3872"/>
    <w:rsid w:val="00BB44AA"/>
    <w:rsid w:val="00BB4F01"/>
    <w:rsid w:val="00BB77DE"/>
    <w:rsid w:val="00BC155E"/>
    <w:rsid w:val="00BC365F"/>
    <w:rsid w:val="00BC37AA"/>
    <w:rsid w:val="00BC472F"/>
    <w:rsid w:val="00BC5FC0"/>
    <w:rsid w:val="00BC62F8"/>
    <w:rsid w:val="00BC66B7"/>
    <w:rsid w:val="00BD1840"/>
    <w:rsid w:val="00BD1F9E"/>
    <w:rsid w:val="00BD355C"/>
    <w:rsid w:val="00BD66C3"/>
    <w:rsid w:val="00BD73DE"/>
    <w:rsid w:val="00BE205F"/>
    <w:rsid w:val="00BE2659"/>
    <w:rsid w:val="00BE44F2"/>
    <w:rsid w:val="00BF0A0C"/>
    <w:rsid w:val="00BF45F3"/>
    <w:rsid w:val="00BF5A9B"/>
    <w:rsid w:val="00BF5B63"/>
    <w:rsid w:val="00BF783D"/>
    <w:rsid w:val="00BF7EEB"/>
    <w:rsid w:val="00C02826"/>
    <w:rsid w:val="00C02E6A"/>
    <w:rsid w:val="00C05CBF"/>
    <w:rsid w:val="00C07F98"/>
    <w:rsid w:val="00C07F99"/>
    <w:rsid w:val="00C121E2"/>
    <w:rsid w:val="00C13924"/>
    <w:rsid w:val="00C16BDA"/>
    <w:rsid w:val="00C25639"/>
    <w:rsid w:val="00C274D0"/>
    <w:rsid w:val="00C27C0E"/>
    <w:rsid w:val="00C32AF0"/>
    <w:rsid w:val="00C32EEC"/>
    <w:rsid w:val="00C36678"/>
    <w:rsid w:val="00C367E3"/>
    <w:rsid w:val="00C4169B"/>
    <w:rsid w:val="00C45B22"/>
    <w:rsid w:val="00C471AE"/>
    <w:rsid w:val="00C51FCC"/>
    <w:rsid w:val="00C52FC8"/>
    <w:rsid w:val="00C561AD"/>
    <w:rsid w:val="00C61A6D"/>
    <w:rsid w:val="00C673CE"/>
    <w:rsid w:val="00C707BD"/>
    <w:rsid w:val="00C71085"/>
    <w:rsid w:val="00C72462"/>
    <w:rsid w:val="00C7287C"/>
    <w:rsid w:val="00C75842"/>
    <w:rsid w:val="00C75A19"/>
    <w:rsid w:val="00C76D95"/>
    <w:rsid w:val="00C8090B"/>
    <w:rsid w:val="00C80C70"/>
    <w:rsid w:val="00C81759"/>
    <w:rsid w:val="00C916F6"/>
    <w:rsid w:val="00C95080"/>
    <w:rsid w:val="00C970A0"/>
    <w:rsid w:val="00C97767"/>
    <w:rsid w:val="00C97A52"/>
    <w:rsid w:val="00CA0D92"/>
    <w:rsid w:val="00CA2518"/>
    <w:rsid w:val="00CA6FFF"/>
    <w:rsid w:val="00CB0336"/>
    <w:rsid w:val="00CB1397"/>
    <w:rsid w:val="00CB205D"/>
    <w:rsid w:val="00CB2DE4"/>
    <w:rsid w:val="00CB7D23"/>
    <w:rsid w:val="00CC3131"/>
    <w:rsid w:val="00CC3AC2"/>
    <w:rsid w:val="00CD0E18"/>
    <w:rsid w:val="00CD117E"/>
    <w:rsid w:val="00CD1D54"/>
    <w:rsid w:val="00CE79AD"/>
    <w:rsid w:val="00CE7BA8"/>
    <w:rsid w:val="00CE7F4E"/>
    <w:rsid w:val="00CF4585"/>
    <w:rsid w:val="00CF4C28"/>
    <w:rsid w:val="00CF5C87"/>
    <w:rsid w:val="00CF6A87"/>
    <w:rsid w:val="00D013E4"/>
    <w:rsid w:val="00D0277A"/>
    <w:rsid w:val="00D032C4"/>
    <w:rsid w:val="00D0356E"/>
    <w:rsid w:val="00D04CF6"/>
    <w:rsid w:val="00D054C6"/>
    <w:rsid w:val="00D06FEA"/>
    <w:rsid w:val="00D10E23"/>
    <w:rsid w:val="00D10EF8"/>
    <w:rsid w:val="00D11640"/>
    <w:rsid w:val="00D13835"/>
    <w:rsid w:val="00D14193"/>
    <w:rsid w:val="00D1504F"/>
    <w:rsid w:val="00D159BA"/>
    <w:rsid w:val="00D16122"/>
    <w:rsid w:val="00D20A2F"/>
    <w:rsid w:val="00D25174"/>
    <w:rsid w:val="00D25B7A"/>
    <w:rsid w:val="00D30EE6"/>
    <w:rsid w:val="00D347DE"/>
    <w:rsid w:val="00D3630D"/>
    <w:rsid w:val="00D37AB4"/>
    <w:rsid w:val="00D41DFF"/>
    <w:rsid w:val="00D4265E"/>
    <w:rsid w:val="00D42E53"/>
    <w:rsid w:val="00D43175"/>
    <w:rsid w:val="00D433E6"/>
    <w:rsid w:val="00D44071"/>
    <w:rsid w:val="00D46674"/>
    <w:rsid w:val="00D47214"/>
    <w:rsid w:val="00D50CC1"/>
    <w:rsid w:val="00D543DC"/>
    <w:rsid w:val="00D545A9"/>
    <w:rsid w:val="00D6292F"/>
    <w:rsid w:val="00D6680A"/>
    <w:rsid w:val="00D727B0"/>
    <w:rsid w:val="00D7436C"/>
    <w:rsid w:val="00D74EE0"/>
    <w:rsid w:val="00D750A7"/>
    <w:rsid w:val="00D76496"/>
    <w:rsid w:val="00D81418"/>
    <w:rsid w:val="00D8361D"/>
    <w:rsid w:val="00D85378"/>
    <w:rsid w:val="00D9071E"/>
    <w:rsid w:val="00D9414A"/>
    <w:rsid w:val="00D94A26"/>
    <w:rsid w:val="00D956CE"/>
    <w:rsid w:val="00D966E7"/>
    <w:rsid w:val="00D97E22"/>
    <w:rsid w:val="00DA1C6C"/>
    <w:rsid w:val="00DB0E30"/>
    <w:rsid w:val="00DB0EF8"/>
    <w:rsid w:val="00DB3713"/>
    <w:rsid w:val="00DB4130"/>
    <w:rsid w:val="00DB4969"/>
    <w:rsid w:val="00DB60D2"/>
    <w:rsid w:val="00DC06DB"/>
    <w:rsid w:val="00DC0F33"/>
    <w:rsid w:val="00DC4BF9"/>
    <w:rsid w:val="00DC7CD4"/>
    <w:rsid w:val="00DD46F0"/>
    <w:rsid w:val="00DE165C"/>
    <w:rsid w:val="00DE72D3"/>
    <w:rsid w:val="00DF0B2B"/>
    <w:rsid w:val="00DF0DBC"/>
    <w:rsid w:val="00DF2F80"/>
    <w:rsid w:val="00DF6C76"/>
    <w:rsid w:val="00E00AF9"/>
    <w:rsid w:val="00E00E39"/>
    <w:rsid w:val="00E00ED8"/>
    <w:rsid w:val="00E02F90"/>
    <w:rsid w:val="00E05B5A"/>
    <w:rsid w:val="00E0742A"/>
    <w:rsid w:val="00E104C2"/>
    <w:rsid w:val="00E112FD"/>
    <w:rsid w:val="00E11B96"/>
    <w:rsid w:val="00E12DBC"/>
    <w:rsid w:val="00E15588"/>
    <w:rsid w:val="00E16EE8"/>
    <w:rsid w:val="00E173BF"/>
    <w:rsid w:val="00E20843"/>
    <w:rsid w:val="00E212C6"/>
    <w:rsid w:val="00E25277"/>
    <w:rsid w:val="00E258EC"/>
    <w:rsid w:val="00E27979"/>
    <w:rsid w:val="00E27B11"/>
    <w:rsid w:val="00E30266"/>
    <w:rsid w:val="00E30F46"/>
    <w:rsid w:val="00E33C1E"/>
    <w:rsid w:val="00E34A9E"/>
    <w:rsid w:val="00E40028"/>
    <w:rsid w:val="00E4096F"/>
    <w:rsid w:val="00E40CCE"/>
    <w:rsid w:val="00E446A8"/>
    <w:rsid w:val="00E45A62"/>
    <w:rsid w:val="00E4731E"/>
    <w:rsid w:val="00E473E2"/>
    <w:rsid w:val="00E50622"/>
    <w:rsid w:val="00E50944"/>
    <w:rsid w:val="00E50C58"/>
    <w:rsid w:val="00E54EE6"/>
    <w:rsid w:val="00E57250"/>
    <w:rsid w:val="00E608DD"/>
    <w:rsid w:val="00E61437"/>
    <w:rsid w:val="00E6434C"/>
    <w:rsid w:val="00E7164A"/>
    <w:rsid w:val="00E72579"/>
    <w:rsid w:val="00E74C40"/>
    <w:rsid w:val="00E82E13"/>
    <w:rsid w:val="00E83EDA"/>
    <w:rsid w:val="00E85274"/>
    <w:rsid w:val="00E85FD3"/>
    <w:rsid w:val="00E86BC1"/>
    <w:rsid w:val="00E87730"/>
    <w:rsid w:val="00E87B97"/>
    <w:rsid w:val="00E930F2"/>
    <w:rsid w:val="00E97CDB"/>
    <w:rsid w:val="00EA140E"/>
    <w:rsid w:val="00EA26A8"/>
    <w:rsid w:val="00EA61D8"/>
    <w:rsid w:val="00EB1881"/>
    <w:rsid w:val="00EB18F9"/>
    <w:rsid w:val="00EB221B"/>
    <w:rsid w:val="00EB3898"/>
    <w:rsid w:val="00EB4F0E"/>
    <w:rsid w:val="00EC186A"/>
    <w:rsid w:val="00EC1BAF"/>
    <w:rsid w:val="00EC2E45"/>
    <w:rsid w:val="00EC361A"/>
    <w:rsid w:val="00ED06A3"/>
    <w:rsid w:val="00ED6088"/>
    <w:rsid w:val="00ED756D"/>
    <w:rsid w:val="00EE0076"/>
    <w:rsid w:val="00EE067C"/>
    <w:rsid w:val="00EE611E"/>
    <w:rsid w:val="00EE7A71"/>
    <w:rsid w:val="00EF0F6B"/>
    <w:rsid w:val="00EF1DA5"/>
    <w:rsid w:val="00EF221E"/>
    <w:rsid w:val="00EF2D53"/>
    <w:rsid w:val="00EF346D"/>
    <w:rsid w:val="00EF54B4"/>
    <w:rsid w:val="00EF6F01"/>
    <w:rsid w:val="00EF701F"/>
    <w:rsid w:val="00F00A1B"/>
    <w:rsid w:val="00F031E4"/>
    <w:rsid w:val="00F055FF"/>
    <w:rsid w:val="00F0701D"/>
    <w:rsid w:val="00F12CA0"/>
    <w:rsid w:val="00F15563"/>
    <w:rsid w:val="00F15901"/>
    <w:rsid w:val="00F15E44"/>
    <w:rsid w:val="00F16F25"/>
    <w:rsid w:val="00F17A1D"/>
    <w:rsid w:val="00F17C4E"/>
    <w:rsid w:val="00F20E8F"/>
    <w:rsid w:val="00F2199E"/>
    <w:rsid w:val="00F22A5B"/>
    <w:rsid w:val="00F23BA4"/>
    <w:rsid w:val="00F30A41"/>
    <w:rsid w:val="00F3537F"/>
    <w:rsid w:val="00F356B6"/>
    <w:rsid w:val="00F3685F"/>
    <w:rsid w:val="00F403B1"/>
    <w:rsid w:val="00F41AA7"/>
    <w:rsid w:val="00F474C7"/>
    <w:rsid w:val="00F51EBF"/>
    <w:rsid w:val="00F541FE"/>
    <w:rsid w:val="00F57B82"/>
    <w:rsid w:val="00F644E1"/>
    <w:rsid w:val="00F666F3"/>
    <w:rsid w:val="00F67A92"/>
    <w:rsid w:val="00F80AB2"/>
    <w:rsid w:val="00F810AA"/>
    <w:rsid w:val="00F82233"/>
    <w:rsid w:val="00F822C1"/>
    <w:rsid w:val="00F83110"/>
    <w:rsid w:val="00F8459C"/>
    <w:rsid w:val="00F859E3"/>
    <w:rsid w:val="00F93D80"/>
    <w:rsid w:val="00F9791A"/>
    <w:rsid w:val="00FA16AF"/>
    <w:rsid w:val="00FA29AB"/>
    <w:rsid w:val="00FA4334"/>
    <w:rsid w:val="00FB4FD3"/>
    <w:rsid w:val="00FC1D3A"/>
    <w:rsid w:val="00FC2BF7"/>
    <w:rsid w:val="00FC7D1A"/>
    <w:rsid w:val="00FD01F3"/>
    <w:rsid w:val="00FD0A91"/>
    <w:rsid w:val="00FD1CC7"/>
    <w:rsid w:val="00FD3282"/>
    <w:rsid w:val="00FD3D4B"/>
    <w:rsid w:val="00FD59C8"/>
    <w:rsid w:val="00FE08B0"/>
    <w:rsid w:val="00FE1936"/>
    <w:rsid w:val="00FE3706"/>
    <w:rsid w:val="00FF0411"/>
    <w:rsid w:val="00FF1608"/>
    <w:rsid w:val="00FF2919"/>
    <w:rsid w:val="00FF488D"/>
    <w:rsid w:val="00FF4E6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0B2A6D0D"/>
  <w15:docId w15:val="{F0E48A97-2AE9-4AF4-8A63-CA5F96C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9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B459B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795"/>
    <w:pPr>
      <w:ind w:left="720"/>
      <w:contextualSpacing/>
    </w:pPr>
  </w:style>
  <w:style w:type="paragraph" w:styleId="FootnoteText">
    <w:name w:val="footnote text"/>
    <w:aliases w:val="ACMA Footnote Text"/>
    <w:basedOn w:val="Normal"/>
    <w:link w:val="FootnoteTextChar"/>
    <w:uiPriority w:val="99"/>
    <w:unhideWhenUsed/>
    <w:rsid w:val="003778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uiPriority w:val="99"/>
    <w:semiHidden/>
    <w:rsid w:val="00377860"/>
    <w:rPr>
      <w:sz w:val="20"/>
      <w:szCs w:val="20"/>
    </w:rPr>
  </w:style>
  <w:style w:type="character" w:styleId="FootnoteReference">
    <w:name w:val="footnote reference"/>
    <w:aliases w:val="(NECG) Footnote Reference,(NECG) Footnote Reference1,(NECG) Footnote Reference2,o,Footnote Reference 1"/>
    <w:basedOn w:val="DefaultParagraphFont"/>
    <w:uiPriority w:val="99"/>
    <w:semiHidden/>
    <w:unhideWhenUsed/>
    <w:rsid w:val="003778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7E9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7B459B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0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49"/>
  </w:style>
  <w:style w:type="paragraph" w:styleId="Footer">
    <w:name w:val="footer"/>
    <w:basedOn w:val="Normal"/>
    <w:link w:val="FooterChar"/>
    <w:uiPriority w:val="99"/>
    <w:unhideWhenUsed/>
    <w:rsid w:val="00600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49"/>
  </w:style>
  <w:style w:type="character" w:styleId="CommentReference">
    <w:name w:val="annotation reference"/>
    <w:basedOn w:val="DefaultParagraphFont"/>
    <w:semiHidden/>
    <w:unhideWhenUsed/>
    <w:rsid w:val="0099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7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6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3D429C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/>
      <w:sz w:val="20"/>
      <w:szCs w:val="24"/>
      <w:lang w:eastAsia="en-AU"/>
    </w:rPr>
  </w:style>
  <w:style w:type="paragraph" w:customStyle="1" w:styleId="Default">
    <w:name w:val="Default"/>
    <w:rsid w:val="00F17C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CMANumberedList">
    <w:name w:val="ACMA Numbered List"/>
    <w:rsid w:val="00EC1BA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CMABodyText">
    <w:name w:val="ACMA Body Text"/>
    <w:link w:val="ACMABodyTextChar1"/>
    <w:uiPriority w:val="99"/>
    <w:rsid w:val="009B7EC3"/>
    <w:pPr>
      <w:suppressAutoHyphens/>
      <w:spacing w:before="80" w:after="120" w:line="280" w:lineRule="atLeast"/>
    </w:pPr>
    <w:rPr>
      <w:rFonts w:ascii="Times New Roman" w:eastAsia="Times New Roman" w:hAnsi="Times New Roman"/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63746D"/>
    <w:rPr>
      <w:sz w:val="22"/>
      <w:szCs w:val="2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BF0A0C"/>
    <w:pPr>
      <w:keepNext/>
      <w:spacing w:before="360" w:after="0" w:line="240" w:lineRule="auto"/>
      <w:ind w:left="964" w:hanging="964"/>
    </w:pPr>
    <w:rPr>
      <w:rFonts w:ascii="Arial" w:eastAsia="Times New Roman" w:hAnsi="Arial"/>
      <w:b/>
      <w:sz w:val="24"/>
      <w:szCs w:val="24"/>
    </w:rPr>
  </w:style>
  <w:style w:type="paragraph" w:styleId="NoSpacing">
    <w:name w:val="No Spacing"/>
    <w:uiPriority w:val="1"/>
    <w:qFormat/>
    <w:rsid w:val="00DB0EF8"/>
    <w:rPr>
      <w:sz w:val="22"/>
      <w:szCs w:val="22"/>
      <w:lang w:eastAsia="en-US"/>
    </w:rPr>
  </w:style>
  <w:style w:type="character" w:customStyle="1" w:styleId="ACMABodyTextChar1">
    <w:name w:val="ACMA Body Text Char1"/>
    <w:link w:val="ACMABodyText"/>
    <w:uiPriority w:val="99"/>
    <w:rsid w:val="008C67AD"/>
    <w:rPr>
      <w:rFonts w:ascii="Times New Roman" w:eastAsia="Times New Roman" w:hAnsi="Times New Roman"/>
      <w:snapToGrid w:val="0"/>
      <w:sz w:val="24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760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53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F2E63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1F2E63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6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4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comlaw.gov.au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KNAH4PPFC442-3114-192</_dlc_DocId>
    <_dlc_DocIdUrl xmlns="6db8f3c6-01a1-4322-b043-a3b2a190f7a8">
      <Url>http://collaboration/organisation/Auth/Chair/Auth/_layouts/DocIdRedir.aspx?ID=KNAH4PPFC442-3114-192</Url>
      <Description>KNAH4PPFC442-3114-192</Description>
    </_dlc_DocIdUrl>
    <Record_x0020_Number xmlns="83630db1-6fc2-4dfd-b3fe-d61d34e1440c">ER2014/074021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3431-563B-477C-BE9C-385AC41B5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6FAD1-6DDF-4EDF-A3D9-2513D2BF12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3B0F85-05EC-44F3-8193-0453EE280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2747B-4C68-4A00-8F5B-B4E2E18D61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89A0B20-D125-408E-B804-66FEC05D7307}">
  <ds:schemaRefs>
    <ds:schemaRef ds:uri="http://purl.org/dc/dcmitype/"/>
    <ds:schemaRef ds:uri="http://purl.org/dc/terms/"/>
    <ds:schemaRef ds:uri="6db8f3c6-01a1-4322-b043-a3b2a190f7a8"/>
    <ds:schemaRef ds:uri="83630db1-6fc2-4dfd-b3fe-d61d34e1440c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5e268b55-9e20-462b-aba6-694451a37717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639920B-D922-4AEE-ACC9-ECD7882E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>AS/CA S003.1:2010</dc:subject>
  <dc:creator>Carmel Roberts</dc:creator>
  <cp:keywords/>
  <dc:description/>
  <cp:lastModifiedBy>Carmel Roberts</cp:lastModifiedBy>
  <cp:revision>3</cp:revision>
  <cp:lastPrinted>2010-08-26T04:56:00Z</cp:lastPrinted>
  <dcterms:created xsi:type="dcterms:W3CDTF">2015-03-05T23:56:00Z</dcterms:created>
  <dcterms:modified xsi:type="dcterms:W3CDTF">2015-03-06T00:47:00Z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bc2dfb9c-e979-4f62-af7b-fbaab0ac24f1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{bc2dfb9c-e979-4f62-af7b-fbaab0ac24f1}</vt:lpwstr>
  </property>
  <property fmtid="{D5CDD505-2E9C-101B-9397-08002B2CF9AE}" pid="9" name="RecordPoint_SubmissionCompleted">
    <vt:lpwstr/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