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1C55" w14:textId="77777777" w:rsidR="004C12CC" w:rsidRPr="004C12CC" w:rsidRDefault="004C12CC" w:rsidP="004C12CC">
      <w:pPr>
        <w:spacing w:before="100" w:beforeAutospacing="1" w:after="0" w:line="240" w:lineRule="auto"/>
        <w:jc w:val="center"/>
        <w:rPr>
          <w:rFonts w:eastAsia="Times New Roman" w:cs="Arial"/>
          <w:lang w:eastAsia="en-AU"/>
        </w:rPr>
      </w:pPr>
      <w:r w:rsidRPr="004C12CC">
        <w:rPr>
          <w:rFonts w:eastAsia="Times New Roman" w:cs="Arial"/>
          <w:b/>
          <w:bCs/>
          <w:lang w:eastAsia="en-AU"/>
        </w:rPr>
        <w:t>EXPLANATORY STATEMENT</w:t>
      </w:r>
    </w:p>
    <w:p w14:paraId="1CF9E88F" w14:textId="77777777" w:rsidR="004C12CC" w:rsidRPr="004C12CC" w:rsidRDefault="004C12CC" w:rsidP="004C12CC">
      <w:pPr>
        <w:spacing w:before="240" w:after="0" w:line="240" w:lineRule="auto"/>
        <w:jc w:val="center"/>
        <w:rPr>
          <w:rFonts w:eastAsia="Times New Roman" w:cs="Arial"/>
          <w:lang w:eastAsia="en-AU"/>
        </w:rPr>
      </w:pPr>
      <w:r w:rsidRPr="004C12CC">
        <w:rPr>
          <w:rFonts w:eastAsia="Times New Roman" w:cs="Arial"/>
          <w:b/>
          <w:bCs/>
          <w:lang w:eastAsia="en-AU"/>
        </w:rPr>
        <w:t>Prepared by the Australian Communications and Media Authority</w:t>
      </w:r>
    </w:p>
    <w:p w14:paraId="3A5B7D35" w14:textId="457B7F6A" w:rsidR="004C12CC" w:rsidRDefault="004C12CC" w:rsidP="004C12CC">
      <w:pPr>
        <w:spacing w:before="240" w:after="0" w:line="240" w:lineRule="auto"/>
        <w:jc w:val="center"/>
        <w:rPr>
          <w:rFonts w:eastAsia="Times New Roman" w:cs="Arial"/>
          <w:b/>
          <w:bCs/>
          <w:i/>
          <w:iCs/>
          <w:lang w:eastAsia="en-AU"/>
        </w:rPr>
      </w:pPr>
      <w:r w:rsidRPr="004C12CC">
        <w:rPr>
          <w:rFonts w:eastAsia="Times New Roman" w:cs="Arial"/>
          <w:b/>
          <w:bCs/>
          <w:i/>
          <w:iCs/>
          <w:lang w:eastAsia="en-AU"/>
        </w:rPr>
        <w:t>Radiocommunicatio</w:t>
      </w:r>
      <w:r w:rsidR="00C47441">
        <w:rPr>
          <w:rFonts w:eastAsia="Times New Roman" w:cs="Arial"/>
          <w:b/>
          <w:bCs/>
          <w:i/>
          <w:iCs/>
          <w:lang w:eastAsia="en-AU"/>
        </w:rPr>
        <w:t>ns (Transmitter Licence Tax</w:t>
      </w:r>
      <w:r w:rsidR="00895B78">
        <w:rPr>
          <w:rFonts w:eastAsia="Times New Roman" w:cs="Arial"/>
          <w:b/>
          <w:bCs/>
          <w:i/>
          <w:iCs/>
          <w:lang w:eastAsia="en-AU"/>
        </w:rPr>
        <w:t xml:space="preserve">) </w:t>
      </w:r>
      <w:r w:rsidR="00C47441">
        <w:rPr>
          <w:rFonts w:eastAsia="Times New Roman" w:cs="Arial"/>
          <w:b/>
          <w:bCs/>
          <w:i/>
          <w:iCs/>
          <w:lang w:eastAsia="en-AU"/>
        </w:rPr>
        <w:br/>
        <w:t>Determination 2015</w:t>
      </w:r>
    </w:p>
    <w:p w14:paraId="62DF2A20" w14:textId="77777777" w:rsidR="004C12CC" w:rsidRPr="004C12CC" w:rsidRDefault="004C12CC" w:rsidP="004C12CC">
      <w:pPr>
        <w:spacing w:before="100" w:beforeAutospacing="1" w:after="0" w:line="240" w:lineRule="auto"/>
        <w:jc w:val="center"/>
        <w:rPr>
          <w:rFonts w:eastAsia="Times New Roman" w:cs="Arial"/>
          <w:lang w:eastAsia="en-AU"/>
        </w:rPr>
      </w:pPr>
      <w:r w:rsidRPr="004C12CC">
        <w:rPr>
          <w:rFonts w:eastAsia="Times New Roman" w:cs="Arial"/>
          <w:b/>
          <w:bCs/>
          <w:i/>
          <w:iCs/>
          <w:lang w:eastAsia="en-AU"/>
        </w:rPr>
        <w:t>Radiocommunications (Transmitter Licence Tax) Act 1983</w:t>
      </w:r>
    </w:p>
    <w:p w14:paraId="4BDD2842" w14:textId="77777777" w:rsidR="004C12CC" w:rsidRPr="004C12CC" w:rsidRDefault="004C12CC" w:rsidP="004C12CC">
      <w:pPr>
        <w:spacing w:before="100" w:beforeAutospacing="1" w:after="120" w:line="240" w:lineRule="auto"/>
        <w:jc w:val="both"/>
        <w:rPr>
          <w:rFonts w:eastAsia="Times New Roman" w:cs="Arial"/>
          <w:lang w:eastAsia="en-AU"/>
        </w:rPr>
      </w:pPr>
      <w:r w:rsidRPr="004C12CC">
        <w:rPr>
          <w:rFonts w:eastAsia="Times New Roman" w:cs="Arial"/>
          <w:b/>
          <w:bCs/>
          <w:lang w:eastAsia="en-AU"/>
        </w:rPr>
        <w:t>Purpose</w:t>
      </w:r>
    </w:p>
    <w:p w14:paraId="7E5E5519" w14:textId="3F8AFEEA" w:rsidR="004C12CC" w:rsidRPr="007B16CB" w:rsidRDefault="004C12CC" w:rsidP="004C12CC">
      <w:pPr>
        <w:spacing w:before="100" w:beforeAutospacing="1" w:after="100" w:afterAutospacing="1" w:line="240" w:lineRule="auto"/>
        <w:jc w:val="both"/>
        <w:rPr>
          <w:rFonts w:eastAsia="Times New Roman" w:cs="Arial"/>
          <w:lang w:eastAsia="en-AU"/>
        </w:rPr>
      </w:pPr>
      <w:r w:rsidRPr="004C12CC">
        <w:rPr>
          <w:rFonts w:eastAsia="Times New Roman" w:cs="Arial"/>
          <w:lang w:eastAsia="en-AU"/>
        </w:rPr>
        <w:t>The</w:t>
      </w:r>
      <w:r w:rsidR="00C47441">
        <w:rPr>
          <w:rFonts w:eastAsia="Times New Roman" w:cs="Arial"/>
          <w:lang w:eastAsia="en-AU"/>
        </w:rPr>
        <w:t xml:space="preserve"> purpose of the</w:t>
      </w:r>
      <w:r w:rsidRPr="004C12CC">
        <w:rPr>
          <w:rFonts w:eastAsia="Times New Roman" w:cs="Arial"/>
          <w:lang w:eastAsia="en-AU"/>
        </w:rPr>
        <w:t xml:space="preserve"> </w:t>
      </w:r>
      <w:r w:rsidRPr="004C12CC">
        <w:rPr>
          <w:rFonts w:eastAsia="Times New Roman" w:cs="Arial"/>
          <w:i/>
          <w:iCs/>
          <w:lang w:eastAsia="en-AU"/>
        </w:rPr>
        <w:t>Radiocommunicatio</w:t>
      </w:r>
      <w:r w:rsidR="00C47441">
        <w:rPr>
          <w:rFonts w:eastAsia="Times New Roman" w:cs="Arial"/>
          <w:i/>
          <w:iCs/>
          <w:lang w:eastAsia="en-AU"/>
        </w:rPr>
        <w:t>ns (Transmitter Licence Tax) Determination</w:t>
      </w:r>
      <w:r w:rsidR="004165D0">
        <w:rPr>
          <w:rFonts w:eastAsia="Times New Roman" w:cs="Arial"/>
          <w:i/>
          <w:iCs/>
          <w:lang w:eastAsia="en-AU"/>
        </w:rPr>
        <w:t xml:space="preserve"> 2015</w:t>
      </w:r>
      <w:r w:rsidR="00C47441">
        <w:rPr>
          <w:rFonts w:eastAsia="Times New Roman" w:cs="Arial"/>
          <w:i/>
          <w:iCs/>
          <w:lang w:eastAsia="en-AU"/>
        </w:rPr>
        <w:t xml:space="preserve"> </w:t>
      </w:r>
      <w:r w:rsidR="004F7573">
        <w:rPr>
          <w:rFonts w:eastAsia="Times New Roman" w:cs="Arial"/>
          <w:iCs/>
          <w:lang w:eastAsia="en-AU"/>
        </w:rPr>
        <w:t>(</w:t>
      </w:r>
      <w:r w:rsidR="004F7573" w:rsidRPr="007E4942">
        <w:rPr>
          <w:rFonts w:eastAsia="Times New Roman" w:cs="Arial"/>
          <w:b/>
          <w:iCs/>
          <w:lang w:eastAsia="en-AU"/>
        </w:rPr>
        <w:t>the Determination</w:t>
      </w:r>
      <w:r w:rsidR="004F7573">
        <w:rPr>
          <w:rFonts w:eastAsia="Times New Roman" w:cs="Arial"/>
          <w:iCs/>
          <w:lang w:eastAsia="en-AU"/>
        </w:rPr>
        <w:t>)</w:t>
      </w:r>
      <w:r w:rsidR="002D48F2">
        <w:rPr>
          <w:rFonts w:eastAsia="Times New Roman" w:cs="Arial"/>
          <w:iCs/>
          <w:lang w:eastAsia="en-AU"/>
        </w:rPr>
        <w:t xml:space="preserve"> </w:t>
      </w:r>
      <w:r w:rsidR="00C47441" w:rsidRPr="004F7573">
        <w:rPr>
          <w:rFonts w:eastAsia="Times New Roman" w:cs="Arial"/>
          <w:iCs/>
          <w:lang w:eastAsia="en-AU"/>
        </w:rPr>
        <w:t>is</w:t>
      </w:r>
      <w:r w:rsidR="00C47441">
        <w:rPr>
          <w:rFonts w:eastAsia="Times New Roman" w:cs="Arial"/>
          <w:iCs/>
          <w:lang w:eastAsia="en-AU"/>
        </w:rPr>
        <w:t xml:space="preserve"> to replace the </w:t>
      </w:r>
      <w:r w:rsidR="00C47441" w:rsidRPr="004C12CC">
        <w:rPr>
          <w:rFonts w:eastAsia="Times New Roman" w:cs="Arial"/>
          <w:i/>
          <w:iCs/>
          <w:lang w:eastAsia="en-AU"/>
        </w:rPr>
        <w:t>Radiocommunicatio</w:t>
      </w:r>
      <w:r w:rsidR="00C47441">
        <w:rPr>
          <w:rFonts w:eastAsia="Times New Roman" w:cs="Arial"/>
          <w:i/>
          <w:iCs/>
          <w:lang w:eastAsia="en-AU"/>
        </w:rPr>
        <w:t>ns (Transmitter Licence Tax) Determination 2003 (No. 2)</w:t>
      </w:r>
      <w:r w:rsidR="00C47441" w:rsidRPr="00272465">
        <w:rPr>
          <w:rFonts w:eastAsia="Times New Roman" w:cs="Arial"/>
          <w:i/>
          <w:iCs/>
          <w:lang w:eastAsia="en-AU"/>
        </w:rPr>
        <w:t xml:space="preserve"> </w:t>
      </w:r>
      <w:r w:rsidR="00120F40">
        <w:rPr>
          <w:rFonts w:eastAsia="Times New Roman" w:cs="Arial"/>
          <w:iCs/>
          <w:lang w:eastAsia="en-AU"/>
        </w:rPr>
        <w:t xml:space="preserve">(the </w:t>
      </w:r>
      <w:r w:rsidR="00120F40" w:rsidRPr="00C75F89">
        <w:rPr>
          <w:rFonts w:eastAsia="Times New Roman" w:cs="Arial"/>
          <w:b/>
          <w:iCs/>
          <w:lang w:eastAsia="en-AU"/>
        </w:rPr>
        <w:t>2003 Determination</w:t>
      </w:r>
      <w:r w:rsidR="00120F40">
        <w:rPr>
          <w:rFonts w:eastAsia="Times New Roman" w:cs="Arial"/>
          <w:iCs/>
          <w:lang w:eastAsia="en-AU"/>
        </w:rPr>
        <w:t xml:space="preserve">) </w:t>
      </w:r>
      <w:r w:rsidR="009A743A" w:rsidRPr="00C75F89">
        <w:rPr>
          <w:rFonts w:eastAsia="Times New Roman" w:cs="Arial"/>
          <w:iCs/>
          <w:lang w:eastAsia="en-AU"/>
        </w:rPr>
        <w:t>which is</w:t>
      </w:r>
      <w:r w:rsidR="00C47441" w:rsidRPr="00C75F89">
        <w:rPr>
          <w:rFonts w:eastAsia="Times New Roman" w:cs="Arial"/>
          <w:iCs/>
          <w:lang w:eastAsia="en-AU"/>
        </w:rPr>
        <w:t xml:space="preserve"> due to sunset on 1 April 2015</w:t>
      </w:r>
      <w:r w:rsidR="00120F40" w:rsidRPr="00120F40">
        <w:t xml:space="preserve"> </w:t>
      </w:r>
      <w:r w:rsidR="00120F40" w:rsidRPr="00627AAF">
        <w:t>under the automatic repeal provisions of the</w:t>
      </w:r>
      <w:r w:rsidR="00120F40" w:rsidRPr="00DE502C">
        <w:rPr>
          <w:i/>
        </w:rPr>
        <w:t xml:space="preserve"> Legislative Instruments Act 2003 </w:t>
      </w:r>
      <w:r w:rsidR="00120F40" w:rsidRPr="00627AAF">
        <w:t>(</w:t>
      </w:r>
      <w:r w:rsidR="004F7573">
        <w:t xml:space="preserve">the </w:t>
      </w:r>
      <w:r w:rsidR="00120F40" w:rsidRPr="00C75F89">
        <w:rPr>
          <w:b/>
        </w:rPr>
        <w:t>LIA</w:t>
      </w:r>
      <w:r w:rsidR="00120F40" w:rsidRPr="00627AAF">
        <w:t>)</w:t>
      </w:r>
      <w:r w:rsidR="00C47441" w:rsidRPr="00C75F89">
        <w:rPr>
          <w:rFonts w:eastAsia="Times New Roman" w:cs="Arial"/>
          <w:iCs/>
          <w:lang w:eastAsia="en-AU"/>
        </w:rPr>
        <w:t>.</w:t>
      </w:r>
    </w:p>
    <w:p w14:paraId="03F39A38" w14:textId="77777777" w:rsidR="004C12CC" w:rsidRPr="004C12CC" w:rsidRDefault="004C12CC" w:rsidP="004C12CC">
      <w:pPr>
        <w:spacing w:before="100" w:beforeAutospacing="1" w:after="100" w:afterAutospacing="1" w:line="240" w:lineRule="auto"/>
        <w:jc w:val="both"/>
        <w:rPr>
          <w:rFonts w:eastAsia="Times New Roman" w:cs="Arial"/>
          <w:lang w:eastAsia="en-AU"/>
        </w:rPr>
      </w:pPr>
      <w:r w:rsidRPr="00272465">
        <w:rPr>
          <w:rFonts w:eastAsia="Times New Roman" w:cs="Arial"/>
          <w:b/>
          <w:bCs/>
          <w:lang w:eastAsia="en-AU"/>
        </w:rPr>
        <w:t>Legislative Provisions</w:t>
      </w:r>
    </w:p>
    <w:p w14:paraId="33700CD1" w14:textId="0ECB5437" w:rsidR="004C12CC" w:rsidRPr="00272465" w:rsidRDefault="004C12CC" w:rsidP="004C12CC">
      <w:pPr>
        <w:spacing w:before="100" w:beforeAutospacing="1" w:after="100" w:afterAutospacing="1" w:line="240" w:lineRule="auto"/>
        <w:jc w:val="both"/>
        <w:rPr>
          <w:rFonts w:eastAsia="Times New Roman" w:cs="Arial"/>
          <w:lang w:eastAsia="en-AU"/>
        </w:rPr>
      </w:pPr>
      <w:r w:rsidRPr="004C12CC">
        <w:rPr>
          <w:rFonts w:eastAsia="Times New Roman" w:cs="Arial"/>
          <w:lang w:eastAsia="en-AU"/>
        </w:rPr>
        <w:t>The Determination</w:t>
      </w:r>
      <w:r w:rsidR="009A743A">
        <w:rPr>
          <w:rFonts w:eastAsia="Times New Roman" w:cs="Arial"/>
          <w:lang w:eastAsia="en-AU"/>
        </w:rPr>
        <w:t xml:space="preserve"> </w:t>
      </w:r>
      <w:proofErr w:type="gramStart"/>
      <w:r w:rsidR="009A743A">
        <w:rPr>
          <w:rFonts w:eastAsia="Times New Roman" w:cs="Arial"/>
          <w:lang w:eastAsia="en-AU"/>
        </w:rPr>
        <w:t>is</w:t>
      </w:r>
      <w:r w:rsidRPr="004C12CC">
        <w:rPr>
          <w:rFonts w:eastAsia="Times New Roman" w:cs="Arial"/>
          <w:lang w:eastAsia="en-AU"/>
        </w:rPr>
        <w:t xml:space="preserve"> made</w:t>
      </w:r>
      <w:proofErr w:type="gramEnd"/>
      <w:r w:rsidRPr="004C12CC">
        <w:rPr>
          <w:rFonts w:eastAsia="Times New Roman" w:cs="Arial"/>
          <w:lang w:eastAsia="en-AU"/>
        </w:rPr>
        <w:t xml:space="preserve"> under subsection 7(1) of the </w:t>
      </w:r>
      <w:r w:rsidRPr="004C12CC">
        <w:rPr>
          <w:rFonts w:eastAsia="Times New Roman" w:cs="Arial"/>
          <w:i/>
          <w:iCs/>
          <w:lang w:eastAsia="en-AU"/>
        </w:rPr>
        <w:t>Radiocommunications (Transmitter Licence Tax) Act 1983</w:t>
      </w:r>
      <w:r w:rsidR="00C47441">
        <w:rPr>
          <w:rFonts w:eastAsia="Times New Roman" w:cs="Arial"/>
          <w:lang w:eastAsia="en-AU"/>
        </w:rPr>
        <w:t xml:space="preserve"> </w:t>
      </w:r>
      <w:r w:rsidR="00120F40">
        <w:rPr>
          <w:rFonts w:eastAsia="Times New Roman" w:cs="Arial"/>
          <w:lang w:eastAsia="en-AU"/>
        </w:rPr>
        <w:t xml:space="preserve">(the </w:t>
      </w:r>
      <w:r w:rsidR="00120F40" w:rsidRPr="00C75F89">
        <w:rPr>
          <w:rFonts w:eastAsia="Times New Roman" w:cs="Arial"/>
          <w:b/>
          <w:lang w:eastAsia="en-AU"/>
        </w:rPr>
        <w:t>Act</w:t>
      </w:r>
      <w:r w:rsidR="00120F40">
        <w:rPr>
          <w:rFonts w:eastAsia="Times New Roman" w:cs="Arial"/>
          <w:lang w:eastAsia="en-AU"/>
        </w:rPr>
        <w:t xml:space="preserve">) </w:t>
      </w:r>
      <w:r w:rsidR="00C47441">
        <w:rPr>
          <w:rFonts w:eastAsia="Times New Roman" w:cs="Arial"/>
          <w:lang w:eastAsia="en-AU"/>
        </w:rPr>
        <w:t>which provide</w:t>
      </w:r>
      <w:r w:rsidR="009A743A">
        <w:rPr>
          <w:rFonts w:eastAsia="Times New Roman" w:cs="Arial"/>
          <w:lang w:eastAsia="en-AU"/>
        </w:rPr>
        <w:t>s</w:t>
      </w:r>
      <w:r w:rsidRPr="004C12CC">
        <w:rPr>
          <w:rFonts w:eastAsia="Times New Roman" w:cs="Arial"/>
          <w:lang w:eastAsia="en-AU"/>
        </w:rPr>
        <w:t xml:space="preserve"> that the Australian Communications and Media Authority (the</w:t>
      </w:r>
      <w:r w:rsidRPr="004C12CC">
        <w:rPr>
          <w:rFonts w:eastAsia="Times New Roman" w:cs="Arial"/>
          <w:b/>
          <w:bCs/>
          <w:lang w:eastAsia="en-AU"/>
        </w:rPr>
        <w:t xml:space="preserve"> ACMA</w:t>
      </w:r>
      <w:r w:rsidRPr="004C12CC">
        <w:rPr>
          <w:rFonts w:eastAsia="Times New Roman" w:cs="Arial"/>
          <w:lang w:eastAsia="en-AU"/>
        </w:rPr>
        <w:t>) may determine the amount of tax</w:t>
      </w:r>
      <w:r w:rsidR="004F7573">
        <w:rPr>
          <w:rFonts w:eastAsia="Times New Roman" w:cs="Arial"/>
          <w:lang w:eastAsia="en-AU"/>
        </w:rPr>
        <w:t xml:space="preserve"> that is imposed by the Act</w:t>
      </w:r>
      <w:r w:rsidRPr="004C12CC">
        <w:rPr>
          <w:rFonts w:eastAsia="Times New Roman" w:cs="Arial"/>
          <w:lang w:eastAsia="en-AU"/>
        </w:rPr>
        <w:t xml:space="preserve"> in respect of</w:t>
      </w:r>
      <w:r w:rsidR="00120F40">
        <w:rPr>
          <w:rFonts w:eastAsia="Times New Roman" w:cs="Arial"/>
          <w:lang w:eastAsia="en-AU"/>
        </w:rPr>
        <w:t>:</w:t>
      </w:r>
    </w:p>
    <w:p w14:paraId="6CA889C9" w14:textId="2949C725" w:rsidR="004C12CC" w:rsidRPr="00272465" w:rsidRDefault="004C12CC" w:rsidP="004C12CC">
      <w:pPr>
        <w:pStyle w:val="ListParagraph"/>
        <w:numPr>
          <w:ilvl w:val="0"/>
          <w:numId w:val="2"/>
        </w:numPr>
        <w:spacing w:before="100" w:beforeAutospacing="1" w:after="100" w:afterAutospacing="1" w:line="240" w:lineRule="auto"/>
        <w:jc w:val="both"/>
        <w:rPr>
          <w:rFonts w:eastAsia="Times New Roman" w:cs="Arial"/>
          <w:lang w:eastAsia="en-AU"/>
        </w:rPr>
      </w:pPr>
      <w:r w:rsidRPr="00272465">
        <w:rPr>
          <w:rFonts w:eastAsia="Times New Roman" w:cs="Arial"/>
          <w:lang w:eastAsia="en-AU"/>
        </w:rPr>
        <w:t xml:space="preserve">the issue of a transmitter licence; </w:t>
      </w:r>
    </w:p>
    <w:p w14:paraId="18BAD863" w14:textId="0E69AD49" w:rsidR="004C12CC" w:rsidRPr="00272465" w:rsidRDefault="004C12CC" w:rsidP="004C12CC">
      <w:pPr>
        <w:pStyle w:val="ListParagraph"/>
        <w:numPr>
          <w:ilvl w:val="0"/>
          <w:numId w:val="2"/>
        </w:numPr>
        <w:spacing w:before="100" w:beforeAutospacing="1" w:after="100" w:afterAutospacing="1" w:line="240" w:lineRule="auto"/>
        <w:jc w:val="both"/>
        <w:rPr>
          <w:rFonts w:eastAsia="Times New Roman" w:cs="Arial"/>
          <w:lang w:eastAsia="en-AU"/>
        </w:rPr>
      </w:pPr>
      <w:r w:rsidRPr="00272465">
        <w:rPr>
          <w:rFonts w:eastAsia="Times New Roman" w:cs="Arial"/>
          <w:lang w:eastAsia="en-AU"/>
        </w:rPr>
        <w:t xml:space="preserve">the anniversary of a transmitter licence coming into force; and </w:t>
      </w:r>
    </w:p>
    <w:p w14:paraId="62D8522A" w14:textId="77777777" w:rsidR="002D48F2" w:rsidRDefault="004C12CC" w:rsidP="007E4942">
      <w:pPr>
        <w:pStyle w:val="ListParagraph"/>
        <w:numPr>
          <w:ilvl w:val="0"/>
          <w:numId w:val="2"/>
        </w:numPr>
        <w:spacing w:before="100" w:beforeAutospacing="1" w:after="100" w:afterAutospacing="1" w:line="240" w:lineRule="auto"/>
        <w:jc w:val="both"/>
        <w:rPr>
          <w:rFonts w:eastAsia="Times New Roman" w:cs="Arial"/>
          <w:lang w:eastAsia="en-AU"/>
        </w:rPr>
      </w:pPr>
      <w:r w:rsidRPr="00272465">
        <w:rPr>
          <w:rFonts w:eastAsia="Times New Roman" w:cs="Arial"/>
          <w:lang w:eastAsia="en-AU"/>
        </w:rPr>
        <w:t>the holding of a transmitter licence.</w:t>
      </w:r>
    </w:p>
    <w:p w14:paraId="034CCAFD" w14:textId="1FD4F791" w:rsidR="002D48F2" w:rsidRPr="002D48F2" w:rsidRDefault="002D48F2" w:rsidP="002D48F2">
      <w:pPr>
        <w:spacing w:before="100" w:beforeAutospacing="1" w:after="100" w:afterAutospacing="1" w:line="240" w:lineRule="auto"/>
        <w:jc w:val="both"/>
        <w:rPr>
          <w:rFonts w:eastAsia="Times New Roman" w:cs="Arial"/>
          <w:lang w:eastAsia="en-AU"/>
        </w:rPr>
      </w:pPr>
      <w:r w:rsidRPr="002D48F2">
        <w:rPr>
          <w:rFonts w:eastAsia="Times New Roman" w:cs="Arial"/>
          <w:lang w:eastAsia="en-AU"/>
        </w:rPr>
        <w:t>Subsection 33(3) of the Acts Interpretation Act 1901 provides that where an Act confers a power to make a legislative instrument (such as section 7 of the Act), the power shall be construed as including a power exercisable in the like manner and subject to the like conditions (if any) to repeal, rescind, revoke, amend or vary the instrument</w:t>
      </w:r>
      <w:r w:rsidRPr="002D48F2">
        <w:rPr>
          <w:rFonts w:ascii="Arial" w:hAnsi="Arial" w:cs="Arial"/>
        </w:rPr>
        <w:t xml:space="preserve">. </w:t>
      </w:r>
      <w:r w:rsidRPr="00627AAF">
        <w:t xml:space="preserve"> </w:t>
      </w:r>
    </w:p>
    <w:p w14:paraId="75F2DCEA" w14:textId="2E6322C5" w:rsidR="00627AAF" w:rsidRPr="00627AAF" w:rsidRDefault="00627AAF" w:rsidP="00272465">
      <w:pPr>
        <w:spacing w:before="100" w:beforeAutospacing="1" w:after="120" w:line="240" w:lineRule="auto"/>
        <w:jc w:val="both"/>
      </w:pPr>
      <w:r w:rsidRPr="00627AAF">
        <w:t xml:space="preserve">The </w:t>
      </w:r>
      <w:r w:rsidR="009A743A">
        <w:t xml:space="preserve">Determination is a </w:t>
      </w:r>
      <w:r w:rsidR="00120F40">
        <w:t xml:space="preserve">disallowable </w:t>
      </w:r>
      <w:r w:rsidR="009A743A">
        <w:t>legislative instrument</w:t>
      </w:r>
      <w:r w:rsidRPr="00627AAF">
        <w:t xml:space="preserve"> for the purposes of the LIA. </w:t>
      </w:r>
    </w:p>
    <w:p w14:paraId="6A62F422" w14:textId="77777777" w:rsidR="00272465" w:rsidRPr="00272465" w:rsidRDefault="00272465" w:rsidP="00272465">
      <w:pPr>
        <w:spacing w:before="100" w:beforeAutospacing="1" w:after="120" w:line="240" w:lineRule="auto"/>
        <w:jc w:val="both"/>
        <w:rPr>
          <w:rFonts w:eastAsia="Times New Roman" w:cs="Arial"/>
          <w:b/>
          <w:bCs/>
          <w:lang w:eastAsia="en-AU"/>
        </w:rPr>
      </w:pPr>
      <w:r w:rsidRPr="00272465">
        <w:rPr>
          <w:rFonts w:eastAsia="Times New Roman" w:cs="Arial"/>
          <w:b/>
          <w:bCs/>
          <w:lang w:eastAsia="en-AU"/>
        </w:rPr>
        <w:t>Background</w:t>
      </w:r>
    </w:p>
    <w:p w14:paraId="29144282" w14:textId="1AA845CE" w:rsidR="00C94BAE" w:rsidRDefault="00C94BAE" w:rsidP="00627AAF">
      <w:r>
        <w:t xml:space="preserve">Section 6 of the Act imposes tax on the issue of transmitter licences.  Section 7 of the Act provides that the amount of these taxes </w:t>
      </w:r>
      <w:proofErr w:type="gramStart"/>
      <w:r>
        <w:t>is</w:t>
      </w:r>
      <w:proofErr w:type="gramEnd"/>
      <w:r>
        <w:t xml:space="preserve"> to be determined by the ACMA.</w:t>
      </w:r>
    </w:p>
    <w:p w14:paraId="6C9D38B6" w14:textId="27212D58" w:rsidR="00627AAF" w:rsidRPr="00603BA4" w:rsidRDefault="00627AAF" w:rsidP="00627AAF">
      <w:r w:rsidRPr="00603BA4">
        <w:t>The</w:t>
      </w:r>
      <w:r w:rsidR="009A743A">
        <w:t xml:space="preserve"> Determination</w:t>
      </w:r>
      <w:r w:rsidRPr="00603BA4">
        <w:t xml:space="preserve"> </w:t>
      </w:r>
      <w:r w:rsidR="004F7573" w:rsidRPr="00603BA4">
        <w:t>d</w:t>
      </w:r>
      <w:r w:rsidR="004F7573">
        <w:t>etermines the amounts of transmitter licence taxes imposed by the Act by setting out</w:t>
      </w:r>
      <w:r w:rsidR="004F7573" w:rsidRPr="00603BA4">
        <w:t xml:space="preserve"> </w:t>
      </w:r>
      <w:r w:rsidRPr="00603BA4">
        <w:t>the information necessary for the ca</w:t>
      </w:r>
      <w:r w:rsidR="009A743A">
        <w:t xml:space="preserve">lculation of </w:t>
      </w:r>
      <w:proofErr w:type="gramStart"/>
      <w:r w:rsidR="009A743A">
        <w:t>radio</w:t>
      </w:r>
      <w:r w:rsidR="00120F40">
        <w:t>communications</w:t>
      </w:r>
      <w:r w:rsidR="009A743A">
        <w:t xml:space="preserve"> </w:t>
      </w:r>
      <w:r w:rsidRPr="00603BA4">
        <w:t>transmitter licence tax amounts</w:t>
      </w:r>
      <w:proofErr w:type="gramEnd"/>
      <w:r w:rsidRPr="00603BA4">
        <w:t xml:space="preserve">. </w:t>
      </w:r>
    </w:p>
    <w:p w14:paraId="11DF6475" w14:textId="3ED55EB0" w:rsidR="00627AAF" w:rsidRPr="00603BA4" w:rsidRDefault="004F7573" w:rsidP="00627AAF">
      <w:r>
        <w:t>Under subsection 7(2) of the Act, t</w:t>
      </w:r>
      <w:r w:rsidR="009A743A">
        <w:t>he Determination</w:t>
      </w:r>
      <w:r w:rsidR="00627AAF" w:rsidRPr="00603BA4">
        <w:t xml:space="preserve"> </w:t>
      </w:r>
      <w:proofErr w:type="gramStart"/>
      <w:r w:rsidR="00627AAF" w:rsidRPr="00603BA4">
        <w:t>may, among other things, provide</w:t>
      </w:r>
      <w:proofErr w:type="gramEnd"/>
      <w:r w:rsidR="00627AAF" w:rsidRPr="00603BA4">
        <w:t xml:space="preserve"> for amounts of tax in relation to:</w:t>
      </w:r>
    </w:p>
    <w:p w14:paraId="04293659" w14:textId="34C1A67E" w:rsidR="00627AAF" w:rsidRPr="00603BA4" w:rsidRDefault="00627AAF" w:rsidP="00C75F89">
      <w:pPr>
        <w:tabs>
          <w:tab w:val="left" w:pos="709"/>
        </w:tabs>
        <w:ind w:left="709" w:hanging="425"/>
      </w:pPr>
      <w:r w:rsidRPr="00603BA4">
        <w:t>(a)</w:t>
      </w:r>
      <w:r w:rsidR="004F7573">
        <w:tab/>
      </w:r>
      <w:r w:rsidRPr="00603BA4">
        <w:t>specified periods; or</w:t>
      </w:r>
    </w:p>
    <w:p w14:paraId="4EA6058C" w14:textId="4911029E" w:rsidR="00627AAF" w:rsidRPr="00603BA4" w:rsidRDefault="00627AAF" w:rsidP="00C75F89">
      <w:pPr>
        <w:tabs>
          <w:tab w:val="left" w:pos="709"/>
        </w:tabs>
        <w:ind w:left="709" w:hanging="425"/>
      </w:pPr>
      <w:r w:rsidRPr="00603BA4">
        <w:t>(b)</w:t>
      </w:r>
      <w:r w:rsidR="004F7573">
        <w:tab/>
      </w:r>
      <w:r w:rsidRPr="00603BA4">
        <w:t>specified classes of licences; or</w:t>
      </w:r>
    </w:p>
    <w:p w14:paraId="0B9DD70D" w14:textId="4BE68D9A" w:rsidR="00627AAF" w:rsidRPr="00603BA4" w:rsidRDefault="00627AAF" w:rsidP="00C75F89">
      <w:pPr>
        <w:ind w:left="709" w:hanging="425"/>
      </w:pPr>
      <w:r w:rsidRPr="00603BA4">
        <w:t>(c)</w:t>
      </w:r>
      <w:r w:rsidR="004F7573">
        <w:tab/>
      </w:r>
      <w:r w:rsidRPr="00603BA4">
        <w:t>specified classes of persons.</w:t>
      </w:r>
    </w:p>
    <w:p w14:paraId="1FE788FC" w14:textId="5BD8F71D" w:rsidR="00C94BAE" w:rsidRDefault="009A743A" w:rsidP="00627AAF">
      <w:r>
        <w:t>The Determination</w:t>
      </w:r>
      <w:r w:rsidR="00627AAF" w:rsidRPr="00603BA4">
        <w:t xml:space="preserve"> contain</w:t>
      </w:r>
      <w:r>
        <w:t>s</w:t>
      </w:r>
      <w:r w:rsidR="00627AAF" w:rsidRPr="00603BA4">
        <w:t xml:space="preserve"> the information necessary to calculate the tax amount</w:t>
      </w:r>
      <w:r>
        <w:t xml:space="preserve">s that transmitter </w:t>
      </w:r>
      <w:r w:rsidR="00627AAF" w:rsidRPr="00603BA4">
        <w:t>licence holders are re</w:t>
      </w:r>
      <w:r>
        <w:t xml:space="preserve">quired to pay </w:t>
      </w:r>
      <w:r w:rsidR="00C94BAE">
        <w:t>in relation to</w:t>
      </w:r>
      <w:r>
        <w:t xml:space="preserve"> </w:t>
      </w:r>
      <w:r w:rsidR="00C94BAE">
        <w:t xml:space="preserve">each </w:t>
      </w:r>
      <w:r>
        <w:t>licence</w:t>
      </w:r>
      <w:r w:rsidR="00C94BAE">
        <w:t xml:space="preserve"> held</w:t>
      </w:r>
      <w:r>
        <w:t>. The Determination</w:t>
      </w:r>
      <w:r w:rsidR="00627AAF" w:rsidRPr="00603BA4">
        <w:t xml:space="preserve"> </w:t>
      </w:r>
      <w:r w:rsidR="00C94BAE">
        <w:t>sets out</w:t>
      </w:r>
      <w:r w:rsidR="004165D0">
        <w:t xml:space="preserve"> </w:t>
      </w:r>
      <w:r w:rsidR="00627AAF" w:rsidRPr="00603BA4">
        <w:lastRenderedPageBreak/>
        <w:t>detail</w:t>
      </w:r>
      <w:r w:rsidR="004165D0">
        <w:t>ed</w:t>
      </w:r>
      <w:r w:rsidR="00627AAF" w:rsidRPr="00603BA4">
        <w:t xml:space="preserve"> information</w:t>
      </w:r>
      <w:r w:rsidR="00C94BAE">
        <w:t>,</w:t>
      </w:r>
      <w:r w:rsidR="00627AAF" w:rsidRPr="00603BA4">
        <w:t xml:space="preserve"> including map grid coordinates, spectrum density areas and annual amounts to </w:t>
      </w:r>
      <w:proofErr w:type="gramStart"/>
      <w:r w:rsidR="00627AAF" w:rsidRPr="00603BA4">
        <w:t>be charged</w:t>
      </w:r>
      <w:proofErr w:type="gramEnd"/>
      <w:r w:rsidR="00627AAF" w:rsidRPr="00603BA4">
        <w:t xml:space="preserve"> for given frequency ranges and population densities.  </w:t>
      </w:r>
    </w:p>
    <w:p w14:paraId="2EBE9027" w14:textId="0DD9A229" w:rsidR="00627AAF" w:rsidRPr="00447901" w:rsidRDefault="00447901" w:rsidP="00627AAF">
      <w:r w:rsidRPr="00F04A9B">
        <w:rPr>
          <w:rFonts w:cs="Arial"/>
        </w:rPr>
        <w:t xml:space="preserve">The tax </w:t>
      </w:r>
      <w:proofErr w:type="gramStart"/>
      <w:r w:rsidRPr="00F04A9B">
        <w:rPr>
          <w:rFonts w:cs="Arial"/>
        </w:rPr>
        <w:t xml:space="preserve">is </w:t>
      </w:r>
      <w:r w:rsidR="00F04A9B">
        <w:rPr>
          <w:rFonts w:cs="Arial"/>
        </w:rPr>
        <w:t>imposed</w:t>
      </w:r>
      <w:proofErr w:type="gramEnd"/>
      <w:r w:rsidR="00F04A9B">
        <w:rPr>
          <w:rFonts w:cs="Arial"/>
        </w:rPr>
        <w:t xml:space="preserve"> </w:t>
      </w:r>
      <w:r w:rsidRPr="00F04A9B">
        <w:rPr>
          <w:rFonts w:cs="Arial"/>
        </w:rPr>
        <w:t>on the issue of the licence</w:t>
      </w:r>
      <w:r w:rsidR="00F04A9B">
        <w:t xml:space="preserve">.  </w:t>
      </w:r>
      <w:r w:rsidR="00F04A9B">
        <w:rPr>
          <w:rFonts w:cs="Arial"/>
        </w:rPr>
        <w:t>However, u</w:t>
      </w:r>
      <w:r w:rsidRPr="00F04A9B">
        <w:rPr>
          <w:rFonts w:cs="Arial"/>
        </w:rPr>
        <w:t xml:space="preserve">nder the Act, licensees may </w:t>
      </w:r>
      <w:r w:rsidR="00F04A9B">
        <w:rPr>
          <w:rFonts w:cs="Arial"/>
        </w:rPr>
        <w:t xml:space="preserve">make an </w:t>
      </w:r>
      <w:r w:rsidRPr="00F04A9B">
        <w:rPr>
          <w:rFonts w:cs="Arial"/>
        </w:rPr>
        <w:t>elect</w:t>
      </w:r>
      <w:r w:rsidR="00F04A9B">
        <w:rPr>
          <w:rFonts w:cs="Arial"/>
        </w:rPr>
        <w:t>ion as to</w:t>
      </w:r>
      <w:r w:rsidRPr="00F04A9B">
        <w:rPr>
          <w:rFonts w:cs="Arial"/>
        </w:rPr>
        <w:t xml:space="preserve"> the time when the tax </w:t>
      </w:r>
      <w:proofErr w:type="gramStart"/>
      <w:r w:rsidRPr="00F04A9B">
        <w:rPr>
          <w:rFonts w:cs="Arial"/>
        </w:rPr>
        <w:t xml:space="preserve">is </w:t>
      </w:r>
      <w:r w:rsidR="00F04A9B">
        <w:rPr>
          <w:rFonts w:cs="Arial"/>
        </w:rPr>
        <w:t>imposed</w:t>
      </w:r>
      <w:proofErr w:type="gramEnd"/>
      <w:r w:rsidRPr="00F04A9B">
        <w:rPr>
          <w:rFonts w:cs="Arial"/>
        </w:rPr>
        <w:t xml:space="preserve">, for licences that are </w:t>
      </w:r>
      <w:r w:rsidR="00F04A9B">
        <w:rPr>
          <w:rFonts w:cs="Arial"/>
        </w:rPr>
        <w:t>in force</w:t>
      </w:r>
      <w:r w:rsidRPr="00F04A9B">
        <w:rPr>
          <w:rFonts w:cs="Arial"/>
        </w:rPr>
        <w:t xml:space="preserve"> for periods exceeding 12 months</w:t>
      </w:r>
      <w:r w:rsidR="00F04A9B">
        <w:rPr>
          <w:rFonts w:cs="Arial"/>
        </w:rPr>
        <w:t xml:space="preserve">.  These licensees may elect that the tax be imposed on the issue of the licence, or on the issue of the licence and on each anniversary of the issue of the licence on which a licensee continues to hold the licence (that is, </w:t>
      </w:r>
      <w:r w:rsidR="002D48F2">
        <w:rPr>
          <w:rFonts w:cs="Arial"/>
        </w:rPr>
        <w:t xml:space="preserve">they may </w:t>
      </w:r>
      <w:r w:rsidR="00F04A9B">
        <w:rPr>
          <w:rFonts w:cs="Arial"/>
        </w:rPr>
        <w:t>defray the imposition of the tax over the period the licence remains in force).</w:t>
      </w:r>
    </w:p>
    <w:p w14:paraId="53057645" w14:textId="2BB00651" w:rsidR="005C65AD" w:rsidRPr="002E4100" w:rsidRDefault="00F04A9B" w:rsidP="00814C77">
      <w:pPr>
        <w:spacing w:after="240" w:line="240" w:lineRule="auto"/>
        <w:jc w:val="both"/>
        <w:rPr>
          <w:rFonts w:cstheme="minorHAnsi"/>
          <w:b/>
        </w:rPr>
      </w:pPr>
      <w:r w:rsidRPr="00F04A9B">
        <w:t xml:space="preserve"> </w:t>
      </w:r>
      <w:r w:rsidR="00814C77">
        <w:rPr>
          <w:rFonts w:cstheme="minorHAnsi"/>
          <w:b/>
        </w:rPr>
        <w:br/>
      </w:r>
      <w:r w:rsidR="002D48F2">
        <w:rPr>
          <w:rFonts w:eastAsia="Times New Roman" w:cs="Times New Roman"/>
          <w:b/>
          <w:bCs/>
          <w:lang w:eastAsia="en-AU"/>
        </w:rPr>
        <w:t>D</w:t>
      </w:r>
      <w:r w:rsidR="00120F40" w:rsidRPr="00C75F89">
        <w:rPr>
          <w:rFonts w:eastAsia="Times New Roman" w:cs="Times New Roman"/>
          <w:b/>
          <w:bCs/>
          <w:lang w:eastAsia="en-AU"/>
        </w:rPr>
        <w:t>ifferences between the 2003 Determination and</w:t>
      </w:r>
      <w:r w:rsidR="00120F40" w:rsidRPr="002E4100">
        <w:rPr>
          <w:rFonts w:eastAsia="Times New Roman" w:cs="Times New Roman"/>
          <w:bCs/>
          <w:i/>
          <w:lang w:eastAsia="en-AU"/>
        </w:rPr>
        <w:t xml:space="preserve"> </w:t>
      </w:r>
      <w:r w:rsidR="009A743A" w:rsidRPr="002E4100">
        <w:rPr>
          <w:rFonts w:eastAsia="Times New Roman" w:cs="Times New Roman"/>
          <w:b/>
          <w:bCs/>
          <w:lang w:eastAsia="en-AU"/>
        </w:rPr>
        <w:t>the Determination</w:t>
      </w:r>
    </w:p>
    <w:p w14:paraId="0BAB3C3A" w14:textId="443AD2E2" w:rsidR="00984E5B" w:rsidRPr="00984E5B" w:rsidRDefault="0087111F" w:rsidP="00984E5B">
      <w:r>
        <w:t xml:space="preserve">The Determination largely replicates the provisions of the 2003 Determination.  However, there are some changes to the provisions.  </w:t>
      </w:r>
      <w:r w:rsidR="00984E5B" w:rsidRPr="00984E5B">
        <w:t xml:space="preserve">The main </w:t>
      </w:r>
      <w:r w:rsidR="00120F40">
        <w:t>difference</w:t>
      </w:r>
      <w:r w:rsidR="002D48F2">
        <w:t>s</w:t>
      </w:r>
      <w:r w:rsidR="00120F40" w:rsidRPr="00984E5B">
        <w:t xml:space="preserve"> </w:t>
      </w:r>
      <w:r>
        <w:t xml:space="preserve">between the Determination and the 2003 Determination </w:t>
      </w:r>
      <w:r w:rsidR="00984E5B" w:rsidRPr="00984E5B">
        <w:t>include:</w:t>
      </w:r>
    </w:p>
    <w:p w14:paraId="433238E7" w14:textId="62396146" w:rsidR="00984E5B" w:rsidRPr="00984E5B" w:rsidRDefault="00984E5B" w:rsidP="00984E5B">
      <w:pPr>
        <w:pStyle w:val="ListParagraph"/>
        <w:numPr>
          <w:ilvl w:val="0"/>
          <w:numId w:val="14"/>
        </w:numPr>
      </w:pPr>
      <w:r w:rsidRPr="00984E5B">
        <w:t>the transition to 2011 Cens</w:t>
      </w:r>
      <w:r>
        <w:t xml:space="preserve">us data – the </w:t>
      </w:r>
      <w:r w:rsidR="00120F40">
        <w:t xml:space="preserve">2003 </w:t>
      </w:r>
      <w:r>
        <w:t>Determination</w:t>
      </w:r>
      <w:r w:rsidRPr="00984E5B">
        <w:t xml:space="preserve">  refer</w:t>
      </w:r>
      <w:r w:rsidR="00120F40">
        <w:t>red</w:t>
      </w:r>
      <w:r w:rsidRPr="00984E5B">
        <w:t xml:space="preserve"> to the 2006 Census</w:t>
      </w:r>
      <w:r w:rsidR="0087111F">
        <w:t>, and population figures incorporated by reference into the Determination rely on the 2011 Census</w:t>
      </w:r>
      <w:r w:rsidRPr="00984E5B">
        <w:t xml:space="preserve">; </w:t>
      </w:r>
    </w:p>
    <w:p w14:paraId="78BDBE1C" w14:textId="4913D3F7" w:rsidR="00984E5B" w:rsidRPr="00984E5B" w:rsidRDefault="00984E5B" w:rsidP="00984E5B">
      <w:pPr>
        <w:pStyle w:val="ListParagraph"/>
        <w:numPr>
          <w:ilvl w:val="0"/>
          <w:numId w:val="14"/>
        </w:numPr>
      </w:pPr>
      <w:r w:rsidRPr="00984E5B">
        <w:t>the shift away from using Local Government Areas (LGA) to the Hierarchical Cell Identification Scheme (</w:t>
      </w:r>
      <w:r w:rsidRPr="007E4942">
        <w:rPr>
          <w:b/>
        </w:rPr>
        <w:t>HCIS</w:t>
      </w:r>
      <w:r w:rsidRPr="00984E5B">
        <w:t xml:space="preserve">) to describe geographical areas upon which the population component of the calculation of those taxes relating to Public Mobile Telecommunications Service (PMTS) Class B (mobile/mobile broadband) services </w:t>
      </w:r>
      <w:proofErr w:type="gramStart"/>
      <w:r w:rsidRPr="00984E5B">
        <w:t>is based</w:t>
      </w:r>
      <w:proofErr w:type="gramEnd"/>
      <w:r w:rsidR="00120F40">
        <w:t xml:space="preserve">. </w:t>
      </w:r>
      <w:r w:rsidR="0087111F">
        <w:t xml:space="preserve"> </w:t>
      </w:r>
      <w:r w:rsidR="00120F40">
        <w:t>The HCIS is a scheme developed by the ACMA and further information about the HCIS can be obtained on the ACMA website: www.acma.gov.au</w:t>
      </w:r>
      <w:r w:rsidRPr="00984E5B">
        <w:t>;</w:t>
      </w:r>
    </w:p>
    <w:p w14:paraId="22332592" w14:textId="77777777" w:rsidR="00984E5B" w:rsidRPr="00984E5B" w:rsidRDefault="00984E5B" w:rsidP="00984E5B">
      <w:pPr>
        <w:pStyle w:val="ListParagraph"/>
        <w:numPr>
          <w:ilvl w:val="0"/>
          <w:numId w:val="14"/>
        </w:numPr>
      </w:pPr>
      <w:r w:rsidRPr="00984E5B">
        <w:t xml:space="preserve">updating references to other instruments that have changed over time; </w:t>
      </w:r>
    </w:p>
    <w:p w14:paraId="1F350D03" w14:textId="2BD092CF" w:rsidR="00984E5B" w:rsidRPr="00984E5B" w:rsidRDefault="00984E5B" w:rsidP="00984E5B">
      <w:pPr>
        <w:pStyle w:val="ListParagraph"/>
        <w:numPr>
          <w:ilvl w:val="0"/>
          <w:numId w:val="14"/>
        </w:numPr>
      </w:pPr>
      <w:r w:rsidRPr="00984E5B">
        <w:t>removal of redundant sections such as those relating to price discounts offered to licensees for moving early as part of the implementation of the 400 MHz review</w:t>
      </w:r>
      <w:r w:rsidR="002A4662">
        <w:t xml:space="preserve"> by the </w:t>
      </w:r>
      <w:r w:rsidR="002A4662" w:rsidRPr="00A130DE">
        <w:t>ACMA</w:t>
      </w:r>
      <w:r w:rsidR="00C75F89" w:rsidRPr="00A130DE">
        <w:t xml:space="preserve"> and the early access arrangements in the 700 MHz band</w:t>
      </w:r>
      <w:r w:rsidRPr="00984E5B">
        <w:t>; and</w:t>
      </w:r>
    </w:p>
    <w:p w14:paraId="5140DDB1" w14:textId="43395C6B" w:rsidR="00984E5B" w:rsidRDefault="00984E5B" w:rsidP="00984E5B">
      <w:pPr>
        <w:pStyle w:val="ListParagraph"/>
        <w:numPr>
          <w:ilvl w:val="0"/>
          <w:numId w:val="14"/>
        </w:numPr>
      </w:pPr>
      <w:r w:rsidRPr="00984E5B">
        <w:t>improvements to the flow an</w:t>
      </w:r>
      <w:r>
        <w:t>d readability of the instrument</w:t>
      </w:r>
      <w:r w:rsidRPr="00984E5B">
        <w:t>.</w:t>
      </w:r>
    </w:p>
    <w:p w14:paraId="3BFEE55E" w14:textId="7B9CD88D" w:rsidR="00187C4B" w:rsidRPr="00984E5B" w:rsidRDefault="004165D0" w:rsidP="00187C4B">
      <w:r>
        <w:t>The</w:t>
      </w:r>
      <w:r w:rsidR="00187C4B">
        <w:t xml:space="preserve"> Determination also include</w:t>
      </w:r>
      <w:r>
        <w:t xml:space="preserve">s provisions </w:t>
      </w:r>
      <w:r w:rsidR="00187C4B">
        <w:t>relatin</w:t>
      </w:r>
      <w:r>
        <w:t>g</w:t>
      </w:r>
      <w:r w:rsidR="00187C4B">
        <w:t xml:space="preserve"> to the 3.5 GHz band and </w:t>
      </w:r>
      <w:r>
        <w:t xml:space="preserve">annual </w:t>
      </w:r>
      <w:r w:rsidR="00187C4B">
        <w:t xml:space="preserve">CPI adjustments. </w:t>
      </w:r>
      <w:r w:rsidR="0087111F">
        <w:t xml:space="preserve"> </w:t>
      </w:r>
      <w:r w:rsidR="00187C4B">
        <w:t xml:space="preserve">These </w:t>
      </w:r>
      <w:proofErr w:type="gramStart"/>
      <w:r w:rsidR="00187C4B">
        <w:t>are outlined</w:t>
      </w:r>
      <w:proofErr w:type="gramEnd"/>
      <w:r w:rsidR="00187C4B">
        <w:t xml:space="preserve"> below. </w:t>
      </w:r>
      <w:r w:rsidR="00AD7B79">
        <w:t xml:space="preserve">Other than the CPI adjustments, and the tax for the 3.5 GHz band, the tax amounts specified in the 2003 Determination remain unchanged. </w:t>
      </w:r>
    </w:p>
    <w:p w14:paraId="4085B295" w14:textId="4B2C92C2" w:rsidR="00984E5B" w:rsidRPr="00984E5B" w:rsidRDefault="00984E5B" w:rsidP="00984E5B">
      <w:pPr>
        <w:pStyle w:val="ACMABodyText0"/>
        <w:rPr>
          <w:rFonts w:asciiTheme="minorHAnsi" w:hAnsiTheme="minorHAnsi"/>
          <w:bCs/>
          <w:snapToGrid/>
          <w:sz w:val="22"/>
          <w:szCs w:val="22"/>
          <w:u w:val="single"/>
          <w:lang w:eastAsia="en-AU"/>
        </w:rPr>
      </w:pPr>
      <w:r w:rsidRPr="00984E5B">
        <w:rPr>
          <w:rFonts w:asciiTheme="minorHAnsi" w:hAnsiTheme="minorHAnsi"/>
          <w:bCs/>
          <w:snapToGrid/>
          <w:sz w:val="22"/>
          <w:szCs w:val="22"/>
          <w:u w:val="single"/>
          <w:lang w:eastAsia="en-AU"/>
        </w:rPr>
        <w:t xml:space="preserve">3.5 GHz band </w:t>
      </w:r>
      <w:r w:rsidR="002A4662">
        <w:rPr>
          <w:rFonts w:asciiTheme="minorHAnsi" w:hAnsiTheme="minorHAnsi"/>
          <w:bCs/>
          <w:snapToGrid/>
          <w:sz w:val="22"/>
          <w:szCs w:val="22"/>
          <w:u w:val="single"/>
          <w:lang w:eastAsia="en-AU"/>
        </w:rPr>
        <w:t>d</w:t>
      </w:r>
      <w:r w:rsidRPr="00984E5B">
        <w:rPr>
          <w:rFonts w:asciiTheme="minorHAnsi" w:hAnsiTheme="minorHAnsi"/>
          <w:bCs/>
          <w:snapToGrid/>
          <w:sz w:val="22"/>
          <w:szCs w:val="22"/>
          <w:u w:val="single"/>
          <w:lang w:eastAsia="en-AU"/>
        </w:rPr>
        <w:t xml:space="preserve">irection </w:t>
      </w:r>
    </w:p>
    <w:p w14:paraId="6420CB74" w14:textId="0BFC6BEF" w:rsidR="00984E5B" w:rsidRPr="00984E5B" w:rsidRDefault="00984E5B" w:rsidP="00984E5B">
      <w:r w:rsidRPr="00984E5B">
        <w:t xml:space="preserve">On 20 October </w:t>
      </w:r>
      <w:proofErr w:type="gramStart"/>
      <w:r w:rsidRPr="00984E5B">
        <w:t>2014</w:t>
      </w:r>
      <w:proofErr w:type="gramEnd"/>
      <w:r w:rsidRPr="00984E5B">
        <w:t xml:space="preserve"> the Minister for Communications made the </w:t>
      </w:r>
      <w:r w:rsidRPr="00C75F89">
        <w:rPr>
          <w:i/>
        </w:rPr>
        <w:t>Australian Communications and Media Authority (3.5 GHz frequency band) Direction 2014</w:t>
      </w:r>
      <w:r w:rsidRPr="00984E5B">
        <w:t xml:space="preserve"> (the </w:t>
      </w:r>
      <w:r w:rsidRPr="00C75F89">
        <w:rPr>
          <w:b/>
        </w:rPr>
        <w:t>Direction</w:t>
      </w:r>
      <w:r w:rsidRPr="00984E5B">
        <w:t xml:space="preserve">). </w:t>
      </w:r>
    </w:p>
    <w:p w14:paraId="7E1CE98A" w14:textId="058B27F2" w:rsidR="00984E5B" w:rsidRPr="00984E5B" w:rsidRDefault="00984E5B" w:rsidP="00C75F89">
      <w:r w:rsidRPr="00984E5B">
        <w:t>The Direction requires the ACMA to</w:t>
      </w:r>
      <w:r w:rsidR="0087111F">
        <w:t xml:space="preserve"> </w:t>
      </w:r>
      <w:r w:rsidRPr="00984E5B">
        <w:t xml:space="preserve">undertake all steps necessary to enable apparatus licences of a type which would be appropriate for use for the National Broadband Network (the </w:t>
      </w:r>
      <w:r w:rsidRPr="00C75F89">
        <w:rPr>
          <w:b/>
        </w:rPr>
        <w:t>NBN</w:t>
      </w:r>
      <w:r w:rsidRPr="00984E5B">
        <w:t>) to be issued in the frequency ranges 3400-3425 MHz and 3492.5-3542.5 MHz (collectively</w:t>
      </w:r>
      <w:r w:rsidR="0087111F">
        <w:t>,</w:t>
      </w:r>
      <w:r w:rsidRPr="00984E5B">
        <w:t xml:space="preserve"> the </w:t>
      </w:r>
      <w:r w:rsidRPr="00C75F89">
        <w:rPr>
          <w:b/>
        </w:rPr>
        <w:t>3.5 GHz band</w:t>
      </w:r>
      <w:r w:rsidRPr="00984E5B">
        <w:t>)</w:t>
      </w:r>
      <w:r w:rsidR="0087111F">
        <w:t xml:space="preserve">.  The Direction states that these steps include </w:t>
      </w:r>
      <w:r w:rsidRPr="00984E5B">
        <w:t>determin</w:t>
      </w:r>
      <w:r w:rsidR="0087111F">
        <w:t>ing</w:t>
      </w:r>
      <w:r w:rsidRPr="00984E5B">
        <w:t xml:space="preserve"> an amount of tax that reflects a market price in respect of the licence for the 3.5 GHz band</w:t>
      </w:r>
      <w:r w:rsidR="0087111F">
        <w:t xml:space="preserve">.  The necessary steps are to </w:t>
      </w:r>
      <w:proofErr w:type="gramStart"/>
      <w:r w:rsidR="0087111F">
        <w:t>be completed</w:t>
      </w:r>
      <w:proofErr w:type="gramEnd"/>
      <w:r w:rsidR="0087111F">
        <w:t xml:space="preserve"> </w:t>
      </w:r>
      <w:r w:rsidRPr="00984E5B">
        <w:t>by 30 April 2015.</w:t>
      </w:r>
    </w:p>
    <w:p w14:paraId="05F54C00" w14:textId="2A9B60B6" w:rsidR="0087111F" w:rsidRDefault="00676B95" w:rsidP="00676B95">
      <w:r w:rsidRPr="00676B95">
        <w:t>The Explanatory Statement to the Direction notes</w:t>
      </w:r>
      <w:r w:rsidR="00585823">
        <w:t xml:space="preserve"> (at p.2)</w:t>
      </w:r>
      <w:r w:rsidR="0087111F">
        <w:t>:</w:t>
      </w:r>
    </w:p>
    <w:p w14:paraId="11593F5B" w14:textId="63E6D68D" w:rsidR="0087111F" w:rsidRDefault="00676B95" w:rsidP="00C75F89">
      <w:pPr>
        <w:ind w:left="720"/>
      </w:pPr>
      <w:r w:rsidRPr="00676B95">
        <w:t xml:space="preserve">in the </w:t>
      </w:r>
      <w:r w:rsidRPr="00C75F89">
        <w:rPr>
          <w:i/>
        </w:rPr>
        <w:t>Radiocommunications (Spectrum Access Charges) Direction 2012</w:t>
      </w:r>
      <w:r w:rsidRPr="00676B95">
        <w:t xml:space="preserve"> </w:t>
      </w:r>
      <w:r w:rsidR="0087111F">
        <w:t>[</w:t>
      </w:r>
      <w:r w:rsidR="00AD7B79">
        <w:t xml:space="preserve">(the </w:t>
      </w:r>
      <w:r w:rsidR="00AD7B79">
        <w:rPr>
          <w:b/>
        </w:rPr>
        <w:t xml:space="preserve">2012 </w:t>
      </w:r>
      <w:r w:rsidR="00AD7B79" w:rsidRPr="00AD7B79">
        <w:rPr>
          <w:b/>
        </w:rPr>
        <w:t>Direction</w:t>
      </w:r>
      <w:r w:rsidR="00AD7B79">
        <w:t>)</w:t>
      </w:r>
      <w:r w:rsidR="0087111F">
        <w:t>]</w:t>
      </w:r>
      <w:r w:rsidR="00AD7B79">
        <w:t xml:space="preserve"> </w:t>
      </w:r>
      <w:r w:rsidRPr="00AD7B79">
        <w:t>the</w:t>
      </w:r>
      <w:r w:rsidRPr="00676B95">
        <w:t xml:space="preserve"> then Minister specified $0.03</w:t>
      </w:r>
      <w:r w:rsidR="0087111F">
        <w:t>/</w:t>
      </w:r>
      <w:r w:rsidRPr="00676B95">
        <w:t>MHz</w:t>
      </w:r>
      <w:r w:rsidR="0087111F">
        <w:t>/</w:t>
      </w:r>
      <w:r w:rsidR="00AD7B79" w:rsidRPr="00676B95">
        <w:t>population</w:t>
      </w:r>
      <w:r w:rsidRPr="00676B95">
        <w:t xml:space="preserve"> of a licence area as being the </w:t>
      </w:r>
      <w:r w:rsidRPr="00676B95">
        <w:lastRenderedPageBreak/>
        <w:t xml:space="preserve">amount he considered to be the value of the spectrum in relation to any spectrum licences issued for the 3.4 GHz </w:t>
      </w:r>
      <w:r w:rsidR="0087111F">
        <w:t xml:space="preserve">parts of the </w:t>
      </w:r>
      <w:r w:rsidRPr="00676B95">
        <w:t>band (3425</w:t>
      </w:r>
      <w:r w:rsidR="0087111F">
        <w:t>–</w:t>
      </w:r>
      <w:r w:rsidRPr="00676B95">
        <w:t>3492.5 MHz and 3542.5</w:t>
      </w:r>
      <w:r w:rsidR="0087111F">
        <w:t>–</w:t>
      </w:r>
      <w:r w:rsidRPr="00676B95">
        <w:t xml:space="preserve">3575 MHz). In reaching that conclusion, the Minister </w:t>
      </w:r>
      <w:proofErr w:type="gramStart"/>
      <w:r w:rsidRPr="00676B95">
        <w:t>was informed</w:t>
      </w:r>
      <w:proofErr w:type="gramEnd"/>
      <w:r w:rsidRPr="00676B95">
        <w:t xml:space="preserve"> by expert advice from a leading international firm, an inter-Departmental Evaluative Committee as well as consultations with licensees.</w:t>
      </w:r>
    </w:p>
    <w:p w14:paraId="02670D38" w14:textId="69AA0F6B" w:rsidR="00676B95" w:rsidRPr="00676B95" w:rsidRDefault="00676B95" w:rsidP="00676B95">
      <w:r>
        <w:t>The ACMA</w:t>
      </w:r>
      <w:r w:rsidRPr="00676B95">
        <w:t xml:space="preserve"> </w:t>
      </w:r>
      <w:r w:rsidR="00C75F89">
        <w:t xml:space="preserve">also reviewed </w:t>
      </w:r>
      <w:r w:rsidR="00585823">
        <w:t>whether</w:t>
      </w:r>
      <w:r w:rsidRPr="00676B95">
        <w:t xml:space="preserve"> any market-based transactions (either auction or direct trades) relating to similar spectrum had taken place after the </w:t>
      </w:r>
      <w:r w:rsidR="00AD7B79">
        <w:t>2012 Direction was made</w:t>
      </w:r>
      <w:r w:rsidRPr="00676B95">
        <w:t xml:space="preserve">.  This </w:t>
      </w:r>
      <w:r w:rsidR="00C75F89">
        <w:t>review</w:t>
      </w:r>
      <w:r w:rsidR="00C75F89" w:rsidRPr="00676B95">
        <w:t xml:space="preserve"> </w:t>
      </w:r>
      <w:r w:rsidRPr="00676B95">
        <w:t xml:space="preserve">found that there was no more recent, </w:t>
      </w:r>
      <w:r w:rsidRPr="00CB4AB5">
        <w:t>publicly available market-based information and therefore the value of $0.03/MHz/Pop</w:t>
      </w:r>
      <w:r w:rsidR="001F72D0">
        <w:t>ulation</w:t>
      </w:r>
      <w:r w:rsidR="00585823">
        <w:t xml:space="preserve"> rate</w:t>
      </w:r>
      <w:r w:rsidRPr="00CB4AB5">
        <w:t xml:space="preserve"> included in the 2012 Direction remained the best estimate of a market value for this spectrum. </w:t>
      </w:r>
      <w:r w:rsidR="00585823">
        <w:t xml:space="preserve"> </w:t>
      </w:r>
      <w:r w:rsidRPr="00CB4AB5">
        <w:t xml:space="preserve">It is noted that this valuation relates to a </w:t>
      </w:r>
      <w:proofErr w:type="gramStart"/>
      <w:r w:rsidRPr="00CB4AB5">
        <w:t>15 year</w:t>
      </w:r>
      <w:proofErr w:type="gramEnd"/>
      <w:r w:rsidRPr="00CB4AB5">
        <w:t xml:space="preserve"> spectrum licence.</w:t>
      </w:r>
      <w:r w:rsidR="00585823">
        <w:t xml:space="preserve"> </w:t>
      </w:r>
      <w:r>
        <w:t xml:space="preserve"> The ACMA proposed no further adjustment to the valuation of </w:t>
      </w:r>
      <w:r w:rsidRPr="00B06748">
        <w:t>$0.03/MHz/Pop</w:t>
      </w:r>
      <w:r w:rsidR="00AD7B79">
        <w:t xml:space="preserve">ulation. </w:t>
      </w:r>
    </w:p>
    <w:p w14:paraId="0F5FA991" w14:textId="51BA7C88" w:rsidR="00676B95" w:rsidRPr="00676B95" w:rsidRDefault="00585823" w:rsidP="00676B95">
      <w:pPr>
        <w:spacing w:before="120" w:after="120" w:line="240" w:lineRule="auto"/>
        <w:rPr>
          <w:rFonts w:cs="Arial"/>
        </w:rPr>
      </w:pPr>
      <w:r>
        <w:t xml:space="preserve">As mentioned, </w:t>
      </w:r>
      <w:r>
        <w:rPr>
          <w:rFonts w:cs="Arial"/>
        </w:rPr>
        <w:t>t</w:t>
      </w:r>
      <w:r w:rsidR="00676B95" w:rsidRPr="00676B95">
        <w:rPr>
          <w:rFonts w:cs="Arial"/>
        </w:rPr>
        <w:t xml:space="preserve">he </w:t>
      </w:r>
      <w:r>
        <w:rPr>
          <w:rFonts w:cs="Arial"/>
        </w:rPr>
        <w:t xml:space="preserve">estimated </w:t>
      </w:r>
      <w:r w:rsidR="00676B95" w:rsidRPr="00676B95">
        <w:rPr>
          <w:rFonts w:cs="Arial"/>
        </w:rPr>
        <w:t>market value of $0.03/MHz/Pop</w:t>
      </w:r>
      <w:r w:rsidR="00AD7B79">
        <w:rPr>
          <w:rFonts w:cs="Arial"/>
        </w:rPr>
        <w:t>ulation</w:t>
      </w:r>
      <w:r w:rsidR="00676B95" w:rsidRPr="00676B95">
        <w:rPr>
          <w:rFonts w:cs="Arial"/>
        </w:rPr>
        <w:t xml:space="preserve"> in the 2012 Direction relates to 15 year spectrum licences</w:t>
      </w:r>
      <w:r>
        <w:rPr>
          <w:rFonts w:cs="Arial"/>
        </w:rPr>
        <w:t>,</w:t>
      </w:r>
      <w:r w:rsidR="00676B95" w:rsidRPr="00676B95">
        <w:rPr>
          <w:rFonts w:cs="Arial"/>
        </w:rPr>
        <w:t xml:space="preserve"> whereas </w:t>
      </w:r>
      <w:r>
        <w:rPr>
          <w:rFonts w:cs="Arial"/>
        </w:rPr>
        <w:t>subsection</w:t>
      </w:r>
      <w:r w:rsidRPr="00676B95">
        <w:rPr>
          <w:rFonts w:cs="Arial"/>
        </w:rPr>
        <w:t xml:space="preserve"> </w:t>
      </w:r>
      <w:r w:rsidR="00676B95" w:rsidRPr="00676B95">
        <w:rPr>
          <w:rFonts w:cs="Arial"/>
        </w:rPr>
        <w:t xml:space="preserve">5 (1) of the Direction requires the ACMA to enable </w:t>
      </w:r>
      <w:r w:rsidR="00AD7B79">
        <w:rPr>
          <w:rFonts w:cs="Arial"/>
        </w:rPr>
        <w:t xml:space="preserve">the issue of </w:t>
      </w:r>
      <w:r w:rsidR="00676B95" w:rsidRPr="00676B95">
        <w:rPr>
          <w:rFonts w:cs="Arial"/>
        </w:rPr>
        <w:t>appropriate apparatus licences and therefore requires an annualised licence tax</w:t>
      </w:r>
      <w:r w:rsidR="00AD7B79">
        <w:rPr>
          <w:rFonts w:cs="Arial"/>
        </w:rPr>
        <w:t xml:space="preserve"> to be set for such apparatus licences</w:t>
      </w:r>
      <w:r w:rsidR="00676B95" w:rsidRPr="00676B95">
        <w:rPr>
          <w:rFonts w:cs="Arial"/>
        </w:rPr>
        <w:t>.</w:t>
      </w:r>
    </w:p>
    <w:p w14:paraId="63F8DB8B" w14:textId="1A54E549" w:rsidR="00676B95" w:rsidRPr="00CB4AB5" w:rsidRDefault="00676B95" w:rsidP="00676B95">
      <w:pPr>
        <w:spacing w:before="120" w:after="120" w:line="240" w:lineRule="auto"/>
        <w:rPr>
          <w:rFonts w:cs="Arial"/>
        </w:rPr>
      </w:pPr>
      <w:r w:rsidRPr="00CB4AB5">
        <w:rPr>
          <w:rFonts w:cs="Arial"/>
        </w:rPr>
        <w:t>In similar contexts, the ACMA has applied a relatively standard form of a tilted annuity.  A tilted annuity is a widely applied approach for converting a capital amount (e</w:t>
      </w:r>
      <w:r w:rsidR="00AD7B79">
        <w:rPr>
          <w:rFonts w:cs="Arial"/>
        </w:rPr>
        <w:t>.</w:t>
      </w:r>
      <w:r w:rsidRPr="00CB4AB5">
        <w:rPr>
          <w:rFonts w:cs="Arial"/>
        </w:rPr>
        <w:t>g</w:t>
      </w:r>
      <w:r w:rsidR="00AD7B79">
        <w:rPr>
          <w:rFonts w:cs="Arial"/>
        </w:rPr>
        <w:t>.</w:t>
      </w:r>
      <w:r w:rsidRPr="00CB4AB5">
        <w:rPr>
          <w:rFonts w:cs="Arial"/>
        </w:rPr>
        <w:t xml:space="preserve"> the 15-year spectrum access charge based on the $0.03/MHz/Pop</w:t>
      </w:r>
      <w:r w:rsidR="00AD7B79">
        <w:rPr>
          <w:rFonts w:cs="Arial"/>
        </w:rPr>
        <w:t>ulation</w:t>
      </w:r>
      <w:r w:rsidRPr="00CB4AB5">
        <w:rPr>
          <w:rFonts w:cs="Arial"/>
        </w:rPr>
        <w:t>) into annual amounts (e</w:t>
      </w:r>
      <w:r w:rsidR="00DA13D4">
        <w:rPr>
          <w:rFonts w:cs="Arial"/>
        </w:rPr>
        <w:t>.</w:t>
      </w:r>
      <w:r w:rsidRPr="00CB4AB5">
        <w:rPr>
          <w:rFonts w:cs="Arial"/>
        </w:rPr>
        <w:t>g</w:t>
      </w:r>
      <w:r w:rsidR="00DA13D4">
        <w:rPr>
          <w:rFonts w:cs="Arial"/>
        </w:rPr>
        <w:t>.</w:t>
      </w:r>
      <w:r w:rsidRPr="00CB4AB5">
        <w:rPr>
          <w:rFonts w:cs="Arial"/>
        </w:rPr>
        <w:t xml:space="preserve"> annual apparatus licence tax). The objective of a tilted annuity is that the net present value of the stream of annual apparatus licence taxes should equal the once-off spectrum access charge.</w:t>
      </w:r>
    </w:p>
    <w:p w14:paraId="5D0B425B" w14:textId="77777777" w:rsidR="00676B95" w:rsidRDefault="00676B95" w:rsidP="00676B95">
      <w:pPr>
        <w:spacing w:before="120" w:after="120" w:line="240" w:lineRule="auto"/>
        <w:rPr>
          <w:rFonts w:cs="Arial"/>
        </w:rPr>
      </w:pPr>
      <w:r w:rsidRPr="00CB4AB5">
        <w:rPr>
          <w:rFonts w:cs="Arial"/>
        </w:rPr>
        <w:t xml:space="preserve">The tilted annuity formula applied in this context </w:t>
      </w:r>
      <w:proofErr w:type="gramStart"/>
      <w:r w:rsidRPr="00CB4AB5">
        <w:rPr>
          <w:rFonts w:cs="Arial"/>
        </w:rPr>
        <w:t>is shown</w:t>
      </w:r>
      <w:proofErr w:type="gramEnd"/>
      <w:r w:rsidRPr="00CB4AB5">
        <w:rPr>
          <w:rFonts w:cs="Arial"/>
        </w:rPr>
        <w:t xml:space="preserve"> below.</w:t>
      </w:r>
    </w:p>
    <w:p w14:paraId="3E509039" w14:textId="77777777" w:rsidR="00A12C17" w:rsidRPr="00D45E1E" w:rsidRDefault="00082733" w:rsidP="00A12C17">
      <w:pPr>
        <w:spacing w:after="120"/>
        <w:ind w:left="1440"/>
        <w:rPr>
          <w:rFonts w:cs="Arial"/>
        </w:rPr>
      </w:pPr>
      <m:oMathPara>
        <m:oMathParaPr>
          <m:jc m:val="left"/>
        </m:oMathParaPr>
        <m:oMath>
          <m:sSub>
            <m:sSubPr>
              <m:ctrlPr>
                <w:rPr>
                  <w:rFonts w:ascii="Cambria Math" w:hAnsi="Cambria Math" w:cs="Arial"/>
                  <w:i/>
                </w:rPr>
              </m:ctrlPr>
            </m:sSubPr>
            <m:e>
              <m:r>
                <w:rPr>
                  <w:rFonts w:ascii="Cambria Math" w:hAnsi="Cambria Math" w:cs="Arial"/>
                </w:rPr>
                <m:t>ALT</m:t>
              </m:r>
            </m:e>
            <m:sub>
              <m:r>
                <w:rPr>
                  <w:rFonts w:ascii="Cambria Math" w:hAnsi="Cambria Math" w:cs="Arial"/>
                </w:rPr>
                <m:t>t</m:t>
              </m:r>
            </m:sub>
          </m:sSub>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MV* </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 xml:space="preserve"> 1+ g </m:t>
                          </m:r>
                        </m:e>
                      </m:d>
                    </m:e>
                    <m:sup>
                      <m:r>
                        <w:rPr>
                          <w:rFonts w:ascii="Cambria Math" w:hAnsi="Cambria Math" w:cs="Arial"/>
                        </w:rPr>
                        <m:t>t-1</m:t>
                      </m:r>
                    </m:sup>
                  </m:sSup>
                  <m:r>
                    <w:rPr>
                      <w:rFonts w:ascii="Cambria Math" w:hAnsi="Cambria Math" w:cs="Arial"/>
                    </w:rPr>
                    <m:t>*</m:t>
                  </m:r>
                  <m:d>
                    <m:dPr>
                      <m:ctrlPr>
                        <w:rPr>
                          <w:rFonts w:ascii="Cambria Math" w:hAnsi="Cambria Math" w:cs="Arial"/>
                          <w:i/>
                        </w:rPr>
                      </m:ctrlPr>
                    </m:dPr>
                    <m:e>
                      <m:r>
                        <w:rPr>
                          <w:rFonts w:ascii="Cambria Math" w:hAnsi="Cambria Math" w:cs="Arial"/>
                        </w:rPr>
                        <m:t>WACC- g</m:t>
                      </m:r>
                    </m:e>
                  </m:d>
                </m:num>
                <m:den>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r>
                                    <w:rPr>
                                      <w:rFonts w:ascii="Cambria Math" w:hAnsi="Cambria Math" w:cs="Arial"/>
                                    </w:rPr>
                                    <m:t xml:space="preserve"> 1+ g</m:t>
                                  </m:r>
                                </m:e>
                              </m:d>
                            </m:num>
                            <m:den>
                              <m:d>
                                <m:dPr>
                                  <m:ctrlPr>
                                    <w:rPr>
                                      <w:rFonts w:ascii="Cambria Math" w:hAnsi="Cambria Math" w:cs="Arial"/>
                                      <w:i/>
                                    </w:rPr>
                                  </m:ctrlPr>
                                </m:dPr>
                                <m:e>
                                  <m:r>
                                    <w:rPr>
                                      <w:rFonts w:ascii="Cambria Math" w:hAnsi="Cambria Math" w:cs="Arial"/>
                                    </w:rPr>
                                    <m:t xml:space="preserve"> 1+WACC</m:t>
                                  </m:r>
                                </m:e>
                              </m:d>
                            </m:den>
                          </m:f>
                        </m:e>
                      </m:d>
                    </m:e>
                    <m:sup>
                      <m:r>
                        <w:rPr>
                          <w:rFonts w:ascii="Cambria Math" w:hAnsi="Cambria Math" w:cs="Arial"/>
                        </w:rPr>
                        <m:t>N</m:t>
                      </m:r>
                    </m:sup>
                  </m:sSup>
                </m:den>
              </m:f>
              <m:r>
                <w:rPr>
                  <w:rFonts w:ascii="Cambria Math" w:hAnsi="Cambria Math" w:cs="Arial"/>
                </w:rPr>
                <m:t xml:space="preserve"> / </m:t>
              </m:r>
              <m:d>
                <m:dPr>
                  <m:ctrlPr>
                    <w:rPr>
                      <w:rFonts w:ascii="Cambria Math" w:hAnsi="Cambria Math" w:cs="Arial"/>
                      <w:i/>
                    </w:rPr>
                  </m:ctrlPr>
                </m:dPr>
                <m:e>
                  <m:r>
                    <w:rPr>
                      <w:rFonts w:ascii="Cambria Math" w:hAnsi="Cambria Math" w:cs="Arial"/>
                    </w:rPr>
                    <m:t>1+WACC</m:t>
                  </m:r>
                </m:e>
              </m:d>
            </m:e>
          </m:d>
          <m:r>
            <w:rPr>
              <w:rFonts w:ascii="Cambria Math" w:hAnsi="Cambria Math" w:cs="Arial"/>
            </w:rPr>
            <m:t>/(1-T</m:t>
          </m:r>
          <m:r>
            <m:rPr>
              <m:nor/>
            </m:rPr>
            <w:rPr>
              <w:rFonts w:ascii="Cambria Math" w:hAnsi="Cambria Math" w:cs="Arial"/>
              <w:vertAlign w:val="subscript"/>
            </w:rPr>
            <m:t>c</m:t>
          </m:r>
          <m:r>
            <w:rPr>
              <w:rFonts w:ascii="Cambria Math" w:hAnsi="Cambria Math" w:cs="Arial"/>
            </w:rPr>
            <m:t>)</m:t>
          </m:r>
        </m:oMath>
      </m:oMathPara>
    </w:p>
    <w:p w14:paraId="33B9AD21" w14:textId="77777777" w:rsidR="00A12C17" w:rsidRPr="00D45E1E" w:rsidRDefault="00A12C17" w:rsidP="00A12C17">
      <w:pPr>
        <w:spacing w:after="120"/>
        <w:ind w:left="1440"/>
        <w:rPr>
          <w:rFonts w:cs="Arial"/>
          <w:sz w:val="18"/>
          <w:szCs w:val="18"/>
        </w:rPr>
      </w:pPr>
      <w:r w:rsidRPr="00D45E1E">
        <w:rPr>
          <w:rFonts w:cs="Arial"/>
          <w:sz w:val="18"/>
          <w:szCs w:val="18"/>
        </w:rPr>
        <w:t>Where:</w:t>
      </w:r>
    </w:p>
    <w:p w14:paraId="75339D55" w14:textId="77777777" w:rsidR="00A12C17" w:rsidRPr="00D45E1E" w:rsidRDefault="00A12C17" w:rsidP="00A12C17">
      <w:pPr>
        <w:spacing w:after="120"/>
        <w:ind w:left="1440"/>
        <w:rPr>
          <w:rFonts w:cs="Arial"/>
          <w:i/>
          <w:sz w:val="18"/>
          <w:szCs w:val="18"/>
        </w:rPr>
      </w:pPr>
      <w:proofErr w:type="spellStart"/>
      <w:r w:rsidRPr="00D45E1E">
        <w:rPr>
          <w:rFonts w:cs="Arial"/>
          <w:i/>
          <w:sz w:val="18"/>
          <w:szCs w:val="18"/>
        </w:rPr>
        <w:t>ALT</w:t>
      </w:r>
      <w:r w:rsidRPr="00D45E1E">
        <w:rPr>
          <w:rFonts w:cs="Arial"/>
          <w:i/>
          <w:sz w:val="18"/>
          <w:szCs w:val="18"/>
          <w:vertAlign w:val="subscript"/>
        </w:rPr>
        <w:t>t</w:t>
      </w:r>
      <w:proofErr w:type="spellEnd"/>
      <w:r w:rsidRPr="00D45E1E">
        <w:rPr>
          <w:rFonts w:cs="Arial"/>
          <w:i/>
          <w:sz w:val="18"/>
          <w:szCs w:val="18"/>
        </w:rPr>
        <w:t xml:space="preserve"> </w:t>
      </w:r>
      <w:r w:rsidRPr="00D45E1E">
        <w:rPr>
          <w:rFonts w:cs="Arial"/>
          <w:i/>
          <w:sz w:val="18"/>
          <w:szCs w:val="18"/>
        </w:rPr>
        <w:tab/>
        <w:t>= the annual apparatus licence tax in year t</w:t>
      </w:r>
    </w:p>
    <w:p w14:paraId="5827B79E" w14:textId="77777777" w:rsidR="00A12C17" w:rsidRPr="00D45E1E" w:rsidRDefault="00A12C17" w:rsidP="00A12C17">
      <w:pPr>
        <w:spacing w:after="120"/>
        <w:ind w:left="1440"/>
        <w:rPr>
          <w:rFonts w:cs="Arial"/>
          <w:i/>
          <w:sz w:val="18"/>
          <w:szCs w:val="18"/>
        </w:rPr>
      </w:pPr>
      <w:r w:rsidRPr="00D45E1E">
        <w:rPr>
          <w:rFonts w:cs="Arial"/>
          <w:i/>
          <w:sz w:val="18"/>
          <w:szCs w:val="18"/>
        </w:rPr>
        <w:t>MV</w:t>
      </w:r>
      <w:r w:rsidRPr="00D45E1E">
        <w:rPr>
          <w:rFonts w:cs="Arial"/>
          <w:i/>
          <w:sz w:val="18"/>
          <w:szCs w:val="18"/>
        </w:rPr>
        <w:tab/>
        <w:t xml:space="preserve">= the market-based capital value of the relevant spectrum </w:t>
      </w:r>
    </w:p>
    <w:p w14:paraId="06BC1E6A" w14:textId="77777777" w:rsidR="00A12C17" w:rsidRPr="00D45E1E" w:rsidRDefault="00A12C17" w:rsidP="00A12C17">
      <w:pPr>
        <w:spacing w:after="120"/>
        <w:ind w:left="1440"/>
        <w:rPr>
          <w:rFonts w:cs="Arial"/>
          <w:i/>
          <w:sz w:val="18"/>
          <w:szCs w:val="18"/>
        </w:rPr>
      </w:pPr>
      <w:r w:rsidRPr="00D45E1E">
        <w:rPr>
          <w:rFonts w:cs="Arial"/>
          <w:i/>
          <w:sz w:val="18"/>
          <w:szCs w:val="18"/>
        </w:rPr>
        <w:t>N</w:t>
      </w:r>
      <w:r w:rsidRPr="00D45E1E">
        <w:rPr>
          <w:rFonts w:cs="Arial"/>
          <w:i/>
          <w:sz w:val="18"/>
          <w:szCs w:val="18"/>
        </w:rPr>
        <w:tab/>
        <w:t>= the number of years in the spectrum licence period (15 years)</w:t>
      </w:r>
    </w:p>
    <w:p w14:paraId="79E77F34" w14:textId="77777777" w:rsidR="00A12C17" w:rsidRPr="00D45E1E" w:rsidRDefault="00A12C17" w:rsidP="00A12C17">
      <w:pPr>
        <w:spacing w:after="120"/>
        <w:ind w:left="1440"/>
        <w:rPr>
          <w:rFonts w:cs="Arial"/>
          <w:i/>
          <w:sz w:val="18"/>
          <w:szCs w:val="18"/>
        </w:rPr>
      </w:pPr>
      <w:r w:rsidRPr="00D45E1E">
        <w:rPr>
          <w:rFonts w:cs="Arial"/>
          <w:i/>
          <w:sz w:val="18"/>
          <w:szCs w:val="18"/>
        </w:rPr>
        <w:t>g</w:t>
      </w:r>
      <w:r w:rsidRPr="00D45E1E">
        <w:rPr>
          <w:rFonts w:cs="Arial"/>
          <w:i/>
          <w:sz w:val="18"/>
          <w:szCs w:val="18"/>
        </w:rPr>
        <w:tab/>
        <w:t xml:space="preserve">= the </w:t>
      </w:r>
      <w:r>
        <w:rPr>
          <w:rFonts w:cs="Arial"/>
          <w:i/>
          <w:sz w:val="18"/>
          <w:szCs w:val="18"/>
        </w:rPr>
        <w:t xml:space="preserve">“tilt” or </w:t>
      </w:r>
      <w:r w:rsidRPr="00D45E1E">
        <w:rPr>
          <w:rFonts w:cs="Arial"/>
          <w:i/>
          <w:sz w:val="18"/>
          <w:szCs w:val="18"/>
        </w:rPr>
        <w:t xml:space="preserve">expected effective escalation of apparatus licence taxes across the licence period </w:t>
      </w:r>
    </w:p>
    <w:p w14:paraId="4107DEA8" w14:textId="77777777" w:rsidR="00A12C17" w:rsidRDefault="00A12C17" w:rsidP="00A12C17">
      <w:pPr>
        <w:spacing w:after="120"/>
        <w:ind w:left="1440"/>
        <w:rPr>
          <w:rFonts w:cs="Arial"/>
        </w:rPr>
      </w:pPr>
      <w:r w:rsidRPr="00D45E1E">
        <w:rPr>
          <w:rFonts w:cs="Arial"/>
          <w:i/>
          <w:sz w:val="18"/>
          <w:szCs w:val="18"/>
        </w:rPr>
        <w:t>WACC</w:t>
      </w:r>
      <w:r w:rsidRPr="00D45E1E">
        <w:rPr>
          <w:rFonts w:cs="Arial"/>
          <w:i/>
          <w:sz w:val="18"/>
          <w:szCs w:val="18"/>
        </w:rPr>
        <w:tab/>
        <w:t>= an indicative discount rate</w:t>
      </w:r>
    </w:p>
    <w:p w14:paraId="65F5BB1B" w14:textId="77777777" w:rsidR="00A12C17" w:rsidRPr="00C1156F" w:rsidRDefault="00A12C17" w:rsidP="00A12C17">
      <w:pPr>
        <w:spacing w:after="120"/>
        <w:ind w:left="1440"/>
        <w:rPr>
          <w:rFonts w:cs="Arial"/>
          <w:sz w:val="20"/>
          <w:szCs w:val="20"/>
        </w:rPr>
      </w:pPr>
      <w:proofErr w:type="spellStart"/>
      <w:r>
        <w:rPr>
          <w:rFonts w:cs="Arial"/>
          <w:i/>
          <w:sz w:val="18"/>
          <w:szCs w:val="18"/>
        </w:rPr>
        <w:t>T</w:t>
      </w:r>
      <w:r w:rsidRPr="00653F9B">
        <w:rPr>
          <w:rFonts w:cs="Arial"/>
          <w:i/>
          <w:sz w:val="18"/>
          <w:szCs w:val="18"/>
          <w:vertAlign w:val="subscript"/>
        </w:rPr>
        <w:t>c</w:t>
      </w:r>
      <w:proofErr w:type="spellEnd"/>
      <w:r>
        <w:rPr>
          <w:rFonts w:cs="Arial"/>
          <w:i/>
          <w:sz w:val="18"/>
          <w:szCs w:val="18"/>
          <w:vertAlign w:val="subscript"/>
        </w:rPr>
        <w:tab/>
      </w:r>
      <w:r w:rsidRPr="00653F9B">
        <w:rPr>
          <w:rFonts w:cs="Arial"/>
          <w:i/>
          <w:sz w:val="18"/>
          <w:szCs w:val="18"/>
        </w:rPr>
        <w:t>= statutory corporate tax rate</w:t>
      </w:r>
    </w:p>
    <w:p w14:paraId="26058F20" w14:textId="77777777" w:rsidR="00A12C17" w:rsidRPr="00CB4AB5" w:rsidRDefault="00A12C17" w:rsidP="00676B95">
      <w:pPr>
        <w:spacing w:before="120" w:after="120" w:line="240" w:lineRule="auto"/>
        <w:rPr>
          <w:rFonts w:cs="Arial"/>
        </w:rPr>
      </w:pPr>
    </w:p>
    <w:p w14:paraId="11B3E356" w14:textId="7A4848E4" w:rsidR="00676B95" w:rsidRPr="00676B95" w:rsidRDefault="00585823" w:rsidP="00676B95">
      <w:pPr>
        <w:spacing w:before="120" w:after="120" w:line="240" w:lineRule="atLeast"/>
        <w:rPr>
          <w:rFonts w:cs="Arial"/>
        </w:rPr>
      </w:pPr>
      <w:r>
        <w:rPr>
          <w:rFonts w:cs="Arial"/>
        </w:rPr>
        <w:t>The following a</w:t>
      </w:r>
      <w:r w:rsidR="00676B95" w:rsidRPr="00676B95">
        <w:rPr>
          <w:rFonts w:cs="Arial"/>
        </w:rPr>
        <w:t xml:space="preserve">ssumptions </w:t>
      </w:r>
      <w:proofErr w:type="gramStart"/>
      <w:r>
        <w:rPr>
          <w:rFonts w:cs="Arial"/>
        </w:rPr>
        <w:t xml:space="preserve">have been </w:t>
      </w:r>
      <w:r w:rsidR="00676B95" w:rsidRPr="00676B95">
        <w:rPr>
          <w:rFonts w:cs="Arial"/>
        </w:rPr>
        <w:t>applied</w:t>
      </w:r>
      <w:proofErr w:type="gramEnd"/>
      <w:r w:rsidR="00676B95" w:rsidRPr="00676B95">
        <w:rPr>
          <w:rFonts w:cs="Arial"/>
        </w:rPr>
        <w:t xml:space="preserve"> in the tilted annuity:</w:t>
      </w:r>
    </w:p>
    <w:p w14:paraId="3D251E6D" w14:textId="45ECE508" w:rsidR="00676B95" w:rsidRPr="00953451" w:rsidRDefault="00676B95" w:rsidP="00676B95">
      <w:pPr>
        <w:pStyle w:val="ListParagraph"/>
        <w:numPr>
          <w:ilvl w:val="0"/>
          <w:numId w:val="18"/>
        </w:numPr>
        <w:spacing w:before="120" w:after="120" w:line="240" w:lineRule="atLeast"/>
        <w:contextualSpacing w:val="0"/>
        <w:rPr>
          <w:rFonts w:cs="Arial"/>
        </w:rPr>
      </w:pPr>
      <w:r w:rsidRPr="00C75F89">
        <w:rPr>
          <w:rFonts w:cs="Arial"/>
          <w:i/>
        </w:rPr>
        <w:t>MV</w:t>
      </w:r>
      <w:r>
        <w:rPr>
          <w:rFonts w:cs="Arial"/>
        </w:rPr>
        <w:t xml:space="preserve"> represents the starting-point capital amount and in this context </w:t>
      </w:r>
      <w:r w:rsidRPr="00953451">
        <w:rPr>
          <w:rFonts w:cs="Arial"/>
        </w:rPr>
        <w:t xml:space="preserve">is the value included in the 2012 Direction for </w:t>
      </w:r>
      <w:r>
        <w:rPr>
          <w:rFonts w:cs="Arial"/>
        </w:rPr>
        <w:t xml:space="preserve">re-issue of expiring spectrum licences in </w:t>
      </w:r>
      <w:r w:rsidRPr="00953451">
        <w:rPr>
          <w:rFonts w:cs="Arial"/>
        </w:rPr>
        <w:t>the 3.4 GHz band</w:t>
      </w:r>
      <w:r>
        <w:rPr>
          <w:rFonts w:cs="Arial"/>
        </w:rPr>
        <w:t xml:space="preserve"> (</w:t>
      </w:r>
      <w:r w:rsidRPr="00953451">
        <w:rPr>
          <w:rFonts w:cs="Arial"/>
        </w:rPr>
        <w:t>$0.03/MHz/Pop</w:t>
      </w:r>
      <w:r w:rsidR="00DA13D4">
        <w:rPr>
          <w:rFonts w:cs="Arial"/>
        </w:rPr>
        <w:t>ulation</w:t>
      </w:r>
      <w:r>
        <w:rPr>
          <w:rFonts w:cs="Arial"/>
        </w:rPr>
        <w:t>)</w:t>
      </w:r>
      <w:r w:rsidRPr="00953451">
        <w:rPr>
          <w:rFonts w:cs="Arial"/>
        </w:rPr>
        <w:t xml:space="preserve">.  </w:t>
      </w:r>
    </w:p>
    <w:p w14:paraId="540D20AD" w14:textId="77777777" w:rsidR="00676B95" w:rsidRPr="00D45E1E" w:rsidRDefault="00676B95" w:rsidP="00676B95">
      <w:pPr>
        <w:pStyle w:val="ListParagraph"/>
        <w:numPr>
          <w:ilvl w:val="0"/>
          <w:numId w:val="18"/>
        </w:numPr>
        <w:spacing w:before="120" w:after="120" w:line="240" w:lineRule="atLeast"/>
        <w:contextualSpacing w:val="0"/>
        <w:rPr>
          <w:rFonts w:cs="Arial"/>
        </w:rPr>
      </w:pPr>
      <w:r w:rsidRPr="00953451">
        <w:rPr>
          <w:rFonts w:cs="Arial"/>
        </w:rPr>
        <w:t>The tilt (</w:t>
      </w:r>
      <w:r w:rsidRPr="00C75F89">
        <w:rPr>
          <w:rFonts w:cs="Arial"/>
          <w:i/>
        </w:rPr>
        <w:t>g</w:t>
      </w:r>
      <w:r w:rsidRPr="00953451">
        <w:rPr>
          <w:rFonts w:cs="Arial"/>
        </w:rPr>
        <w:t>) reflects how the aggregate apparatus licence tax will evolve across time commensurate with annual escalation at</w:t>
      </w:r>
      <w:r w:rsidRPr="00D45E1E">
        <w:rPr>
          <w:rFonts w:cs="Arial"/>
        </w:rPr>
        <w:t xml:space="preserve"> CPI and applied to an expanding population base. </w:t>
      </w:r>
      <w:r w:rsidRPr="00D45E1E">
        <w:rPr>
          <w:rFonts w:cs="Arial"/>
        </w:rPr>
        <w:lastRenderedPageBreak/>
        <w:t xml:space="preserve">The tilt is based on an amalgam of expected long-term CPI </w:t>
      </w:r>
      <w:r>
        <w:rPr>
          <w:rFonts w:cs="Arial"/>
        </w:rPr>
        <w:t xml:space="preserve">inflation </w:t>
      </w:r>
      <w:r w:rsidRPr="00D45E1E">
        <w:rPr>
          <w:rFonts w:cs="Arial"/>
        </w:rPr>
        <w:t>(2.5 per cent per annum</w:t>
      </w:r>
      <w:r>
        <w:rPr>
          <w:rFonts w:cs="Arial"/>
        </w:rPr>
        <w:t>)</w:t>
      </w:r>
      <w:r w:rsidRPr="00D45E1E">
        <w:rPr>
          <w:rFonts w:cs="Arial"/>
        </w:rPr>
        <w:t xml:space="preserve"> and expected long-term population growth (1.</w:t>
      </w:r>
      <w:r>
        <w:rPr>
          <w:rFonts w:cs="Arial"/>
        </w:rPr>
        <w:t>54</w:t>
      </w:r>
      <w:r w:rsidRPr="00D45E1E">
        <w:rPr>
          <w:rFonts w:cs="Arial"/>
        </w:rPr>
        <w:t xml:space="preserve"> per cent per annum)</w:t>
      </w:r>
      <w:r>
        <w:rPr>
          <w:rFonts w:cs="Arial"/>
        </w:rPr>
        <w:t>;</w:t>
      </w:r>
      <w:r>
        <w:rPr>
          <w:rStyle w:val="FootnoteReference"/>
          <w:rFonts w:cs="Arial"/>
        </w:rPr>
        <w:footnoteReference w:id="1"/>
      </w:r>
    </w:p>
    <w:p w14:paraId="2D4AFBBB" w14:textId="29C5D042" w:rsidR="00A12C17" w:rsidRDefault="00676B95" w:rsidP="00676B95">
      <w:pPr>
        <w:pStyle w:val="ListParagraph"/>
        <w:numPr>
          <w:ilvl w:val="0"/>
          <w:numId w:val="18"/>
        </w:numPr>
        <w:spacing w:before="120" w:after="120" w:line="240" w:lineRule="atLeast"/>
        <w:contextualSpacing w:val="0"/>
        <w:rPr>
          <w:rFonts w:cs="Arial"/>
        </w:rPr>
      </w:pPr>
      <w:r w:rsidRPr="00D45E1E">
        <w:rPr>
          <w:rFonts w:cs="Arial"/>
        </w:rPr>
        <w:t>an appropriate discount rate</w:t>
      </w:r>
      <w:r>
        <w:rPr>
          <w:rFonts w:cs="Arial"/>
        </w:rPr>
        <w:t xml:space="preserve"> or </w:t>
      </w:r>
      <w:r w:rsidRPr="00C75F89">
        <w:rPr>
          <w:rFonts w:cs="Arial"/>
          <w:i/>
        </w:rPr>
        <w:t>WACC</w:t>
      </w:r>
      <w:r w:rsidR="002D48F2" w:rsidRPr="007E4942">
        <w:rPr>
          <w:rFonts w:cs="Arial"/>
        </w:rPr>
        <w:t>:</w:t>
      </w:r>
      <w:r w:rsidRPr="00D45E1E">
        <w:rPr>
          <w:rFonts w:cs="Arial"/>
        </w:rPr>
        <w:t xml:space="preserve"> a rate of 8.4 per cent post-tax has been applied to estimate appropriate spectrum access charges</w:t>
      </w:r>
      <w:r w:rsidR="002D48F2">
        <w:rPr>
          <w:rFonts w:cs="Arial"/>
        </w:rPr>
        <w:t>;</w:t>
      </w:r>
      <w:r w:rsidR="00A12C17">
        <w:rPr>
          <w:rFonts w:cs="Arial"/>
        </w:rPr>
        <w:t xml:space="preserve"> and</w:t>
      </w:r>
    </w:p>
    <w:p w14:paraId="372F576D" w14:textId="77777777" w:rsidR="00A12C17" w:rsidRPr="00D45E1E" w:rsidRDefault="00A12C17" w:rsidP="00A12C17">
      <w:pPr>
        <w:pStyle w:val="ListParagraph"/>
        <w:numPr>
          <w:ilvl w:val="0"/>
          <w:numId w:val="18"/>
        </w:numPr>
        <w:spacing w:before="120" w:after="120" w:line="240" w:lineRule="atLeast"/>
        <w:contextualSpacing w:val="0"/>
        <w:rPr>
          <w:rFonts w:cs="Arial"/>
        </w:rPr>
      </w:pPr>
      <w:r>
        <w:rPr>
          <w:rFonts w:cs="Arial"/>
        </w:rPr>
        <w:t xml:space="preserve">the statutory corporate tax rate of 30 per cent </w:t>
      </w:r>
      <w:proofErr w:type="gramStart"/>
      <w:r>
        <w:rPr>
          <w:rFonts w:cs="Arial"/>
        </w:rPr>
        <w:t>has been applied</w:t>
      </w:r>
      <w:proofErr w:type="gramEnd"/>
      <w:r>
        <w:rPr>
          <w:rFonts w:cs="Arial"/>
        </w:rPr>
        <w:t xml:space="preserve"> consistent with the deductibility of apparatus licence fees for corporate tax purposes.</w:t>
      </w:r>
    </w:p>
    <w:p w14:paraId="16AB67F7" w14:textId="6387219F" w:rsidR="00676B95" w:rsidRPr="00A12C17" w:rsidRDefault="00676B95" w:rsidP="00A12C17">
      <w:pPr>
        <w:spacing w:before="120" w:after="120" w:line="240" w:lineRule="atLeast"/>
        <w:rPr>
          <w:rFonts w:cs="Arial"/>
        </w:rPr>
      </w:pPr>
    </w:p>
    <w:p w14:paraId="36386039" w14:textId="0E151580" w:rsidR="00984E5B" w:rsidRPr="00984E5B" w:rsidRDefault="005D7C91" w:rsidP="00984E5B">
      <w:r>
        <w:t>The ACMA</w:t>
      </w:r>
      <w:r w:rsidR="00984E5B" w:rsidRPr="00984E5B">
        <w:t xml:space="preserve"> consulted directly with NBN Co concerning a proposed tax for a PMTS Class B licence</w:t>
      </w:r>
      <w:r w:rsidR="00D376C4">
        <w:t xml:space="preserve"> and formulated a method </w:t>
      </w:r>
      <w:r w:rsidR="00984E5B" w:rsidRPr="00984E5B">
        <w:t>for calculating the tax for a PMTS Class B licen</w:t>
      </w:r>
      <w:r w:rsidR="00D376C4">
        <w:t>ce</w:t>
      </w:r>
      <w:r w:rsidR="00984E5B" w:rsidRPr="00984E5B">
        <w:t>.</w:t>
      </w:r>
      <w:r w:rsidR="00676B95">
        <w:t xml:space="preserve"> The ACMA took into account NBN </w:t>
      </w:r>
      <w:proofErr w:type="spellStart"/>
      <w:r w:rsidR="00676B95">
        <w:t>Co’s</w:t>
      </w:r>
      <w:proofErr w:type="spellEnd"/>
      <w:r w:rsidR="00676B95">
        <w:t xml:space="preserve"> comments in determining the tax of $0.0037/MHz/Pop in the 3.5 </w:t>
      </w:r>
      <w:r w:rsidR="00676B95" w:rsidRPr="00984E5B">
        <w:t>GHz ban</w:t>
      </w:r>
      <w:r w:rsidR="00676B95">
        <w:t xml:space="preserve">d.  </w:t>
      </w:r>
    </w:p>
    <w:p w14:paraId="2BD045BF" w14:textId="77777777" w:rsidR="00984E5B" w:rsidRPr="00007201" w:rsidRDefault="00984E5B" w:rsidP="00984E5B">
      <w:pPr>
        <w:pStyle w:val="ACMABodyText0"/>
        <w:rPr>
          <w:rFonts w:asciiTheme="minorHAnsi" w:hAnsiTheme="minorHAnsi"/>
          <w:bCs/>
          <w:snapToGrid/>
          <w:sz w:val="22"/>
          <w:szCs w:val="22"/>
          <w:u w:val="single"/>
          <w:lang w:eastAsia="en-AU"/>
        </w:rPr>
      </w:pPr>
      <w:r w:rsidRPr="00007201">
        <w:rPr>
          <w:rFonts w:asciiTheme="minorHAnsi" w:hAnsiTheme="minorHAnsi"/>
          <w:bCs/>
          <w:snapToGrid/>
          <w:sz w:val="22"/>
          <w:szCs w:val="22"/>
          <w:u w:val="single"/>
          <w:lang w:eastAsia="en-AU"/>
        </w:rPr>
        <w:t>CPI adjustments</w:t>
      </w:r>
    </w:p>
    <w:p w14:paraId="52CDCD67" w14:textId="24D34FD7" w:rsidR="009F36DD" w:rsidRPr="002B6B81" w:rsidRDefault="009F36DD" w:rsidP="009F36DD">
      <w:pPr>
        <w:rPr>
          <w:rFonts w:cs="Arial"/>
          <w:szCs w:val="19"/>
        </w:rPr>
      </w:pPr>
      <w:r w:rsidRPr="002B6B81">
        <w:rPr>
          <w:rFonts w:cs="Arial"/>
          <w:szCs w:val="19"/>
        </w:rPr>
        <w:t>The new Determination amends the taxing regime for radiocommunications transmitter licences to adjust all taxes by a 3 percent increase</w:t>
      </w:r>
      <w:r w:rsidR="00585823" w:rsidRPr="002B6B81">
        <w:rPr>
          <w:rFonts w:cs="Arial"/>
          <w:szCs w:val="19"/>
        </w:rPr>
        <w:t>,</w:t>
      </w:r>
      <w:r w:rsidRPr="002B6B81">
        <w:rPr>
          <w:rFonts w:cs="Arial"/>
          <w:szCs w:val="19"/>
        </w:rPr>
        <w:t xml:space="preserve"> based on the annual consumer price index (</w:t>
      </w:r>
      <w:r w:rsidRPr="007E4942">
        <w:rPr>
          <w:rFonts w:cs="Arial"/>
          <w:b/>
          <w:szCs w:val="19"/>
        </w:rPr>
        <w:t>CPI</w:t>
      </w:r>
      <w:r w:rsidRPr="002B6B81">
        <w:rPr>
          <w:rFonts w:cs="Arial"/>
          <w:szCs w:val="19"/>
        </w:rPr>
        <w:t>) movement to June 2014.</w:t>
      </w:r>
      <w:r w:rsidR="00A12C17">
        <w:rPr>
          <w:rStyle w:val="FootnoteReference"/>
          <w:rFonts w:cs="Arial"/>
          <w:szCs w:val="19"/>
        </w:rPr>
        <w:footnoteReference w:id="2"/>
      </w:r>
      <w:r w:rsidRPr="002B6B81">
        <w:rPr>
          <w:rFonts w:cs="Arial"/>
          <w:szCs w:val="19"/>
        </w:rPr>
        <w:t xml:space="preserve">   In real </w:t>
      </w:r>
      <w:proofErr w:type="gramStart"/>
      <w:r w:rsidRPr="002B6B81">
        <w:rPr>
          <w:rFonts w:cs="Arial"/>
          <w:szCs w:val="19"/>
        </w:rPr>
        <w:t>terms</w:t>
      </w:r>
      <w:proofErr w:type="gramEnd"/>
      <w:r w:rsidRPr="002B6B81">
        <w:rPr>
          <w:rFonts w:cs="Arial"/>
          <w:szCs w:val="19"/>
        </w:rPr>
        <w:t xml:space="preserve"> there is no effect on </w:t>
      </w:r>
      <w:r w:rsidR="002D48F2">
        <w:rPr>
          <w:rFonts w:cs="Arial"/>
          <w:szCs w:val="19"/>
        </w:rPr>
        <w:t>license</w:t>
      </w:r>
      <w:r w:rsidRPr="002B6B81">
        <w:rPr>
          <w:rFonts w:cs="Arial"/>
          <w:szCs w:val="19"/>
        </w:rPr>
        <w:t>es, as the nominal dollar increases merely preserve the value of the licence taxes against erosion by inflation.</w:t>
      </w:r>
      <w:r w:rsidR="00447901" w:rsidRPr="002B6B81">
        <w:rPr>
          <w:rFonts w:cs="Arial"/>
          <w:szCs w:val="19"/>
        </w:rPr>
        <w:t xml:space="preserve"> </w:t>
      </w:r>
      <w:r w:rsidR="002B6B81" w:rsidRPr="002B6B81">
        <w:rPr>
          <w:rFonts w:cs="Arial"/>
          <w:szCs w:val="19"/>
        </w:rPr>
        <w:t>The ACMA and its predecessors have increased apparatus licence taxes each year by CPI since 1995.</w:t>
      </w:r>
    </w:p>
    <w:p w14:paraId="106115C9" w14:textId="2CA2FA9E" w:rsidR="009F36DD" w:rsidRPr="002B6B81" w:rsidRDefault="002B6B81" w:rsidP="009F36DD">
      <w:pPr>
        <w:rPr>
          <w:rFonts w:cs="Arial"/>
          <w:szCs w:val="19"/>
        </w:rPr>
      </w:pPr>
      <w:r w:rsidRPr="002B6B81">
        <w:rPr>
          <w:rFonts w:cs="Arial"/>
          <w:szCs w:val="19"/>
        </w:rPr>
        <w:t xml:space="preserve">The only exception to the CPI increase is that the Determination also continues the freeze, in dollar amounts, of taxes levied on </w:t>
      </w:r>
      <w:proofErr w:type="gramStart"/>
      <w:r w:rsidRPr="002B6B81">
        <w:rPr>
          <w:rFonts w:cs="Arial"/>
          <w:szCs w:val="19"/>
        </w:rPr>
        <w:t>point to point</w:t>
      </w:r>
      <w:proofErr w:type="gramEnd"/>
      <w:r w:rsidRPr="002B6B81">
        <w:rPr>
          <w:rFonts w:cs="Arial"/>
          <w:szCs w:val="19"/>
        </w:rPr>
        <w:t xml:space="preserve"> and point to multi-point fixed services below 960 MHz in remote density areas at their 2008 levels. </w:t>
      </w:r>
      <w:r w:rsidR="009F36DD" w:rsidRPr="002B6B81">
        <w:rPr>
          <w:rFonts w:cs="Arial"/>
          <w:szCs w:val="19"/>
        </w:rPr>
        <w:t xml:space="preserve">The apparatus licence taxes for these remote density area services will continue to remain at the same level as in April 2008, pending the current </w:t>
      </w:r>
      <w:r w:rsidR="001F72D0" w:rsidRPr="002B6B81">
        <w:rPr>
          <w:rFonts w:cs="Arial"/>
          <w:szCs w:val="19"/>
        </w:rPr>
        <w:t xml:space="preserve">ACMA </w:t>
      </w:r>
      <w:r w:rsidR="009F36DD" w:rsidRPr="002B6B81">
        <w:rPr>
          <w:rFonts w:cs="Arial"/>
          <w:szCs w:val="19"/>
        </w:rPr>
        <w:t>review of the 900 MHz band and the application of opportunity cost prices in remote density areas in the 400 MHz band.</w:t>
      </w:r>
    </w:p>
    <w:p w14:paraId="5D984C9D" w14:textId="77777777" w:rsidR="00272465" w:rsidRPr="00272465" w:rsidRDefault="00272465" w:rsidP="00272465">
      <w:pPr>
        <w:spacing w:before="100" w:beforeAutospacing="1" w:after="120" w:line="240" w:lineRule="auto"/>
        <w:jc w:val="both"/>
        <w:rPr>
          <w:rStyle w:val="charsectno"/>
          <w:b/>
          <w:bCs/>
        </w:rPr>
      </w:pPr>
      <w:r w:rsidRPr="00272465">
        <w:rPr>
          <w:rStyle w:val="charsectno"/>
          <w:b/>
          <w:bCs/>
        </w:rPr>
        <w:t>Consultation</w:t>
      </w:r>
    </w:p>
    <w:p w14:paraId="5A5B9DC7" w14:textId="058C1E06" w:rsidR="004165D0" w:rsidRDefault="00D40D12" w:rsidP="00627AAF">
      <w:pPr>
        <w:rPr>
          <w:rFonts w:cs="Arial"/>
          <w:szCs w:val="19"/>
        </w:rPr>
      </w:pPr>
      <w:r>
        <w:rPr>
          <w:rFonts w:cs="Arial"/>
          <w:szCs w:val="19"/>
        </w:rPr>
        <w:t xml:space="preserve">The ACMA held a public </w:t>
      </w:r>
      <w:r w:rsidRPr="00362AF7">
        <w:rPr>
          <w:rFonts w:cs="Arial"/>
          <w:szCs w:val="19"/>
        </w:rPr>
        <w:t xml:space="preserve">consultation process </w:t>
      </w:r>
      <w:r w:rsidR="004165D0" w:rsidRPr="00A117B2">
        <w:t>on the pr</w:t>
      </w:r>
      <w:r w:rsidR="004165D0">
        <w:t>oposal to remake the instrument</w:t>
      </w:r>
      <w:r w:rsidR="004165D0" w:rsidRPr="00A117B2">
        <w:t xml:space="preserve"> </w:t>
      </w:r>
      <w:r w:rsidR="00A64D4F">
        <w:t xml:space="preserve">and </w:t>
      </w:r>
      <w:r w:rsidR="002D48F2">
        <w:t xml:space="preserve">to </w:t>
      </w:r>
      <w:r w:rsidR="00A64D4F">
        <w:t>adjust taxes relating to CPI</w:t>
      </w:r>
      <w:r w:rsidR="002D48F2">
        <w:t>,</w:t>
      </w:r>
      <w:r w:rsidR="00A64D4F">
        <w:t xml:space="preserve"> </w:t>
      </w:r>
      <w:r w:rsidRPr="00362AF7">
        <w:rPr>
          <w:rFonts w:cs="Arial"/>
          <w:szCs w:val="19"/>
        </w:rPr>
        <w:t>over the period 28 November 2014 to 9 January 2015.</w:t>
      </w:r>
      <w:r w:rsidR="00447901">
        <w:rPr>
          <w:rFonts w:cs="Arial"/>
          <w:szCs w:val="19"/>
        </w:rPr>
        <w:t xml:space="preserve"> </w:t>
      </w:r>
      <w:r w:rsidR="00447901" w:rsidRPr="00C75F89">
        <w:rPr>
          <w:rFonts w:cs="Arial"/>
          <w:szCs w:val="19"/>
        </w:rPr>
        <w:t xml:space="preserve">A consultation paper </w:t>
      </w:r>
      <w:proofErr w:type="gramStart"/>
      <w:r w:rsidR="00447901" w:rsidRPr="00C75F89">
        <w:rPr>
          <w:rFonts w:cs="Arial"/>
          <w:szCs w:val="19"/>
        </w:rPr>
        <w:t>was published</w:t>
      </w:r>
      <w:proofErr w:type="gramEnd"/>
      <w:r w:rsidR="00447901" w:rsidRPr="00C75F89">
        <w:rPr>
          <w:rFonts w:cs="Arial"/>
          <w:szCs w:val="19"/>
        </w:rPr>
        <w:t xml:space="preserve"> on the </w:t>
      </w:r>
      <w:r w:rsidR="00447901" w:rsidRPr="00447901">
        <w:rPr>
          <w:rFonts w:cs="Arial"/>
          <w:szCs w:val="19"/>
        </w:rPr>
        <w:t>ACMA website. The paper outlined</w:t>
      </w:r>
      <w:r w:rsidR="00447901" w:rsidRPr="00C75F89">
        <w:rPr>
          <w:rFonts w:cs="Arial"/>
          <w:szCs w:val="19"/>
        </w:rPr>
        <w:t xml:space="preserve"> the main differences between the 2003 Determination and the Determination. </w:t>
      </w:r>
    </w:p>
    <w:p w14:paraId="476CA0E7" w14:textId="0375507A" w:rsidR="00627AAF" w:rsidRDefault="00D40D12" w:rsidP="00627AAF">
      <w:r>
        <w:t>The p</w:t>
      </w:r>
      <w:r w:rsidR="00A117B2" w:rsidRPr="00A117B2">
        <w:t>ublic consultation resulted in one submission</w:t>
      </w:r>
      <w:r w:rsidR="004165D0">
        <w:t>,</w:t>
      </w:r>
      <w:r w:rsidR="00A117B2" w:rsidRPr="00A117B2">
        <w:t xml:space="preserve"> from Telstra</w:t>
      </w:r>
      <w:r w:rsidR="004165D0">
        <w:t>,</w:t>
      </w:r>
      <w:r w:rsidR="00A117B2" w:rsidRPr="00A117B2">
        <w:t xml:space="preserve"> supporting the proposed re</w:t>
      </w:r>
      <w:r w:rsidR="00A117B2">
        <w:t>making of the Determination</w:t>
      </w:r>
      <w:r w:rsidR="00A117B2" w:rsidRPr="00A117B2">
        <w:t xml:space="preserve">. </w:t>
      </w:r>
      <w:r w:rsidR="00447901">
        <w:t xml:space="preserve">In particular, Telstra supported the shift away from using LGAs to using the HCIS to identify geographic areas for the calculation of taxes for PMTS Class B licences operating in specified frequency bands. </w:t>
      </w:r>
    </w:p>
    <w:p w14:paraId="6E6E5975" w14:textId="22BCA44B" w:rsidR="00A12C17" w:rsidRDefault="00A12C17" w:rsidP="00627AAF">
      <w:r>
        <w:t>The ACMA</w:t>
      </w:r>
      <w:r w:rsidR="002D48F2">
        <w:t xml:space="preserve"> also</w:t>
      </w:r>
      <w:r>
        <w:t xml:space="preserve"> consulted with NBN Co concerning the setting of the tax for PMTS Class B licences in the 3.5 GHz. </w:t>
      </w:r>
    </w:p>
    <w:p w14:paraId="615B9AF9" w14:textId="77777777" w:rsidR="00447901" w:rsidRPr="00C75F89" w:rsidRDefault="00447901" w:rsidP="00447901">
      <w:pPr>
        <w:rPr>
          <w:rFonts w:cs="Arial"/>
        </w:rPr>
      </w:pPr>
      <w:r w:rsidRPr="00C75F89">
        <w:rPr>
          <w:rFonts w:cs="Arial"/>
        </w:rPr>
        <w:t xml:space="preserve">No changes were made to the Determination </w:t>
      </w:r>
      <w:proofErr w:type="gramStart"/>
      <w:r w:rsidRPr="00C75F89">
        <w:rPr>
          <w:rFonts w:cs="Arial"/>
        </w:rPr>
        <w:t>as a result</w:t>
      </w:r>
      <w:proofErr w:type="gramEnd"/>
      <w:r w:rsidRPr="00C75F89">
        <w:rPr>
          <w:rFonts w:cs="Arial"/>
        </w:rPr>
        <w:t xml:space="preserve"> of the consultation process. </w:t>
      </w:r>
    </w:p>
    <w:p w14:paraId="05395662" w14:textId="77777777" w:rsidR="00447901" w:rsidRPr="00C75F89" w:rsidRDefault="00447901" w:rsidP="00447901">
      <w:pPr>
        <w:spacing w:after="240" w:line="240" w:lineRule="auto"/>
        <w:jc w:val="both"/>
        <w:rPr>
          <w:rFonts w:eastAsia="Times New Roman" w:cs="Arial"/>
          <w:b/>
          <w:bCs/>
          <w:lang w:eastAsia="en-AU"/>
        </w:rPr>
      </w:pPr>
      <w:r w:rsidRPr="00C75F89">
        <w:rPr>
          <w:rFonts w:eastAsia="Times New Roman" w:cs="Arial"/>
          <w:b/>
          <w:bCs/>
          <w:lang w:eastAsia="en-AU"/>
        </w:rPr>
        <w:t>Documents incorporated by reference</w:t>
      </w:r>
    </w:p>
    <w:p w14:paraId="03B3AE1E" w14:textId="18BC9CE0" w:rsidR="00447901" w:rsidRPr="00C75F89" w:rsidRDefault="00447901" w:rsidP="00447901">
      <w:pPr>
        <w:spacing w:after="240" w:line="240" w:lineRule="auto"/>
        <w:jc w:val="both"/>
        <w:rPr>
          <w:rFonts w:eastAsia="Times New Roman" w:cs="Arial"/>
          <w:bCs/>
          <w:lang w:eastAsia="en-AU"/>
        </w:rPr>
      </w:pPr>
      <w:r w:rsidRPr="00C75F89">
        <w:rPr>
          <w:rFonts w:eastAsia="Times New Roman" w:cs="Arial"/>
          <w:bCs/>
          <w:lang w:eastAsia="en-AU"/>
        </w:rPr>
        <w:t>The following document</w:t>
      </w:r>
      <w:r w:rsidR="005D1E0A">
        <w:rPr>
          <w:rFonts w:eastAsia="Times New Roman" w:cs="Arial"/>
          <w:bCs/>
          <w:lang w:eastAsia="en-AU"/>
        </w:rPr>
        <w:t>s</w:t>
      </w:r>
      <w:r w:rsidRPr="00C75F89">
        <w:rPr>
          <w:rFonts w:eastAsia="Times New Roman" w:cs="Arial"/>
          <w:bCs/>
          <w:lang w:eastAsia="en-AU"/>
        </w:rPr>
        <w:t xml:space="preserve"> </w:t>
      </w:r>
      <w:r w:rsidR="005D1E0A">
        <w:rPr>
          <w:rFonts w:eastAsia="Times New Roman" w:cs="Arial"/>
          <w:bCs/>
          <w:lang w:eastAsia="en-AU"/>
        </w:rPr>
        <w:t>are</w:t>
      </w:r>
      <w:r w:rsidRPr="00C75F89">
        <w:rPr>
          <w:rFonts w:eastAsia="Times New Roman" w:cs="Arial"/>
          <w:bCs/>
          <w:lang w:eastAsia="en-AU"/>
        </w:rPr>
        <w:t xml:space="preserve"> incorporated:</w:t>
      </w:r>
    </w:p>
    <w:p w14:paraId="1F2B7770" w14:textId="20FF400E" w:rsidR="00447901" w:rsidRPr="00C75F89" w:rsidRDefault="00447901" w:rsidP="00447901">
      <w:pPr>
        <w:pStyle w:val="ListParagraph"/>
        <w:numPr>
          <w:ilvl w:val="0"/>
          <w:numId w:val="19"/>
        </w:numPr>
        <w:spacing w:after="240" w:line="240" w:lineRule="auto"/>
        <w:jc w:val="both"/>
        <w:rPr>
          <w:rFonts w:eastAsia="Times New Roman" w:cs="Arial"/>
          <w:bCs/>
          <w:lang w:eastAsia="en-AU"/>
        </w:rPr>
      </w:pPr>
      <w:r w:rsidRPr="00C75F89">
        <w:rPr>
          <w:rFonts w:eastAsia="Times New Roman" w:cs="Arial"/>
          <w:bCs/>
          <w:lang w:eastAsia="en-AU"/>
        </w:rPr>
        <w:lastRenderedPageBreak/>
        <w:t xml:space="preserve">Australian Map Grid (AMG66) published by Geoscience Australia. The map grid can be accessed through the Geoscience Australia website: </w:t>
      </w:r>
      <w:hyperlink r:id="rId13" w:history="1">
        <w:r w:rsidRPr="00C75F89">
          <w:rPr>
            <w:rStyle w:val="Hyperlink"/>
            <w:rFonts w:eastAsia="Times New Roman" w:cs="Arial"/>
            <w:bCs/>
            <w:lang w:eastAsia="en-AU"/>
          </w:rPr>
          <w:t>www.ga.gov.au</w:t>
        </w:r>
      </w:hyperlink>
      <w:r w:rsidRPr="00447901">
        <w:rPr>
          <w:rFonts w:eastAsia="Times New Roman" w:cs="Arial"/>
          <w:bCs/>
          <w:lang w:eastAsia="en-AU"/>
        </w:rPr>
        <w:t>;</w:t>
      </w:r>
    </w:p>
    <w:p w14:paraId="279B4939" w14:textId="57B01258" w:rsidR="00447901" w:rsidRDefault="00447901" w:rsidP="00447901">
      <w:pPr>
        <w:pStyle w:val="ListParagraph"/>
        <w:numPr>
          <w:ilvl w:val="0"/>
          <w:numId w:val="19"/>
        </w:numPr>
        <w:spacing w:after="240" w:line="240" w:lineRule="auto"/>
        <w:jc w:val="both"/>
        <w:rPr>
          <w:rFonts w:eastAsia="Times New Roman" w:cs="Arial"/>
          <w:bCs/>
          <w:lang w:eastAsia="en-AU"/>
        </w:rPr>
      </w:pPr>
      <w:r>
        <w:rPr>
          <w:rFonts w:eastAsia="Times New Roman" w:cs="Arial"/>
          <w:bCs/>
          <w:lang w:eastAsia="en-AU"/>
        </w:rPr>
        <w:t>Australian Spectrum Map Grid 2012, published by the ACMA and accessible at</w:t>
      </w:r>
      <w:r w:rsidR="005D1E0A">
        <w:rPr>
          <w:rFonts w:eastAsia="Times New Roman" w:cs="Arial"/>
          <w:bCs/>
          <w:lang w:eastAsia="en-AU"/>
        </w:rPr>
        <w:t>:</w:t>
      </w:r>
      <w:r>
        <w:rPr>
          <w:rFonts w:eastAsia="Times New Roman" w:cs="Arial"/>
          <w:bCs/>
          <w:lang w:eastAsia="en-AU"/>
        </w:rPr>
        <w:t xml:space="preserve"> </w:t>
      </w:r>
      <w:hyperlink r:id="rId14" w:history="1">
        <w:r w:rsidR="005D1E0A" w:rsidRPr="0068114F">
          <w:rPr>
            <w:rStyle w:val="Hyperlink"/>
            <w:rFonts w:eastAsia="Times New Roman" w:cs="Arial"/>
            <w:bCs/>
            <w:lang w:eastAsia="en-AU"/>
          </w:rPr>
          <w:t>www.acma.gov.au</w:t>
        </w:r>
      </w:hyperlink>
      <w:r>
        <w:rPr>
          <w:rFonts w:eastAsia="Times New Roman" w:cs="Arial"/>
          <w:bCs/>
          <w:lang w:eastAsia="en-AU"/>
        </w:rPr>
        <w:t>;</w:t>
      </w:r>
      <w:r w:rsidR="00C75F89">
        <w:rPr>
          <w:rFonts w:eastAsia="Times New Roman" w:cs="Arial"/>
          <w:bCs/>
          <w:lang w:eastAsia="en-AU"/>
        </w:rPr>
        <w:t xml:space="preserve"> and</w:t>
      </w:r>
    </w:p>
    <w:p w14:paraId="496C9F66" w14:textId="3C04BF2E" w:rsidR="00E76EAD" w:rsidRPr="00E76EAD" w:rsidRDefault="00E76EAD" w:rsidP="00447901">
      <w:pPr>
        <w:pStyle w:val="ListParagraph"/>
        <w:numPr>
          <w:ilvl w:val="0"/>
          <w:numId w:val="19"/>
        </w:numPr>
        <w:spacing w:after="240" w:line="240" w:lineRule="auto"/>
        <w:jc w:val="both"/>
        <w:rPr>
          <w:rFonts w:eastAsia="Times New Roman" w:cs="Arial"/>
          <w:bCs/>
          <w:lang w:eastAsia="en-AU"/>
        </w:rPr>
      </w:pPr>
      <w:r w:rsidRPr="00C75F89">
        <w:rPr>
          <w:iCs/>
        </w:rPr>
        <w:t>Hierarchical Cell Identification Scheme (HCIS) - List of Population Dat</w:t>
      </w:r>
      <w:r w:rsidRPr="00E76EAD">
        <w:rPr>
          <w:iCs/>
        </w:rPr>
        <w:t xml:space="preserve">a, published by </w:t>
      </w:r>
      <w:r>
        <w:rPr>
          <w:iCs/>
        </w:rPr>
        <w:t>the</w:t>
      </w:r>
      <w:r w:rsidRPr="00E76EAD">
        <w:rPr>
          <w:iCs/>
        </w:rPr>
        <w:t xml:space="preserve"> </w:t>
      </w:r>
      <w:r>
        <w:rPr>
          <w:iCs/>
        </w:rPr>
        <w:t xml:space="preserve">ACMA and accessible at: </w:t>
      </w:r>
      <w:hyperlink r:id="rId15" w:history="1">
        <w:r w:rsidRPr="00003B2C">
          <w:rPr>
            <w:rStyle w:val="Hyperlink"/>
            <w:iCs/>
          </w:rPr>
          <w:t>www.acma.gov.au</w:t>
        </w:r>
      </w:hyperlink>
      <w:r>
        <w:rPr>
          <w:iCs/>
        </w:rPr>
        <w:t xml:space="preserve">; </w:t>
      </w:r>
    </w:p>
    <w:p w14:paraId="7E05C45D" w14:textId="77777777" w:rsidR="00447901" w:rsidRPr="00627AAF" w:rsidRDefault="00447901" w:rsidP="00627AAF"/>
    <w:p w14:paraId="2C15EA74" w14:textId="77777777" w:rsidR="00272465" w:rsidRPr="00272465" w:rsidRDefault="00272465" w:rsidP="008A766F">
      <w:pPr>
        <w:spacing w:after="240" w:line="240" w:lineRule="auto"/>
        <w:jc w:val="both"/>
        <w:rPr>
          <w:rFonts w:eastAsia="Times New Roman" w:cs="Times New Roman"/>
          <w:lang w:eastAsia="en-AU"/>
        </w:rPr>
      </w:pPr>
      <w:r w:rsidRPr="00272465">
        <w:rPr>
          <w:rFonts w:eastAsia="Times New Roman" w:cs="Times New Roman"/>
          <w:b/>
          <w:bCs/>
          <w:lang w:eastAsia="en-AU"/>
        </w:rPr>
        <w:t>Regulation Impact Statement</w:t>
      </w:r>
    </w:p>
    <w:p w14:paraId="3DAB5D5A" w14:textId="77777777" w:rsidR="00014E4F" w:rsidRPr="00E04FCE" w:rsidRDefault="00014E4F" w:rsidP="00014E4F">
      <w:r w:rsidRPr="002B6B81">
        <w:t>The Office of Best Practice Regulation (</w:t>
      </w:r>
      <w:r w:rsidRPr="007E4942">
        <w:rPr>
          <w:b/>
        </w:rPr>
        <w:t>OBPR</w:t>
      </w:r>
      <w:r w:rsidRPr="002B6B81">
        <w:t xml:space="preserve">) applies streamlined administrative processes to sunsetting legislative instruments. As the ACMA has determined that the 2003 Determination was fit for purpose and </w:t>
      </w:r>
      <w:proofErr w:type="gramStart"/>
      <w:r w:rsidRPr="002B6B81">
        <w:t>should be remade</w:t>
      </w:r>
      <w:proofErr w:type="gramEnd"/>
      <w:r w:rsidRPr="002B6B81">
        <w:t xml:space="preserve"> without any significant changes, and has certified those matters to OBPR, no Regulation Impact Statement (</w:t>
      </w:r>
      <w:r w:rsidRPr="007E4942">
        <w:rPr>
          <w:b/>
        </w:rPr>
        <w:t>RIS</w:t>
      </w:r>
      <w:r w:rsidRPr="002B6B81">
        <w:t>) is required in relation to the making of the Determination (OBPR reference ID 17459).</w:t>
      </w:r>
    </w:p>
    <w:p w14:paraId="7229235B" w14:textId="39F78A1E" w:rsidR="00014E4F" w:rsidRPr="00014E4F" w:rsidRDefault="00014E4F" w:rsidP="00014E4F">
      <w:pPr>
        <w:spacing w:before="100" w:beforeAutospacing="1" w:after="100" w:afterAutospacing="1"/>
      </w:pPr>
      <w:r w:rsidRPr="00E04FCE">
        <w:t xml:space="preserve">The OBPR has considered the matter of </w:t>
      </w:r>
      <w:r>
        <w:t>c</w:t>
      </w:r>
      <w:r w:rsidRPr="00014E4F">
        <w:t xml:space="preserve">hanges </w:t>
      </w:r>
      <w:r w:rsidR="002D48F2">
        <w:t>resulting from</w:t>
      </w:r>
      <w:r w:rsidRPr="00014E4F">
        <w:t xml:space="preserve"> the </w:t>
      </w:r>
      <w:r w:rsidR="005D1E0A">
        <w:t>D</w:t>
      </w:r>
      <w:r w:rsidRPr="00014E4F">
        <w:t xml:space="preserve">irection to the ACMA to enable apparatus licences to </w:t>
      </w:r>
      <w:proofErr w:type="gramStart"/>
      <w:r w:rsidRPr="00014E4F">
        <w:t>be issued</w:t>
      </w:r>
      <w:proofErr w:type="gramEnd"/>
      <w:r w:rsidRPr="00014E4F">
        <w:t xml:space="preserve"> for 3.5 GHz frequency band spectrum for NBN</w:t>
      </w:r>
      <w:r>
        <w:t xml:space="preserve"> (which relate to </w:t>
      </w:r>
      <w:r w:rsidRPr="00E04FCE">
        <w:t xml:space="preserve">implementing an apparatus licence tax on PMTS Class B </w:t>
      </w:r>
      <w:r w:rsidR="00E76EAD">
        <w:t>licences</w:t>
      </w:r>
      <w:r w:rsidRPr="00E04FCE">
        <w:t xml:space="preserve"> in the 3.5 GHz band</w:t>
      </w:r>
      <w:r>
        <w:t>)</w:t>
      </w:r>
      <w:r w:rsidRPr="00E04FCE">
        <w:t xml:space="preserve"> and </w:t>
      </w:r>
      <w:r w:rsidR="006B6B6E" w:rsidRPr="00E04FCE">
        <w:t>formed the op</w:t>
      </w:r>
      <w:r w:rsidR="005259A5">
        <w:t>inion that no RIS</w:t>
      </w:r>
      <w:r w:rsidR="006B6B6E" w:rsidRPr="00E04FCE">
        <w:t xml:space="preserve"> is required</w:t>
      </w:r>
      <w:r w:rsidR="006B6B6E">
        <w:t xml:space="preserve">. </w:t>
      </w:r>
      <w:r w:rsidRPr="00E04FCE">
        <w:t>The OBPR reference number</w:t>
      </w:r>
      <w:r>
        <w:t xml:space="preserve"> </w:t>
      </w:r>
      <w:r w:rsidRPr="00E04FCE">
        <w:t>is ID 18209.</w:t>
      </w:r>
      <w:r>
        <w:t xml:space="preserve">  </w:t>
      </w:r>
    </w:p>
    <w:p w14:paraId="2F3E4CDA" w14:textId="6D1251D2" w:rsidR="00014E4F" w:rsidRPr="00E04FCE" w:rsidRDefault="00014E4F" w:rsidP="00014E4F">
      <w:pPr>
        <w:contextualSpacing/>
      </w:pPr>
      <w:r w:rsidRPr="00E04FCE">
        <w:t>The OBPR has considered the matter of the annual CPI adjustment and formed the opinion th</w:t>
      </w:r>
      <w:r w:rsidR="005259A5">
        <w:t>at no RIS</w:t>
      </w:r>
      <w:r w:rsidRPr="00E04FCE">
        <w:t xml:space="preserve"> is required for the annual </w:t>
      </w:r>
      <w:r w:rsidR="00E76EAD">
        <w:t>CPI changes</w:t>
      </w:r>
      <w:r w:rsidR="00726945">
        <w:t xml:space="preserve">. </w:t>
      </w:r>
      <w:r w:rsidR="00E76EAD">
        <w:t xml:space="preserve"> </w:t>
      </w:r>
      <w:r w:rsidRPr="00E04FCE">
        <w:t xml:space="preserve"> The OBPR reference number is ID</w:t>
      </w:r>
      <w:r w:rsidR="002D48F2">
        <w:t xml:space="preserve"> </w:t>
      </w:r>
      <w:r w:rsidRPr="00E04FCE">
        <w:t>12297.</w:t>
      </w:r>
    </w:p>
    <w:p w14:paraId="7DB081F3" w14:textId="0994C9F6" w:rsidR="00AD361D" w:rsidRPr="00AD361D" w:rsidRDefault="00D379B8" w:rsidP="00AD361D">
      <w:pPr>
        <w:spacing w:after="200" w:line="240" w:lineRule="auto"/>
        <w:jc w:val="both"/>
        <w:rPr>
          <w:rFonts w:eastAsia="Times New Roman" w:cs="Times New Roman"/>
          <w:b/>
          <w:bCs/>
          <w:lang w:eastAsia="en-AU"/>
        </w:rPr>
      </w:pPr>
      <w:r>
        <w:rPr>
          <w:rFonts w:eastAsia="Times New Roman" w:cs="Times New Roman"/>
          <w:b/>
          <w:bCs/>
          <w:lang w:eastAsia="en-AU"/>
        </w:rPr>
        <w:br/>
      </w:r>
      <w:r w:rsidR="00AD361D" w:rsidRPr="00AD361D">
        <w:rPr>
          <w:rFonts w:eastAsia="Times New Roman" w:cs="Times New Roman"/>
          <w:b/>
          <w:bCs/>
          <w:lang w:eastAsia="en-AU"/>
        </w:rPr>
        <w:t>Determination Details</w:t>
      </w:r>
    </w:p>
    <w:p w14:paraId="77763EDC" w14:textId="371F39DB" w:rsidR="00AD361D" w:rsidRPr="00AD361D" w:rsidRDefault="00AD361D" w:rsidP="00AD361D">
      <w:pPr>
        <w:spacing w:after="200" w:line="240" w:lineRule="auto"/>
        <w:jc w:val="both"/>
        <w:rPr>
          <w:rFonts w:eastAsia="Times New Roman" w:cs="Times New Roman"/>
          <w:bCs/>
          <w:lang w:eastAsia="en-AU"/>
        </w:rPr>
      </w:pPr>
      <w:r w:rsidRPr="00AD361D">
        <w:rPr>
          <w:rFonts w:eastAsia="Times New Roman" w:cs="Times New Roman"/>
          <w:bCs/>
          <w:lang w:eastAsia="en-AU"/>
        </w:rPr>
        <w:t xml:space="preserve">Details of the Determination </w:t>
      </w:r>
      <w:proofErr w:type="gramStart"/>
      <w:r w:rsidRPr="00AD361D">
        <w:rPr>
          <w:rFonts w:eastAsia="Times New Roman" w:cs="Times New Roman"/>
          <w:bCs/>
          <w:lang w:eastAsia="en-AU"/>
        </w:rPr>
        <w:t>are provided</w:t>
      </w:r>
      <w:proofErr w:type="gramEnd"/>
      <w:r w:rsidRPr="00AD361D">
        <w:rPr>
          <w:rFonts w:eastAsia="Times New Roman" w:cs="Times New Roman"/>
          <w:bCs/>
          <w:lang w:eastAsia="en-AU"/>
        </w:rPr>
        <w:t xml:space="preserve"> in Attachment 1.</w:t>
      </w:r>
    </w:p>
    <w:p w14:paraId="60B1E431" w14:textId="77777777" w:rsidR="00160C17" w:rsidRPr="00160C17" w:rsidRDefault="00160C17" w:rsidP="00160C17">
      <w:pPr>
        <w:spacing w:after="200" w:line="240" w:lineRule="auto"/>
        <w:jc w:val="both"/>
        <w:rPr>
          <w:rFonts w:eastAsia="Times New Roman" w:cs="Times New Roman"/>
          <w:b/>
          <w:bCs/>
          <w:lang w:eastAsia="en-AU"/>
        </w:rPr>
      </w:pPr>
      <w:r w:rsidRPr="00160C17">
        <w:rPr>
          <w:rFonts w:eastAsia="Times New Roman" w:cs="Times New Roman"/>
          <w:b/>
          <w:bCs/>
          <w:lang w:eastAsia="en-AU"/>
        </w:rPr>
        <w:t>Statement of Compatibility with Human Rights</w:t>
      </w:r>
    </w:p>
    <w:p w14:paraId="3333C8EB" w14:textId="69C66E1A" w:rsidR="005F3644" w:rsidRPr="005F3644" w:rsidRDefault="005F3644" w:rsidP="005F3644">
      <w:pPr>
        <w:spacing w:after="240" w:line="240" w:lineRule="auto"/>
        <w:jc w:val="both"/>
        <w:rPr>
          <w:rFonts w:eastAsia="Times New Roman" w:cs="Times New Roman"/>
          <w:lang w:eastAsia="en-AU"/>
        </w:rPr>
      </w:pPr>
      <w:r w:rsidRPr="005F3644">
        <w:rPr>
          <w:rFonts w:eastAsia="Times New Roman" w:cs="Times New Roman"/>
          <w:lang w:eastAsia="en-AU"/>
        </w:rPr>
        <w:t xml:space="preserve">Subsection 9(1) of the </w:t>
      </w:r>
      <w:r w:rsidRPr="005F3644">
        <w:rPr>
          <w:rFonts w:eastAsia="Times New Roman" w:cs="Times New Roman"/>
          <w:i/>
          <w:iCs/>
          <w:lang w:eastAsia="en-AU"/>
        </w:rPr>
        <w:t>Human Rights (Parliamentary Scrutiny) Act 2011</w:t>
      </w:r>
      <w:r w:rsidRPr="005F3644">
        <w:rPr>
          <w:rFonts w:eastAsia="Times New Roman" w:cs="Times New Roman"/>
          <w:lang w:eastAsia="en-AU"/>
        </w:rPr>
        <w:t xml:space="preserve"> (</w:t>
      </w:r>
      <w:r w:rsidRPr="007E4942">
        <w:rPr>
          <w:rFonts w:eastAsia="Times New Roman" w:cs="Times New Roman"/>
          <w:b/>
          <w:lang w:eastAsia="en-AU"/>
        </w:rPr>
        <w:t>HR Act</w:t>
      </w:r>
      <w:r w:rsidRPr="005F3644">
        <w:rPr>
          <w:rFonts w:eastAsia="Times New Roman" w:cs="Times New Roman"/>
          <w:lang w:eastAsia="en-AU"/>
        </w:rPr>
        <w:t xml:space="preserve">) requires the rule maker in relation to a legislative instrument to which section 42 (disallowance) of the </w:t>
      </w:r>
      <w:r w:rsidR="00E76EAD">
        <w:rPr>
          <w:rFonts w:eastAsia="Times New Roman" w:cs="Times New Roman"/>
          <w:iCs/>
          <w:lang w:eastAsia="en-AU"/>
        </w:rPr>
        <w:t>LIA</w:t>
      </w:r>
      <w:r w:rsidRPr="005F3644">
        <w:rPr>
          <w:rFonts w:eastAsia="Times New Roman" w:cs="Times New Roman"/>
          <w:i/>
          <w:iCs/>
          <w:lang w:eastAsia="en-AU"/>
        </w:rPr>
        <w:t xml:space="preserve"> </w:t>
      </w:r>
      <w:r w:rsidRPr="005F3644">
        <w:rPr>
          <w:rFonts w:eastAsia="Times New Roman" w:cs="Times New Roman"/>
          <w:lang w:eastAsia="en-AU"/>
        </w:rPr>
        <w:t xml:space="preserve">applies to cause a statement of compatibility to be prepared in respect of that legislative instrument. </w:t>
      </w:r>
    </w:p>
    <w:p w14:paraId="64AFBB9B" w14:textId="77777777" w:rsidR="005F3644" w:rsidRPr="005F3644" w:rsidRDefault="005F3644" w:rsidP="005F3644">
      <w:pPr>
        <w:spacing w:after="240" w:line="240" w:lineRule="auto"/>
        <w:jc w:val="both"/>
        <w:rPr>
          <w:rFonts w:eastAsia="Times New Roman" w:cs="Times New Roman"/>
          <w:lang w:eastAsia="en-AU"/>
        </w:rPr>
      </w:pPr>
      <w:r w:rsidRPr="005F3644">
        <w:rPr>
          <w:rFonts w:eastAsia="Times New Roman" w:cs="Times New Roman"/>
          <w:lang w:eastAsia="en-AU"/>
        </w:rPr>
        <w:t>This statement has been prepared in accordance with Part 3 of the HR Act.</w:t>
      </w:r>
    </w:p>
    <w:p w14:paraId="44BD1A27" w14:textId="21EE0E1A" w:rsidR="005F3644" w:rsidRPr="005F3644" w:rsidRDefault="005F3644" w:rsidP="005F3644">
      <w:pPr>
        <w:spacing w:after="240" w:line="240" w:lineRule="auto"/>
        <w:jc w:val="both"/>
        <w:rPr>
          <w:rFonts w:eastAsia="Times New Roman" w:cs="Times New Roman"/>
          <w:lang w:eastAsia="en-AU"/>
        </w:rPr>
      </w:pPr>
      <w:r w:rsidRPr="005F3644">
        <w:rPr>
          <w:rFonts w:eastAsia="Times New Roman" w:cs="Times New Roman"/>
          <w:lang w:eastAsia="en-AU"/>
        </w:rPr>
        <w:t xml:space="preserve">The Determination, the effect of which is to </w:t>
      </w:r>
      <w:r w:rsidR="00E76EAD">
        <w:rPr>
          <w:rFonts w:eastAsia="Times New Roman" w:cs="Times New Roman"/>
          <w:lang w:eastAsia="en-AU"/>
        </w:rPr>
        <w:t xml:space="preserve">revoke and </w:t>
      </w:r>
      <w:r w:rsidRPr="005F3644">
        <w:rPr>
          <w:rFonts w:eastAsia="Times New Roman" w:cs="Times New Roman"/>
          <w:lang w:eastAsia="en-AU"/>
        </w:rPr>
        <w:t xml:space="preserve">remake the </w:t>
      </w:r>
      <w:r w:rsidRPr="004C12CC">
        <w:rPr>
          <w:rFonts w:eastAsia="Times New Roman" w:cs="Arial"/>
          <w:i/>
          <w:iCs/>
          <w:lang w:eastAsia="en-AU"/>
        </w:rPr>
        <w:t>Radiocommunicatio</w:t>
      </w:r>
      <w:r>
        <w:rPr>
          <w:rFonts w:eastAsia="Times New Roman" w:cs="Arial"/>
          <w:i/>
          <w:iCs/>
          <w:lang w:eastAsia="en-AU"/>
        </w:rPr>
        <w:t>ns (Transmitter Licence Tax) Determination 2003 (No. 2)</w:t>
      </w:r>
      <w:r w:rsidRPr="005F3644">
        <w:rPr>
          <w:rFonts w:eastAsia="Times New Roman" w:cs="Times New Roman"/>
          <w:lang w:eastAsia="en-AU"/>
        </w:rPr>
        <w:t>, is compatible with the human rights and freedoms recognised or declared in the international instruments listed in section 3 of the</w:t>
      </w:r>
      <w:r w:rsidR="00BD779F">
        <w:rPr>
          <w:rFonts w:eastAsia="Times New Roman" w:cs="Times New Roman"/>
          <w:lang w:eastAsia="en-AU"/>
        </w:rPr>
        <w:t xml:space="preserve"> HR Act</w:t>
      </w:r>
      <w:r w:rsidRPr="005F3644">
        <w:rPr>
          <w:rFonts w:eastAsia="Times New Roman" w:cs="Times New Roman"/>
          <w:lang w:eastAsia="en-AU"/>
        </w:rPr>
        <w:t>.</w:t>
      </w:r>
    </w:p>
    <w:p w14:paraId="25A112C7" w14:textId="458CACF1" w:rsidR="005F3644" w:rsidRPr="005F3644" w:rsidRDefault="005F3644" w:rsidP="005F3644">
      <w:pPr>
        <w:spacing w:after="240" w:line="240" w:lineRule="auto"/>
        <w:jc w:val="both"/>
        <w:rPr>
          <w:rFonts w:eastAsia="Times New Roman" w:cs="Times New Roman"/>
          <w:lang w:eastAsia="en-AU"/>
        </w:rPr>
      </w:pPr>
      <w:r w:rsidRPr="005F3644">
        <w:rPr>
          <w:rFonts w:eastAsia="Times New Roman" w:cs="Times New Roman"/>
          <w:lang w:eastAsia="en-AU"/>
        </w:rPr>
        <w:t xml:space="preserve">The ACMA has considered whether the Determination engages any applicable human rights or freedoms and has formed the view that it does not.  </w:t>
      </w:r>
      <w:r w:rsidR="005D1E0A">
        <w:rPr>
          <w:rFonts w:eastAsia="Times New Roman" w:cs="Times New Roman"/>
          <w:lang w:eastAsia="en-AU"/>
        </w:rPr>
        <w:t xml:space="preserve">The </w:t>
      </w:r>
      <w:r w:rsidRPr="005F3644">
        <w:rPr>
          <w:rFonts w:eastAsia="Times New Roman" w:cs="Times New Roman"/>
          <w:lang w:eastAsia="en-AU"/>
        </w:rPr>
        <w:t xml:space="preserve">Determination is compatible with human </w:t>
      </w:r>
      <w:proofErr w:type="gramStart"/>
      <w:r w:rsidRPr="005F3644">
        <w:rPr>
          <w:rFonts w:eastAsia="Times New Roman" w:cs="Times New Roman"/>
          <w:lang w:eastAsia="en-AU"/>
        </w:rPr>
        <w:t>rights</w:t>
      </w:r>
      <w:proofErr w:type="gramEnd"/>
      <w:r w:rsidRPr="005F3644">
        <w:rPr>
          <w:rFonts w:eastAsia="Times New Roman" w:cs="Times New Roman"/>
          <w:lang w:eastAsia="en-AU"/>
        </w:rPr>
        <w:t xml:space="preserve"> as it does not raise any human rights issues.</w:t>
      </w:r>
    </w:p>
    <w:p w14:paraId="50C39397" w14:textId="77777777" w:rsidR="00272465" w:rsidRDefault="00272465" w:rsidP="00272465">
      <w:pPr>
        <w:spacing w:after="240" w:line="240" w:lineRule="auto"/>
        <w:jc w:val="both"/>
        <w:rPr>
          <w:rFonts w:eastAsia="Times New Roman" w:cs="Times New Roman"/>
          <w:lang w:eastAsia="en-AU"/>
        </w:rPr>
      </w:pPr>
    </w:p>
    <w:p w14:paraId="7A01E955" w14:textId="35967F5A" w:rsidR="00160C17" w:rsidRDefault="00160C17">
      <w:pPr>
        <w:rPr>
          <w:rFonts w:ascii="Times New Roman" w:eastAsia="Times New Roman" w:hAnsi="Times New Roman" w:cs="Times New Roman"/>
          <w:b/>
          <w:bCs/>
          <w:sz w:val="24"/>
          <w:szCs w:val="24"/>
          <w:lang w:eastAsia="en-AU"/>
        </w:rPr>
      </w:pPr>
    </w:p>
    <w:p w14:paraId="23DA0630" w14:textId="77777777" w:rsidR="00AD361D" w:rsidRPr="00E818EB" w:rsidRDefault="00C33092" w:rsidP="00AD361D">
      <w:pPr>
        <w:jc w:val="right"/>
        <w:rPr>
          <w:rFonts w:cs="Arial"/>
          <w:b/>
        </w:rPr>
      </w:pPr>
      <w:r>
        <w:rPr>
          <w:rFonts w:eastAsia="Times New Roman" w:cs="Times New Roman"/>
          <w:b/>
          <w:bCs/>
          <w:lang w:eastAsia="en-AU"/>
        </w:rPr>
        <w:br w:type="page"/>
      </w:r>
      <w:r w:rsidR="00AD361D" w:rsidRPr="00E818EB">
        <w:rPr>
          <w:rFonts w:cs="Arial"/>
          <w:b/>
        </w:rPr>
        <w:lastRenderedPageBreak/>
        <w:t>ATTACHMENT</w:t>
      </w:r>
      <w:r w:rsidR="00AD361D">
        <w:rPr>
          <w:rFonts w:cs="Arial"/>
          <w:b/>
        </w:rPr>
        <w:t xml:space="preserve"> 1</w:t>
      </w:r>
      <w:r w:rsidR="00AD361D" w:rsidRPr="00E818EB">
        <w:rPr>
          <w:rFonts w:cs="Arial"/>
          <w:b/>
        </w:rPr>
        <w:t xml:space="preserve"> </w:t>
      </w:r>
    </w:p>
    <w:p w14:paraId="7E2C15FB" w14:textId="77777777" w:rsidR="00AD361D" w:rsidRPr="00E818EB" w:rsidRDefault="00AD361D" w:rsidP="00AD361D">
      <w:pPr>
        <w:rPr>
          <w:rFonts w:cs="Arial"/>
          <w:b/>
        </w:rPr>
      </w:pPr>
    </w:p>
    <w:p w14:paraId="7C544760" w14:textId="1026C288" w:rsidR="00AD361D" w:rsidRPr="00E818EB" w:rsidRDefault="00E76EAD" w:rsidP="00AD361D">
      <w:pPr>
        <w:rPr>
          <w:rFonts w:cs="Arial"/>
          <w:b/>
        </w:rPr>
      </w:pPr>
      <w:r>
        <w:rPr>
          <w:rFonts w:cs="Arial"/>
          <w:b/>
        </w:rPr>
        <w:t>DETAILS OF THE DETERMINATION</w:t>
      </w:r>
    </w:p>
    <w:p w14:paraId="77A6A377" w14:textId="7191C39C" w:rsidR="00C33092" w:rsidRDefault="00F60DD0">
      <w:pPr>
        <w:rPr>
          <w:rFonts w:eastAsia="Times New Roman" w:cs="Times New Roman"/>
          <w:b/>
          <w:bCs/>
          <w:lang w:eastAsia="en-AU"/>
        </w:rPr>
      </w:pPr>
      <w:r>
        <w:rPr>
          <w:rFonts w:eastAsia="Times New Roman" w:cs="Times New Roman"/>
          <w:b/>
          <w:bCs/>
          <w:lang w:eastAsia="en-AU"/>
        </w:rPr>
        <w:t>Part 1</w:t>
      </w:r>
      <w:r w:rsidR="00E76EAD">
        <w:rPr>
          <w:rFonts w:eastAsia="Times New Roman" w:cs="Times New Roman"/>
          <w:b/>
          <w:bCs/>
          <w:lang w:eastAsia="en-AU"/>
        </w:rPr>
        <w:tab/>
        <w:t>Preliminary</w:t>
      </w:r>
    </w:p>
    <w:p w14:paraId="4166A616" w14:textId="13C42694" w:rsidR="00E37167" w:rsidRDefault="00E76EAD">
      <w:pPr>
        <w:rPr>
          <w:rFonts w:eastAsia="Times New Roman" w:cs="Times New Roman"/>
          <w:bCs/>
          <w:lang w:eastAsia="en-AU"/>
        </w:rPr>
      </w:pPr>
      <w:r>
        <w:rPr>
          <w:rFonts w:eastAsia="Times New Roman" w:cs="Times New Roman"/>
          <w:bCs/>
          <w:lang w:eastAsia="en-AU"/>
        </w:rPr>
        <w:t xml:space="preserve">Sections 1.1 and 1.2 specify the name of the Determination and the commencement day, respectively. </w:t>
      </w:r>
    </w:p>
    <w:p w14:paraId="500AD6EF" w14:textId="77777777" w:rsidR="00E37167" w:rsidRDefault="00E76EAD">
      <w:pPr>
        <w:rPr>
          <w:rFonts w:eastAsia="Times New Roman" w:cs="Times New Roman"/>
          <w:bCs/>
          <w:lang w:eastAsia="en-AU"/>
        </w:rPr>
      </w:pPr>
      <w:r>
        <w:rPr>
          <w:rFonts w:eastAsia="Times New Roman" w:cs="Times New Roman"/>
          <w:bCs/>
          <w:lang w:eastAsia="en-AU"/>
        </w:rPr>
        <w:t>Section 1.3 provides that the Dictionary at the end of the Determination is a part of the Determination and the definitions apply to each use of the defined terms and expressions in the Determination.</w:t>
      </w:r>
    </w:p>
    <w:p w14:paraId="10BBD664" w14:textId="6708B336" w:rsidR="00F60DD0" w:rsidRDefault="00E76EAD">
      <w:pPr>
        <w:rPr>
          <w:rFonts w:eastAsia="Times New Roman" w:cs="Times New Roman"/>
          <w:bCs/>
          <w:lang w:eastAsia="en-AU"/>
        </w:rPr>
      </w:pPr>
      <w:r>
        <w:rPr>
          <w:rFonts w:eastAsia="Times New Roman" w:cs="Times New Roman"/>
          <w:bCs/>
          <w:lang w:eastAsia="en-AU"/>
        </w:rPr>
        <w:t xml:space="preserve">Section 1.4 revokes the 2003 Determination. </w:t>
      </w:r>
    </w:p>
    <w:p w14:paraId="0AA1CA07" w14:textId="3D7D31B9" w:rsidR="00F60DD0" w:rsidRPr="00F60DD0" w:rsidRDefault="00F60DD0">
      <w:pPr>
        <w:rPr>
          <w:rFonts w:eastAsia="Times New Roman" w:cs="Times New Roman"/>
          <w:b/>
          <w:bCs/>
          <w:lang w:eastAsia="en-AU"/>
        </w:rPr>
      </w:pPr>
      <w:r w:rsidRPr="00F60DD0">
        <w:rPr>
          <w:rFonts w:eastAsia="Times New Roman" w:cs="Times New Roman"/>
          <w:b/>
          <w:bCs/>
          <w:lang w:eastAsia="en-AU"/>
        </w:rPr>
        <w:t xml:space="preserve">Part </w:t>
      </w:r>
      <w:proofErr w:type="gramStart"/>
      <w:r w:rsidRPr="00F60DD0">
        <w:rPr>
          <w:rFonts w:eastAsia="Times New Roman" w:cs="Times New Roman"/>
          <w:b/>
          <w:bCs/>
          <w:lang w:eastAsia="en-AU"/>
        </w:rPr>
        <w:t>2</w:t>
      </w:r>
      <w:proofErr w:type="gramEnd"/>
      <w:r w:rsidR="00E76EAD">
        <w:rPr>
          <w:rFonts w:eastAsia="Times New Roman" w:cs="Times New Roman"/>
          <w:b/>
          <w:bCs/>
          <w:lang w:eastAsia="en-AU"/>
        </w:rPr>
        <w:tab/>
        <w:t>Working out transmitter licence tax</w:t>
      </w:r>
    </w:p>
    <w:p w14:paraId="7D1D0FCF" w14:textId="53D00857" w:rsidR="00F60DD0" w:rsidRDefault="00F60DD0">
      <w:pPr>
        <w:rPr>
          <w:rFonts w:eastAsia="Times New Roman" w:cs="Times New Roman"/>
          <w:bCs/>
          <w:lang w:eastAsia="en-AU"/>
        </w:rPr>
      </w:pPr>
      <w:r>
        <w:rPr>
          <w:rFonts w:eastAsia="Times New Roman" w:cs="Times New Roman"/>
          <w:bCs/>
          <w:lang w:eastAsia="en-AU"/>
        </w:rPr>
        <w:t xml:space="preserve">Part 2 sets out the methodology for </w:t>
      </w:r>
      <w:r w:rsidR="00E76EAD">
        <w:rPr>
          <w:rFonts w:eastAsia="Times New Roman" w:cs="Times New Roman"/>
          <w:bCs/>
          <w:lang w:eastAsia="en-AU"/>
        </w:rPr>
        <w:t xml:space="preserve">working out </w:t>
      </w:r>
      <w:r>
        <w:rPr>
          <w:rFonts w:eastAsia="Times New Roman" w:cs="Times New Roman"/>
          <w:bCs/>
          <w:lang w:eastAsia="en-AU"/>
        </w:rPr>
        <w:t>the transmitter licence tax</w:t>
      </w:r>
      <w:r w:rsidR="00E76EAD">
        <w:rPr>
          <w:rFonts w:eastAsia="Times New Roman" w:cs="Times New Roman"/>
          <w:bCs/>
          <w:lang w:eastAsia="en-AU"/>
        </w:rPr>
        <w:t xml:space="preserve">, using Schedules </w:t>
      </w:r>
      <w:r w:rsidR="00E37167">
        <w:rPr>
          <w:rFonts w:eastAsia="Times New Roman" w:cs="Times New Roman"/>
          <w:bCs/>
          <w:lang w:eastAsia="en-AU"/>
        </w:rPr>
        <w:t xml:space="preserve">1, </w:t>
      </w:r>
      <w:r w:rsidR="00E76EAD">
        <w:rPr>
          <w:rFonts w:eastAsia="Times New Roman" w:cs="Times New Roman"/>
          <w:bCs/>
          <w:lang w:eastAsia="en-AU"/>
        </w:rPr>
        <w:t>2 and 3 of the Determination</w:t>
      </w:r>
      <w:r>
        <w:rPr>
          <w:rFonts w:eastAsia="Times New Roman" w:cs="Times New Roman"/>
          <w:bCs/>
          <w:lang w:eastAsia="en-AU"/>
        </w:rPr>
        <w:t>.</w:t>
      </w:r>
      <w:r w:rsidR="00E37167">
        <w:rPr>
          <w:rFonts w:eastAsia="Times New Roman" w:cs="Times New Roman"/>
          <w:bCs/>
          <w:lang w:eastAsia="en-AU"/>
        </w:rPr>
        <w:t xml:space="preserve">  Sections 2.1 and 2.2 provide that, to work out an amount of transmitter licence tax for a given licence, a person must:</w:t>
      </w:r>
    </w:p>
    <w:p w14:paraId="2B9CD17F" w14:textId="369D59E8" w:rsidR="00E37167" w:rsidRDefault="00E37167" w:rsidP="00644A8A">
      <w:pPr>
        <w:spacing w:after="0"/>
        <w:ind w:left="851" w:hanging="567"/>
        <w:rPr>
          <w:rFonts w:eastAsia="Times New Roman" w:cs="Times New Roman"/>
          <w:bCs/>
          <w:lang w:eastAsia="en-AU"/>
        </w:rPr>
      </w:pPr>
      <w:r>
        <w:rPr>
          <w:rFonts w:eastAsia="Times New Roman" w:cs="Times New Roman"/>
          <w:bCs/>
          <w:lang w:eastAsia="en-AU"/>
        </w:rPr>
        <w:t>(a)</w:t>
      </w:r>
      <w:r>
        <w:rPr>
          <w:rFonts w:eastAsia="Times New Roman" w:cs="Times New Roman"/>
          <w:bCs/>
          <w:lang w:eastAsia="en-AU"/>
        </w:rPr>
        <w:tab/>
        <w:t>identify the Part of Schedule 2 to the Determination that applies to the licence</w:t>
      </w:r>
      <w:proofErr w:type="gramStart"/>
      <w:r>
        <w:rPr>
          <w:rFonts w:eastAsia="Times New Roman" w:cs="Times New Roman"/>
          <w:bCs/>
          <w:lang w:eastAsia="en-AU"/>
        </w:rPr>
        <w:t>;</w:t>
      </w:r>
      <w:proofErr w:type="gramEnd"/>
    </w:p>
    <w:p w14:paraId="1C745995" w14:textId="55A4E9D0" w:rsidR="00E37167" w:rsidRDefault="00E37167" w:rsidP="00644A8A">
      <w:pPr>
        <w:spacing w:after="0"/>
        <w:ind w:left="851" w:hanging="567"/>
        <w:rPr>
          <w:rFonts w:eastAsia="Times New Roman" w:cs="Times New Roman"/>
          <w:bCs/>
          <w:lang w:eastAsia="en-AU"/>
        </w:rPr>
      </w:pPr>
      <w:r>
        <w:rPr>
          <w:rFonts w:eastAsia="Times New Roman" w:cs="Times New Roman"/>
          <w:bCs/>
          <w:lang w:eastAsia="en-AU"/>
        </w:rPr>
        <w:t>(b)</w:t>
      </w:r>
      <w:r>
        <w:rPr>
          <w:rFonts w:eastAsia="Times New Roman" w:cs="Times New Roman"/>
          <w:bCs/>
          <w:lang w:eastAsia="en-AU"/>
        </w:rPr>
        <w:tab/>
        <w:t xml:space="preserve">apply the provisions of that Part to the particulars of the licence, including </w:t>
      </w:r>
      <w:r w:rsidR="00B6541D">
        <w:rPr>
          <w:rFonts w:eastAsia="Times New Roman" w:cs="Times New Roman"/>
          <w:bCs/>
          <w:lang w:eastAsia="en-AU"/>
        </w:rPr>
        <w:t>the</w:t>
      </w:r>
      <w:r>
        <w:rPr>
          <w:rFonts w:eastAsia="Times New Roman" w:cs="Times New Roman"/>
          <w:bCs/>
          <w:lang w:eastAsia="en-AU"/>
        </w:rPr>
        <w:t xml:space="preserve"> “area densities” that are set out in Schedule 1</w:t>
      </w:r>
      <w:r w:rsidR="005647AD">
        <w:rPr>
          <w:rFonts w:eastAsia="Times New Roman" w:cs="Times New Roman"/>
          <w:bCs/>
          <w:lang w:eastAsia="en-AU"/>
        </w:rPr>
        <w:t xml:space="preserve">, to derive either an </w:t>
      </w:r>
      <w:r w:rsidR="00B6541D">
        <w:rPr>
          <w:rFonts w:eastAsia="Times New Roman" w:cs="Times New Roman"/>
          <w:bCs/>
          <w:lang w:eastAsia="en-AU"/>
        </w:rPr>
        <w:t>“</w:t>
      </w:r>
      <w:r w:rsidR="005647AD">
        <w:rPr>
          <w:rFonts w:eastAsia="Times New Roman" w:cs="Times New Roman"/>
          <w:bCs/>
          <w:lang w:eastAsia="en-AU"/>
        </w:rPr>
        <w:t>annual amount</w:t>
      </w:r>
      <w:r w:rsidR="00B6541D">
        <w:rPr>
          <w:rFonts w:eastAsia="Times New Roman" w:cs="Times New Roman"/>
          <w:bCs/>
          <w:lang w:eastAsia="en-AU"/>
        </w:rPr>
        <w:t>”</w:t>
      </w:r>
      <w:r w:rsidR="005647AD">
        <w:rPr>
          <w:rFonts w:eastAsia="Times New Roman" w:cs="Times New Roman"/>
          <w:bCs/>
          <w:lang w:eastAsia="en-AU"/>
        </w:rPr>
        <w:t xml:space="preserve"> for a spectrum access under a licence, or the annual amount of transmitter licence tax for the licence</w:t>
      </w:r>
      <w:r>
        <w:rPr>
          <w:rFonts w:eastAsia="Times New Roman" w:cs="Times New Roman"/>
          <w:bCs/>
          <w:lang w:eastAsia="en-AU"/>
        </w:rPr>
        <w:t>; and</w:t>
      </w:r>
    </w:p>
    <w:p w14:paraId="1DFA2F9B" w14:textId="32AAAB4D" w:rsidR="00E37167" w:rsidRDefault="00E37167" w:rsidP="00644A8A">
      <w:pPr>
        <w:spacing w:after="0"/>
        <w:ind w:left="851" w:hanging="567"/>
        <w:rPr>
          <w:rFonts w:eastAsia="Times New Roman" w:cs="Times New Roman"/>
          <w:bCs/>
          <w:lang w:eastAsia="en-AU"/>
        </w:rPr>
      </w:pPr>
      <w:r>
        <w:rPr>
          <w:rFonts w:eastAsia="Times New Roman" w:cs="Times New Roman"/>
          <w:bCs/>
          <w:lang w:eastAsia="en-AU"/>
        </w:rPr>
        <w:t>(c)</w:t>
      </w:r>
      <w:r>
        <w:rPr>
          <w:rFonts w:eastAsia="Times New Roman" w:cs="Times New Roman"/>
          <w:bCs/>
          <w:lang w:eastAsia="en-AU"/>
        </w:rPr>
        <w:tab/>
        <w:t xml:space="preserve">apply the provisions in Schedule 3 to the amounts </w:t>
      </w:r>
      <w:r w:rsidR="00B6541D">
        <w:rPr>
          <w:rFonts w:eastAsia="Times New Roman" w:cs="Times New Roman"/>
          <w:bCs/>
          <w:lang w:eastAsia="en-AU"/>
        </w:rPr>
        <w:t xml:space="preserve">so </w:t>
      </w:r>
      <w:r>
        <w:rPr>
          <w:rFonts w:eastAsia="Times New Roman" w:cs="Times New Roman"/>
          <w:bCs/>
          <w:lang w:eastAsia="en-AU"/>
        </w:rPr>
        <w:t>derived.</w:t>
      </w:r>
    </w:p>
    <w:p w14:paraId="63BBD92A" w14:textId="5ED3242D" w:rsidR="00F60DD0" w:rsidRPr="00F60DD0" w:rsidRDefault="00F60DD0" w:rsidP="00644A8A">
      <w:pPr>
        <w:spacing w:before="160"/>
        <w:rPr>
          <w:rFonts w:eastAsia="Times New Roman" w:cs="Times New Roman"/>
          <w:b/>
          <w:bCs/>
          <w:lang w:eastAsia="en-AU"/>
        </w:rPr>
      </w:pPr>
      <w:r w:rsidRPr="00F60DD0">
        <w:rPr>
          <w:rFonts w:eastAsia="Times New Roman" w:cs="Times New Roman"/>
          <w:b/>
          <w:bCs/>
          <w:lang w:eastAsia="en-AU"/>
        </w:rPr>
        <w:t>Part 3</w:t>
      </w:r>
      <w:r w:rsidR="00E76EAD">
        <w:rPr>
          <w:rFonts w:eastAsia="Times New Roman" w:cs="Times New Roman"/>
          <w:b/>
          <w:bCs/>
          <w:lang w:eastAsia="en-AU"/>
        </w:rPr>
        <w:tab/>
        <w:t>Transitional and savings</w:t>
      </w:r>
    </w:p>
    <w:p w14:paraId="0ABE753B" w14:textId="4C3F705C" w:rsidR="00E76EAD" w:rsidRPr="00644A8A" w:rsidRDefault="00E76EAD" w:rsidP="00E76EAD">
      <w:pPr>
        <w:rPr>
          <w:rFonts w:eastAsia="Times New Roman" w:cs="Arial"/>
          <w:bCs/>
          <w:lang w:eastAsia="en-AU"/>
        </w:rPr>
      </w:pPr>
      <w:r w:rsidRPr="00644A8A">
        <w:rPr>
          <w:rFonts w:eastAsia="Times New Roman" w:cs="Arial"/>
          <w:bCs/>
          <w:lang w:eastAsia="en-AU"/>
        </w:rPr>
        <w:t xml:space="preserve">Part </w:t>
      </w:r>
      <w:proofErr w:type="gramStart"/>
      <w:r w:rsidRPr="00644A8A">
        <w:rPr>
          <w:rFonts w:eastAsia="Times New Roman" w:cs="Arial"/>
          <w:bCs/>
          <w:lang w:eastAsia="en-AU"/>
        </w:rPr>
        <w:t>3</w:t>
      </w:r>
      <w:proofErr w:type="gramEnd"/>
      <w:r w:rsidRPr="00644A8A">
        <w:rPr>
          <w:rFonts w:eastAsia="Times New Roman" w:cs="Arial"/>
          <w:bCs/>
          <w:lang w:eastAsia="en-AU"/>
        </w:rPr>
        <w:t xml:space="preserve"> sets out transitional arrangements to allow for the taxes in the 2003 Determination to</w:t>
      </w:r>
      <w:r w:rsidR="00B6541D">
        <w:rPr>
          <w:rFonts w:eastAsia="Times New Roman" w:cs="Arial"/>
          <w:bCs/>
          <w:lang w:eastAsia="en-AU"/>
        </w:rPr>
        <w:t xml:space="preserve"> continue to</w:t>
      </w:r>
      <w:r w:rsidRPr="00644A8A">
        <w:rPr>
          <w:rFonts w:eastAsia="Times New Roman" w:cs="Arial"/>
          <w:bCs/>
          <w:lang w:eastAsia="en-AU"/>
        </w:rPr>
        <w:t xml:space="preserve"> apply to certain </w:t>
      </w:r>
      <w:r w:rsidR="00644A8A">
        <w:rPr>
          <w:rFonts w:eastAsia="Times New Roman" w:cs="Arial"/>
          <w:bCs/>
          <w:lang w:eastAsia="en-AU"/>
        </w:rPr>
        <w:t>transmitter</w:t>
      </w:r>
      <w:r w:rsidRPr="00644A8A">
        <w:rPr>
          <w:rFonts w:eastAsia="Times New Roman" w:cs="Arial"/>
          <w:bCs/>
          <w:lang w:eastAsia="en-AU"/>
        </w:rPr>
        <w:t xml:space="preserve"> licences.  Section </w:t>
      </w:r>
      <w:r w:rsidR="00644A8A">
        <w:rPr>
          <w:rFonts w:eastAsia="Times New Roman" w:cs="Arial"/>
          <w:bCs/>
          <w:lang w:eastAsia="en-AU"/>
        </w:rPr>
        <w:t>3.1</w:t>
      </w:r>
      <w:r w:rsidRPr="00644A8A">
        <w:rPr>
          <w:rFonts w:eastAsia="Times New Roman" w:cs="Arial"/>
          <w:bCs/>
          <w:lang w:eastAsia="en-AU"/>
        </w:rPr>
        <w:t xml:space="preserve"> defines terms used in the Part, and section </w:t>
      </w:r>
      <w:r w:rsidR="00644A8A">
        <w:rPr>
          <w:rFonts w:eastAsia="Times New Roman" w:cs="Arial"/>
          <w:bCs/>
          <w:lang w:eastAsia="en-AU"/>
        </w:rPr>
        <w:t>3.2</w:t>
      </w:r>
      <w:r w:rsidRPr="00644A8A">
        <w:rPr>
          <w:rFonts w:eastAsia="Times New Roman" w:cs="Arial"/>
          <w:bCs/>
          <w:lang w:eastAsia="en-AU"/>
        </w:rPr>
        <w:t xml:space="preserve"> provides that Part 3 </w:t>
      </w:r>
      <w:proofErr w:type="gramStart"/>
      <w:r w:rsidRPr="00644A8A">
        <w:rPr>
          <w:rFonts w:eastAsia="Times New Roman" w:cs="Arial"/>
          <w:bCs/>
          <w:lang w:eastAsia="en-AU"/>
        </w:rPr>
        <w:t>has</w:t>
      </w:r>
      <w:proofErr w:type="gramEnd"/>
      <w:r w:rsidRPr="00644A8A">
        <w:rPr>
          <w:rFonts w:eastAsia="Times New Roman" w:cs="Arial"/>
          <w:bCs/>
          <w:lang w:eastAsia="en-AU"/>
        </w:rPr>
        <w:t xml:space="preserve"> effect despite the revocation of the 2003 Determination. </w:t>
      </w:r>
      <w:r w:rsidR="00644A8A">
        <w:rPr>
          <w:rFonts w:eastAsia="Times New Roman" w:cs="Arial"/>
          <w:bCs/>
          <w:lang w:eastAsia="en-AU"/>
        </w:rPr>
        <w:t xml:space="preserve"> </w:t>
      </w:r>
      <w:r w:rsidRPr="00644A8A">
        <w:rPr>
          <w:rFonts w:eastAsia="Times New Roman" w:cs="Arial"/>
          <w:bCs/>
          <w:lang w:eastAsia="en-AU"/>
        </w:rPr>
        <w:t xml:space="preserve">Section </w:t>
      </w:r>
      <w:r w:rsidR="00644A8A">
        <w:rPr>
          <w:rFonts w:eastAsia="Times New Roman" w:cs="Arial"/>
          <w:bCs/>
          <w:lang w:eastAsia="en-AU"/>
        </w:rPr>
        <w:t>3.3</w:t>
      </w:r>
      <w:r w:rsidRPr="00644A8A">
        <w:rPr>
          <w:rFonts w:eastAsia="Times New Roman" w:cs="Arial"/>
          <w:bCs/>
          <w:lang w:eastAsia="en-AU"/>
        </w:rPr>
        <w:t xml:space="preserve"> provides</w:t>
      </w:r>
      <w:r w:rsidR="00644A8A">
        <w:rPr>
          <w:rFonts w:eastAsia="Times New Roman" w:cs="Arial"/>
          <w:bCs/>
          <w:lang w:eastAsia="en-AU"/>
        </w:rPr>
        <w:t xml:space="preserve"> for</w:t>
      </w:r>
      <w:r w:rsidRPr="00644A8A">
        <w:rPr>
          <w:rFonts w:eastAsia="Times New Roman" w:cs="Arial"/>
          <w:bCs/>
          <w:lang w:eastAsia="en-AU"/>
        </w:rPr>
        <w:t xml:space="preserve"> the transitional arrangements. Although the Determination commences on the day after it is registered, </w:t>
      </w:r>
      <w:r w:rsidRPr="00644A8A">
        <w:rPr>
          <w:rFonts w:cs="Arial"/>
        </w:rPr>
        <w:t xml:space="preserve">in some instances where </w:t>
      </w:r>
      <w:r w:rsidR="00644A8A">
        <w:rPr>
          <w:rFonts w:cs="Arial"/>
        </w:rPr>
        <w:t>transmitter licence</w:t>
      </w:r>
      <w:r w:rsidRPr="00644A8A">
        <w:rPr>
          <w:rFonts w:cs="Arial"/>
        </w:rPr>
        <w:t xml:space="preserve"> tax is payable after this date </w:t>
      </w:r>
      <w:r w:rsidR="00644A8A">
        <w:rPr>
          <w:rFonts w:cs="Arial"/>
        </w:rPr>
        <w:t>but</w:t>
      </w:r>
      <w:r w:rsidRPr="00644A8A">
        <w:rPr>
          <w:rFonts w:cs="Arial"/>
        </w:rPr>
        <w:t xml:space="preserve"> before 5 April 2015, the amount of tax will continue to </w:t>
      </w:r>
      <w:proofErr w:type="gramStart"/>
      <w:r w:rsidRPr="00644A8A">
        <w:rPr>
          <w:rFonts w:cs="Arial"/>
        </w:rPr>
        <w:t>be based</w:t>
      </w:r>
      <w:proofErr w:type="gramEnd"/>
      <w:r w:rsidRPr="00644A8A">
        <w:rPr>
          <w:rFonts w:cs="Arial"/>
        </w:rPr>
        <w:t xml:space="preserve"> on the 2003 Determination as in force immediately before the commencement of the Determination. </w:t>
      </w:r>
    </w:p>
    <w:p w14:paraId="569E96F1" w14:textId="585D82F3" w:rsidR="00F60DD0" w:rsidRPr="00E94DF7" w:rsidRDefault="0039643D">
      <w:pPr>
        <w:rPr>
          <w:rFonts w:eastAsia="Times New Roman" w:cs="Times New Roman"/>
          <w:bCs/>
          <w:lang w:eastAsia="en-AU"/>
        </w:rPr>
      </w:pPr>
      <w:r w:rsidRPr="00E94DF7">
        <w:rPr>
          <w:rFonts w:eastAsia="Times New Roman" w:cs="Times New Roman"/>
          <w:bCs/>
          <w:lang w:eastAsia="en-AU"/>
        </w:rPr>
        <w:t xml:space="preserve"> </w:t>
      </w:r>
    </w:p>
    <w:p w14:paraId="419211D8" w14:textId="4B143B9D" w:rsidR="00F60DD0" w:rsidRDefault="00F60DD0" w:rsidP="00644A8A">
      <w:pPr>
        <w:keepNext/>
        <w:rPr>
          <w:rFonts w:eastAsia="Times New Roman" w:cs="Times New Roman"/>
          <w:b/>
          <w:bCs/>
          <w:lang w:eastAsia="en-AU"/>
        </w:rPr>
      </w:pPr>
      <w:r>
        <w:rPr>
          <w:rFonts w:eastAsia="Times New Roman" w:cs="Times New Roman"/>
          <w:b/>
          <w:bCs/>
          <w:lang w:eastAsia="en-AU"/>
        </w:rPr>
        <w:t>Schedule 1 – Area Densities</w:t>
      </w:r>
    </w:p>
    <w:p w14:paraId="438DF420" w14:textId="411A7F6A" w:rsidR="00644A8A" w:rsidRDefault="00644A8A">
      <w:pPr>
        <w:rPr>
          <w:rFonts w:eastAsia="Times New Roman" w:cs="Times New Roman"/>
          <w:bCs/>
          <w:lang w:eastAsia="en-AU"/>
        </w:rPr>
      </w:pPr>
      <w:r>
        <w:rPr>
          <w:rFonts w:eastAsia="Times New Roman" w:cs="Times New Roman"/>
          <w:bCs/>
          <w:lang w:eastAsia="en-AU"/>
        </w:rPr>
        <w:t xml:space="preserve">Under Schedule 2 of the Determination, some calculations of tax for particular licences require an assessment of the “density” of the area that relates to the licence.  </w:t>
      </w:r>
      <w:r w:rsidR="00C26146">
        <w:rPr>
          <w:rFonts w:eastAsia="Times New Roman" w:cs="Times New Roman"/>
          <w:bCs/>
          <w:lang w:eastAsia="en-AU"/>
        </w:rPr>
        <w:t xml:space="preserve">Different rates of tax may apply to the licences of the same type, if the licences authorise the use of a device in areas of different densities.  For example, a licence that authorises the use of a device in the range 30-70 MHz, to which </w:t>
      </w:r>
      <w:r w:rsidR="00A91743">
        <w:rPr>
          <w:rFonts w:eastAsia="Times New Roman" w:cs="Times New Roman"/>
          <w:bCs/>
          <w:lang w:eastAsia="en-AU"/>
        </w:rPr>
        <w:t>item</w:t>
      </w:r>
      <w:r w:rsidR="00C26146">
        <w:rPr>
          <w:rFonts w:eastAsia="Times New Roman" w:cs="Times New Roman"/>
          <w:bCs/>
          <w:lang w:eastAsia="en-AU"/>
        </w:rPr>
        <w:t xml:space="preserve"> 202 of Schedule 2 </w:t>
      </w:r>
      <w:proofErr w:type="gramStart"/>
      <w:r w:rsidR="00C26146">
        <w:rPr>
          <w:rFonts w:eastAsia="Times New Roman" w:cs="Times New Roman"/>
          <w:bCs/>
          <w:lang w:eastAsia="en-AU"/>
        </w:rPr>
        <w:t>applies,</w:t>
      </w:r>
      <w:proofErr w:type="gramEnd"/>
      <w:r w:rsidR="00C26146">
        <w:rPr>
          <w:rFonts w:eastAsia="Times New Roman" w:cs="Times New Roman"/>
          <w:bCs/>
          <w:lang w:eastAsia="en-AU"/>
        </w:rPr>
        <w:t xml:space="preserve"> will have one rate applied if it authorises the use of the device in the Brisbane area, and a different rate applied if it authorises the use of the device in an area of remote density.</w:t>
      </w:r>
    </w:p>
    <w:p w14:paraId="652FB7F9" w14:textId="28FFF41D" w:rsidR="000E105D" w:rsidRPr="00644A8A" w:rsidRDefault="000E105D">
      <w:pPr>
        <w:rPr>
          <w:rFonts w:eastAsia="Times New Roman" w:cs="Times New Roman"/>
          <w:bCs/>
          <w:lang w:eastAsia="en-AU"/>
        </w:rPr>
      </w:pPr>
      <w:r>
        <w:rPr>
          <w:rFonts w:eastAsia="Times New Roman" w:cs="Times New Roman"/>
          <w:bCs/>
          <w:lang w:eastAsia="en-AU"/>
        </w:rPr>
        <w:t>Schedule 1 sets out particular areas and defines what category of density those areas are.</w:t>
      </w:r>
    </w:p>
    <w:p w14:paraId="0DE952A5" w14:textId="403C24EA" w:rsidR="00F60DD0" w:rsidRDefault="00F60DD0">
      <w:pPr>
        <w:rPr>
          <w:rFonts w:eastAsia="Times New Roman" w:cs="Times New Roman"/>
          <w:b/>
          <w:bCs/>
          <w:lang w:eastAsia="en-AU"/>
        </w:rPr>
      </w:pPr>
      <w:r>
        <w:rPr>
          <w:rFonts w:eastAsia="Times New Roman" w:cs="Times New Roman"/>
          <w:b/>
          <w:bCs/>
          <w:lang w:eastAsia="en-AU"/>
        </w:rPr>
        <w:t>Part 1</w:t>
      </w:r>
      <w:r w:rsidR="00E94DF7">
        <w:rPr>
          <w:rFonts w:eastAsia="Times New Roman" w:cs="Times New Roman"/>
          <w:b/>
          <w:bCs/>
          <w:lang w:eastAsia="en-AU"/>
        </w:rPr>
        <w:tab/>
        <w:t>Areas</w:t>
      </w:r>
    </w:p>
    <w:p w14:paraId="623FCE4D" w14:textId="74FEDAE2" w:rsidR="00F60DD0" w:rsidRDefault="00F60DD0">
      <w:pPr>
        <w:rPr>
          <w:rFonts w:eastAsia="Times New Roman" w:cs="Times New Roman"/>
          <w:bCs/>
          <w:lang w:eastAsia="en-AU"/>
        </w:rPr>
      </w:pPr>
      <w:r w:rsidRPr="00E94DF7">
        <w:rPr>
          <w:rFonts w:eastAsia="Times New Roman" w:cs="Times New Roman"/>
          <w:bCs/>
          <w:lang w:eastAsia="en-AU"/>
        </w:rPr>
        <w:lastRenderedPageBreak/>
        <w:t xml:space="preserve">Part 1 </w:t>
      </w:r>
      <w:r w:rsidR="000E105D">
        <w:rPr>
          <w:rFonts w:eastAsia="Times New Roman" w:cs="Times New Roman"/>
          <w:bCs/>
          <w:lang w:eastAsia="en-AU"/>
        </w:rPr>
        <w:t>of Schedule 1</w:t>
      </w:r>
      <w:r w:rsidR="00A91743">
        <w:rPr>
          <w:rFonts w:eastAsia="Times New Roman" w:cs="Times New Roman"/>
          <w:bCs/>
          <w:lang w:eastAsia="en-AU"/>
        </w:rPr>
        <w:t xml:space="preserve"> </w:t>
      </w:r>
      <w:r w:rsidRPr="00E94DF7">
        <w:rPr>
          <w:rFonts w:eastAsia="Times New Roman" w:cs="Times New Roman"/>
          <w:bCs/>
          <w:lang w:eastAsia="en-AU"/>
        </w:rPr>
        <w:t xml:space="preserve">sets out map grid coordinates </w:t>
      </w:r>
      <w:r w:rsidR="00E94DF7" w:rsidRPr="00644A8A">
        <w:rPr>
          <w:rFonts w:eastAsia="Times New Roman" w:cs="Arial"/>
          <w:bCs/>
          <w:lang w:eastAsia="en-AU"/>
        </w:rPr>
        <w:t xml:space="preserve">for different geographic areas, necessary for working out </w:t>
      </w:r>
      <w:r w:rsidR="00C26146">
        <w:rPr>
          <w:rFonts w:eastAsia="Times New Roman" w:cs="Arial"/>
          <w:bCs/>
          <w:lang w:eastAsia="en-AU"/>
        </w:rPr>
        <w:t>transmitter</w:t>
      </w:r>
      <w:r w:rsidR="00E94DF7" w:rsidRPr="00644A8A">
        <w:rPr>
          <w:rFonts w:eastAsia="Times New Roman" w:cs="Arial"/>
          <w:bCs/>
          <w:lang w:eastAsia="en-AU"/>
        </w:rPr>
        <w:t xml:space="preserve"> licence tax. The map grid coordinates </w:t>
      </w:r>
      <w:proofErr w:type="gramStart"/>
      <w:r w:rsidR="00E94DF7" w:rsidRPr="00644A8A">
        <w:rPr>
          <w:rFonts w:eastAsia="Times New Roman" w:cs="Arial"/>
          <w:bCs/>
          <w:lang w:eastAsia="en-AU"/>
        </w:rPr>
        <w:t>are based</w:t>
      </w:r>
      <w:proofErr w:type="gramEnd"/>
      <w:r w:rsidR="00E94DF7" w:rsidRPr="00644A8A">
        <w:rPr>
          <w:rFonts w:eastAsia="Times New Roman" w:cs="Arial"/>
          <w:bCs/>
          <w:lang w:eastAsia="en-AU"/>
        </w:rPr>
        <w:t xml:space="preserve"> on the Australian Map Grid and the 1966 Australian Geodetic Datum. </w:t>
      </w:r>
      <w:r w:rsidR="000E105D">
        <w:rPr>
          <w:rFonts w:eastAsia="Times New Roman" w:cs="Arial"/>
          <w:bCs/>
          <w:lang w:eastAsia="en-AU"/>
        </w:rPr>
        <w:t xml:space="preserve"> The 1966 Australian Geodetic Datum </w:t>
      </w:r>
      <w:proofErr w:type="gramStart"/>
      <w:r w:rsidR="000E105D">
        <w:rPr>
          <w:rFonts w:eastAsia="Times New Roman" w:cs="Arial"/>
          <w:bCs/>
          <w:lang w:eastAsia="en-AU"/>
        </w:rPr>
        <w:t>was gazetted</w:t>
      </w:r>
      <w:proofErr w:type="gramEnd"/>
      <w:r w:rsidR="000E105D">
        <w:rPr>
          <w:rFonts w:eastAsia="Times New Roman" w:cs="Arial"/>
          <w:bCs/>
          <w:lang w:eastAsia="en-AU"/>
        </w:rPr>
        <w:t xml:space="preserve"> in the </w:t>
      </w:r>
      <w:r w:rsidR="000E105D">
        <w:rPr>
          <w:rFonts w:eastAsia="Times New Roman" w:cs="Arial"/>
          <w:bCs/>
          <w:i/>
          <w:lang w:eastAsia="en-AU"/>
        </w:rPr>
        <w:t xml:space="preserve">Gazette </w:t>
      </w:r>
      <w:r w:rsidR="000E105D">
        <w:rPr>
          <w:rFonts w:eastAsia="Times New Roman" w:cs="Arial"/>
          <w:bCs/>
          <w:lang w:eastAsia="en-AU"/>
        </w:rPr>
        <w:t>No. 84, 6 October 1966.  More i</w:t>
      </w:r>
      <w:r w:rsidR="00E94DF7" w:rsidRPr="00644A8A">
        <w:rPr>
          <w:rFonts w:eastAsia="Times New Roman" w:cs="Arial"/>
          <w:bCs/>
          <w:lang w:eastAsia="en-AU"/>
        </w:rPr>
        <w:t xml:space="preserve">nformation on the Australian Map Grid and the Geodetic Datum is available on the website of Geoscience Australia: </w:t>
      </w:r>
      <w:hyperlink r:id="rId16" w:history="1">
        <w:r w:rsidR="00E94DF7" w:rsidRPr="00644A8A">
          <w:rPr>
            <w:rStyle w:val="Hyperlink"/>
            <w:rFonts w:eastAsia="Times New Roman" w:cs="Arial"/>
            <w:bCs/>
            <w:lang w:eastAsia="en-AU"/>
          </w:rPr>
          <w:t>www.ga.gov.au</w:t>
        </w:r>
      </w:hyperlink>
      <w:r w:rsidR="00E94DF7" w:rsidRPr="00644A8A">
        <w:rPr>
          <w:rFonts w:eastAsia="Times New Roman" w:cs="Arial"/>
          <w:bCs/>
          <w:lang w:eastAsia="en-AU"/>
        </w:rPr>
        <w:t xml:space="preserve">. Further information is also available on the website of the Intergovernmental Committee on Surveying and Mapping: </w:t>
      </w:r>
      <w:hyperlink r:id="rId17" w:history="1">
        <w:r w:rsidR="00E94DF7" w:rsidRPr="000E105D">
          <w:rPr>
            <w:rStyle w:val="Hyperlink"/>
            <w:rFonts w:eastAsia="Times New Roman" w:cs="Arial"/>
            <w:bCs/>
            <w:lang w:eastAsia="en-AU"/>
          </w:rPr>
          <w:t>www.icsm.gov.au</w:t>
        </w:r>
      </w:hyperlink>
      <w:r w:rsidR="00E94DF7" w:rsidRPr="000E105D">
        <w:rPr>
          <w:rFonts w:eastAsia="Times New Roman" w:cs="Arial"/>
          <w:bCs/>
          <w:lang w:eastAsia="en-AU"/>
        </w:rPr>
        <w:t>.</w:t>
      </w:r>
    </w:p>
    <w:p w14:paraId="02C0740D" w14:textId="0C2FC8D9" w:rsidR="00F60DD0" w:rsidRPr="00F60DD0" w:rsidRDefault="00F60DD0">
      <w:pPr>
        <w:rPr>
          <w:rFonts w:eastAsia="Times New Roman" w:cs="Times New Roman"/>
          <w:b/>
          <w:bCs/>
          <w:lang w:eastAsia="en-AU"/>
        </w:rPr>
      </w:pPr>
      <w:r w:rsidRPr="00F60DD0">
        <w:rPr>
          <w:rFonts w:eastAsia="Times New Roman" w:cs="Times New Roman"/>
          <w:b/>
          <w:bCs/>
          <w:lang w:eastAsia="en-AU"/>
        </w:rPr>
        <w:t>Part 2</w:t>
      </w:r>
      <w:r w:rsidR="00E94DF7">
        <w:rPr>
          <w:rFonts w:eastAsia="Times New Roman" w:cs="Times New Roman"/>
          <w:b/>
          <w:bCs/>
          <w:lang w:eastAsia="en-AU"/>
        </w:rPr>
        <w:tab/>
        <w:t>Density types</w:t>
      </w:r>
    </w:p>
    <w:p w14:paraId="63DE79D3" w14:textId="7E44D566" w:rsidR="00F60DD0" w:rsidRDefault="00E94DF7">
      <w:pPr>
        <w:rPr>
          <w:rFonts w:eastAsia="Times New Roman" w:cs="Times New Roman"/>
          <w:bCs/>
          <w:lang w:eastAsia="en-AU"/>
        </w:rPr>
      </w:pPr>
      <w:r w:rsidRPr="000E105D">
        <w:rPr>
          <w:rFonts w:eastAsia="Times New Roman" w:cs="Arial"/>
          <w:bCs/>
          <w:lang w:eastAsia="en-AU"/>
        </w:rPr>
        <w:t xml:space="preserve">Part </w:t>
      </w:r>
      <w:proofErr w:type="gramStart"/>
      <w:r w:rsidRPr="000E105D">
        <w:rPr>
          <w:rFonts w:eastAsia="Times New Roman" w:cs="Arial"/>
          <w:bCs/>
          <w:lang w:eastAsia="en-AU"/>
        </w:rPr>
        <w:t>2</w:t>
      </w:r>
      <w:proofErr w:type="gramEnd"/>
      <w:r w:rsidRPr="000E105D">
        <w:rPr>
          <w:rFonts w:eastAsia="Times New Roman" w:cs="Arial"/>
          <w:bCs/>
          <w:lang w:eastAsia="en-AU"/>
        </w:rPr>
        <w:t xml:space="preserve"> </w:t>
      </w:r>
      <w:r w:rsidR="000E105D">
        <w:rPr>
          <w:rFonts w:eastAsia="Times New Roman" w:cs="Arial"/>
          <w:bCs/>
          <w:lang w:eastAsia="en-AU"/>
        </w:rPr>
        <w:t>of Schedule 1</w:t>
      </w:r>
      <w:r w:rsidR="00A91743">
        <w:rPr>
          <w:rFonts w:eastAsia="Times New Roman" w:cs="Arial"/>
          <w:bCs/>
          <w:lang w:eastAsia="en-AU"/>
        </w:rPr>
        <w:t xml:space="preserve"> </w:t>
      </w:r>
      <w:r w:rsidRPr="000E105D">
        <w:rPr>
          <w:rFonts w:eastAsia="Times New Roman" w:cs="Arial"/>
          <w:bCs/>
          <w:lang w:eastAsia="en-AU"/>
        </w:rPr>
        <w:t xml:space="preserve">sets out the density types </w:t>
      </w:r>
      <w:r w:rsidR="00A91743">
        <w:rPr>
          <w:rFonts w:eastAsia="Times New Roman" w:cs="Arial"/>
          <w:bCs/>
          <w:lang w:eastAsia="en-AU"/>
        </w:rPr>
        <w:t>for the different areas, for the purposes of</w:t>
      </w:r>
      <w:r w:rsidRPr="000E105D">
        <w:rPr>
          <w:rFonts w:eastAsia="Times New Roman" w:cs="Arial"/>
          <w:bCs/>
          <w:lang w:eastAsia="en-AU"/>
        </w:rPr>
        <w:t xml:space="preserve"> the Determination</w:t>
      </w:r>
      <w:r w:rsidR="00A91743">
        <w:rPr>
          <w:rFonts w:eastAsia="Times New Roman" w:cs="Arial"/>
          <w:bCs/>
          <w:lang w:eastAsia="en-AU"/>
        </w:rPr>
        <w:t>.  The density types are</w:t>
      </w:r>
      <w:r w:rsidRPr="000E105D">
        <w:rPr>
          <w:rFonts w:eastAsia="Times New Roman" w:cs="Arial"/>
          <w:bCs/>
          <w:lang w:eastAsia="en-AU"/>
        </w:rPr>
        <w:t xml:space="preserve"> high density, medium density, low density, </w:t>
      </w:r>
      <w:r>
        <w:rPr>
          <w:rFonts w:eastAsia="Times New Roman" w:cs="Arial"/>
          <w:bCs/>
          <w:lang w:eastAsia="en-AU"/>
        </w:rPr>
        <w:t xml:space="preserve">remote density </w:t>
      </w:r>
      <w:r w:rsidRPr="000E105D">
        <w:rPr>
          <w:rFonts w:eastAsia="Times New Roman" w:cs="Arial"/>
          <w:bCs/>
          <w:lang w:eastAsia="en-AU"/>
        </w:rPr>
        <w:t>and Australia wide.</w:t>
      </w:r>
    </w:p>
    <w:p w14:paraId="07130A2D" w14:textId="4C073375" w:rsidR="00F60DD0" w:rsidRPr="008C3950" w:rsidRDefault="008C3950">
      <w:pPr>
        <w:rPr>
          <w:rFonts w:eastAsia="Times New Roman" w:cs="Times New Roman"/>
          <w:b/>
          <w:bCs/>
          <w:lang w:eastAsia="en-AU"/>
        </w:rPr>
      </w:pPr>
      <w:r w:rsidRPr="008C3950">
        <w:rPr>
          <w:rFonts w:eastAsia="Times New Roman" w:cs="Times New Roman"/>
          <w:b/>
          <w:bCs/>
          <w:lang w:eastAsia="en-AU"/>
        </w:rPr>
        <w:t>Schedule 2 – Annual Amounts</w:t>
      </w:r>
    </w:p>
    <w:p w14:paraId="7CBBCF28" w14:textId="7E99671D" w:rsidR="008C3950" w:rsidRDefault="008C3950">
      <w:pPr>
        <w:rPr>
          <w:rFonts w:eastAsia="Times New Roman" w:cs="Times New Roman"/>
          <w:b/>
          <w:bCs/>
          <w:lang w:eastAsia="en-AU"/>
        </w:rPr>
      </w:pPr>
      <w:r w:rsidRPr="008C3950">
        <w:rPr>
          <w:rFonts w:eastAsia="Times New Roman" w:cs="Times New Roman"/>
          <w:b/>
          <w:bCs/>
          <w:lang w:eastAsia="en-AU"/>
        </w:rPr>
        <w:t>Part 1</w:t>
      </w:r>
      <w:r w:rsidR="00E94DF7">
        <w:rPr>
          <w:rFonts w:eastAsia="Times New Roman" w:cs="Times New Roman"/>
          <w:b/>
          <w:bCs/>
          <w:lang w:eastAsia="en-AU"/>
        </w:rPr>
        <w:tab/>
        <w:t>General Rules</w:t>
      </w:r>
    </w:p>
    <w:p w14:paraId="7CCDFA12" w14:textId="5AD97970" w:rsidR="00E94DF7" w:rsidRPr="00A91743" w:rsidRDefault="00E94DF7" w:rsidP="00E94DF7">
      <w:pPr>
        <w:rPr>
          <w:rFonts w:eastAsia="Times New Roman" w:cs="Arial"/>
          <w:bCs/>
          <w:lang w:eastAsia="en-AU"/>
        </w:rPr>
      </w:pPr>
      <w:proofErr w:type="gramStart"/>
      <w:r w:rsidRPr="00A91743">
        <w:rPr>
          <w:rFonts w:eastAsia="Times New Roman" w:cs="Arial"/>
          <w:bCs/>
          <w:lang w:eastAsia="en-AU"/>
        </w:rPr>
        <w:t>Part 1</w:t>
      </w:r>
      <w:r w:rsidR="00A91743">
        <w:rPr>
          <w:rFonts w:eastAsia="Times New Roman" w:cs="Arial"/>
          <w:bCs/>
          <w:lang w:eastAsia="en-AU"/>
        </w:rPr>
        <w:t xml:space="preserve"> (item 101)</w:t>
      </w:r>
      <w:r w:rsidRPr="00A91743">
        <w:rPr>
          <w:rFonts w:eastAsia="Times New Roman" w:cs="Arial"/>
          <w:bCs/>
          <w:lang w:eastAsia="en-AU"/>
        </w:rPr>
        <w:t xml:space="preserve"> provides that where an item of Schedule 2 applies to a licence that authorises the use of a station of a particular kind, the item applies to a licence that authorises the operation of more than 1 station of that kind, 2 or more stations including a station of that kind, or supplementary stations</w:t>
      </w:r>
      <w:r w:rsidR="00B6541D">
        <w:rPr>
          <w:rFonts w:eastAsia="Times New Roman" w:cs="Arial"/>
          <w:bCs/>
          <w:lang w:eastAsia="en-AU"/>
        </w:rPr>
        <w:t>,</w:t>
      </w:r>
      <w:r w:rsidRPr="00A91743">
        <w:rPr>
          <w:rFonts w:eastAsia="Times New Roman" w:cs="Arial"/>
          <w:bCs/>
          <w:lang w:eastAsia="en-AU"/>
        </w:rPr>
        <w:t xml:space="preserve"> for </w:t>
      </w:r>
      <w:r w:rsidR="00B6541D">
        <w:rPr>
          <w:rFonts w:eastAsia="Times New Roman" w:cs="Arial"/>
          <w:bCs/>
          <w:lang w:eastAsia="en-AU"/>
        </w:rPr>
        <w:t xml:space="preserve">the purpose of </w:t>
      </w:r>
      <w:r w:rsidRPr="00A91743">
        <w:rPr>
          <w:rFonts w:eastAsia="Times New Roman" w:cs="Arial"/>
          <w:bCs/>
          <w:lang w:eastAsia="en-AU"/>
        </w:rPr>
        <w:t xml:space="preserve">working out the </w:t>
      </w:r>
      <w:r w:rsidR="00334D74">
        <w:rPr>
          <w:rFonts w:eastAsia="Times New Roman" w:cs="Arial"/>
          <w:bCs/>
          <w:lang w:eastAsia="en-AU"/>
        </w:rPr>
        <w:t>transmitter</w:t>
      </w:r>
      <w:r w:rsidRPr="00A91743">
        <w:rPr>
          <w:rFonts w:eastAsia="Times New Roman" w:cs="Arial"/>
          <w:bCs/>
          <w:lang w:eastAsia="en-AU"/>
        </w:rPr>
        <w:t xml:space="preserve"> licence tax.</w:t>
      </w:r>
      <w:proofErr w:type="gramEnd"/>
      <w:r w:rsidRPr="00A91743">
        <w:rPr>
          <w:rFonts w:eastAsia="Times New Roman" w:cs="Arial"/>
          <w:bCs/>
          <w:lang w:eastAsia="en-AU"/>
        </w:rPr>
        <w:t xml:space="preserve"> </w:t>
      </w:r>
      <w:r w:rsidR="00A91743">
        <w:rPr>
          <w:rFonts w:eastAsia="Times New Roman" w:cs="Arial"/>
          <w:bCs/>
          <w:lang w:eastAsia="en-AU"/>
        </w:rPr>
        <w:t xml:space="preserve"> </w:t>
      </w:r>
      <w:r w:rsidR="00334D74">
        <w:rPr>
          <w:rFonts w:eastAsia="Times New Roman" w:cs="Arial"/>
          <w:bCs/>
          <w:lang w:eastAsia="en-AU"/>
        </w:rPr>
        <w:t xml:space="preserve">Item 101 also provides that the authorisation of the operation of certain remote stations or supplementary stations does not constitute a separate spectrum access for working out transmitter licence tax. </w:t>
      </w:r>
    </w:p>
    <w:p w14:paraId="4B4DE825" w14:textId="5E49B3D8" w:rsidR="008C3950" w:rsidRDefault="008C3950">
      <w:pPr>
        <w:rPr>
          <w:rFonts w:eastAsia="Times New Roman" w:cs="Times New Roman"/>
          <w:b/>
          <w:bCs/>
          <w:lang w:eastAsia="en-AU"/>
        </w:rPr>
      </w:pPr>
      <w:r w:rsidRPr="008C3950">
        <w:rPr>
          <w:rFonts w:eastAsia="Times New Roman" w:cs="Times New Roman"/>
          <w:b/>
          <w:bCs/>
          <w:lang w:eastAsia="en-AU"/>
        </w:rPr>
        <w:t>Part 2</w:t>
      </w:r>
      <w:r w:rsidR="00334D74">
        <w:rPr>
          <w:rFonts w:eastAsia="Times New Roman" w:cs="Times New Roman"/>
          <w:b/>
          <w:bCs/>
          <w:lang w:eastAsia="en-AU"/>
        </w:rPr>
        <w:tab/>
        <w:t>Assigned licences</w:t>
      </w:r>
    </w:p>
    <w:p w14:paraId="6BEA6DE7" w14:textId="31BB943B" w:rsidR="00A91743" w:rsidRDefault="006276DE" w:rsidP="00A91743">
      <w:pPr>
        <w:pStyle w:val="subsection"/>
        <w:ind w:left="0" w:firstLine="0"/>
        <w:rPr>
          <w:rFonts w:asciiTheme="minorHAnsi" w:hAnsiTheme="minorHAnsi"/>
        </w:rPr>
      </w:pPr>
      <w:r w:rsidRPr="00A91743">
        <w:rPr>
          <w:rFonts w:asciiTheme="minorHAnsi" w:hAnsiTheme="minorHAnsi"/>
          <w:bCs/>
        </w:rPr>
        <w:t>Part 2 sets out</w:t>
      </w:r>
      <w:r w:rsidR="00D340EA">
        <w:rPr>
          <w:rFonts w:asciiTheme="minorHAnsi" w:hAnsiTheme="minorHAnsi"/>
          <w:bCs/>
        </w:rPr>
        <w:t xml:space="preserve"> how to calculate</w:t>
      </w:r>
      <w:r w:rsidRPr="00A91743">
        <w:rPr>
          <w:rFonts w:asciiTheme="minorHAnsi" w:hAnsiTheme="minorHAnsi"/>
          <w:bCs/>
        </w:rPr>
        <w:t xml:space="preserve"> the tax amounts for </w:t>
      </w:r>
      <w:r w:rsidR="00334D74" w:rsidRPr="00A91743">
        <w:rPr>
          <w:rFonts w:asciiTheme="minorHAnsi" w:hAnsiTheme="minorHAnsi"/>
          <w:bCs/>
        </w:rPr>
        <w:t xml:space="preserve">specified </w:t>
      </w:r>
      <w:r w:rsidRPr="00A91743">
        <w:rPr>
          <w:rFonts w:asciiTheme="minorHAnsi" w:hAnsiTheme="minorHAnsi"/>
          <w:bCs/>
        </w:rPr>
        <w:t>assigned licences</w:t>
      </w:r>
      <w:r w:rsidR="00D340EA">
        <w:rPr>
          <w:rFonts w:asciiTheme="minorHAnsi" w:hAnsiTheme="minorHAnsi"/>
          <w:bCs/>
        </w:rPr>
        <w:t xml:space="preserve"> (listed in item 201)</w:t>
      </w:r>
      <w:r w:rsidRPr="00A91743">
        <w:rPr>
          <w:rFonts w:asciiTheme="minorHAnsi" w:hAnsiTheme="minorHAnsi"/>
          <w:bCs/>
        </w:rPr>
        <w:t>.</w:t>
      </w:r>
      <w:r w:rsidR="00334D74" w:rsidRPr="00A91743">
        <w:rPr>
          <w:rFonts w:asciiTheme="minorHAnsi" w:hAnsiTheme="minorHAnsi"/>
          <w:bCs/>
        </w:rPr>
        <w:t xml:space="preserve"> </w:t>
      </w:r>
      <w:r w:rsidR="00A91743">
        <w:rPr>
          <w:rFonts w:asciiTheme="minorHAnsi" w:hAnsiTheme="minorHAnsi"/>
          <w:bCs/>
        </w:rPr>
        <w:t xml:space="preserve"> </w:t>
      </w:r>
      <w:r w:rsidR="00334D74" w:rsidRPr="00A91743">
        <w:rPr>
          <w:rFonts w:asciiTheme="minorHAnsi" w:hAnsiTheme="minorHAnsi"/>
          <w:bCs/>
        </w:rPr>
        <w:t>Item 202 provides that</w:t>
      </w:r>
      <w:r w:rsidR="00D340EA">
        <w:rPr>
          <w:rFonts w:asciiTheme="minorHAnsi" w:hAnsiTheme="minorHAnsi"/>
          <w:bCs/>
        </w:rPr>
        <w:t>,</w:t>
      </w:r>
      <w:r w:rsidR="00334D74" w:rsidRPr="00A91743">
        <w:rPr>
          <w:rFonts w:asciiTheme="minorHAnsi" w:hAnsiTheme="minorHAnsi"/>
          <w:bCs/>
        </w:rPr>
        <w:t xml:space="preserve"> subject to items 203 and 204, the annual amount of tax for each spectrum access under a licence to which the Part applies is the amount specified in Table 202 </w:t>
      </w:r>
      <w:r w:rsidR="00334D74" w:rsidRPr="00A91743">
        <w:rPr>
          <w:rFonts w:asciiTheme="minorHAnsi" w:hAnsiTheme="minorHAnsi"/>
        </w:rPr>
        <w:t>for the frequency range and area density type applicable to the spectrum access, multiplied by the bandwidth (in kHz) of the spectrum access.</w:t>
      </w:r>
      <w:r w:rsidR="00334D74">
        <w:rPr>
          <w:rFonts w:asciiTheme="minorHAnsi" w:hAnsiTheme="minorHAnsi"/>
        </w:rPr>
        <w:t xml:space="preserve"> </w:t>
      </w:r>
    </w:p>
    <w:p w14:paraId="40CE89FB" w14:textId="48FB6CD4" w:rsidR="00334D74" w:rsidRDefault="00334D74" w:rsidP="00A91743">
      <w:pPr>
        <w:pStyle w:val="subsection"/>
        <w:ind w:left="0" w:firstLine="0"/>
        <w:rPr>
          <w:rFonts w:asciiTheme="minorHAnsi" w:hAnsiTheme="minorHAnsi"/>
        </w:rPr>
      </w:pPr>
      <w:r>
        <w:rPr>
          <w:rFonts w:asciiTheme="minorHAnsi" w:hAnsiTheme="minorHAnsi"/>
        </w:rPr>
        <w:t xml:space="preserve">Item 203 specifies a lower tax </w:t>
      </w:r>
      <w:proofErr w:type="gramStart"/>
      <w:r>
        <w:rPr>
          <w:rFonts w:asciiTheme="minorHAnsi" w:hAnsiTheme="minorHAnsi"/>
        </w:rPr>
        <w:t>amount for certain</w:t>
      </w:r>
      <w:proofErr w:type="gramEnd"/>
      <w:r>
        <w:rPr>
          <w:rFonts w:asciiTheme="minorHAnsi" w:hAnsiTheme="minorHAnsi"/>
        </w:rPr>
        <w:t xml:space="preserve"> space licences, and item 204 specifie</w:t>
      </w:r>
      <w:r w:rsidR="00A91743">
        <w:rPr>
          <w:rFonts w:asciiTheme="minorHAnsi" w:hAnsiTheme="minorHAnsi"/>
        </w:rPr>
        <w:t>s</w:t>
      </w:r>
      <w:r>
        <w:rPr>
          <w:rFonts w:asciiTheme="minorHAnsi" w:hAnsiTheme="minorHAnsi"/>
        </w:rPr>
        <w:t xml:space="preserve"> a lower tax for </w:t>
      </w:r>
      <w:r w:rsidR="00D340EA">
        <w:rPr>
          <w:rFonts w:asciiTheme="minorHAnsi" w:hAnsiTheme="minorHAnsi"/>
        </w:rPr>
        <w:t>a ‘</w:t>
      </w:r>
      <w:r>
        <w:rPr>
          <w:rFonts w:asciiTheme="minorHAnsi" w:hAnsiTheme="minorHAnsi"/>
        </w:rPr>
        <w:t>low power spectrum access</w:t>
      </w:r>
      <w:r w:rsidR="00D340EA">
        <w:rPr>
          <w:rFonts w:asciiTheme="minorHAnsi" w:hAnsiTheme="minorHAnsi"/>
        </w:rPr>
        <w:t>’</w:t>
      </w:r>
      <w:r>
        <w:rPr>
          <w:rFonts w:asciiTheme="minorHAnsi" w:hAnsiTheme="minorHAnsi"/>
        </w:rPr>
        <w:t xml:space="preserve">. </w:t>
      </w:r>
    </w:p>
    <w:p w14:paraId="34CDB46E" w14:textId="04325DC0" w:rsidR="00334D74" w:rsidRPr="00D340EA" w:rsidRDefault="00334D74" w:rsidP="00A91743">
      <w:pPr>
        <w:pStyle w:val="subsection"/>
        <w:ind w:left="0" w:firstLine="0"/>
        <w:rPr>
          <w:rFonts w:asciiTheme="minorHAnsi" w:hAnsiTheme="minorHAnsi"/>
        </w:rPr>
      </w:pPr>
      <w:r>
        <w:rPr>
          <w:rFonts w:asciiTheme="minorHAnsi" w:hAnsiTheme="minorHAnsi"/>
        </w:rPr>
        <w:t xml:space="preserve">Item 205 provides that if the amount of tax worked out under items 202, 203 or 204 is less than the minimum annual amount, the tax </w:t>
      </w:r>
      <w:proofErr w:type="gramStart"/>
      <w:r>
        <w:rPr>
          <w:rFonts w:asciiTheme="minorHAnsi" w:hAnsiTheme="minorHAnsi"/>
        </w:rPr>
        <w:t>is</w:t>
      </w:r>
      <w:proofErr w:type="gramEnd"/>
      <w:r>
        <w:rPr>
          <w:rFonts w:asciiTheme="minorHAnsi" w:hAnsiTheme="minorHAnsi"/>
        </w:rPr>
        <w:t xml:space="preserve"> taken to be the minimum annual amount. </w:t>
      </w:r>
      <w:r w:rsidR="00B6541D">
        <w:rPr>
          <w:rFonts w:asciiTheme="minorHAnsi" w:hAnsiTheme="minorHAnsi"/>
        </w:rPr>
        <w:t>T</w:t>
      </w:r>
      <w:r>
        <w:rPr>
          <w:rFonts w:asciiTheme="minorHAnsi" w:hAnsiTheme="minorHAnsi"/>
        </w:rPr>
        <w:t xml:space="preserve">he minimum annual amount is $38.60. </w:t>
      </w:r>
      <w:r w:rsidR="00B6541D">
        <w:rPr>
          <w:rFonts w:asciiTheme="minorHAnsi" w:hAnsiTheme="minorHAnsi"/>
        </w:rPr>
        <w:t>(A similar provision also applies to Parts 3, 4, 5, 6 and 7A of Schedule 2: see items 304, 403, 504, 603 and 705A.)</w:t>
      </w:r>
    </w:p>
    <w:p w14:paraId="35755113" w14:textId="1F513BA9" w:rsidR="006276DE" w:rsidRPr="00334D74" w:rsidRDefault="00334D74">
      <w:pPr>
        <w:rPr>
          <w:rFonts w:eastAsia="Times New Roman" w:cs="Times New Roman"/>
          <w:bCs/>
          <w:lang w:eastAsia="en-AU"/>
        </w:rPr>
      </w:pPr>
      <w:r w:rsidRPr="00334D74">
        <w:rPr>
          <w:rFonts w:eastAsia="Times New Roman" w:cs="Times New Roman"/>
          <w:bCs/>
          <w:lang w:eastAsia="en-AU"/>
        </w:rPr>
        <w:t xml:space="preserve"> </w:t>
      </w:r>
    </w:p>
    <w:p w14:paraId="20C4C1A4" w14:textId="761E008C" w:rsidR="008C3950" w:rsidRDefault="008C3950">
      <w:pPr>
        <w:rPr>
          <w:rFonts w:eastAsia="Times New Roman" w:cs="Times New Roman"/>
          <w:b/>
          <w:bCs/>
          <w:lang w:eastAsia="en-AU"/>
        </w:rPr>
      </w:pPr>
      <w:r w:rsidRPr="008C3950">
        <w:rPr>
          <w:rFonts w:eastAsia="Times New Roman" w:cs="Times New Roman"/>
          <w:b/>
          <w:bCs/>
          <w:lang w:eastAsia="en-AU"/>
        </w:rPr>
        <w:t>Part 3</w:t>
      </w:r>
      <w:r w:rsidR="0082604F">
        <w:rPr>
          <w:rFonts w:eastAsia="Times New Roman" w:cs="Times New Roman"/>
          <w:b/>
          <w:bCs/>
          <w:lang w:eastAsia="en-AU"/>
        </w:rPr>
        <w:tab/>
        <w:t>Assigned licences in high demand frequency bands</w:t>
      </w:r>
    </w:p>
    <w:p w14:paraId="5D23F473" w14:textId="30ADE191" w:rsidR="00D340EA" w:rsidRDefault="006276DE" w:rsidP="00D340EA">
      <w:pPr>
        <w:pStyle w:val="subsection"/>
        <w:tabs>
          <w:tab w:val="clear" w:pos="1021"/>
        </w:tabs>
        <w:ind w:left="0" w:firstLine="0"/>
        <w:rPr>
          <w:rFonts w:asciiTheme="minorHAnsi" w:hAnsiTheme="minorHAnsi"/>
        </w:rPr>
      </w:pPr>
      <w:r w:rsidRPr="00D340EA">
        <w:rPr>
          <w:rFonts w:asciiTheme="minorHAnsi" w:hAnsiTheme="minorHAnsi"/>
          <w:bCs/>
        </w:rPr>
        <w:t xml:space="preserve">Part 3 sets out </w:t>
      </w:r>
      <w:r w:rsidR="00D340EA">
        <w:rPr>
          <w:rFonts w:asciiTheme="minorHAnsi" w:hAnsiTheme="minorHAnsi"/>
          <w:bCs/>
        </w:rPr>
        <w:t xml:space="preserve">how to calculate </w:t>
      </w:r>
      <w:r w:rsidRPr="00D340EA">
        <w:rPr>
          <w:rFonts w:asciiTheme="minorHAnsi" w:hAnsiTheme="minorHAnsi"/>
          <w:bCs/>
        </w:rPr>
        <w:t xml:space="preserve">the tax amounts for </w:t>
      </w:r>
      <w:r w:rsidR="0082604F" w:rsidRPr="00D340EA">
        <w:rPr>
          <w:rFonts w:asciiTheme="minorHAnsi" w:hAnsiTheme="minorHAnsi"/>
          <w:bCs/>
        </w:rPr>
        <w:t xml:space="preserve">specified </w:t>
      </w:r>
      <w:r w:rsidRPr="00D340EA">
        <w:rPr>
          <w:rFonts w:asciiTheme="minorHAnsi" w:hAnsiTheme="minorHAnsi"/>
          <w:bCs/>
        </w:rPr>
        <w:t>assigned licences</w:t>
      </w:r>
      <w:r w:rsidR="0082604F" w:rsidRPr="00D340EA">
        <w:rPr>
          <w:rFonts w:asciiTheme="minorHAnsi" w:hAnsiTheme="minorHAnsi"/>
          <w:bCs/>
        </w:rPr>
        <w:t xml:space="preserve"> (listed in item 301)</w:t>
      </w:r>
      <w:r w:rsidRPr="00D340EA">
        <w:rPr>
          <w:rFonts w:asciiTheme="minorHAnsi" w:hAnsiTheme="minorHAnsi"/>
          <w:bCs/>
        </w:rPr>
        <w:t xml:space="preserve"> in </w:t>
      </w:r>
      <w:r w:rsidR="00D340EA">
        <w:rPr>
          <w:rFonts w:asciiTheme="minorHAnsi" w:hAnsiTheme="minorHAnsi"/>
          <w:bCs/>
        </w:rPr>
        <w:t>‘</w:t>
      </w:r>
      <w:r w:rsidRPr="00D340EA">
        <w:rPr>
          <w:rFonts w:asciiTheme="minorHAnsi" w:hAnsiTheme="minorHAnsi"/>
          <w:bCs/>
        </w:rPr>
        <w:t xml:space="preserve">high </w:t>
      </w:r>
      <w:r w:rsidR="00726945" w:rsidRPr="00726945">
        <w:rPr>
          <w:rFonts w:asciiTheme="minorHAnsi" w:hAnsiTheme="minorHAnsi"/>
          <w:bCs/>
        </w:rPr>
        <w:t>demand frequency</w:t>
      </w:r>
      <w:r w:rsidRPr="00D340EA">
        <w:rPr>
          <w:rFonts w:asciiTheme="minorHAnsi" w:hAnsiTheme="minorHAnsi"/>
          <w:bCs/>
        </w:rPr>
        <w:t xml:space="preserve"> bands</w:t>
      </w:r>
      <w:r w:rsidR="00D340EA">
        <w:rPr>
          <w:rFonts w:asciiTheme="minorHAnsi" w:hAnsiTheme="minorHAnsi"/>
          <w:bCs/>
        </w:rPr>
        <w:t>’</w:t>
      </w:r>
      <w:r w:rsidRPr="00D340EA">
        <w:rPr>
          <w:rFonts w:asciiTheme="minorHAnsi" w:hAnsiTheme="minorHAnsi"/>
          <w:bCs/>
        </w:rPr>
        <w:t>.</w:t>
      </w:r>
      <w:r w:rsidR="0082604F" w:rsidRPr="00D340EA">
        <w:rPr>
          <w:rFonts w:asciiTheme="minorHAnsi" w:hAnsiTheme="minorHAnsi"/>
          <w:bCs/>
        </w:rPr>
        <w:t xml:space="preserve"> Item 302 provides that</w:t>
      </w:r>
      <w:r w:rsidR="00D340EA">
        <w:rPr>
          <w:rFonts w:asciiTheme="minorHAnsi" w:hAnsiTheme="minorHAnsi"/>
          <w:bCs/>
        </w:rPr>
        <w:t>,</w:t>
      </w:r>
      <w:r w:rsidR="0082604F" w:rsidRPr="00D340EA">
        <w:rPr>
          <w:rFonts w:asciiTheme="minorHAnsi" w:hAnsiTheme="minorHAnsi"/>
          <w:bCs/>
        </w:rPr>
        <w:t xml:space="preserve"> subject to item 303</w:t>
      </w:r>
      <w:r w:rsidR="00D340EA">
        <w:rPr>
          <w:rFonts w:asciiTheme="minorHAnsi" w:hAnsiTheme="minorHAnsi"/>
          <w:bCs/>
        </w:rPr>
        <w:t>,</w:t>
      </w:r>
      <w:r w:rsidR="0082604F" w:rsidRPr="00D340EA">
        <w:rPr>
          <w:rFonts w:asciiTheme="minorHAnsi" w:hAnsiTheme="minorHAnsi"/>
          <w:bCs/>
        </w:rPr>
        <w:t xml:space="preserve"> the amount of tax in respect of each spectrum access under a licence specified in item 301 is</w:t>
      </w:r>
      <w:r w:rsidR="0082604F" w:rsidRPr="00D340EA">
        <w:rPr>
          <w:rFonts w:asciiTheme="minorHAnsi" w:hAnsiTheme="minorHAnsi"/>
        </w:rPr>
        <w:t xml:space="preserve"> the amount specified in Table 302 for the frequency range and area density type applicable to the spectrum access, multiplied by the bandwidth (in kHz) of the spectrum access.</w:t>
      </w:r>
      <w:r w:rsidR="00360FA4">
        <w:rPr>
          <w:rFonts w:asciiTheme="minorHAnsi" w:hAnsiTheme="minorHAnsi"/>
        </w:rPr>
        <w:t xml:space="preserve"> </w:t>
      </w:r>
    </w:p>
    <w:p w14:paraId="3CD309A0" w14:textId="1B4338B6" w:rsidR="0082604F" w:rsidRPr="00D340EA" w:rsidRDefault="00D340EA" w:rsidP="00D340EA">
      <w:pPr>
        <w:pStyle w:val="subsection"/>
        <w:tabs>
          <w:tab w:val="clear" w:pos="1021"/>
        </w:tabs>
        <w:ind w:left="0" w:firstLine="0"/>
        <w:rPr>
          <w:rFonts w:asciiTheme="minorHAnsi" w:hAnsiTheme="minorHAnsi"/>
        </w:rPr>
      </w:pPr>
      <w:r>
        <w:rPr>
          <w:rFonts w:asciiTheme="minorHAnsi" w:hAnsiTheme="minorHAnsi"/>
        </w:rPr>
        <w:t xml:space="preserve">Item 303 specifies a lower tax amount for a ‘low power spectrum </w:t>
      </w:r>
      <w:proofErr w:type="gramStart"/>
      <w:r>
        <w:rPr>
          <w:rFonts w:asciiTheme="minorHAnsi" w:hAnsiTheme="minorHAnsi"/>
        </w:rPr>
        <w:t>access’</w:t>
      </w:r>
      <w:proofErr w:type="gramEnd"/>
      <w:r>
        <w:rPr>
          <w:rFonts w:asciiTheme="minorHAnsi" w:hAnsiTheme="minorHAnsi"/>
        </w:rPr>
        <w:t xml:space="preserve">.  </w:t>
      </w:r>
    </w:p>
    <w:p w14:paraId="4724855D" w14:textId="241EB0F9" w:rsidR="006276DE" w:rsidRPr="006276DE" w:rsidRDefault="006276DE">
      <w:pPr>
        <w:rPr>
          <w:rFonts w:eastAsia="Times New Roman" w:cs="Times New Roman"/>
          <w:bCs/>
          <w:lang w:eastAsia="en-AU"/>
        </w:rPr>
      </w:pPr>
    </w:p>
    <w:p w14:paraId="13A214C0" w14:textId="37D0A63D" w:rsidR="008C3950" w:rsidRDefault="008C3950">
      <w:pPr>
        <w:rPr>
          <w:rFonts w:eastAsia="Times New Roman" w:cs="Times New Roman"/>
          <w:b/>
          <w:bCs/>
          <w:lang w:eastAsia="en-AU"/>
        </w:rPr>
      </w:pPr>
      <w:r w:rsidRPr="008C3950">
        <w:rPr>
          <w:rFonts w:eastAsia="Times New Roman" w:cs="Times New Roman"/>
          <w:b/>
          <w:bCs/>
          <w:lang w:eastAsia="en-AU"/>
        </w:rPr>
        <w:t xml:space="preserve">Part </w:t>
      </w:r>
      <w:proofErr w:type="gramStart"/>
      <w:r w:rsidRPr="008C3950">
        <w:rPr>
          <w:rFonts w:eastAsia="Times New Roman" w:cs="Times New Roman"/>
          <w:b/>
          <w:bCs/>
          <w:lang w:eastAsia="en-AU"/>
        </w:rPr>
        <w:t>4</w:t>
      </w:r>
      <w:proofErr w:type="gramEnd"/>
      <w:r w:rsidR="00360FA4">
        <w:rPr>
          <w:rFonts w:eastAsia="Times New Roman" w:cs="Times New Roman"/>
          <w:b/>
          <w:bCs/>
          <w:lang w:eastAsia="en-AU"/>
        </w:rPr>
        <w:tab/>
        <w:t>Assigned Fixed Point to Point Licences</w:t>
      </w:r>
    </w:p>
    <w:p w14:paraId="5603021E" w14:textId="0E03555F" w:rsidR="00D340EA" w:rsidRDefault="006276DE">
      <w:r w:rsidRPr="006276DE">
        <w:rPr>
          <w:rFonts w:eastAsia="Times New Roman" w:cs="Times New Roman"/>
          <w:bCs/>
          <w:lang w:eastAsia="en-AU"/>
        </w:rPr>
        <w:lastRenderedPageBreak/>
        <w:t xml:space="preserve">Part </w:t>
      </w:r>
      <w:proofErr w:type="gramStart"/>
      <w:r w:rsidRPr="006276DE">
        <w:rPr>
          <w:rFonts w:eastAsia="Times New Roman" w:cs="Times New Roman"/>
          <w:bCs/>
          <w:lang w:eastAsia="en-AU"/>
        </w:rPr>
        <w:t>4</w:t>
      </w:r>
      <w:proofErr w:type="gramEnd"/>
      <w:r w:rsidRPr="006276DE">
        <w:rPr>
          <w:rFonts w:eastAsia="Times New Roman" w:cs="Times New Roman"/>
          <w:bCs/>
          <w:lang w:eastAsia="en-AU"/>
        </w:rPr>
        <w:t xml:space="preserve"> sets out </w:t>
      </w:r>
      <w:r w:rsidR="00D340EA">
        <w:rPr>
          <w:rFonts w:eastAsia="Times New Roman" w:cs="Times New Roman"/>
          <w:bCs/>
          <w:lang w:eastAsia="en-AU"/>
        </w:rPr>
        <w:t xml:space="preserve">how to calculate </w:t>
      </w:r>
      <w:r w:rsidRPr="006276DE">
        <w:rPr>
          <w:rFonts w:eastAsia="Times New Roman" w:cs="Times New Roman"/>
          <w:bCs/>
          <w:lang w:eastAsia="en-AU"/>
        </w:rPr>
        <w:t xml:space="preserve">the tax amounts for </w:t>
      </w:r>
      <w:r w:rsidR="00360FA4">
        <w:rPr>
          <w:rFonts w:eastAsia="Times New Roman" w:cs="Times New Roman"/>
          <w:bCs/>
          <w:lang w:eastAsia="en-AU"/>
        </w:rPr>
        <w:t xml:space="preserve">licences that relate to </w:t>
      </w:r>
      <w:r w:rsidRPr="006276DE">
        <w:rPr>
          <w:rFonts w:eastAsia="Times New Roman" w:cs="Times New Roman"/>
          <w:bCs/>
          <w:lang w:eastAsia="en-AU"/>
        </w:rPr>
        <w:t>assigned fixed point to p</w:t>
      </w:r>
      <w:r w:rsidR="00175D9F">
        <w:rPr>
          <w:rFonts w:eastAsia="Times New Roman" w:cs="Times New Roman"/>
          <w:bCs/>
          <w:lang w:eastAsia="en-AU"/>
        </w:rPr>
        <w:t>o</w:t>
      </w:r>
      <w:r w:rsidRPr="006276DE">
        <w:rPr>
          <w:rFonts w:eastAsia="Times New Roman" w:cs="Times New Roman"/>
          <w:bCs/>
          <w:lang w:eastAsia="en-AU"/>
        </w:rPr>
        <w:t xml:space="preserve">int </w:t>
      </w:r>
      <w:r w:rsidR="00360FA4">
        <w:rPr>
          <w:rFonts w:eastAsia="Times New Roman" w:cs="Times New Roman"/>
          <w:bCs/>
          <w:lang w:eastAsia="en-AU"/>
        </w:rPr>
        <w:t xml:space="preserve">stations. </w:t>
      </w:r>
      <w:r w:rsidR="00D340EA">
        <w:rPr>
          <w:rFonts w:eastAsia="Times New Roman" w:cs="Times New Roman"/>
          <w:bCs/>
          <w:lang w:eastAsia="en-AU"/>
        </w:rPr>
        <w:t xml:space="preserve"> </w:t>
      </w:r>
      <w:r w:rsidR="00360FA4">
        <w:rPr>
          <w:rFonts w:eastAsia="Times New Roman" w:cs="Times New Roman"/>
          <w:bCs/>
          <w:lang w:eastAsia="en-AU"/>
        </w:rPr>
        <w:t xml:space="preserve"> Item 402 provides that t</w:t>
      </w:r>
      <w:r w:rsidR="00360FA4">
        <w:t>he</w:t>
      </w:r>
      <w:r w:rsidR="00360FA4" w:rsidRPr="00476B0F">
        <w:t xml:space="preserve"> amount of tax in respect</w:t>
      </w:r>
      <w:r w:rsidR="00360FA4">
        <w:t xml:space="preserve"> of each spectrum access under such</w:t>
      </w:r>
      <w:r w:rsidR="00360FA4" w:rsidRPr="00476B0F">
        <w:t xml:space="preserve"> </w:t>
      </w:r>
      <w:r w:rsidR="00360FA4">
        <w:t xml:space="preserve">a </w:t>
      </w:r>
      <w:r w:rsidR="00360FA4" w:rsidRPr="00476B0F">
        <w:t>licence is the amount specified in Table 402 for the frequency range and area density type applicable to the spectrum access, multiplied by the bandwidth (in kHz) of the spectrum access.</w:t>
      </w:r>
    </w:p>
    <w:p w14:paraId="0EC35C4E" w14:textId="066990E1" w:rsidR="006276DE" w:rsidRDefault="006276DE">
      <w:pPr>
        <w:rPr>
          <w:rFonts w:eastAsia="Times New Roman" w:cs="Times New Roman"/>
          <w:b/>
          <w:bCs/>
          <w:lang w:eastAsia="en-AU"/>
        </w:rPr>
      </w:pPr>
      <w:r>
        <w:rPr>
          <w:rFonts w:eastAsia="Times New Roman" w:cs="Times New Roman"/>
          <w:b/>
          <w:bCs/>
          <w:lang w:eastAsia="en-AU"/>
        </w:rPr>
        <w:t xml:space="preserve">Part </w:t>
      </w:r>
      <w:proofErr w:type="gramStart"/>
      <w:r>
        <w:rPr>
          <w:rFonts w:eastAsia="Times New Roman" w:cs="Times New Roman"/>
          <w:b/>
          <w:bCs/>
          <w:lang w:eastAsia="en-AU"/>
        </w:rPr>
        <w:t xml:space="preserve">5 </w:t>
      </w:r>
      <w:r w:rsidR="00360FA4">
        <w:rPr>
          <w:rFonts w:eastAsia="Times New Roman" w:cs="Times New Roman"/>
          <w:b/>
          <w:bCs/>
          <w:lang w:eastAsia="en-AU"/>
        </w:rPr>
        <w:tab/>
        <w:t>Assigned</w:t>
      </w:r>
      <w:proofErr w:type="gramEnd"/>
      <w:r w:rsidR="00360FA4">
        <w:rPr>
          <w:rFonts w:eastAsia="Times New Roman" w:cs="Times New Roman"/>
          <w:b/>
          <w:bCs/>
          <w:lang w:eastAsia="en-AU"/>
        </w:rPr>
        <w:t xml:space="preserve"> Fixed Point to Multipoint Licences</w:t>
      </w:r>
    </w:p>
    <w:p w14:paraId="311C8CCD" w14:textId="084EEAF9" w:rsidR="004B239C" w:rsidRDefault="006276DE" w:rsidP="00D340EA">
      <w:pPr>
        <w:pStyle w:val="subsection"/>
        <w:ind w:left="0" w:firstLine="0"/>
        <w:rPr>
          <w:rFonts w:asciiTheme="minorHAnsi" w:hAnsiTheme="minorHAnsi"/>
        </w:rPr>
      </w:pPr>
      <w:r w:rsidRPr="00D340EA">
        <w:rPr>
          <w:rFonts w:asciiTheme="minorHAnsi" w:hAnsiTheme="minorHAnsi"/>
          <w:bCs/>
        </w:rPr>
        <w:t xml:space="preserve">Part 5 sets out </w:t>
      </w:r>
      <w:r w:rsidR="00D340EA">
        <w:rPr>
          <w:rFonts w:asciiTheme="minorHAnsi" w:hAnsiTheme="minorHAnsi"/>
          <w:bCs/>
        </w:rPr>
        <w:t xml:space="preserve">how to calculate </w:t>
      </w:r>
      <w:r w:rsidRPr="00D340EA">
        <w:rPr>
          <w:rFonts w:asciiTheme="minorHAnsi" w:hAnsiTheme="minorHAnsi"/>
          <w:bCs/>
        </w:rPr>
        <w:t xml:space="preserve">the tax amounts for </w:t>
      </w:r>
      <w:r w:rsidR="00AF4E14" w:rsidRPr="00D340EA">
        <w:rPr>
          <w:rFonts w:asciiTheme="minorHAnsi" w:hAnsiTheme="minorHAnsi"/>
          <w:bCs/>
        </w:rPr>
        <w:t xml:space="preserve">licences that relate to </w:t>
      </w:r>
      <w:r w:rsidRPr="00D340EA">
        <w:rPr>
          <w:rFonts w:asciiTheme="minorHAnsi" w:hAnsiTheme="minorHAnsi"/>
          <w:bCs/>
        </w:rPr>
        <w:t xml:space="preserve">assigned fixed point to multipoint </w:t>
      </w:r>
      <w:r w:rsidR="00AF4E14" w:rsidRPr="00D340EA">
        <w:rPr>
          <w:rFonts w:asciiTheme="minorHAnsi" w:hAnsiTheme="minorHAnsi"/>
          <w:bCs/>
        </w:rPr>
        <w:t>stations</w:t>
      </w:r>
      <w:r w:rsidR="004B239C">
        <w:rPr>
          <w:rFonts w:asciiTheme="minorHAnsi" w:hAnsiTheme="minorHAnsi"/>
          <w:bCs/>
        </w:rPr>
        <w:t xml:space="preserve"> (item 501)</w:t>
      </w:r>
      <w:r w:rsidR="00AF4E14" w:rsidRPr="00D340EA">
        <w:rPr>
          <w:rFonts w:asciiTheme="minorHAnsi" w:hAnsiTheme="minorHAnsi"/>
          <w:bCs/>
        </w:rPr>
        <w:t>.</w:t>
      </w:r>
      <w:r w:rsidR="004560A4">
        <w:rPr>
          <w:rFonts w:asciiTheme="minorHAnsi" w:hAnsiTheme="minorHAnsi"/>
          <w:bCs/>
        </w:rPr>
        <w:t xml:space="preserve"> </w:t>
      </w:r>
      <w:r w:rsidR="00AF4E14" w:rsidRPr="00D340EA">
        <w:rPr>
          <w:rFonts w:asciiTheme="minorHAnsi" w:hAnsiTheme="minorHAnsi"/>
          <w:bCs/>
        </w:rPr>
        <w:t xml:space="preserve"> </w:t>
      </w:r>
      <w:r w:rsidR="00AF4E14">
        <w:rPr>
          <w:rFonts w:asciiTheme="minorHAnsi" w:hAnsiTheme="minorHAnsi"/>
          <w:bCs/>
        </w:rPr>
        <w:t xml:space="preserve">Item 502 provides that, </w:t>
      </w:r>
      <w:r w:rsidR="00AF4E14" w:rsidRPr="00AF4E14">
        <w:rPr>
          <w:rFonts w:asciiTheme="minorHAnsi" w:hAnsiTheme="minorHAnsi"/>
        </w:rPr>
        <w:t>s</w:t>
      </w:r>
      <w:r w:rsidR="00AF4E14" w:rsidRPr="00D340EA">
        <w:rPr>
          <w:rFonts w:asciiTheme="minorHAnsi" w:hAnsiTheme="minorHAnsi"/>
        </w:rPr>
        <w:t>ubject to item 503, the amount of tax in respect of</w:t>
      </w:r>
      <w:r w:rsidR="00AF4E14" w:rsidRPr="00AF4E14">
        <w:rPr>
          <w:rFonts w:asciiTheme="minorHAnsi" w:hAnsiTheme="minorHAnsi"/>
        </w:rPr>
        <w:t xml:space="preserve"> each spectrum access under such </w:t>
      </w:r>
      <w:r w:rsidR="00AF4E14" w:rsidRPr="00D340EA">
        <w:rPr>
          <w:rFonts w:asciiTheme="minorHAnsi" w:hAnsiTheme="minorHAnsi"/>
        </w:rPr>
        <w:t>licence</w:t>
      </w:r>
      <w:r w:rsidR="00AF4E14">
        <w:rPr>
          <w:rFonts w:asciiTheme="minorHAnsi" w:hAnsiTheme="minorHAnsi"/>
        </w:rPr>
        <w:t>s</w:t>
      </w:r>
      <w:r w:rsidR="00AF4E14" w:rsidRPr="00D340EA">
        <w:rPr>
          <w:rFonts w:asciiTheme="minorHAnsi" w:hAnsiTheme="minorHAnsi"/>
        </w:rPr>
        <w:t xml:space="preserve"> is the amount specified in Table 502 for the frequency range and area density type applicable to the spectrum access, multiplied by the bandwidth (in kHz) of the spectrum access.</w:t>
      </w:r>
      <w:r w:rsidR="00AF4E14">
        <w:rPr>
          <w:rFonts w:asciiTheme="minorHAnsi" w:hAnsiTheme="minorHAnsi"/>
        </w:rPr>
        <w:t xml:space="preserve"> </w:t>
      </w:r>
    </w:p>
    <w:p w14:paraId="2C251863" w14:textId="152D0D22" w:rsidR="00AF4E14" w:rsidRPr="00D340EA" w:rsidRDefault="004B239C" w:rsidP="00D340EA">
      <w:pPr>
        <w:pStyle w:val="subsection"/>
        <w:ind w:left="0" w:firstLine="0"/>
        <w:rPr>
          <w:rFonts w:asciiTheme="minorHAnsi" w:hAnsiTheme="minorHAnsi"/>
        </w:rPr>
      </w:pPr>
      <w:r>
        <w:rPr>
          <w:rFonts w:asciiTheme="minorHAnsi" w:hAnsiTheme="minorHAnsi"/>
        </w:rPr>
        <w:t xml:space="preserve">Item 503 specifies a lower tax amount for a ‘low power spectrum </w:t>
      </w:r>
      <w:proofErr w:type="gramStart"/>
      <w:r>
        <w:rPr>
          <w:rFonts w:asciiTheme="minorHAnsi" w:hAnsiTheme="minorHAnsi"/>
        </w:rPr>
        <w:t>access’</w:t>
      </w:r>
      <w:proofErr w:type="gramEnd"/>
      <w:r>
        <w:rPr>
          <w:rFonts w:asciiTheme="minorHAnsi" w:hAnsiTheme="minorHAnsi"/>
        </w:rPr>
        <w:t xml:space="preserve">.  </w:t>
      </w:r>
    </w:p>
    <w:p w14:paraId="30F2924A" w14:textId="3B777143" w:rsidR="006276DE" w:rsidRPr="006276DE" w:rsidRDefault="006276DE">
      <w:pPr>
        <w:rPr>
          <w:rFonts w:eastAsia="Times New Roman" w:cs="Times New Roman"/>
          <w:bCs/>
          <w:lang w:eastAsia="en-AU"/>
        </w:rPr>
      </w:pPr>
    </w:p>
    <w:p w14:paraId="4B31905A" w14:textId="418766AD" w:rsidR="008C3950" w:rsidRDefault="008C3950">
      <w:pPr>
        <w:rPr>
          <w:rFonts w:eastAsia="Times New Roman" w:cs="Times New Roman"/>
          <w:b/>
          <w:bCs/>
          <w:lang w:eastAsia="en-AU"/>
        </w:rPr>
      </w:pPr>
      <w:r w:rsidRPr="008C3950">
        <w:rPr>
          <w:rFonts w:eastAsia="Times New Roman" w:cs="Times New Roman"/>
          <w:b/>
          <w:bCs/>
          <w:lang w:eastAsia="en-AU"/>
        </w:rPr>
        <w:t>Part 6</w:t>
      </w:r>
      <w:r w:rsidR="00AF4E14">
        <w:rPr>
          <w:rFonts w:eastAsia="Times New Roman" w:cs="Times New Roman"/>
          <w:b/>
          <w:bCs/>
          <w:lang w:eastAsia="en-AU"/>
        </w:rPr>
        <w:tab/>
        <w:t>Fixed television outside broadcast station</w:t>
      </w:r>
    </w:p>
    <w:p w14:paraId="5D0FE50E" w14:textId="5449CD92" w:rsidR="004B239C" w:rsidRDefault="006276DE">
      <w:r w:rsidRPr="006276DE">
        <w:rPr>
          <w:rFonts w:eastAsia="Times New Roman" w:cs="Times New Roman"/>
          <w:bCs/>
          <w:lang w:eastAsia="en-AU"/>
        </w:rPr>
        <w:t xml:space="preserve">Part 6 </w:t>
      </w:r>
      <w:r>
        <w:rPr>
          <w:rFonts w:eastAsia="Times New Roman" w:cs="Times New Roman"/>
          <w:bCs/>
          <w:lang w:eastAsia="en-AU"/>
        </w:rPr>
        <w:t xml:space="preserve">sets out </w:t>
      </w:r>
      <w:r w:rsidR="004B239C">
        <w:rPr>
          <w:rFonts w:eastAsia="Times New Roman" w:cs="Times New Roman"/>
          <w:bCs/>
          <w:lang w:eastAsia="en-AU"/>
        </w:rPr>
        <w:t xml:space="preserve">how to calculate </w:t>
      </w:r>
      <w:r>
        <w:rPr>
          <w:rFonts w:eastAsia="Times New Roman" w:cs="Times New Roman"/>
          <w:bCs/>
          <w:lang w:eastAsia="en-AU"/>
        </w:rPr>
        <w:t xml:space="preserve">the tax amounts for </w:t>
      </w:r>
      <w:r w:rsidR="00AF4E14">
        <w:rPr>
          <w:rFonts w:eastAsia="Times New Roman" w:cs="Times New Roman"/>
          <w:bCs/>
          <w:lang w:eastAsia="en-AU"/>
        </w:rPr>
        <w:t>licence</w:t>
      </w:r>
      <w:r w:rsidR="004B239C">
        <w:rPr>
          <w:rFonts w:eastAsia="Times New Roman" w:cs="Times New Roman"/>
          <w:bCs/>
          <w:lang w:eastAsia="en-AU"/>
        </w:rPr>
        <w:t>s</w:t>
      </w:r>
      <w:r w:rsidR="00AF4E14">
        <w:rPr>
          <w:rFonts w:eastAsia="Times New Roman" w:cs="Times New Roman"/>
          <w:bCs/>
          <w:lang w:eastAsia="en-AU"/>
        </w:rPr>
        <w:t xml:space="preserve"> that relate to a </w:t>
      </w:r>
      <w:r>
        <w:rPr>
          <w:rFonts w:eastAsia="Times New Roman" w:cs="Times New Roman"/>
          <w:bCs/>
          <w:lang w:eastAsia="en-AU"/>
        </w:rPr>
        <w:t>fixed television outside broadcast station</w:t>
      </w:r>
      <w:r w:rsidR="004B239C">
        <w:rPr>
          <w:rFonts w:eastAsia="Times New Roman" w:cs="Times New Roman"/>
          <w:bCs/>
          <w:lang w:eastAsia="en-AU"/>
        </w:rPr>
        <w:t xml:space="preserve"> (item 601)</w:t>
      </w:r>
      <w:r>
        <w:rPr>
          <w:rFonts w:eastAsia="Times New Roman" w:cs="Times New Roman"/>
          <w:bCs/>
          <w:lang w:eastAsia="en-AU"/>
        </w:rPr>
        <w:t>.</w:t>
      </w:r>
      <w:r w:rsidR="00E1059F">
        <w:rPr>
          <w:rFonts w:eastAsia="Times New Roman" w:cs="Times New Roman"/>
          <w:bCs/>
          <w:lang w:eastAsia="en-AU"/>
        </w:rPr>
        <w:t xml:space="preserve"> </w:t>
      </w:r>
      <w:r w:rsidR="004B239C">
        <w:rPr>
          <w:rFonts w:eastAsia="Times New Roman" w:cs="Times New Roman"/>
          <w:bCs/>
          <w:lang w:eastAsia="en-AU"/>
        </w:rPr>
        <w:t xml:space="preserve"> </w:t>
      </w:r>
      <w:r w:rsidR="00E1059F">
        <w:rPr>
          <w:rFonts w:eastAsia="Times New Roman" w:cs="Times New Roman"/>
          <w:bCs/>
          <w:lang w:eastAsia="en-AU"/>
        </w:rPr>
        <w:t>Item 602 provides that t</w:t>
      </w:r>
      <w:r w:rsidR="00E1059F" w:rsidRPr="00476B0F">
        <w:t xml:space="preserve">he amount of tax in respect of each spectrum access under </w:t>
      </w:r>
      <w:r w:rsidR="00E1059F">
        <w:t>such a</w:t>
      </w:r>
      <w:r w:rsidR="00E1059F" w:rsidRPr="00476B0F">
        <w:t xml:space="preserve"> licence is the amount specified in Table 602 for the frequency range and area density type applicable to the spectrum access, multiplied by the bandwidth (in kHz) of the spectrum access</w:t>
      </w:r>
      <w:r w:rsidR="00E1059F">
        <w:t>.</w:t>
      </w:r>
    </w:p>
    <w:p w14:paraId="6BF03B9D" w14:textId="01CEE438" w:rsidR="008C3950" w:rsidRDefault="008C3950" w:rsidP="003A2EE2">
      <w:pPr>
        <w:keepNext/>
        <w:rPr>
          <w:rFonts w:eastAsia="Times New Roman" w:cs="Times New Roman"/>
          <w:b/>
          <w:bCs/>
          <w:lang w:eastAsia="en-AU"/>
        </w:rPr>
      </w:pPr>
      <w:r w:rsidRPr="008C3950">
        <w:rPr>
          <w:rFonts w:eastAsia="Times New Roman" w:cs="Times New Roman"/>
          <w:b/>
          <w:bCs/>
          <w:lang w:eastAsia="en-AU"/>
        </w:rPr>
        <w:t>Part 7</w:t>
      </w:r>
      <w:r w:rsidR="002F38D2">
        <w:rPr>
          <w:rFonts w:eastAsia="Times New Roman" w:cs="Times New Roman"/>
          <w:b/>
          <w:bCs/>
          <w:lang w:eastAsia="en-AU"/>
        </w:rPr>
        <w:tab/>
        <w:t>Assigned licences subject to a fixed annual tax</w:t>
      </w:r>
    </w:p>
    <w:p w14:paraId="1A03E590" w14:textId="418360D5" w:rsidR="006276DE" w:rsidRDefault="006276DE">
      <w:pPr>
        <w:rPr>
          <w:rFonts w:eastAsia="Times New Roman" w:cs="Times New Roman"/>
          <w:bCs/>
          <w:lang w:eastAsia="en-AU"/>
        </w:rPr>
      </w:pPr>
      <w:r>
        <w:rPr>
          <w:rFonts w:eastAsia="Times New Roman" w:cs="Times New Roman"/>
          <w:bCs/>
          <w:lang w:eastAsia="en-AU"/>
        </w:rPr>
        <w:t>Part 7 sets out the tax amounts for an assigned licence subject to a fixed annual tax</w:t>
      </w:r>
      <w:r w:rsidR="003A2EE2">
        <w:rPr>
          <w:rFonts w:eastAsia="Times New Roman" w:cs="Times New Roman"/>
          <w:bCs/>
          <w:lang w:eastAsia="en-AU"/>
        </w:rPr>
        <w:t xml:space="preserve"> (those listed in item 701)</w:t>
      </w:r>
      <w:r>
        <w:rPr>
          <w:rFonts w:eastAsia="Times New Roman" w:cs="Times New Roman"/>
          <w:bCs/>
          <w:lang w:eastAsia="en-AU"/>
        </w:rPr>
        <w:t>.</w:t>
      </w:r>
      <w:r w:rsidR="00E1059F">
        <w:rPr>
          <w:rFonts w:eastAsia="Times New Roman" w:cs="Times New Roman"/>
          <w:bCs/>
          <w:lang w:eastAsia="en-AU"/>
        </w:rPr>
        <w:t xml:space="preserve"> The amount of tax in respect of a licence is the amount set out in Table 702</w:t>
      </w:r>
      <w:r w:rsidR="003A2EE2">
        <w:rPr>
          <w:rFonts w:eastAsia="Times New Roman" w:cs="Times New Roman"/>
          <w:bCs/>
          <w:lang w:eastAsia="en-AU"/>
        </w:rPr>
        <w:t xml:space="preserve"> for that licence</w:t>
      </w:r>
      <w:r w:rsidR="00E1059F">
        <w:rPr>
          <w:rFonts w:eastAsia="Times New Roman" w:cs="Times New Roman"/>
          <w:bCs/>
          <w:lang w:eastAsia="en-AU"/>
        </w:rPr>
        <w:t xml:space="preserve">. </w:t>
      </w:r>
    </w:p>
    <w:p w14:paraId="25868129" w14:textId="2E807F5D" w:rsidR="00175D9F" w:rsidRPr="003A2EE2" w:rsidRDefault="00175D9F">
      <w:pPr>
        <w:rPr>
          <w:rFonts w:eastAsia="Times New Roman" w:cs="Times New Roman"/>
          <w:b/>
          <w:bCs/>
          <w:lang w:eastAsia="en-AU"/>
        </w:rPr>
      </w:pPr>
      <w:r w:rsidRPr="003A2EE2">
        <w:rPr>
          <w:rFonts w:eastAsia="Times New Roman" w:cs="Times New Roman"/>
          <w:b/>
          <w:bCs/>
          <w:lang w:eastAsia="en-AU"/>
        </w:rPr>
        <w:t xml:space="preserve">Part </w:t>
      </w:r>
      <w:proofErr w:type="gramStart"/>
      <w:r w:rsidRPr="003A2EE2">
        <w:rPr>
          <w:rFonts w:eastAsia="Times New Roman" w:cs="Times New Roman"/>
          <w:b/>
          <w:bCs/>
          <w:lang w:eastAsia="en-AU"/>
        </w:rPr>
        <w:t>7A</w:t>
      </w:r>
      <w:r w:rsidR="00B6541D">
        <w:rPr>
          <w:rFonts w:eastAsia="Times New Roman" w:cs="Times New Roman"/>
          <w:b/>
          <w:bCs/>
          <w:lang w:eastAsia="en-AU"/>
        </w:rPr>
        <w:t xml:space="preserve">  </w:t>
      </w:r>
      <w:r w:rsidR="002F38D2">
        <w:rPr>
          <w:rFonts w:eastAsia="Times New Roman" w:cs="Times New Roman"/>
          <w:b/>
          <w:bCs/>
          <w:lang w:eastAsia="en-AU"/>
        </w:rPr>
        <w:t>Assigned</w:t>
      </w:r>
      <w:proofErr w:type="gramEnd"/>
      <w:r w:rsidR="002F38D2">
        <w:rPr>
          <w:rFonts w:eastAsia="Times New Roman" w:cs="Times New Roman"/>
          <w:b/>
          <w:bCs/>
          <w:lang w:eastAsia="en-AU"/>
        </w:rPr>
        <w:t xml:space="preserve"> licences subject to a population based annual tax</w:t>
      </w:r>
    </w:p>
    <w:p w14:paraId="34AAB41A" w14:textId="3C8AA6B6" w:rsidR="00620A98" w:rsidRDefault="00175D9F">
      <w:pPr>
        <w:rPr>
          <w:rFonts w:eastAsia="Times New Roman" w:cs="Times New Roman"/>
          <w:bCs/>
          <w:lang w:eastAsia="en-AU"/>
        </w:rPr>
      </w:pPr>
      <w:r>
        <w:rPr>
          <w:rFonts w:eastAsia="Times New Roman" w:cs="Times New Roman"/>
          <w:bCs/>
          <w:lang w:eastAsia="en-AU"/>
        </w:rPr>
        <w:t xml:space="preserve">Part 7A </w:t>
      </w:r>
      <w:r w:rsidR="003A2EE2">
        <w:rPr>
          <w:rFonts w:eastAsia="Times New Roman" w:cs="Times New Roman"/>
          <w:bCs/>
          <w:lang w:eastAsia="en-AU"/>
        </w:rPr>
        <w:t>sets out how to calculate</w:t>
      </w:r>
      <w:r>
        <w:rPr>
          <w:rFonts w:eastAsia="Times New Roman" w:cs="Times New Roman"/>
          <w:bCs/>
          <w:lang w:eastAsia="en-AU"/>
        </w:rPr>
        <w:t xml:space="preserve"> the amount of tax for </w:t>
      </w:r>
      <w:r w:rsidR="00E1059F">
        <w:rPr>
          <w:rFonts w:eastAsia="Times New Roman" w:cs="Times New Roman"/>
          <w:bCs/>
          <w:lang w:eastAsia="en-AU"/>
        </w:rPr>
        <w:t xml:space="preserve">specified </w:t>
      </w:r>
      <w:r>
        <w:rPr>
          <w:rFonts w:eastAsia="Times New Roman" w:cs="Times New Roman"/>
          <w:bCs/>
          <w:lang w:eastAsia="en-AU"/>
        </w:rPr>
        <w:t xml:space="preserve">assigned licences subject to a population based annual amount of tax. </w:t>
      </w:r>
      <w:r w:rsidR="003A2EE2">
        <w:rPr>
          <w:rFonts w:eastAsia="Times New Roman" w:cs="Times New Roman"/>
          <w:bCs/>
          <w:lang w:eastAsia="en-AU"/>
        </w:rPr>
        <w:t xml:space="preserve"> </w:t>
      </w:r>
      <w:r w:rsidR="00620A98">
        <w:rPr>
          <w:rFonts w:eastAsia="Times New Roman" w:cs="Times New Roman"/>
          <w:bCs/>
          <w:lang w:eastAsia="en-AU"/>
        </w:rPr>
        <w:t>The Part applies to PMTS Class B licences that authorise the operation of transmitters in the 1800 MHz (1805-1880 MHz), 2.1 GHz (2110-2170 MHz) or 3.5GHz (3400-3425 and 3492.5-3542.5MHz) frequency bands</w:t>
      </w:r>
      <w:r w:rsidR="003A2EE2">
        <w:rPr>
          <w:rFonts w:eastAsia="Times New Roman" w:cs="Times New Roman"/>
          <w:bCs/>
          <w:lang w:eastAsia="en-AU"/>
        </w:rPr>
        <w:t xml:space="preserve"> (item 701A)</w:t>
      </w:r>
      <w:r w:rsidR="00620A98">
        <w:rPr>
          <w:rFonts w:eastAsia="Times New Roman" w:cs="Times New Roman"/>
          <w:bCs/>
          <w:lang w:eastAsia="en-AU"/>
        </w:rPr>
        <w:t>.</w:t>
      </w:r>
      <w:r w:rsidR="003A2EE2">
        <w:rPr>
          <w:rFonts w:eastAsia="Times New Roman" w:cs="Times New Roman"/>
          <w:bCs/>
          <w:lang w:eastAsia="en-AU"/>
        </w:rPr>
        <w:t xml:space="preserve"> </w:t>
      </w:r>
      <w:r w:rsidR="00620A98">
        <w:rPr>
          <w:rFonts w:eastAsia="Times New Roman" w:cs="Times New Roman"/>
          <w:bCs/>
          <w:lang w:eastAsia="en-AU"/>
        </w:rPr>
        <w:t xml:space="preserve"> Item 702A defines terms used in the Part. </w:t>
      </w:r>
    </w:p>
    <w:p w14:paraId="0B1D6C12" w14:textId="0C0706C8" w:rsidR="0001587A" w:rsidRDefault="0001587A">
      <w:pPr>
        <w:rPr>
          <w:rFonts w:eastAsia="Times New Roman" w:cs="Times New Roman"/>
          <w:bCs/>
          <w:lang w:eastAsia="en-AU"/>
        </w:rPr>
      </w:pPr>
      <w:proofErr w:type="gramStart"/>
      <w:r>
        <w:rPr>
          <w:rFonts w:eastAsia="Times New Roman" w:cs="Times New Roman"/>
          <w:bCs/>
          <w:lang w:eastAsia="en-AU"/>
        </w:rPr>
        <w:t>The amount of tax is worked out using the calculations set out in item 703A and is generally determined by multiplying the spectrum (in paired</w:t>
      </w:r>
      <w:r w:rsidR="00057438">
        <w:rPr>
          <w:rStyle w:val="FootnoteReference"/>
          <w:rFonts w:eastAsia="Times New Roman" w:cs="Times New Roman"/>
          <w:bCs/>
          <w:lang w:eastAsia="en-AU"/>
        </w:rPr>
        <w:footnoteReference w:id="3"/>
      </w:r>
      <w:r>
        <w:rPr>
          <w:rFonts w:eastAsia="Times New Roman" w:cs="Times New Roman"/>
          <w:bCs/>
          <w:lang w:eastAsia="en-AU"/>
        </w:rPr>
        <w:t xml:space="preserve"> MHz for </w:t>
      </w:r>
      <w:r w:rsidR="00057438">
        <w:rPr>
          <w:rFonts w:eastAsia="Times New Roman" w:cs="Times New Roman"/>
          <w:bCs/>
          <w:lang w:eastAsia="en-AU"/>
        </w:rPr>
        <w:t xml:space="preserve">licences </w:t>
      </w:r>
      <w:r w:rsidR="00B6541D">
        <w:rPr>
          <w:rFonts w:eastAsia="Times New Roman" w:cs="Times New Roman"/>
          <w:bCs/>
          <w:lang w:eastAsia="en-AU"/>
        </w:rPr>
        <w:t xml:space="preserve">in </w:t>
      </w:r>
      <w:r>
        <w:rPr>
          <w:rFonts w:eastAsia="Times New Roman" w:cs="Times New Roman"/>
          <w:bCs/>
          <w:lang w:eastAsia="en-AU"/>
        </w:rPr>
        <w:t>the 1800 MHz band</w:t>
      </w:r>
      <w:r w:rsidR="00057438">
        <w:rPr>
          <w:rFonts w:eastAsia="Times New Roman" w:cs="Times New Roman"/>
          <w:bCs/>
          <w:lang w:eastAsia="en-AU"/>
        </w:rPr>
        <w:t xml:space="preserve"> and the 2.1 GHz band, and in MHz for the 3.5 GHz band</w:t>
      </w:r>
      <w:r>
        <w:rPr>
          <w:rFonts w:eastAsia="Times New Roman" w:cs="Times New Roman"/>
          <w:bCs/>
          <w:lang w:eastAsia="en-AU"/>
        </w:rPr>
        <w:t xml:space="preserve">) by the base rate of tax specified in item 704A for </w:t>
      </w:r>
      <w:r w:rsidR="009F7451">
        <w:rPr>
          <w:rFonts w:eastAsia="Times New Roman" w:cs="Times New Roman"/>
          <w:bCs/>
          <w:lang w:eastAsia="en-AU"/>
        </w:rPr>
        <w:t>the licence</w:t>
      </w:r>
      <w:r w:rsidR="00057438">
        <w:rPr>
          <w:rFonts w:eastAsia="Times New Roman" w:cs="Times New Roman"/>
          <w:bCs/>
          <w:lang w:eastAsia="en-AU"/>
        </w:rPr>
        <w:t>,</w:t>
      </w:r>
      <w:r w:rsidR="009F7451">
        <w:rPr>
          <w:rFonts w:eastAsia="Times New Roman" w:cs="Times New Roman"/>
          <w:bCs/>
          <w:lang w:eastAsia="en-AU"/>
        </w:rPr>
        <w:t xml:space="preserve"> and</w:t>
      </w:r>
      <w:r w:rsidR="00057438">
        <w:rPr>
          <w:rFonts w:eastAsia="Times New Roman" w:cs="Times New Roman"/>
          <w:bCs/>
          <w:lang w:eastAsia="en-AU"/>
        </w:rPr>
        <w:t xml:space="preserve"> multiplying the result</w:t>
      </w:r>
      <w:r w:rsidR="009F7451">
        <w:rPr>
          <w:rFonts w:eastAsia="Times New Roman" w:cs="Times New Roman"/>
          <w:bCs/>
          <w:lang w:eastAsia="en-AU"/>
        </w:rPr>
        <w:t xml:space="preserve"> by the ‘population of the HCIS area’</w:t>
      </w:r>
      <w:r w:rsidR="000C0EA0">
        <w:rPr>
          <w:rFonts w:eastAsia="Times New Roman" w:cs="Times New Roman"/>
          <w:bCs/>
          <w:lang w:eastAsia="en-AU"/>
        </w:rPr>
        <w:t xml:space="preserve"> or ‘population of the HCIS block’ for the licence (as to which, see below)</w:t>
      </w:r>
      <w:r w:rsidR="004F3A2E">
        <w:rPr>
          <w:rFonts w:eastAsia="Times New Roman" w:cs="Times New Roman"/>
          <w:bCs/>
          <w:lang w:eastAsia="en-AU"/>
        </w:rPr>
        <w:t>.</w:t>
      </w:r>
      <w:proofErr w:type="gramEnd"/>
    </w:p>
    <w:p w14:paraId="1B97D337" w14:textId="4DA2D4B1" w:rsidR="004F3A2E" w:rsidRDefault="004F3A2E" w:rsidP="000C6B0B">
      <w:pPr>
        <w:rPr>
          <w:bCs/>
          <w:lang w:eastAsia="en-AU"/>
        </w:rPr>
      </w:pPr>
      <w:r>
        <w:rPr>
          <w:rFonts w:eastAsia="Times New Roman" w:cs="Times New Roman"/>
          <w:bCs/>
          <w:lang w:eastAsia="en-AU"/>
        </w:rPr>
        <w:t>The spectrum</w:t>
      </w:r>
      <w:r w:rsidR="00057438">
        <w:rPr>
          <w:rStyle w:val="FootnoteReference"/>
          <w:rFonts w:eastAsia="Times New Roman" w:cs="Times New Roman"/>
          <w:bCs/>
          <w:lang w:eastAsia="en-AU"/>
        </w:rPr>
        <w:footnoteReference w:id="4"/>
      </w:r>
      <w:r>
        <w:rPr>
          <w:rFonts w:eastAsia="Times New Roman" w:cs="Times New Roman"/>
          <w:bCs/>
          <w:lang w:eastAsia="en-AU"/>
        </w:rPr>
        <w:t xml:space="preserve"> </w:t>
      </w:r>
      <w:proofErr w:type="gramStart"/>
      <w:r>
        <w:rPr>
          <w:rFonts w:eastAsia="Times New Roman" w:cs="Times New Roman"/>
          <w:bCs/>
          <w:lang w:eastAsia="en-AU"/>
        </w:rPr>
        <w:t>will be specified</w:t>
      </w:r>
      <w:proofErr w:type="gramEnd"/>
      <w:r>
        <w:rPr>
          <w:rFonts w:eastAsia="Times New Roman" w:cs="Times New Roman"/>
          <w:bCs/>
          <w:lang w:eastAsia="en-AU"/>
        </w:rPr>
        <w:t xml:space="preserve"> in the licence.</w:t>
      </w:r>
      <w:r w:rsidRPr="004F3A2E">
        <w:rPr>
          <w:rFonts w:eastAsia="Times New Roman" w:cs="Times New Roman"/>
          <w:bCs/>
          <w:lang w:eastAsia="en-AU"/>
        </w:rPr>
        <w:t xml:space="preserve"> </w:t>
      </w:r>
      <w:r>
        <w:rPr>
          <w:rFonts w:eastAsia="Times New Roman" w:cs="Times New Roman"/>
          <w:bCs/>
          <w:lang w:eastAsia="en-AU"/>
        </w:rPr>
        <w:t>The base rate of tax specified in item 704A for the 1800 MHz and 2.1 GHz bands remains the same as the rate specified in the 2003 Determination. Only the method of calculating the population for the purposes of determining the tax has changed</w:t>
      </w:r>
      <w:r w:rsidR="000C6B0B">
        <w:rPr>
          <w:rFonts w:eastAsia="Times New Roman" w:cs="Times New Roman"/>
          <w:bCs/>
          <w:lang w:eastAsia="en-AU"/>
        </w:rPr>
        <w:t xml:space="preserve"> </w:t>
      </w:r>
      <w:r w:rsidR="000C6B0B">
        <w:rPr>
          <w:rFonts w:eastAsia="Times New Roman" w:cs="Times New Roman"/>
          <w:bCs/>
          <w:lang w:eastAsia="en-AU"/>
        </w:rPr>
        <w:lastRenderedPageBreak/>
        <w:t>from the 2003 Determination</w:t>
      </w:r>
      <w:r>
        <w:rPr>
          <w:rFonts w:eastAsia="Times New Roman" w:cs="Times New Roman"/>
          <w:bCs/>
          <w:lang w:eastAsia="en-AU"/>
        </w:rPr>
        <w:t xml:space="preserve">. </w:t>
      </w:r>
      <w:r w:rsidR="00C35419">
        <w:rPr>
          <w:rFonts w:eastAsia="Times New Roman" w:cs="Times New Roman"/>
          <w:bCs/>
          <w:lang w:eastAsia="en-AU"/>
        </w:rPr>
        <w:t xml:space="preserve">The method used to calculate the base rate of tax for the 3.5 GHz </w:t>
      </w:r>
      <w:r w:rsidR="00C35419" w:rsidRPr="0095732B">
        <w:rPr>
          <w:rFonts w:eastAsia="Times New Roman" w:cs="Times New Roman"/>
          <w:bCs/>
          <w:lang w:eastAsia="en-AU"/>
        </w:rPr>
        <w:t>band ($0.003</w:t>
      </w:r>
      <w:r w:rsidR="002B6B81" w:rsidRPr="0095732B">
        <w:rPr>
          <w:rFonts w:eastAsia="Times New Roman" w:cs="Times New Roman"/>
          <w:bCs/>
          <w:lang w:eastAsia="en-AU"/>
        </w:rPr>
        <w:t>7</w:t>
      </w:r>
      <w:r w:rsidR="00C35419" w:rsidRPr="0095732B">
        <w:rPr>
          <w:rFonts w:eastAsia="Times New Roman" w:cs="Times New Roman"/>
          <w:bCs/>
          <w:lang w:eastAsia="en-AU"/>
        </w:rPr>
        <w:t xml:space="preserve">/MHz/population) </w:t>
      </w:r>
      <w:proofErr w:type="gramStart"/>
      <w:r w:rsidR="006A0DD3" w:rsidRPr="0095732B">
        <w:rPr>
          <w:rFonts w:eastAsia="Times New Roman" w:cs="Times New Roman"/>
          <w:bCs/>
          <w:lang w:eastAsia="en-AU"/>
        </w:rPr>
        <w:t>is explained</w:t>
      </w:r>
      <w:proofErr w:type="gramEnd"/>
      <w:r w:rsidR="006A0DD3" w:rsidRPr="0095732B">
        <w:rPr>
          <w:rFonts w:eastAsia="Times New Roman" w:cs="Times New Roman"/>
          <w:bCs/>
          <w:lang w:eastAsia="en-AU"/>
        </w:rPr>
        <w:t xml:space="preserve"> earlier in this statement.</w:t>
      </w:r>
      <w:r w:rsidR="006A0DD3">
        <w:rPr>
          <w:rFonts w:eastAsia="Times New Roman" w:cs="Times New Roman"/>
          <w:bCs/>
          <w:lang w:eastAsia="en-AU"/>
        </w:rPr>
        <w:t xml:space="preserve"> </w:t>
      </w:r>
    </w:p>
    <w:p w14:paraId="3EDD98A1" w14:textId="58C54514" w:rsidR="000C0EA0" w:rsidRDefault="000C0EA0" w:rsidP="000C6B0B">
      <w:pPr>
        <w:rPr>
          <w:rFonts w:eastAsia="Times New Roman" w:cs="Times New Roman"/>
          <w:bCs/>
          <w:lang w:eastAsia="en-AU"/>
        </w:rPr>
      </w:pPr>
      <w:proofErr w:type="gramStart"/>
      <w:r>
        <w:rPr>
          <w:rFonts w:eastAsia="Times New Roman" w:cs="Times New Roman"/>
          <w:bCs/>
          <w:lang w:eastAsia="en-AU"/>
        </w:rPr>
        <w:t>Generally speaking, Class</w:t>
      </w:r>
      <w:proofErr w:type="gramEnd"/>
      <w:r>
        <w:rPr>
          <w:rFonts w:eastAsia="Times New Roman" w:cs="Times New Roman"/>
          <w:bCs/>
          <w:lang w:eastAsia="en-AU"/>
        </w:rPr>
        <w:t xml:space="preserve"> B PMTS licences issued after 5 April 2015 will include a list of “HCIS blocks”.</w:t>
      </w:r>
      <w:r w:rsidRPr="000C0EA0">
        <w:rPr>
          <w:bCs/>
          <w:lang w:eastAsia="en-AU"/>
        </w:rPr>
        <w:t xml:space="preserve"> </w:t>
      </w:r>
      <w:r w:rsidRPr="000C6B0B">
        <w:rPr>
          <w:bCs/>
          <w:lang w:eastAsia="en-AU"/>
        </w:rPr>
        <w:t xml:space="preserve">HCIS means the Hierarchical Cell Identification Scheme, a </w:t>
      </w:r>
      <w:r w:rsidRPr="000C6B0B">
        <w:t>naming convention developed by the ACMA that applies unique labels to each five minute of arc square cell (</w:t>
      </w:r>
      <w:r w:rsidRPr="00C75F89">
        <w:rPr>
          <w:b/>
        </w:rPr>
        <w:t>HCIS cell</w:t>
      </w:r>
      <w:r w:rsidRPr="000C6B0B">
        <w:t xml:space="preserve">) in </w:t>
      </w:r>
      <w:r w:rsidRPr="000C6B0B">
        <w:rPr>
          <w:lang w:val="en-US"/>
        </w:rPr>
        <w:t xml:space="preserve">the </w:t>
      </w:r>
      <w:r>
        <w:rPr>
          <w:lang w:val="en-US"/>
        </w:rPr>
        <w:t>Australian Spectrum Map Grid 2012 (</w:t>
      </w:r>
      <w:r w:rsidRPr="00C75F89">
        <w:rPr>
          <w:b/>
        </w:rPr>
        <w:t>ASMG</w:t>
      </w:r>
      <w:r>
        <w:t>)</w:t>
      </w:r>
      <w:r w:rsidRPr="000C6B0B">
        <w:t xml:space="preserve"> derived from the cell’s position in a hierarchically arranged grouping of cells.  The hierarchy has four levels</w:t>
      </w:r>
      <w:proofErr w:type="gramStart"/>
      <w:r w:rsidRPr="000C6B0B">
        <w:t>;</w:t>
      </w:r>
      <w:proofErr w:type="gramEnd"/>
      <w:r w:rsidRPr="000C6B0B">
        <w:t xml:space="preserve"> the smallest level being HCIS Level 1 for the five minute of arc square cells (approximately 9 km x 9 km) and the largest being HCIS Level 4 (approximately 330 km x 330 km)</w:t>
      </w:r>
      <w:r w:rsidRPr="00401BB0">
        <w:rPr>
          <w:rStyle w:val="FootnoteReference"/>
          <w:rFonts w:asciiTheme="minorHAnsi" w:eastAsia="Calibri" w:hAnsiTheme="minorHAnsi"/>
        </w:rPr>
        <w:footnoteReference w:id="5"/>
      </w:r>
      <w:r w:rsidRPr="000C6B0B">
        <w:t xml:space="preserve">.  An HCIS cell </w:t>
      </w:r>
      <w:proofErr w:type="gramStart"/>
      <w:r w:rsidRPr="000C6B0B">
        <w:t>is referred</w:t>
      </w:r>
      <w:proofErr w:type="gramEnd"/>
      <w:r w:rsidRPr="000C6B0B">
        <w:t xml:space="preserve"> to as HCIS Level 1 in the ASMG. </w:t>
      </w:r>
      <w:r>
        <w:t xml:space="preserve">HCIS blocks </w:t>
      </w:r>
      <w:proofErr w:type="gramStart"/>
      <w:r>
        <w:t>are identified</w:t>
      </w:r>
      <w:proofErr w:type="gramEnd"/>
      <w:r>
        <w:t xml:space="preserve"> as Levels 2, 3 and 4.   A level 2 block is a unique collection of nine level 1 cells, in a 3x3 formation.  A level 3 block is a unique collection of </w:t>
      </w:r>
      <w:r w:rsidR="00027FBE">
        <w:t>sixteen</w:t>
      </w:r>
      <w:r>
        <w:t xml:space="preserve"> level </w:t>
      </w:r>
      <w:proofErr w:type="gramStart"/>
      <w:r>
        <w:t>2</w:t>
      </w:r>
      <w:proofErr w:type="gramEnd"/>
      <w:r>
        <w:t xml:space="preserve"> blocks, in a </w:t>
      </w:r>
      <w:r w:rsidR="00027FBE">
        <w:t>4x4</w:t>
      </w:r>
      <w:bookmarkStart w:id="0" w:name="_GoBack"/>
      <w:bookmarkEnd w:id="0"/>
      <w:r>
        <w:t xml:space="preserve"> formation.  A level 4 block is a unique collection of nine level </w:t>
      </w:r>
      <w:proofErr w:type="gramStart"/>
      <w:r>
        <w:t>3</w:t>
      </w:r>
      <w:proofErr w:type="gramEnd"/>
      <w:r>
        <w:t xml:space="preserve"> blocks, again in a 3x3 formation.  The ASMG is published by the ACMA and available on its website.</w:t>
      </w:r>
    </w:p>
    <w:p w14:paraId="2A0F6DF3" w14:textId="2BD16C2D" w:rsidR="004F3A2E" w:rsidRDefault="000C0EA0" w:rsidP="000C6B0B">
      <w:pPr>
        <w:rPr>
          <w:rFonts w:eastAsia="Times New Roman" w:cs="Times New Roman"/>
          <w:bCs/>
          <w:lang w:eastAsia="en-AU"/>
        </w:rPr>
      </w:pPr>
      <w:r>
        <w:rPr>
          <w:rFonts w:eastAsia="Times New Roman" w:cs="Times New Roman"/>
          <w:bCs/>
          <w:lang w:eastAsia="en-AU"/>
        </w:rPr>
        <w:t xml:space="preserve">If a PMTS Class </w:t>
      </w:r>
      <w:proofErr w:type="gramStart"/>
      <w:r>
        <w:rPr>
          <w:rFonts w:eastAsia="Times New Roman" w:cs="Times New Roman"/>
          <w:bCs/>
          <w:lang w:eastAsia="en-AU"/>
        </w:rPr>
        <w:t>B</w:t>
      </w:r>
      <w:proofErr w:type="gramEnd"/>
      <w:r>
        <w:rPr>
          <w:rFonts w:eastAsia="Times New Roman" w:cs="Times New Roman"/>
          <w:bCs/>
          <w:lang w:eastAsia="en-AU"/>
        </w:rPr>
        <w:t xml:space="preserve"> licence specifies a list of HCIS blocks or cells, then the population of all those blocks and cells count towards the population used in calculating the transmitter licence tax.  </w:t>
      </w:r>
      <w:r w:rsidR="004F3A2E">
        <w:rPr>
          <w:rFonts w:eastAsia="Times New Roman" w:cs="Times New Roman"/>
          <w:bCs/>
          <w:lang w:eastAsia="en-AU"/>
        </w:rPr>
        <w:t xml:space="preserve">The population of </w:t>
      </w:r>
      <w:r>
        <w:rPr>
          <w:rFonts w:eastAsia="Times New Roman" w:cs="Times New Roman"/>
          <w:bCs/>
          <w:lang w:eastAsia="en-AU"/>
        </w:rPr>
        <w:t>an</w:t>
      </w:r>
      <w:r w:rsidR="004F3A2E">
        <w:rPr>
          <w:rFonts w:eastAsia="Times New Roman" w:cs="Times New Roman"/>
          <w:bCs/>
          <w:lang w:eastAsia="en-AU"/>
        </w:rPr>
        <w:t xml:space="preserve"> HCIS block </w:t>
      </w:r>
      <w:proofErr w:type="gramStart"/>
      <w:r w:rsidR="004F3A2E">
        <w:rPr>
          <w:rFonts w:eastAsia="Times New Roman" w:cs="Times New Roman"/>
          <w:bCs/>
          <w:lang w:eastAsia="en-AU"/>
        </w:rPr>
        <w:t>is defined</w:t>
      </w:r>
      <w:proofErr w:type="gramEnd"/>
      <w:r w:rsidR="004F3A2E">
        <w:rPr>
          <w:rFonts w:eastAsia="Times New Roman" w:cs="Times New Roman"/>
          <w:bCs/>
          <w:lang w:eastAsia="en-AU"/>
        </w:rPr>
        <w:t xml:space="preserve"> in item 702A as the population of the HCIS block listed in the </w:t>
      </w:r>
      <w:r w:rsidR="004F3A2E">
        <w:rPr>
          <w:rFonts w:eastAsia="Times New Roman" w:cs="Times New Roman"/>
          <w:bCs/>
          <w:i/>
          <w:lang w:eastAsia="en-AU"/>
        </w:rPr>
        <w:t>Hierarchical Cell Identification Scheme (HCIS) – List of Population Data</w:t>
      </w:r>
      <w:r w:rsidR="004F3A2E">
        <w:rPr>
          <w:rFonts w:eastAsia="Times New Roman" w:cs="Times New Roman"/>
          <w:bCs/>
          <w:lang w:eastAsia="en-AU"/>
        </w:rPr>
        <w:t xml:space="preserve"> (</w:t>
      </w:r>
      <w:r w:rsidR="004F3A2E" w:rsidRPr="00C75F89">
        <w:rPr>
          <w:rFonts w:eastAsia="Times New Roman" w:cs="Times New Roman"/>
          <w:b/>
          <w:bCs/>
          <w:lang w:eastAsia="en-AU"/>
        </w:rPr>
        <w:t>Population Document</w:t>
      </w:r>
      <w:r w:rsidR="004F3A2E">
        <w:rPr>
          <w:rFonts w:eastAsia="Times New Roman" w:cs="Times New Roman"/>
          <w:bCs/>
          <w:lang w:eastAsia="en-AU"/>
        </w:rPr>
        <w:t xml:space="preserve">). The Population Document is a document published by the </w:t>
      </w:r>
      <w:proofErr w:type="gramStart"/>
      <w:r w:rsidR="004F3A2E">
        <w:rPr>
          <w:rFonts w:eastAsia="Times New Roman" w:cs="Times New Roman"/>
          <w:bCs/>
          <w:lang w:eastAsia="en-AU"/>
        </w:rPr>
        <w:t>ACMA which</w:t>
      </w:r>
      <w:proofErr w:type="gramEnd"/>
      <w:r w:rsidR="004F3A2E">
        <w:rPr>
          <w:rFonts w:eastAsia="Times New Roman" w:cs="Times New Roman"/>
          <w:bCs/>
          <w:lang w:eastAsia="en-AU"/>
        </w:rPr>
        <w:t xml:space="preserve"> specifies the population of each HCIS cell and HCIS block on </w:t>
      </w:r>
      <w:r>
        <w:rPr>
          <w:rFonts w:eastAsia="Times New Roman" w:cs="Times New Roman"/>
          <w:bCs/>
          <w:lang w:eastAsia="en-AU"/>
        </w:rPr>
        <w:t>the ASMG</w:t>
      </w:r>
      <w:r w:rsidR="004F3A2E">
        <w:rPr>
          <w:rFonts w:eastAsia="Times New Roman" w:cs="Times New Roman"/>
          <w:bCs/>
          <w:lang w:eastAsia="en-AU"/>
        </w:rPr>
        <w:t xml:space="preserve"> by reference to the unique identifier (</w:t>
      </w:r>
      <w:r w:rsidR="004F3A2E" w:rsidRPr="00C75F89">
        <w:rPr>
          <w:rFonts w:eastAsia="Times New Roman" w:cs="Times New Roman"/>
          <w:b/>
          <w:bCs/>
          <w:lang w:eastAsia="en-AU"/>
        </w:rPr>
        <w:t>HCIS identifier</w:t>
      </w:r>
      <w:r w:rsidR="004F3A2E">
        <w:rPr>
          <w:rFonts w:eastAsia="Times New Roman" w:cs="Times New Roman"/>
          <w:bCs/>
          <w:lang w:eastAsia="en-AU"/>
        </w:rPr>
        <w:t xml:space="preserve">) for the cell/block in the ASMG.  The population figures </w:t>
      </w:r>
      <w:proofErr w:type="gramStart"/>
      <w:r w:rsidR="004F3A2E">
        <w:rPr>
          <w:rFonts w:eastAsia="Times New Roman" w:cs="Times New Roman"/>
          <w:bCs/>
          <w:lang w:eastAsia="en-AU"/>
        </w:rPr>
        <w:t>are based</w:t>
      </w:r>
      <w:proofErr w:type="gramEnd"/>
      <w:r w:rsidR="004F3A2E">
        <w:rPr>
          <w:rFonts w:eastAsia="Times New Roman" w:cs="Times New Roman"/>
          <w:bCs/>
          <w:lang w:eastAsia="en-AU"/>
        </w:rPr>
        <w:t xml:space="preserve"> on the population figures published by the Australian Bureau of Statistics in the 2011 Census. </w:t>
      </w:r>
    </w:p>
    <w:p w14:paraId="5321E32A" w14:textId="76E41F9C" w:rsidR="00E30D53" w:rsidRPr="00726945" w:rsidRDefault="00E30D53" w:rsidP="000C6B0B">
      <w:pPr>
        <w:rPr>
          <w:bCs/>
          <w:lang w:eastAsia="en-AU"/>
        </w:rPr>
      </w:pPr>
      <w:r>
        <w:rPr>
          <w:rFonts w:eastAsia="Times New Roman" w:cs="Times New Roman"/>
          <w:bCs/>
          <w:lang w:eastAsia="en-AU"/>
        </w:rPr>
        <w:t>If a PMTS Class B licence does not specify a series of HCIS blocks or cells, it will still specify a site at which a transmitter may be located.  In this case, the population for the purposes of calculating the tax is the population of the HCIS Level 2 block within which the transmitter may be located.</w:t>
      </w:r>
    </w:p>
    <w:p w14:paraId="0ED42188" w14:textId="77777777" w:rsidR="00472604" w:rsidRDefault="00472604">
      <w:pPr>
        <w:rPr>
          <w:rFonts w:eastAsia="Times New Roman" w:cs="Times New Roman"/>
          <w:b/>
          <w:bCs/>
          <w:lang w:eastAsia="en-AU"/>
        </w:rPr>
      </w:pPr>
      <w:r>
        <w:rPr>
          <w:rFonts w:eastAsia="Times New Roman" w:cs="Times New Roman"/>
          <w:b/>
          <w:bCs/>
          <w:lang w:eastAsia="en-AU"/>
        </w:rPr>
        <w:br w:type="page"/>
      </w:r>
    </w:p>
    <w:p w14:paraId="021CA4B9" w14:textId="2026E2B6" w:rsidR="008C3950" w:rsidRDefault="008C3950">
      <w:pPr>
        <w:rPr>
          <w:rFonts w:eastAsia="Times New Roman" w:cs="Times New Roman"/>
          <w:b/>
          <w:bCs/>
          <w:lang w:eastAsia="en-AU"/>
        </w:rPr>
      </w:pPr>
      <w:r w:rsidRPr="008C3950">
        <w:rPr>
          <w:rFonts w:eastAsia="Times New Roman" w:cs="Times New Roman"/>
          <w:b/>
          <w:bCs/>
          <w:lang w:eastAsia="en-AU"/>
        </w:rPr>
        <w:lastRenderedPageBreak/>
        <w:t>Part 8</w:t>
      </w:r>
      <w:r w:rsidR="00E1059F">
        <w:rPr>
          <w:rFonts w:eastAsia="Times New Roman" w:cs="Times New Roman"/>
          <w:b/>
          <w:bCs/>
          <w:lang w:eastAsia="en-AU"/>
        </w:rPr>
        <w:tab/>
        <w:t>High Power Open Narrowcasting Services – Broadcasting Licences</w:t>
      </w:r>
    </w:p>
    <w:p w14:paraId="635B9D36" w14:textId="0B9A8088" w:rsidR="00DF6DC9" w:rsidRDefault="006276DE">
      <w:pPr>
        <w:rPr>
          <w:rFonts w:eastAsia="Times New Roman" w:cs="Times New Roman"/>
          <w:bCs/>
          <w:lang w:eastAsia="en-AU"/>
        </w:rPr>
      </w:pPr>
      <w:r>
        <w:rPr>
          <w:rFonts w:eastAsia="Times New Roman" w:cs="Times New Roman"/>
          <w:bCs/>
          <w:lang w:eastAsia="en-AU"/>
        </w:rPr>
        <w:t xml:space="preserve">Part 8 sets out </w:t>
      </w:r>
      <w:r w:rsidR="00DC18B1">
        <w:rPr>
          <w:rFonts w:eastAsia="Times New Roman" w:cs="Times New Roman"/>
          <w:bCs/>
          <w:lang w:eastAsia="en-AU"/>
        </w:rPr>
        <w:t xml:space="preserve">how to calculate </w:t>
      </w:r>
      <w:r>
        <w:rPr>
          <w:rFonts w:eastAsia="Times New Roman" w:cs="Times New Roman"/>
          <w:bCs/>
          <w:lang w:eastAsia="en-AU"/>
        </w:rPr>
        <w:t xml:space="preserve">the tax amounts for </w:t>
      </w:r>
      <w:r w:rsidR="00DC18B1">
        <w:rPr>
          <w:rFonts w:eastAsia="Times New Roman" w:cs="Times New Roman"/>
          <w:bCs/>
          <w:lang w:eastAsia="en-AU"/>
        </w:rPr>
        <w:t xml:space="preserve">licences that allow a person to transmit a </w:t>
      </w:r>
      <w:proofErr w:type="gramStart"/>
      <w:r w:rsidR="00DC18B1">
        <w:rPr>
          <w:rFonts w:eastAsia="Times New Roman" w:cs="Times New Roman"/>
          <w:bCs/>
          <w:lang w:eastAsia="en-AU"/>
        </w:rPr>
        <w:t>high powered</w:t>
      </w:r>
      <w:proofErr w:type="gramEnd"/>
      <w:r w:rsidR="00DC18B1">
        <w:rPr>
          <w:rFonts w:eastAsia="Times New Roman" w:cs="Times New Roman"/>
          <w:bCs/>
          <w:lang w:eastAsia="en-AU"/>
        </w:rPr>
        <w:t xml:space="preserve"> open narrowcasting service, and which have been allocated by auction (item 801)</w:t>
      </w:r>
      <w:r w:rsidR="00DF6DC9">
        <w:rPr>
          <w:rFonts w:eastAsia="Times New Roman" w:cs="Times New Roman"/>
          <w:bCs/>
          <w:lang w:eastAsia="en-AU"/>
        </w:rPr>
        <w:t xml:space="preserve">. The amounts specified are by geographic area (Table 802). The Part applies </w:t>
      </w:r>
      <w:proofErr w:type="gramStart"/>
      <w:r w:rsidR="00DF6DC9">
        <w:rPr>
          <w:rFonts w:eastAsia="Times New Roman" w:cs="Times New Roman"/>
          <w:bCs/>
          <w:lang w:eastAsia="en-AU"/>
        </w:rPr>
        <w:t>to</w:t>
      </w:r>
      <w:proofErr w:type="gramEnd"/>
      <w:r w:rsidR="00DF6DC9">
        <w:rPr>
          <w:rFonts w:eastAsia="Times New Roman" w:cs="Times New Roman"/>
          <w:bCs/>
          <w:lang w:eastAsia="en-AU"/>
        </w:rPr>
        <w:t>:</w:t>
      </w:r>
    </w:p>
    <w:p w14:paraId="1844F5D8" w14:textId="77777777" w:rsidR="00DF6DC9" w:rsidRPr="00726945" w:rsidRDefault="00DF6DC9" w:rsidP="00C75F89">
      <w:pPr>
        <w:pStyle w:val="ListParagraph"/>
        <w:numPr>
          <w:ilvl w:val="0"/>
          <w:numId w:val="20"/>
        </w:numPr>
        <w:rPr>
          <w:bCs/>
        </w:rPr>
      </w:pPr>
      <w:r w:rsidRPr="00DF6DC9">
        <w:rPr>
          <w:rFonts w:eastAsia="Times New Roman" w:cs="Times New Roman"/>
          <w:bCs/>
          <w:lang w:eastAsia="en-AU"/>
        </w:rPr>
        <w:t xml:space="preserve"> broadcasting licences allocated under the </w:t>
      </w:r>
      <w:r w:rsidRPr="00DF6DC9">
        <w:rPr>
          <w:i/>
        </w:rPr>
        <w:t xml:space="preserve">Radiocommunications (Issue of Broadcasting (Narrowcasting) Transmitter Licences) Determination No. 1 of 1996 </w:t>
      </w:r>
      <w:r>
        <w:t>(</w:t>
      </w:r>
      <w:r w:rsidRPr="00DF6DC9">
        <w:rPr>
          <w:b/>
          <w:i/>
        </w:rPr>
        <w:t>1996 Determination</w:t>
      </w:r>
      <w:r>
        <w:t xml:space="preserve">) or licences allocated under the 1996 Determination and subsequently renewed under section 130 of the </w:t>
      </w:r>
      <w:r w:rsidRPr="00DF6DC9">
        <w:rPr>
          <w:i/>
        </w:rPr>
        <w:t>Rad</w:t>
      </w:r>
      <w:r>
        <w:rPr>
          <w:i/>
        </w:rPr>
        <w:t>iocommunications Act 1992</w:t>
      </w:r>
      <w:r>
        <w:t>; and</w:t>
      </w:r>
    </w:p>
    <w:p w14:paraId="406EDD24" w14:textId="0D8FC5AA" w:rsidR="00DF6DC9" w:rsidRPr="00C75F89" w:rsidRDefault="001E3D65" w:rsidP="00C75F89">
      <w:pPr>
        <w:pStyle w:val="ListParagraph"/>
        <w:numPr>
          <w:ilvl w:val="0"/>
          <w:numId w:val="20"/>
        </w:numPr>
        <w:rPr>
          <w:rFonts w:eastAsia="Times New Roman" w:cs="Times New Roman"/>
          <w:bCs/>
          <w:lang w:eastAsia="en-AU"/>
        </w:rPr>
      </w:pPr>
      <w:r>
        <w:rPr>
          <w:rFonts w:eastAsia="Times New Roman" w:cs="Times New Roman"/>
          <w:bCs/>
          <w:lang w:eastAsia="en-AU"/>
        </w:rPr>
        <w:t>b</w:t>
      </w:r>
      <w:r w:rsidR="00DF6DC9" w:rsidRPr="00726945">
        <w:rPr>
          <w:rFonts w:eastAsia="Times New Roman" w:cs="Times New Roman"/>
          <w:bCs/>
          <w:lang w:eastAsia="en-AU"/>
        </w:rPr>
        <w:t xml:space="preserve">roadcasting licences allocated under the </w:t>
      </w:r>
      <w:r w:rsidR="00DF6DC9" w:rsidRPr="00DF6DC9">
        <w:rPr>
          <w:i/>
        </w:rPr>
        <w:t xml:space="preserve">Radiocommunications (Allocation of Transmitter Licences – High Powered Open Narrowcasting Licences) Determination 2014 </w:t>
      </w:r>
      <w:r w:rsidR="00DF6DC9">
        <w:t>(</w:t>
      </w:r>
      <w:r w:rsidR="00DF6DC9" w:rsidRPr="00DF6DC9">
        <w:rPr>
          <w:b/>
          <w:i/>
        </w:rPr>
        <w:t>2014 Determination</w:t>
      </w:r>
      <w:r w:rsidR="00DF6DC9">
        <w:t xml:space="preserve">) or allocated under the 2014 Determination, and subsequently renewed under section 130 of the </w:t>
      </w:r>
      <w:r w:rsidR="00DF6DC9" w:rsidRPr="00DF6DC9">
        <w:rPr>
          <w:i/>
        </w:rPr>
        <w:t>Radiocommunications Act 1992</w:t>
      </w:r>
      <w:r w:rsidR="00DF6DC9">
        <w:t xml:space="preserve">. </w:t>
      </w:r>
    </w:p>
    <w:p w14:paraId="728D65B2" w14:textId="002BC680" w:rsidR="00DF6DC9" w:rsidRPr="00C75F89" w:rsidRDefault="00DF6DC9" w:rsidP="00DF6DC9">
      <w:pPr>
        <w:rPr>
          <w:rFonts w:eastAsia="Times New Roman" w:cs="Times New Roman"/>
          <w:bCs/>
          <w:lang w:eastAsia="en-AU"/>
        </w:rPr>
      </w:pPr>
      <w:r>
        <w:rPr>
          <w:rFonts w:eastAsia="Times New Roman" w:cs="Times New Roman"/>
          <w:bCs/>
          <w:lang w:eastAsia="en-AU"/>
        </w:rPr>
        <w:t xml:space="preserve">Only such licences that authorise the operation of open narrowcasting services within the frequency range </w:t>
      </w:r>
      <w:r w:rsidRPr="00476B0F">
        <w:t>526.5 kHz–1</w:t>
      </w:r>
      <w:r>
        <w:t> </w:t>
      </w:r>
      <w:r w:rsidRPr="00476B0F">
        <w:t>606.5 kHz or 87.5 MHz–</w:t>
      </w:r>
      <w:proofErr w:type="gramStart"/>
      <w:r w:rsidRPr="00476B0F">
        <w:t>108 MHz</w:t>
      </w:r>
      <w:r>
        <w:t xml:space="preserve"> are covered by Part 8</w:t>
      </w:r>
      <w:proofErr w:type="gramEnd"/>
      <w:r>
        <w:t>.</w:t>
      </w:r>
    </w:p>
    <w:p w14:paraId="75B92291" w14:textId="0F0A3079" w:rsidR="00DF6DC9" w:rsidRDefault="00DF6DC9" w:rsidP="00DF6DC9">
      <w:r>
        <w:t xml:space="preserve">The 1996 Determination </w:t>
      </w:r>
      <w:proofErr w:type="gramStart"/>
      <w:r>
        <w:t>was revoked</w:t>
      </w:r>
      <w:proofErr w:type="gramEnd"/>
      <w:r>
        <w:t xml:space="preserve"> </w:t>
      </w:r>
      <w:r w:rsidR="00DC18B1">
        <w:t>by</w:t>
      </w:r>
      <w:r>
        <w:t xml:space="preserve"> the 2014 Determination</w:t>
      </w:r>
      <w:r w:rsidR="00DC18B1">
        <w:t>;</w:t>
      </w:r>
      <w:r>
        <w:t xml:space="preserve"> however, licences allocated under the 1996 Determination continue to have effect. </w:t>
      </w:r>
    </w:p>
    <w:p w14:paraId="5C4C976D" w14:textId="0DFBC69E" w:rsidR="00DF6DC9" w:rsidRDefault="00DF6DC9" w:rsidP="00DF6DC9">
      <w:r>
        <w:t xml:space="preserve">Item 803 provides for a reduced tax </w:t>
      </w:r>
      <w:proofErr w:type="gramStart"/>
      <w:r>
        <w:t>amount for certain</w:t>
      </w:r>
      <w:proofErr w:type="gramEnd"/>
      <w:r>
        <w:t xml:space="preserve"> broadcasting licences. </w:t>
      </w:r>
    </w:p>
    <w:p w14:paraId="39C95B32" w14:textId="7AC65D78" w:rsidR="006276DE" w:rsidRPr="00C75F89" w:rsidRDefault="00DF6DC9" w:rsidP="00DF6DC9">
      <w:pPr>
        <w:rPr>
          <w:rFonts w:eastAsia="Times New Roman" w:cs="Times New Roman"/>
          <w:bCs/>
          <w:lang w:eastAsia="en-AU"/>
        </w:rPr>
      </w:pPr>
      <w:r>
        <w:t xml:space="preserve"> </w:t>
      </w:r>
      <w:r w:rsidRPr="00DF6DC9">
        <w:rPr>
          <w:i/>
        </w:rPr>
        <w:t xml:space="preserve"> </w:t>
      </w:r>
      <w:r w:rsidR="005E71FE" w:rsidRPr="00C75F89">
        <w:rPr>
          <w:rFonts w:eastAsia="Times New Roman" w:cs="Times New Roman"/>
          <w:bCs/>
          <w:lang w:eastAsia="en-AU"/>
        </w:rPr>
        <w:t xml:space="preserve"> </w:t>
      </w:r>
    </w:p>
    <w:p w14:paraId="26189E2F" w14:textId="1FFA89F4" w:rsidR="005E71FE" w:rsidRDefault="005E71FE">
      <w:pPr>
        <w:rPr>
          <w:rFonts w:eastAsia="Times New Roman" w:cs="Times New Roman"/>
          <w:b/>
          <w:bCs/>
          <w:lang w:eastAsia="en-AU"/>
        </w:rPr>
      </w:pPr>
      <w:r>
        <w:rPr>
          <w:rFonts w:eastAsia="Times New Roman" w:cs="Times New Roman"/>
          <w:b/>
          <w:bCs/>
          <w:lang w:eastAsia="en-AU"/>
        </w:rPr>
        <w:t xml:space="preserve">Part </w:t>
      </w:r>
      <w:r w:rsidR="00E1059F">
        <w:rPr>
          <w:rFonts w:eastAsia="Times New Roman" w:cs="Times New Roman"/>
          <w:b/>
          <w:bCs/>
          <w:lang w:eastAsia="en-AU"/>
        </w:rPr>
        <w:t>9</w:t>
      </w:r>
    </w:p>
    <w:p w14:paraId="5A112926" w14:textId="698B255D" w:rsidR="005E71FE" w:rsidRPr="005E71FE" w:rsidRDefault="005E71FE">
      <w:pPr>
        <w:rPr>
          <w:rFonts w:eastAsia="Times New Roman" w:cs="Times New Roman"/>
          <w:bCs/>
          <w:lang w:eastAsia="en-AU"/>
        </w:rPr>
      </w:pPr>
      <w:r>
        <w:rPr>
          <w:rFonts w:eastAsia="Times New Roman" w:cs="Times New Roman"/>
          <w:bCs/>
          <w:lang w:eastAsia="en-AU"/>
        </w:rPr>
        <w:t xml:space="preserve">Part </w:t>
      </w:r>
      <w:r w:rsidR="00E1059F">
        <w:rPr>
          <w:rFonts w:eastAsia="Times New Roman" w:cs="Times New Roman"/>
          <w:bCs/>
          <w:lang w:eastAsia="en-AU"/>
        </w:rPr>
        <w:t>9</w:t>
      </w:r>
      <w:r>
        <w:rPr>
          <w:rFonts w:eastAsia="Times New Roman" w:cs="Times New Roman"/>
          <w:bCs/>
          <w:lang w:eastAsia="en-AU"/>
        </w:rPr>
        <w:t xml:space="preserve"> sets out the </w:t>
      </w:r>
      <w:r w:rsidR="00E1059F">
        <w:rPr>
          <w:rFonts w:eastAsia="Times New Roman" w:cs="Times New Roman"/>
          <w:bCs/>
          <w:lang w:eastAsia="en-AU"/>
        </w:rPr>
        <w:t xml:space="preserve">fixed annual </w:t>
      </w:r>
      <w:r>
        <w:rPr>
          <w:rFonts w:eastAsia="Times New Roman" w:cs="Times New Roman"/>
          <w:bCs/>
          <w:lang w:eastAsia="en-AU"/>
        </w:rPr>
        <w:t xml:space="preserve">tax amounts for licences that relate to a non-assigned station. </w:t>
      </w:r>
      <w:r w:rsidR="00DF6DC9">
        <w:rPr>
          <w:rFonts w:eastAsia="Times New Roman" w:cs="Times New Roman"/>
          <w:bCs/>
          <w:lang w:eastAsia="en-AU"/>
        </w:rPr>
        <w:t xml:space="preserve">The amount of tax </w:t>
      </w:r>
      <w:proofErr w:type="gramStart"/>
      <w:r w:rsidR="00DF6DC9">
        <w:rPr>
          <w:rFonts w:eastAsia="Times New Roman" w:cs="Times New Roman"/>
          <w:bCs/>
          <w:lang w:eastAsia="en-AU"/>
        </w:rPr>
        <w:t>is specified</w:t>
      </w:r>
      <w:proofErr w:type="gramEnd"/>
      <w:r w:rsidR="00DF6DC9">
        <w:rPr>
          <w:rFonts w:eastAsia="Times New Roman" w:cs="Times New Roman"/>
          <w:bCs/>
          <w:lang w:eastAsia="en-AU"/>
        </w:rPr>
        <w:t xml:space="preserve"> by reference to the type of station (Table 902). </w:t>
      </w:r>
    </w:p>
    <w:p w14:paraId="5D19CBFD" w14:textId="45721623" w:rsidR="00106A5D" w:rsidRDefault="00106A5D">
      <w:pPr>
        <w:rPr>
          <w:rFonts w:eastAsia="Times New Roman" w:cs="Times New Roman"/>
          <w:b/>
          <w:bCs/>
          <w:lang w:eastAsia="en-AU"/>
        </w:rPr>
      </w:pPr>
    </w:p>
    <w:p w14:paraId="64CB5D82" w14:textId="7A5D01C5" w:rsidR="008C3950" w:rsidRDefault="008C3950">
      <w:pPr>
        <w:rPr>
          <w:rFonts w:eastAsia="Times New Roman" w:cs="Times New Roman"/>
          <w:b/>
          <w:bCs/>
          <w:lang w:eastAsia="en-AU"/>
        </w:rPr>
      </w:pPr>
      <w:r w:rsidRPr="008C3950">
        <w:rPr>
          <w:rFonts w:eastAsia="Times New Roman" w:cs="Times New Roman"/>
          <w:b/>
          <w:bCs/>
          <w:lang w:eastAsia="en-AU"/>
        </w:rPr>
        <w:t xml:space="preserve">Schedule </w:t>
      </w:r>
      <w:proofErr w:type="gramStart"/>
      <w:r w:rsidRPr="008C3950">
        <w:rPr>
          <w:rFonts w:eastAsia="Times New Roman" w:cs="Times New Roman"/>
          <w:b/>
          <w:bCs/>
          <w:lang w:eastAsia="en-AU"/>
        </w:rPr>
        <w:t>3</w:t>
      </w:r>
      <w:proofErr w:type="gramEnd"/>
      <w:r w:rsidRPr="008C3950">
        <w:rPr>
          <w:rFonts w:eastAsia="Times New Roman" w:cs="Times New Roman"/>
          <w:b/>
          <w:bCs/>
          <w:lang w:eastAsia="en-AU"/>
        </w:rPr>
        <w:t xml:space="preserve"> – Working out transmitter licence tax for a particular licence period</w:t>
      </w:r>
    </w:p>
    <w:p w14:paraId="34F81C24" w14:textId="1CC1F582" w:rsidR="00106A5D" w:rsidRPr="00DC18B1" w:rsidRDefault="00106A5D" w:rsidP="00106A5D">
      <w:pPr>
        <w:rPr>
          <w:rFonts w:eastAsia="Times New Roman" w:cs="Arial"/>
          <w:bCs/>
          <w:lang w:eastAsia="en-AU"/>
        </w:rPr>
      </w:pPr>
      <w:r w:rsidRPr="00DC18B1">
        <w:rPr>
          <w:rFonts w:eastAsia="Times New Roman" w:cs="Arial"/>
          <w:bCs/>
          <w:lang w:eastAsia="en-AU"/>
        </w:rPr>
        <w:t xml:space="preserve">Schedule 3 sets out how to calculate a </w:t>
      </w:r>
      <w:r w:rsidR="00DC18B1">
        <w:rPr>
          <w:rFonts w:eastAsia="Times New Roman" w:cs="Arial"/>
          <w:bCs/>
          <w:lang w:eastAsia="en-AU"/>
        </w:rPr>
        <w:t>transmitter</w:t>
      </w:r>
      <w:r w:rsidRPr="00DC18B1">
        <w:rPr>
          <w:rFonts w:eastAsia="Times New Roman" w:cs="Arial"/>
          <w:bCs/>
          <w:lang w:eastAsia="en-AU"/>
        </w:rPr>
        <w:t xml:space="preserve"> licence tax for a particular licence period</w:t>
      </w:r>
      <w:r w:rsidR="00DC18B1">
        <w:rPr>
          <w:rFonts w:eastAsia="Times New Roman" w:cs="Arial"/>
          <w:bCs/>
          <w:lang w:eastAsia="en-AU"/>
        </w:rPr>
        <w:t xml:space="preserve">. </w:t>
      </w:r>
      <w:r w:rsidRPr="00DC18B1">
        <w:rPr>
          <w:rFonts w:eastAsia="Times New Roman" w:cs="Arial"/>
          <w:bCs/>
          <w:lang w:eastAsia="en-AU"/>
        </w:rPr>
        <w:t xml:space="preserve"> Section </w:t>
      </w:r>
      <w:proofErr w:type="gramStart"/>
      <w:r w:rsidRPr="00DC18B1">
        <w:rPr>
          <w:rFonts w:eastAsia="Times New Roman" w:cs="Arial"/>
          <w:bCs/>
          <w:lang w:eastAsia="en-AU"/>
        </w:rPr>
        <w:t>6</w:t>
      </w:r>
      <w:proofErr w:type="gramEnd"/>
      <w:r w:rsidRPr="00DC18B1">
        <w:rPr>
          <w:rFonts w:eastAsia="Times New Roman" w:cs="Arial"/>
          <w:bCs/>
          <w:lang w:eastAsia="en-AU"/>
        </w:rPr>
        <w:t xml:space="preserve"> of the Act sets out w</w:t>
      </w:r>
      <w:r w:rsidRPr="00620A98">
        <w:rPr>
          <w:rFonts w:eastAsia="Times New Roman" w:cs="Arial"/>
          <w:bCs/>
          <w:lang w:eastAsia="en-AU"/>
        </w:rPr>
        <w:t>hen tax is imposed on a transmitter</w:t>
      </w:r>
      <w:r w:rsidRPr="00DC18B1">
        <w:rPr>
          <w:rFonts w:eastAsia="Times New Roman" w:cs="Arial"/>
          <w:bCs/>
          <w:lang w:eastAsia="en-AU"/>
        </w:rPr>
        <w:t xml:space="preserve"> licence. Holders of licences issued for a period exceeding 12 months may also elect for tax to be imposed at a particular time – for example, on issue of the licence or on issue and on each anniversary of the date the licence came into force during the period of the licence. </w:t>
      </w:r>
    </w:p>
    <w:p w14:paraId="7CF3485D" w14:textId="19C64030" w:rsidR="00DC18B1" w:rsidRDefault="00DC18B1" w:rsidP="00106A5D">
      <w:pPr>
        <w:rPr>
          <w:rFonts w:eastAsia="Times New Roman" w:cs="Arial"/>
          <w:bCs/>
          <w:lang w:eastAsia="en-AU"/>
        </w:rPr>
      </w:pPr>
      <w:r>
        <w:rPr>
          <w:rFonts w:eastAsia="Times New Roman" w:cs="Arial"/>
          <w:bCs/>
          <w:lang w:eastAsia="en-AU"/>
        </w:rPr>
        <w:t>Item 101 of Schedule 3 discounts February 29 in leap years from any calculation of transmitter licence tax.</w:t>
      </w:r>
    </w:p>
    <w:p w14:paraId="638FABFF" w14:textId="50362D9A" w:rsidR="00DC18B1" w:rsidRDefault="00DC18B1" w:rsidP="00106A5D">
      <w:pPr>
        <w:rPr>
          <w:rFonts w:eastAsia="Times New Roman" w:cs="Arial"/>
          <w:bCs/>
          <w:lang w:eastAsia="en-AU"/>
        </w:rPr>
      </w:pPr>
      <w:r>
        <w:rPr>
          <w:rFonts w:eastAsia="Times New Roman" w:cs="Arial"/>
          <w:bCs/>
          <w:lang w:eastAsia="en-AU"/>
        </w:rPr>
        <w:t>Item 102 of Schedule 3 provides for rounding up or down of calculated amounts to the nearest whole dollar.</w:t>
      </w:r>
    </w:p>
    <w:p w14:paraId="4E9AAAD4" w14:textId="363E0026" w:rsidR="003243E4" w:rsidRDefault="00106A5D" w:rsidP="00106A5D">
      <w:pPr>
        <w:rPr>
          <w:rFonts w:eastAsia="Times New Roman" w:cs="Arial"/>
          <w:bCs/>
          <w:lang w:eastAsia="en-AU"/>
        </w:rPr>
      </w:pPr>
      <w:r w:rsidRPr="00DC18B1">
        <w:rPr>
          <w:rFonts w:eastAsia="Times New Roman" w:cs="Arial"/>
          <w:bCs/>
          <w:lang w:eastAsia="en-AU"/>
        </w:rPr>
        <w:t>Item 103 of Schedule 3 deals with full payment of tax on issue of a licence</w:t>
      </w:r>
      <w:r w:rsidR="003243E4">
        <w:rPr>
          <w:rFonts w:eastAsia="Times New Roman" w:cs="Arial"/>
          <w:bCs/>
          <w:lang w:eastAsia="en-AU"/>
        </w:rPr>
        <w:t xml:space="preserve"> in force for a period of 12 months or less</w:t>
      </w:r>
      <w:r w:rsidR="00E9519F">
        <w:rPr>
          <w:rFonts w:eastAsia="Times New Roman" w:cs="Arial"/>
          <w:bCs/>
          <w:lang w:eastAsia="en-AU"/>
        </w:rPr>
        <w:t>, and a licence in force for a period greater than 12 months where the licensee has not elected to pay the tax by instalments</w:t>
      </w:r>
      <w:r w:rsidR="003243E4">
        <w:rPr>
          <w:rFonts w:eastAsia="Times New Roman" w:cs="Arial"/>
          <w:bCs/>
          <w:lang w:eastAsia="en-AU"/>
        </w:rPr>
        <w:t>.  Table 103 effectively requires the addition of the amounts calculated for all spectrum accesses in the licence (</w:t>
      </w:r>
      <w:r w:rsidR="00E9519F">
        <w:rPr>
          <w:rFonts w:eastAsia="Times New Roman" w:cs="Arial"/>
          <w:bCs/>
          <w:lang w:eastAsia="en-AU"/>
        </w:rPr>
        <w:t>pro-rated in any year where the licence is not in force for the entire year</w:t>
      </w:r>
      <w:r w:rsidR="003243E4">
        <w:rPr>
          <w:rFonts w:eastAsia="Times New Roman" w:cs="Arial"/>
          <w:bCs/>
          <w:lang w:eastAsia="en-AU"/>
        </w:rPr>
        <w:t xml:space="preserve">), to determine the transmitter licence tax for the licence.  If that works out to be less than the minimum annual amount, the amount becomes the minimum annual amount.  A discount is applied for a licensee who is an ‘eligible person’ (defined in the Dictionary to mean the </w:t>
      </w:r>
      <w:r w:rsidR="003243E4">
        <w:rPr>
          <w:rFonts w:eastAsia="Times New Roman" w:cs="Arial"/>
          <w:bCs/>
          <w:lang w:eastAsia="en-AU"/>
        </w:rPr>
        <w:lastRenderedPageBreak/>
        <w:t>Royal Flying Doctor Service of Australia, or a person who uses a narrowcasting service station solely to provide services for educational and community non-profit purposes).</w:t>
      </w:r>
    </w:p>
    <w:p w14:paraId="3A18903F" w14:textId="1B1FA5B5" w:rsidR="003243E4" w:rsidRDefault="003243E4" w:rsidP="00106A5D">
      <w:pPr>
        <w:rPr>
          <w:rFonts w:eastAsia="Times New Roman" w:cs="Arial"/>
          <w:bCs/>
          <w:lang w:eastAsia="en-AU"/>
        </w:rPr>
      </w:pPr>
      <w:r>
        <w:rPr>
          <w:rFonts w:eastAsia="Times New Roman" w:cs="Arial"/>
          <w:bCs/>
          <w:lang w:eastAsia="en-AU"/>
        </w:rPr>
        <w:t>I</w:t>
      </w:r>
      <w:r w:rsidR="00106A5D" w:rsidRPr="00DC18B1">
        <w:rPr>
          <w:rFonts w:eastAsia="Times New Roman" w:cs="Arial"/>
          <w:bCs/>
          <w:lang w:eastAsia="en-AU"/>
        </w:rPr>
        <w:t xml:space="preserve">tem 104 </w:t>
      </w:r>
      <w:r>
        <w:rPr>
          <w:rFonts w:eastAsia="Times New Roman" w:cs="Arial"/>
          <w:bCs/>
          <w:lang w:eastAsia="en-AU"/>
        </w:rPr>
        <w:t xml:space="preserve">of Schedule 3 deals with </w:t>
      </w:r>
      <w:r w:rsidR="00E9519F">
        <w:rPr>
          <w:rFonts w:eastAsia="Times New Roman" w:cs="Arial"/>
          <w:bCs/>
          <w:lang w:eastAsia="en-AU"/>
        </w:rPr>
        <w:t>imposition</w:t>
      </w:r>
      <w:r>
        <w:rPr>
          <w:rFonts w:eastAsia="Times New Roman" w:cs="Arial"/>
          <w:bCs/>
          <w:lang w:eastAsia="en-AU"/>
        </w:rPr>
        <w:t xml:space="preserve"> of tax </w:t>
      </w:r>
      <w:r w:rsidRPr="007E4942">
        <w:rPr>
          <w:rFonts w:eastAsia="Times New Roman" w:cs="Arial"/>
          <w:bCs/>
          <w:lang w:eastAsia="en-AU"/>
        </w:rPr>
        <w:t>on issue</w:t>
      </w:r>
      <w:r w:rsidRPr="00B6541D">
        <w:rPr>
          <w:rFonts w:eastAsia="Times New Roman" w:cs="Arial"/>
          <w:bCs/>
          <w:lang w:eastAsia="en-AU"/>
        </w:rPr>
        <w:t xml:space="preserve"> </w:t>
      </w:r>
      <w:r>
        <w:rPr>
          <w:rFonts w:eastAsia="Times New Roman" w:cs="Arial"/>
          <w:bCs/>
          <w:lang w:eastAsia="en-AU"/>
        </w:rPr>
        <w:t xml:space="preserve">of a licence in force for more than 12 months, where the licensee has elected to pay the tax by </w:t>
      </w:r>
      <w:r w:rsidR="00106A5D" w:rsidRPr="00DC18B1">
        <w:rPr>
          <w:rFonts w:eastAsia="Times New Roman" w:cs="Arial"/>
          <w:bCs/>
          <w:lang w:eastAsia="en-AU"/>
        </w:rPr>
        <w:t xml:space="preserve">instalments on issue and on the anniversary of the </w:t>
      </w:r>
      <w:proofErr w:type="gramStart"/>
      <w:r w:rsidR="00106A5D" w:rsidRPr="00DC18B1">
        <w:rPr>
          <w:rFonts w:eastAsia="Times New Roman" w:cs="Arial"/>
          <w:bCs/>
          <w:lang w:eastAsia="en-AU"/>
        </w:rPr>
        <w:t>day</w:t>
      </w:r>
      <w:proofErr w:type="gramEnd"/>
      <w:r w:rsidR="00106A5D" w:rsidRPr="00DC18B1">
        <w:rPr>
          <w:rFonts w:eastAsia="Times New Roman" w:cs="Arial"/>
          <w:bCs/>
          <w:lang w:eastAsia="en-AU"/>
        </w:rPr>
        <w:t xml:space="preserve"> a licence comes into force</w:t>
      </w:r>
      <w:r>
        <w:rPr>
          <w:rFonts w:eastAsia="Times New Roman" w:cs="Arial"/>
          <w:bCs/>
          <w:lang w:eastAsia="en-AU"/>
        </w:rPr>
        <w:t>.  Table 104 effectively requires the addition of the amounts calculated for all s</w:t>
      </w:r>
      <w:r w:rsidR="00E9519F">
        <w:rPr>
          <w:rFonts w:eastAsia="Times New Roman" w:cs="Arial"/>
          <w:bCs/>
          <w:lang w:eastAsia="en-AU"/>
        </w:rPr>
        <w:t>pectrum accesses in the licence (pro-rated in any year where the licence is not in force for the entire year), to determine the transmitter licence tax for the licence.  If that works out to be less than the</w:t>
      </w:r>
      <w:r w:rsidR="00E9519F" w:rsidRPr="00E9519F">
        <w:rPr>
          <w:rFonts w:eastAsia="Times New Roman" w:cs="Arial"/>
          <w:bCs/>
          <w:lang w:eastAsia="en-AU"/>
        </w:rPr>
        <w:t xml:space="preserve"> </w:t>
      </w:r>
      <w:r w:rsidR="00E9519F">
        <w:rPr>
          <w:rFonts w:eastAsia="Times New Roman" w:cs="Arial"/>
          <w:bCs/>
          <w:lang w:eastAsia="en-AU"/>
        </w:rPr>
        <w:t xml:space="preserve">minimum annual amount, the amount becomes the minimum annual amount.  A discount </w:t>
      </w:r>
      <w:proofErr w:type="gramStart"/>
      <w:r w:rsidR="00E9519F">
        <w:rPr>
          <w:rFonts w:eastAsia="Times New Roman" w:cs="Arial"/>
          <w:bCs/>
          <w:lang w:eastAsia="en-AU"/>
        </w:rPr>
        <w:t>is applied</w:t>
      </w:r>
      <w:proofErr w:type="gramEnd"/>
      <w:r w:rsidR="00E9519F">
        <w:rPr>
          <w:rFonts w:eastAsia="Times New Roman" w:cs="Arial"/>
          <w:bCs/>
          <w:lang w:eastAsia="en-AU"/>
        </w:rPr>
        <w:t xml:space="preserve"> for a licensee who is an ‘eligible person’.</w:t>
      </w:r>
    </w:p>
    <w:p w14:paraId="2D5C673F" w14:textId="7C22E972" w:rsidR="00106A5D" w:rsidRPr="00DC18B1" w:rsidRDefault="00E9519F" w:rsidP="00106A5D">
      <w:pPr>
        <w:rPr>
          <w:rFonts w:eastAsia="Times New Roman" w:cs="Arial"/>
          <w:b/>
          <w:bCs/>
          <w:lang w:eastAsia="en-AU"/>
        </w:rPr>
      </w:pPr>
      <w:proofErr w:type="gramStart"/>
      <w:r>
        <w:rPr>
          <w:rFonts w:eastAsia="Times New Roman" w:cs="Arial"/>
          <w:bCs/>
          <w:lang w:eastAsia="en-AU"/>
        </w:rPr>
        <w:t>I</w:t>
      </w:r>
      <w:r w:rsidR="00106A5D" w:rsidRPr="00DC18B1">
        <w:rPr>
          <w:rFonts w:eastAsia="Times New Roman" w:cs="Arial"/>
          <w:bCs/>
          <w:lang w:eastAsia="en-AU"/>
        </w:rPr>
        <w:t xml:space="preserve">tem 105 </w:t>
      </w:r>
      <w:r>
        <w:rPr>
          <w:rFonts w:eastAsia="Times New Roman" w:cs="Arial"/>
          <w:bCs/>
          <w:lang w:eastAsia="en-AU"/>
        </w:rPr>
        <w:t>of Schedule 3 deals with</w:t>
      </w:r>
      <w:r w:rsidR="00106A5D" w:rsidRPr="00DC18B1">
        <w:rPr>
          <w:rFonts w:eastAsia="Times New Roman" w:cs="Arial"/>
          <w:bCs/>
          <w:lang w:eastAsia="en-AU"/>
        </w:rPr>
        <w:t xml:space="preserve"> imposition of the tax on a particular day, being the anniversary of the day the licence comes into force (if subsection 6(5) of the Act applies) or the day after the end of the 60 day period after the anniversary of the day the licence comes into force, </w:t>
      </w:r>
      <w:r>
        <w:rPr>
          <w:rFonts w:eastAsia="Times New Roman" w:cs="Arial"/>
          <w:bCs/>
          <w:lang w:eastAsia="en-AU"/>
        </w:rPr>
        <w:t>(</w:t>
      </w:r>
      <w:r w:rsidR="00106A5D" w:rsidRPr="00DC18B1">
        <w:rPr>
          <w:rFonts w:eastAsia="Times New Roman" w:cs="Arial"/>
          <w:bCs/>
          <w:lang w:eastAsia="en-AU"/>
        </w:rPr>
        <w:t>if subsection 6(6) of the Act applies</w:t>
      </w:r>
      <w:r>
        <w:rPr>
          <w:rFonts w:eastAsia="Times New Roman" w:cs="Arial"/>
          <w:bCs/>
          <w:lang w:eastAsia="en-AU"/>
        </w:rPr>
        <w:t>)</w:t>
      </w:r>
      <w:r w:rsidR="00106A5D" w:rsidRPr="00DC18B1">
        <w:rPr>
          <w:rFonts w:eastAsia="Times New Roman" w:cs="Arial"/>
          <w:bCs/>
          <w:lang w:eastAsia="en-AU"/>
        </w:rPr>
        <w:t>.</w:t>
      </w:r>
      <w:proofErr w:type="gramEnd"/>
      <w:r w:rsidR="00106A5D" w:rsidRPr="00DC18B1">
        <w:rPr>
          <w:rFonts w:eastAsia="Times New Roman" w:cs="Arial"/>
          <w:bCs/>
          <w:lang w:eastAsia="en-AU"/>
        </w:rPr>
        <w:t xml:space="preserve"> </w:t>
      </w:r>
      <w:r>
        <w:rPr>
          <w:rFonts w:eastAsia="Times New Roman" w:cs="Arial"/>
          <w:bCs/>
          <w:lang w:eastAsia="en-AU"/>
        </w:rPr>
        <w:t xml:space="preserve"> It is the corollary to item 104, where the licensee has elected to pay the tax by instalments.  Table 105 effectively requires the addition of the amounts calculated for all spectrum accesses in the licence (pro-rated in any year where the licence is not in force for the entire year), to determine the transmitter licence tax for the licence.  If that works out to be less than the minimum annual amount, the amount becomes the minimum annual amount.  A discount </w:t>
      </w:r>
      <w:proofErr w:type="gramStart"/>
      <w:r>
        <w:rPr>
          <w:rFonts w:eastAsia="Times New Roman" w:cs="Arial"/>
          <w:bCs/>
          <w:lang w:eastAsia="en-AU"/>
        </w:rPr>
        <w:t>is applied</w:t>
      </w:r>
      <w:proofErr w:type="gramEnd"/>
      <w:r>
        <w:rPr>
          <w:rFonts w:eastAsia="Times New Roman" w:cs="Arial"/>
          <w:bCs/>
          <w:lang w:eastAsia="en-AU"/>
        </w:rPr>
        <w:t xml:space="preserve"> for a licensee who is an ‘eligible person’.</w:t>
      </w:r>
    </w:p>
    <w:p w14:paraId="2E915FAE" w14:textId="6262A808" w:rsidR="005E71FE" w:rsidRPr="005E71FE" w:rsidRDefault="005E71FE">
      <w:pPr>
        <w:rPr>
          <w:rFonts w:eastAsia="Times New Roman" w:cs="Times New Roman"/>
          <w:bCs/>
          <w:lang w:eastAsia="en-AU"/>
        </w:rPr>
      </w:pPr>
    </w:p>
    <w:p w14:paraId="6D991DC9" w14:textId="1DFB48A7" w:rsidR="005E71FE" w:rsidRDefault="00360FA4">
      <w:pPr>
        <w:rPr>
          <w:rFonts w:eastAsia="Times New Roman" w:cs="Times New Roman"/>
          <w:b/>
          <w:bCs/>
          <w:lang w:eastAsia="en-AU"/>
        </w:rPr>
      </w:pPr>
      <w:r w:rsidRPr="00C75F89">
        <w:rPr>
          <w:rFonts w:eastAsia="Times New Roman" w:cs="Times New Roman"/>
          <w:b/>
          <w:bCs/>
          <w:lang w:eastAsia="en-AU"/>
        </w:rPr>
        <w:t>Dictionary</w:t>
      </w:r>
    </w:p>
    <w:p w14:paraId="4C1EF0AE" w14:textId="485F4A48" w:rsidR="00360FA4" w:rsidRPr="00C75F89" w:rsidRDefault="00DF6DC9">
      <w:pPr>
        <w:rPr>
          <w:rFonts w:eastAsia="Times New Roman" w:cs="Times New Roman"/>
          <w:bCs/>
          <w:lang w:eastAsia="en-AU"/>
        </w:rPr>
      </w:pPr>
      <w:r>
        <w:rPr>
          <w:rFonts w:eastAsia="Times New Roman" w:cs="Times New Roman"/>
          <w:bCs/>
          <w:lang w:eastAsia="en-AU"/>
        </w:rPr>
        <w:t xml:space="preserve">The Dictionary is a part of the Determination and contains definitions of terms and expressions used in the Determination. Note </w:t>
      </w:r>
      <w:proofErr w:type="gramStart"/>
      <w:r>
        <w:rPr>
          <w:rFonts w:eastAsia="Times New Roman" w:cs="Times New Roman"/>
          <w:bCs/>
          <w:lang w:eastAsia="en-AU"/>
        </w:rPr>
        <w:t>1</w:t>
      </w:r>
      <w:proofErr w:type="gramEnd"/>
      <w:r>
        <w:rPr>
          <w:rFonts w:eastAsia="Times New Roman" w:cs="Times New Roman"/>
          <w:bCs/>
          <w:lang w:eastAsia="en-AU"/>
        </w:rPr>
        <w:t xml:space="preserve"> provides that unless the contrary intention appears in the Determination, terms that are defined in the </w:t>
      </w:r>
      <w:r>
        <w:rPr>
          <w:rFonts w:eastAsia="Times New Roman" w:cs="Times New Roman"/>
          <w:bCs/>
          <w:i/>
          <w:lang w:eastAsia="en-AU"/>
        </w:rPr>
        <w:t xml:space="preserve">Radiocommunications (Interpretation) Determination 2015 </w:t>
      </w:r>
      <w:r w:rsidR="001E3D65">
        <w:rPr>
          <w:rFonts w:eastAsia="Times New Roman" w:cs="Times New Roman"/>
          <w:bCs/>
          <w:lang w:eastAsia="en-AU"/>
        </w:rPr>
        <w:t>(</w:t>
      </w:r>
      <w:r w:rsidR="00106A5D" w:rsidRPr="00C75F89">
        <w:rPr>
          <w:rFonts w:eastAsia="Times New Roman" w:cs="Times New Roman"/>
          <w:b/>
          <w:bCs/>
          <w:lang w:eastAsia="en-AU"/>
        </w:rPr>
        <w:t>Interpretation Determination</w:t>
      </w:r>
      <w:r w:rsidR="001E3D65">
        <w:rPr>
          <w:rFonts w:eastAsia="Times New Roman" w:cs="Times New Roman"/>
          <w:bCs/>
          <w:lang w:eastAsia="en-AU"/>
        </w:rPr>
        <w:t xml:space="preserve">) </w:t>
      </w:r>
      <w:r>
        <w:rPr>
          <w:rFonts w:eastAsia="Times New Roman" w:cs="Times New Roman"/>
          <w:bCs/>
          <w:lang w:eastAsia="en-AU"/>
        </w:rPr>
        <w:t>h</w:t>
      </w:r>
      <w:r w:rsidR="00106A5D">
        <w:rPr>
          <w:rFonts w:eastAsia="Times New Roman" w:cs="Times New Roman"/>
          <w:bCs/>
          <w:lang w:eastAsia="en-AU"/>
        </w:rPr>
        <w:t>ave the same meaning as in the Interpretation D</w:t>
      </w:r>
      <w:r>
        <w:rPr>
          <w:rFonts w:eastAsia="Times New Roman" w:cs="Times New Roman"/>
          <w:bCs/>
          <w:lang w:eastAsia="en-AU"/>
        </w:rPr>
        <w:t xml:space="preserve">etermination. </w:t>
      </w:r>
    </w:p>
    <w:sectPr w:rsidR="00360FA4" w:rsidRPr="00C75F8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26187" w14:textId="77777777" w:rsidR="00082733" w:rsidRDefault="00082733" w:rsidP="00272465">
      <w:pPr>
        <w:spacing w:after="0" w:line="240" w:lineRule="auto"/>
      </w:pPr>
      <w:r>
        <w:separator/>
      </w:r>
    </w:p>
  </w:endnote>
  <w:endnote w:type="continuationSeparator" w:id="0">
    <w:p w14:paraId="387C3389" w14:textId="77777777" w:rsidR="00082733" w:rsidRDefault="00082733" w:rsidP="0027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329134"/>
      <w:docPartObj>
        <w:docPartGallery w:val="Page Numbers (Bottom of Page)"/>
        <w:docPartUnique/>
      </w:docPartObj>
    </w:sdtPr>
    <w:sdtEndPr>
      <w:rPr>
        <w:noProof/>
      </w:rPr>
    </w:sdtEndPr>
    <w:sdtContent>
      <w:p w14:paraId="4AE0F77B" w14:textId="46A08107" w:rsidR="002D48F2" w:rsidRDefault="002D48F2">
        <w:pPr>
          <w:pStyle w:val="Footer"/>
          <w:jc w:val="center"/>
        </w:pPr>
        <w:r>
          <w:fldChar w:fldCharType="begin"/>
        </w:r>
        <w:r>
          <w:instrText xml:space="preserve"> PAGE   \* MERGEFORMAT </w:instrText>
        </w:r>
        <w:r>
          <w:fldChar w:fldCharType="separate"/>
        </w:r>
        <w:r w:rsidR="00027FBE">
          <w:rPr>
            <w:noProof/>
          </w:rPr>
          <w:t>11</w:t>
        </w:r>
        <w:r>
          <w:rPr>
            <w:noProof/>
          </w:rPr>
          <w:fldChar w:fldCharType="end"/>
        </w:r>
      </w:p>
    </w:sdtContent>
  </w:sdt>
  <w:p w14:paraId="4DF3F7DA" w14:textId="77777777" w:rsidR="002D48F2" w:rsidRDefault="002D4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73D82" w14:textId="77777777" w:rsidR="00082733" w:rsidRDefault="00082733" w:rsidP="00272465">
      <w:pPr>
        <w:spacing w:after="0" w:line="240" w:lineRule="auto"/>
      </w:pPr>
      <w:r>
        <w:separator/>
      </w:r>
    </w:p>
  </w:footnote>
  <w:footnote w:type="continuationSeparator" w:id="0">
    <w:p w14:paraId="494EDC3C" w14:textId="77777777" w:rsidR="00082733" w:rsidRDefault="00082733" w:rsidP="00272465">
      <w:pPr>
        <w:spacing w:after="0" w:line="240" w:lineRule="auto"/>
      </w:pPr>
      <w:r>
        <w:continuationSeparator/>
      </w:r>
    </w:p>
  </w:footnote>
  <w:footnote w:id="1">
    <w:p w14:paraId="48C01D69" w14:textId="77777777" w:rsidR="000C6B0B" w:rsidRPr="00AB77C7" w:rsidRDefault="000C6B0B" w:rsidP="00676B95">
      <w:pPr>
        <w:pStyle w:val="FootnoteText"/>
        <w:rPr>
          <w:rFonts w:cs="Arial"/>
        </w:rPr>
      </w:pPr>
      <w:r>
        <w:rPr>
          <w:rStyle w:val="FootnoteReference"/>
        </w:rPr>
        <w:footnoteRef/>
      </w:r>
      <w:r>
        <w:t xml:space="preserve"> </w:t>
      </w:r>
      <w:r w:rsidRPr="00AB77C7">
        <w:rPr>
          <w:rFonts w:cs="Arial"/>
        </w:rPr>
        <w:t>The tilt is based on a compounding of long-term population growth over the relevant period and long-term inflation over that same period; that is (1+</w:t>
      </w:r>
      <w:proofErr w:type="gramStart"/>
      <w:r w:rsidRPr="00AB77C7">
        <w:rPr>
          <w:rFonts w:cs="Arial"/>
        </w:rPr>
        <w:t>pop%</w:t>
      </w:r>
      <w:proofErr w:type="gramEnd"/>
      <w:r w:rsidRPr="00AB77C7">
        <w:rPr>
          <w:rFonts w:cs="Arial"/>
        </w:rPr>
        <w:t>) * (1+CPI%) -1.</w:t>
      </w:r>
    </w:p>
  </w:footnote>
  <w:footnote w:id="2">
    <w:p w14:paraId="74BCE08C" w14:textId="095D2FF6" w:rsidR="00A12C17" w:rsidRDefault="00A12C17">
      <w:pPr>
        <w:pStyle w:val="FootnoteText"/>
      </w:pPr>
      <w:r>
        <w:rPr>
          <w:rStyle w:val="FootnoteReference"/>
        </w:rPr>
        <w:footnoteRef/>
      </w:r>
      <w:r>
        <w:t xml:space="preserve"> </w:t>
      </w:r>
      <w:r w:rsidRPr="00240968">
        <w:rPr>
          <w:rFonts w:cs="Arial"/>
        </w:rPr>
        <w:t>Australian Bureau of Statistics, Catalogue 6401.0, Consumer Price Index, June Quarter 201</w:t>
      </w:r>
      <w:r>
        <w:rPr>
          <w:rFonts w:cs="Arial"/>
        </w:rPr>
        <w:t>4 All groups CPI</w:t>
      </w:r>
    </w:p>
  </w:footnote>
  <w:footnote w:id="3">
    <w:p w14:paraId="0C46DFC5" w14:textId="1B77AC99" w:rsidR="000C6B0B" w:rsidRDefault="000C6B0B">
      <w:pPr>
        <w:pStyle w:val="FootnoteText"/>
      </w:pPr>
      <w:r>
        <w:rPr>
          <w:rStyle w:val="FootnoteReference"/>
        </w:rPr>
        <w:footnoteRef/>
      </w:r>
      <w:r>
        <w:t xml:space="preserve"> Spectrum is “paired” if a frequency range in the licence is necessarily matched with another frequency range in the licence.  In such a case, under Part 7A of Schedule 2, effectively only half the paired spectrum contained within the licence counts towards the transmitter licence tax.  For example, if a licence authorises the use of “2 MHz paired” of spectrum, it actually authorises the use of 4 MHz.  However, the tax </w:t>
      </w:r>
      <w:proofErr w:type="gramStart"/>
      <w:r>
        <w:t>is only calculated</w:t>
      </w:r>
      <w:proofErr w:type="gramEnd"/>
      <w:r>
        <w:t xml:space="preserve"> by reference to 2 MHz.</w:t>
      </w:r>
    </w:p>
  </w:footnote>
  <w:footnote w:id="4">
    <w:p w14:paraId="77FDA61B" w14:textId="4000A9C4" w:rsidR="000C6B0B" w:rsidRDefault="000C6B0B">
      <w:pPr>
        <w:pStyle w:val="FootnoteText"/>
      </w:pPr>
      <w:r>
        <w:rPr>
          <w:rStyle w:val="FootnoteReference"/>
        </w:rPr>
        <w:footnoteRef/>
      </w:r>
      <w:r>
        <w:t xml:space="preserve"> </w:t>
      </w:r>
      <w:proofErr w:type="gramStart"/>
      <w:r>
        <w:t>Or</w:t>
      </w:r>
      <w:proofErr w:type="gramEnd"/>
      <w:r>
        <w:t xml:space="preserve"> paired spectrum</w:t>
      </w:r>
      <w:r w:rsidR="00B6541D">
        <w:t>.</w:t>
      </w:r>
    </w:p>
  </w:footnote>
  <w:footnote w:id="5">
    <w:p w14:paraId="2958C92B" w14:textId="77777777" w:rsidR="000C0EA0" w:rsidRPr="00057438" w:rsidRDefault="000C0EA0" w:rsidP="000C0EA0">
      <w:pPr>
        <w:pStyle w:val="FootnoteText"/>
      </w:pPr>
      <w:r w:rsidRPr="00AC13F5">
        <w:rPr>
          <w:rStyle w:val="FootnoteReference"/>
          <w:rFonts w:eastAsia="Calibri"/>
          <w:sz w:val="18"/>
          <w:szCs w:val="18"/>
        </w:rPr>
        <w:footnoteRef/>
      </w:r>
      <w:r w:rsidRPr="00AC13F5">
        <w:rPr>
          <w:sz w:val="18"/>
          <w:szCs w:val="18"/>
        </w:rPr>
        <w:t xml:space="preserve"> </w:t>
      </w:r>
      <w:r w:rsidRPr="00057438">
        <w:t xml:space="preserve">Further information about the ASMG and the HCIS scheme is provided </w:t>
      </w:r>
      <w:r w:rsidRPr="00057438">
        <w:rPr>
          <w:rStyle w:val="CommentReference"/>
          <w:rFonts w:eastAsiaTheme="minorHAnsi"/>
        </w:rPr>
        <w:t xml:space="preserve">at </w:t>
      </w:r>
      <w:hyperlink r:id="rId1" w:history="1">
        <w:r w:rsidRPr="00057438">
          <w:rPr>
            <w:rStyle w:val="Hyperlink"/>
            <w:rFonts w:eastAsiaTheme="minorHAnsi"/>
          </w:rPr>
          <w:t>http://www.acma.gov.au/Industry/Spectrum/Radiocomms-licensing/Spectrum-licences/spectrum_23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F62344"/>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2F239E7"/>
    <w:multiLevelType w:val="hybridMultilevel"/>
    <w:tmpl w:val="4B3A85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50788A"/>
    <w:multiLevelType w:val="hybridMultilevel"/>
    <w:tmpl w:val="6E48461E"/>
    <w:lvl w:ilvl="0" w:tplc="7946F8CC">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2E70F2"/>
    <w:multiLevelType w:val="hybridMultilevel"/>
    <w:tmpl w:val="AED015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4114610B"/>
    <w:multiLevelType w:val="hybridMultilevel"/>
    <w:tmpl w:val="BFCEF2D8"/>
    <w:lvl w:ilvl="0" w:tplc="F65001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1112F98"/>
    <w:multiLevelType w:val="hybridMultilevel"/>
    <w:tmpl w:val="047A10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3010CA6"/>
    <w:multiLevelType w:val="hybridMultilevel"/>
    <w:tmpl w:val="E2A4429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nsid w:val="578A07C3"/>
    <w:multiLevelType w:val="hybridMultilevel"/>
    <w:tmpl w:val="43D00790"/>
    <w:lvl w:ilvl="0" w:tplc="7F9CF1C8">
      <w:start w:val="1"/>
      <w:numFmt w:val="decimal"/>
      <w:lvlText w:val="%1."/>
      <w:lvlJc w:val="left"/>
      <w:pPr>
        <w:tabs>
          <w:tab w:val="num" w:pos="540"/>
        </w:tabs>
        <w:ind w:left="540" w:hanging="360"/>
      </w:pPr>
      <w:rPr>
        <w:rFonts w:ascii="Arial" w:hAnsi="Arial" w:cs="Arial"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nsid w:val="58C960A9"/>
    <w:multiLevelType w:val="hybridMultilevel"/>
    <w:tmpl w:val="65F268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C1A1089"/>
    <w:multiLevelType w:val="hybridMultilevel"/>
    <w:tmpl w:val="68AC0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FD2630"/>
    <w:multiLevelType w:val="hybridMultilevel"/>
    <w:tmpl w:val="52AAC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E9955F8"/>
    <w:multiLevelType w:val="hybridMultilevel"/>
    <w:tmpl w:val="8720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DA2A58"/>
    <w:multiLevelType w:val="hybridMultilevel"/>
    <w:tmpl w:val="0586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E5261C"/>
    <w:multiLevelType w:val="hybridMultilevel"/>
    <w:tmpl w:val="7E947CBE"/>
    <w:lvl w:ilvl="0" w:tplc="0C09000F">
      <w:start w:val="1"/>
      <w:numFmt w:val="decimal"/>
      <w:lvlText w:val="%1."/>
      <w:lvlJc w:val="left"/>
      <w:pPr>
        <w:ind w:left="-776" w:hanging="360"/>
      </w:pPr>
    </w:lvl>
    <w:lvl w:ilvl="1" w:tplc="0C090019" w:tentative="1">
      <w:start w:val="1"/>
      <w:numFmt w:val="lowerLetter"/>
      <w:lvlText w:val="%2."/>
      <w:lvlJc w:val="left"/>
      <w:pPr>
        <w:ind w:left="-56" w:hanging="360"/>
      </w:pPr>
    </w:lvl>
    <w:lvl w:ilvl="2" w:tplc="0C09001B" w:tentative="1">
      <w:start w:val="1"/>
      <w:numFmt w:val="lowerRoman"/>
      <w:lvlText w:val="%3."/>
      <w:lvlJc w:val="right"/>
      <w:pPr>
        <w:ind w:left="664" w:hanging="180"/>
      </w:pPr>
    </w:lvl>
    <w:lvl w:ilvl="3" w:tplc="0C09000F" w:tentative="1">
      <w:start w:val="1"/>
      <w:numFmt w:val="decimal"/>
      <w:lvlText w:val="%4."/>
      <w:lvlJc w:val="left"/>
      <w:pPr>
        <w:ind w:left="1384" w:hanging="360"/>
      </w:pPr>
    </w:lvl>
    <w:lvl w:ilvl="4" w:tplc="0C090019" w:tentative="1">
      <w:start w:val="1"/>
      <w:numFmt w:val="lowerLetter"/>
      <w:lvlText w:val="%5."/>
      <w:lvlJc w:val="left"/>
      <w:pPr>
        <w:ind w:left="2104" w:hanging="360"/>
      </w:pPr>
    </w:lvl>
    <w:lvl w:ilvl="5" w:tplc="0C09001B" w:tentative="1">
      <w:start w:val="1"/>
      <w:numFmt w:val="lowerRoman"/>
      <w:lvlText w:val="%6."/>
      <w:lvlJc w:val="right"/>
      <w:pPr>
        <w:ind w:left="2824" w:hanging="180"/>
      </w:pPr>
    </w:lvl>
    <w:lvl w:ilvl="6" w:tplc="0C09000F" w:tentative="1">
      <w:start w:val="1"/>
      <w:numFmt w:val="decimal"/>
      <w:lvlText w:val="%7."/>
      <w:lvlJc w:val="left"/>
      <w:pPr>
        <w:ind w:left="3544" w:hanging="360"/>
      </w:pPr>
    </w:lvl>
    <w:lvl w:ilvl="7" w:tplc="0C090019" w:tentative="1">
      <w:start w:val="1"/>
      <w:numFmt w:val="lowerLetter"/>
      <w:lvlText w:val="%8."/>
      <w:lvlJc w:val="left"/>
      <w:pPr>
        <w:ind w:left="4264" w:hanging="360"/>
      </w:pPr>
    </w:lvl>
    <w:lvl w:ilvl="8" w:tplc="0C09001B" w:tentative="1">
      <w:start w:val="1"/>
      <w:numFmt w:val="lowerRoman"/>
      <w:lvlText w:val="%9."/>
      <w:lvlJc w:val="right"/>
      <w:pPr>
        <w:ind w:left="4984" w:hanging="180"/>
      </w:pPr>
    </w:lvl>
  </w:abstractNum>
  <w:abstractNum w:abstractNumId="16">
    <w:nsid w:val="746A628D"/>
    <w:multiLevelType w:val="hybridMultilevel"/>
    <w:tmpl w:val="EE967E42"/>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nsid w:val="78023603"/>
    <w:multiLevelType w:val="hybridMultilevel"/>
    <w:tmpl w:val="814A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96C016B"/>
    <w:multiLevelType w:val="hybridMultilevel"/>
    <w:tmpl w:val="BFCEF2D8"/>
    <w:lvl w:ilvl="0" w:tplc="F65001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99D4405"/>
    <w:multiLevelType w:val="hybridMultilevel"/>
    <w:tmpl w:val="4B3E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B9D7D44"/>
    <w:multiLevelType w:val="hybridMultilevel"/>
    <w:tmpl w:val="F9AA970C"/>
    <w:lvl w:ilvl="0" w:tplc="7F9CF1C8">
      <w:start w:val="1"/>
      <w:numFmt w:val="bullet"/>
      <w:lvlText w:val=""/>
      <w:lvlJc w:val="left"/>
      <w:pPr>
        <w:tabs>
          <w:tab w:val="num" w:pos="-568"/>
        </w:tabs>
        <w:ind w:left="283" w:hanging="283"/>
      </w:pPr>
      <w:rPr>
        <w:rFonts w:ascii="Symbol" w:hAnsi="Symbol" w:hint="default"/>
      </w:rPr>
    </w:lvl>
    <w:lvl w:ilvl="1" w:tplc="8B54880C">
      <w:start w:val="1"/>
      <w:numFmt w:val="bullet"/>
      <w:lvlText w:val="o"/>
      <w:lvlJc w:val="left"/>
      <w:pPr>
        <w:tabs>
          <w:tab w:val="num" w:pos="1444"/>
        </w:tabs>
        <w:ind w:left="1444" w:hanging="360"/>
      </w:pPr>
      <w:rPr>
        <w:rFonts w:ascii="Courier New" w:hAnsi="Courier New" w:hint="default"/>
      </w:rPr>
    </w:lvl>
    <w:lvl w:ilvl="2" w:tplc="0C09001B">
      <w:start w:val="1"/>
      <w:numFmt w:val="bullet"/>
      <w:lvlText w:val=""/>
      <w:lvlJc w:val="left"/>
      <w:pPr>
        <w:tabs>
          <w:tab w:val="num" w:pos="2164"/>
        </w:tabs>
        <w:ind w:left="2164" w:hanging="360"/>
      </w:pPr>
      <w:rPr>
        <w:rFonts w:ascii="Wingdings" w:hAnsi="Wingdings" w:hint="default"/>
      </w:rPr>
    </w:lvl>
    <w:lvl w:ilvl="3" w:tplc="0C09000F" w:tentative="1">
      <w:start w:val="1"/>
      <w:numFmt w:val="bullet"/>
      <w:lvlText w:val=""/>
      <w:lvlJc w:val="left"/>
      <w:pPr>
        <w:tabs>
          <w:tab w:val="num" w:pos="2884"/>
        </w:tabs>
        <w:ind w:left="2884" w:hanging="360"/>
      </w:pPr>
      <w:rPr>
        <w:rFonts w:ascii="Symbol" w:hAnsi="Symbol" w:hint="default"/>
      </w:rPr>
    </w:lvl>
    <w:lvl w:ilvl="4" w:tplc="0C090019" w:tentative="1">
      <w:start w:val="1"/>
      <w:numFmt w:val="bullet"/>
      <w:lvlText w:val="o"/>
      <w:lvlJc w:val="left"/>
      <w:pPr>
        <w:tabs>
          <w:tab w:val="num" w:pos="3604"/>
        </w:tabs>
        <w:ind w:left="3604" w:hanging="360"/>
      </w:pPr>
      <w:rPr>
        <w:rFonts w:ascii="Courier New" w:hAnsi="Courier New" w:hint="default"/>
      </w:rPr>
    </w:lvl>
    <w:lvl w:ilvl="5" w:tplc="0C09001B" w:tentative="1">
      <w:start w:val="1"/>
      <w:numFmt w:val="bullet"/>
      <w:lvlText w:val=""/>
      <w:lvlJc w:val="left"/>
      <w:pPr>
        <w:tabs>
          <w:tab w:val="num" w:pos="4324"/>
        </w:tabs>
        <w:ind w:left="4324" w:hanging="360"/>
      </w:pPr>
      <w:rPr>
        <w:rFonts w:ascii="Wingdings" w:hAnsi="Wingdings" w:hint="default"/>
      </w:rPr>
    </w:lvl>
    <w:lvl w:ilvl="6" w:tplc="0C09000F" w:tentative="1">
      <w:start w:val="1"/>
      <w:numFmt w:val="bullet"/>
      <w:lvlText w:val=""/>
      <w:lvlJc w:val="left"/>
      <w:pPr>
        <w:tabs>
          <w:tab w:val="num" w:pos="5044"/>
        </w:tabs>
        <w:ind w:left="5044" w:hanging="360"/>
      </w:pPr>
      <w:rPr>
        <w:rFonts w:ascii="Symbol" w:hAnsi="Symbol" w:hint="default"/>
      </w:rPr>
    </w:lvl>
    <w:lvl w:ilvl="7" w:tplc="0C090019" w:tentative="1">
      <w:start w:val="1"/>
      <w:numFmt w:val="bullet"/>
      <w:lvlText w:val="o"/>
      <w:lvlJc w:val="left"/>
      <w:pPr>
        <w:tabs>
          <w:tab w:val="num" w:pos="5764"/>
        </w:tabs>
        <w:ind w:left="5764" w:hanging="360"/>
      </w:pPr>
      <w:rPr>
        <w:rFonts w:ascii="Courier New" w:hAnsi="Courier New" w:hint="default"/>
      </w:rPr>
    </w:lvl>
    <w:lvl w:ilvl="8" w:tplc="0C09001B" w:tentative="1">
      <w:start w:val="1"/>
      <w:numFmt w:val="bullet"/>
      <w:lvlText w:val=""/>
      <w:lvlJc w:val="left"/>
      <w:pPr>
        <w:tabs>
          <w:tab w:val="num" w:pos="6484"/>
        </w:tabs>
        <w:ind w:left="6484" w:hanging="360"/>
      </w:pPr>
      <w:rPr>
        <w:rFonts w:ascii="Wingdings" w:hAnsi="Wingdings" w:hint="default"/>
      </w:rPr>
    </w:lvl>
  </w:abstractNum>
  <w:abstractNum w:abstractNumId="21">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9"/>
  </w:num>
  <w:num w:numId="3">
    <w:abstractNumId w:val="0"/>
  </w:num>
  <w:num w:numId="4">
    <w:abstractNumId w:val="12"/>
  </w:num>
  <w:num w:numId="5">
    <w:abstractNumId w:val="10"/>
  </w:num>
  <w:num w:numId="6">
    <w:abstractNumId w:val="3"/>
  </w:num>
  <w:num w:numId="7">
    <w:abstractNumId w:val="14"/>
  </w:num>
  <w:num w:numId="8">
    <w:abstractNumId w:val="7"/>
  </w:num>
  <w:num w:numId="9">
    <w:abstractNumId w:val="9"/>
  </w:num>
  <w:num w:numId="10">
    <w:abstractNumId w:val="4"/>
  </w:num>
  <w:num w:numId="11">
    <w:abstractNumId w:val="5"/>
  </w:num>
  <w:num w:numId="12">
    <w:abstractNumId w:val="15"/>
  </w:num>
  <w:num w:numId="13">
    <w:abstractNumId w:val="20"/>
  </w:num>
  <w:num w:numId="14">
    <w:abstractNumId w:val="11"/>
  </w:num>
  <w:num w:numId="15">
    <w:abstractNumId w:val="13"/>
  </w:num>
  <w:num w:numId="16">
    <w:abstractNumId w:val="8"/>
  </w:num>
  <w:num w:numId="17">
    <w:abstractNumId w:val="1"/>
  </w:num>
  <w:num w:numId="18">
    <w:abstractNumId w:val="16"/>
  </w:num>
  <w:num w:numId="19">
    <w:abstractNumId w:val="2"/>
  </w:num>
  <w:num w:numId="20">
    <w:abstractNumId w:val="6"/>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CC"/>
    <w:rsid w:val="00004EC5"/>
    <w:rsid w:val="00007201"/>
    <w:rsid w:val="00011904"/>
    <w:rsid w:val="00014E4F"/>
    <w:rsid w:val="0001587A"/>
    <w:rsid w:val="00027FBE"/>
    <w:rsid w:val="0004111B"/>
    <w:rsid w:val="00057438"/>
    <w:rsid w:val="00082733"/>
    <w:rsid w:val="000B43A1"/>
    <w:rsid w:val="000C0EA0"/>
    <w:rsid w:val="000C6B0B"/>
    <w:rsid w:val="000E105D"/>
    <w:rsid w:val="000F6DAA"/>
    <w:rsid w:val="00106A5D"/>
    <w:rsid w:val="00111347"/>
    <w:rsid w:val="00116EF4"/>
    <w:rsid w:val="00117B81"/>
    <w:rsid w:val="00120F40"/>
    <w:rsid w:val="00121FEE"/>
    <w:rsid w:val="00136F7C"/>
    <w:rsid w:val="00150BC7"/>
    <w:rsid w:val="001609AD"/>
    <w:rsid w:val="00160C17"/>
    <w:rsid w:val="00160D4A"/>
    <w:rsid w:val="00175D9F"/>
    <w:rsid w:val="00187C4B"/>
    <w:rsid w:val="00197D19"/>
    <w:rsid w:val="001A4DFF"/>
    <w:rsid w:val="001E3D65"/>
    <w:rsid w:val="001E7ED3"/>
    <w:rsid w:val="001F72D0"/>
    <w:rsid w:val="00203757"/>
    <w:rsid w:val="00260758"/>
    <w:rsid w:val="00262D21"/>
    <w:rsid w:val="00272465"/>
    <w:rsid w:val="002A4662"/>
    <w:rsid w:val="002A5E0C"/>
    <w:rsid w:val="002B00C2"/>
    <w:rsid w:val="002B6B81"/>
    <w:rsid w:val="002D2B74"/>
    <w:rsid w:val="002D48F2"/>
    <w:rsid w:val="002E4100"/>
    <w:rsid w:val="002F38D2"/>
    <w:rsid w:val="002F799F"/>
    <w:rsid w:val="00304082"/>
    <w:rsid w:val="003243E4"/>
    <w:rsid w:val="00334D74"/>
    <w:rsid w:val="00356F7D"/>
    <w:rsid w:val="00360FA4"/>
    <w:rsid w:val="00375B4D"/>
    <w:rsid w:val="00393150"/>
    <w:rsid w:val="0039643D"/>
    <w:rsid w:val="003A2EE2"/>
    <w:rsid w:val="003C5A2F"/>
    <w:rsid w:val="003D4C55"/>
    <w:rsid w:val="003D6B68"/>
    <w:rsid w:val="004103DF"/>
    <w:rsid w:val="004165D0"/>
    <w:rsid w:val="0042115D"/>
    <w:rsid w:val="00425036"/>
    <w:rsid w:val="004336A2"/>
    <w:rsid w:val="0044037D"/>
    <w:rsid w:val="00447901"/>
    <w:rsid w:val="004560A4"/>
    <w:rsid w:val="00472604"/>
    <w:rsid w:val="004B239C"/>
    <w:rsid w:val="004C12CC"/>
    <w:rsid w:val="004F3550"/>
    <w:rsid w:val="004F3A2E"/>
    <w:rsid w:val="004F7573"/>
    <w:rsid w:val="005037FF"/>
    <w:rsid w:val="005259A5"/>
    <w:rsid w:val="00563D7C"/>
    <w:rsid w:val="005647AD"/>
    <w:rsid w:val="005765A7"/>
    <w:rsid w:val="00585823"/>
    <w:rsid w:val="00595F39"/>
    <w:rsid w:val="005C65AD"/>
    <w:rsid w:val="005D1E0A"/>
    <w:rsid w:val="005D6744"/>
    <w:rsid w:val="005D744E"/>
    <w:rsid w:val="005D7C91"/>
    <w:rsid w:val="005E0490"/>
    <w:rsid w:val="005E71FE"/>
    <w:rsid w:val="005F3644"/>
    <w:rsid w:val="00620A98"/>
    <w:rsid w:val="006247CB"/>
    <w:rsid w:val="00624DAC"/>
    <w:rsid w:val="006276DE"/>
    <w:rsid w:val="00627AAF"/>
    <w:rsid w:val="00644A8A"/>
    <w:rsid w:val="0064516C"/>
    <w:rsid w:val="00676B95"/>
    <w:rsid w:val="00683FA3"/>
    <w:rsid w:val="006A0DD3"/>
    <w:rsid w:val="006B6B6E"/>
    <w:rsid w:val="006E726E"/>
    <w:rsid w:val="00700D44"/>
    <w:rsid w:val="00726945"/>
    <w:rsid w:val="00751B63"/>
    <w:rsid w:val="00754B4A"/>
    <w:rsid w:val="00757D56"/>
    <w:rsid w:val="00782D22"/>
    <w:rsid w:val="00797937"/>
    <w:rsid w:val="007A1507"/>
    <w:rsid w:val="007A2580"/>
    <w:rsid w:val="007B16CB"/>
    <w:rsid w:val="007B3013"/>
    <w:rsid w:val="007D7ABE"/>
    <w:rsid w:val="007E47BF"/>
    <w:rsid w:val="007E4942"/>
    <w:rsid w:val="007F72E1"/>
    <w:rsid w:val="008128C1"/>
    <w:rsid w:val="00814C77"/>
    <w:rsid w:val="00820C2C"/>
    <w:rsid w:val="0082604F"/>
    <w:rsid w:val="00836835"/>
    <w:rsid w:val="00843D27"/>
    <w:rsid w:val="00847BDB"/>
    <w:rsid w:val="00860CE4"/>
    <w:rsid w:val="0087111F"/>
    <w:rsid w:val="00893FE4"/>
    <w:rsid w:val="00895241"/>
    <w:rsid w:val="00895B78"/>
    <w:rsid w:val="008A766F"/>
    <w:rsid w:val="008B4D24"/>
    <w:rsid w:val="008C3950"/>
    <w:rsid w:val="008C572D"/>
    <w:rsid w:val="008D7A62"/>
    <w:rsid w:val="008E1A44"/>
    <w:rsid w:val="009057EC"/>
    <w:rsid w:val="00942FD0"/>
    <w:rsid w:val="00952BEC"/>
    <w:rsid w:val="0095732B"/>
    <w:rsid w:val="00984E5B"/>
    <w:rsid w:val="00997B83"/>
    <w:rsid w:val="009A743A"/>
    <w:rsid w:val="009B7823"/>
    <w:rsid w:val="009E5BF3"/>
    <w:rsid w:val="009F36DD"/>
    <w:rsid w:val="009F7451"/>
    <w:rsid w:val="00A117B2"/>
    <w:rsid w:val="00A12C17"/>
    <w:rsid w:val="00A12E57"/>
    <w:rsid w:val="00A130DE"/>
    <w:rsid w:val="00A33A00"/>
    <w:rsid w:val="00A64D4F"/>
    <w:rsid w:val="00A912CC"/>
    <w:rsid w:val="00A91743"/>
    <w:rsid w:val="00AD361D"/>
    <w:rsid w:val="00AD7B79"/>
    <w:rsid w:val="00AF4E14"/>
    <w:rsid w:val="00B6541D"/>
    <w:rsid w:val="00B73B45"/>
    <w:rsid w:val="00BA3D85"/>
    <w:rsid w:val="00BB29DE"/>
    <w:rsid w:val="00BB3AD3"/>
    <w:rsid w:val="00BD779F"/>
    <w:rsid w:val="00BE03F1"/>
    <w:rsid w:val="00C140EB"/>
    <w:rsid w:val="00C24A58"/>
    <w:rsid w:val="00C26146"/>
    <w:rsid w:val="00C33092"/>
    <w:rsid w:val="00C35419"/>
    <w:rsid w:val="00C4393C"/>
    <w:rsid w:val="00C47441"/>
    <w:rsid w:val="00C55DAE"/>
    <w:rsid w:val="00C70712"/>
    <w:rsid w:val="00C75F89"/>
    <w:rsid w:val="00C8078A"/>
    <w:rsid w:val="00C8391A"/>
    <w:rsid w:val="00C94BAE"/>
    <w:rsid w:val="00CB4AB5"/>
    <w:rsid w:val="00CF6946"/>
    <w:rsid w:val="00D00F9F"/>
    <w:rsid w:val="00D07FE6"/>
    <w:rsid w:val="00D10722"/>
    <w:rsid w:val="00D340EA"/>
    <w:rsid w:val="00D376C4"/>
    <w:rsid w:val="00D379B8"/>
    <w:rsid w:val="00D40D12"/>
    <w:rsid w:val="00D86185"/>
    <w:rsid w:val="00D91415"/>
    <w:rsid w:val="00DA13D4"/>
    <w:rsid w:val="00DA1BBF"/>
    <w:rsid w:val="00DB2DAB"/>
    <w:rsid w:val="00DC18B1"/>
    <w:rsid w:val="00DF6DC9"/>
    <w:rsid w:val="00E03B86"/>
    <w:rsid w:val="00E04FCE"/>
    <w:rsid w:val="00E104A4"/>
    <w:rsid w:val="00E1059F"/>
    <w:rsid w:val="00E30D53"/>
    <w:rsid w:val="00E37167"/>
    <w:rsid w:val="00E37530"/>
    <w:rsid w:val="00E451CA"/>
    <w:rsid w:val="00E54628"/>
    <w:rsid w:val="00E560A8"/>
    <w:rsid w:val="00E76EAD"/>
    <w:rsid w:val="00E94DF7"/>
    <w:rsid w:val="00E9519F"/>
    <w:rsid w:val="00EB1466"/>
    <w:rsid w:val="00EE64BE"/>
    <w:rsid w:val="00F04A9B"/>
    <w:rsid w:val="00F22A48"/>
    <w:rsid w:val="00F268F2"/>
    <w:rsid w:val="00F4487C"/>
    <w:rsid w:val="00F47A35"/>
    <w:rsid w:val="00F6046F"/>
    <w:rsid w:val="00F60DD0"/>
    <w:rsid w:val="00F70563"/>
    <w:rsid w:val="00F91868"/>
    <w:rsid w:val="00FA7830"/>
    <w:rsid w:val="00FB040B"/>
    <w:rsid w:val="00FB0960"/>
    <w:rsid w:val="00FD4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B0FF"/>
  <w15:chartTrackingRefBased/>
  <w15:docId w15:val="{C4A35A04-5E53-4BDB-9126-4594BED5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D744E"/>
    <w:pPr>
      <w:keepNext/>
      <w:spacing w:before="60" w:after="60" w:line="240" w:lineRule="atLeast"/>
      <w:outlineLvl w:val="1"/>
    </w:pPr>
    <w:rPr>
      <w:rFonts w:ascii="Arial" w:eastAsia="Times New Roman" w:hAnsi="Arial" w:cs="Arial"/>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ulletlevel10">
    <w:name w:val="acmabulletlevel1"/>
    <w:basedOn w:val="Normal"/>
    <w:rsid w:val="004C12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C12CC"/>
  </w:style>
  <w:style w:type="paragraph" w:customStyle="1" w:styleId="dotpoints">
    <w:name w:val="dotpoints"/>
    <w:basedOn w:val="Normal"/>
    <w:rsid w:val="004C12C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C12CC"/>
    <w:pPr>
      <w:ind w:left="720"/>
      <w:contextualSpacing/>
    </w:pPr>
  </w:style>
  <w:style w:type="character" w:styleId="Hyperlink">
    <w:name w:val="Hyperlink"/>
    <w:basedOn w:val="DefaultParagraphFont"/>
    <w:rsid w:val="00272465"/>
    <w:rPr>
      <w:color w:val="0000FF"/>
      <w:u w:val="single"/>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
    <w:basedOn w:val="DefaultParagraphFont"/>
    <w:uiPriority w:val="99"/>
    <w:rsid w:val="00272465"/>
    <w:rPr>
      <w:rFonts w:ascii="Arial" w:hAnsi="Arial"/>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fn"/>
    <w:basedOn w:val="Normal"/>
    <w:link w:val="FootnoteTextChar"/>
    <w:uiPriority w:val="99"/>
    <w:rsid w:val="00272465"/>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fn Char"/>
    <w:basedOn w:val="DefaultParagraphFont"/>
    <w:link w:val="FootnoteText"/>
    <w:rsid w:val="00272465"/>
    <w:rPr>
      <w:rFonts w:ascii="Arial" w:eastAsia="Times New Roman" w:hAnsi="Arial" w:cs="Times New Roman"/>
      <w:sz w:val="16"/>
      <w:szCs w:val="16"/>
      <w:lang w:eastAsia="en-AU"/>
    </w:rPr>
  </w:style>
  <w:style w:type="character" w:customStyle="1" w:styleId="charpartno">
    <w:name w:val="charpartno"/>
    <w:basedOn w:val="DefaultParagraphFont"/>
    <w:rsid w:val="00262D21"/>
  </w:style>
  <w:style w:type="character" w:customStyle="1" w:styleId="charparttext">
    <w:name w:val="charparttext"/>
    <w:basedOn w:val="DefaultParagraphFont"/>
    <w:rsid w:val="00262D21"/>
  </w:style>
  <w:style w:type="paragraph" w:customStyle="1" w:styleId="A1S">
    <w:name w:val="A1S"/>
    <w:aliases w:val="1.Schedule Amendment"/>
    <w:basedOn w:val="Normal"/>
    <w:next w:val="A2S"/>
    <w:rsid w:val="00A33A00"/>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S">
    <w:name w:val="A2S"/>
    <w:aliases w:val="Schedule Inst Amendment"/>
    <w:basedOn w:val="Normal"/>
    <w:next w:val="Normal"/>
    <w:rsid w:val="00A33A00"/>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R2">
    <w:name w:val="R2"/>
    <w:aliases w:val="(2)"/>
    <w:basedOn w:val="Normal"/>
    <w:rsid w:val="00A33A00"/>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rsid w:val="005D744E"/>
    <w:rPr>
      <w:rFonts w:ascii="Arial" w:eastAsia="Times New Roman" w:hAnsi="Arial" w:cs="Arial"/>
      <w:b/>
      <w:bCs/>
      <w:iCs/>
      <w:sz w:val="28"/>
      <w:szCs w:val="28"/>
      <w:lang w:eastAsia="en-AU"/>
    </w:rPr>
  </w:style>
  <w:style w:type="paragraph" w:styleId="Caption">
    <w:name w:val="caption"/>
    <w:basedOn w:val="Normal"/>
    <w:next w:val="Normal"/>
    <w:qFormat/>
    <w:rsid w:val="005D744E"/>
    <w:pPr>
      <w:spacing w:after="0" w:line="240" w:lineRule="atLeast"/>
    </w:pPr>
    <w:rPr>
      <w:rFonts w:ascii="Arial" w:eastAsia="Times New Roman" w:hAnsi="Arial" w:cs="Times New Roman"/>
      <w:b/>
      <w:bCs/>
      <w:color w:val="808285"/>
      <w:sz w:val="20"/>
      <w:szCs w:val="20"/>
      <w:lang w:eastAsia="en-AU"/>
    </w:rPr>
  </w:style>
  <w:style w:type="paragraph" w:styleId="ListBullet">
    <w:name w:val="List Bullet"/>
    <w:basedOn w:val="Normal"/>
    <w:rsid w:val="005D744E"/>
    <w:pPr>
      <w:numPr>
        <w:numId w:val="3"/>
      </w:numPr>
      <w:spacing w:after="80" w:line="240" w:lineRule="atLeast"/>
    </w:pPr>
    <w:rPr>
      <w:rFonts w:ascii="Arial" w:eastAsia="Times New Roman" w:hAnsi="Arial" w:cs="Times New Roman"/>
      <w:sz w:val="20"/>
      <w:szCs w:val="24"/>
      <w:lang w:eastAsia="en-AU"/>
    </w:rPr>
  </w:style>
  <w:style w:type="paragraph" w:customStyle="1" w:styleId="acmabodytext">
    <w:name w:val="acmabodytext"/>
    <w:basedOn w:val="Normal"/>
    <w:rsid w:val="00160C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egsubtitle1">
    <w:name w:val="legsubtitle1"/>
    <w:basedOn w:val="DefaultParagraphFont"/>
    <w:rsid w:val="00BB29DE"/>
    <w:rPr>
      <w:rFonts w:ascii="Helvetica Neue" w:hAnsi="Helvetica Neue" w:hint="default"/>
      <w:b/>
      <w:bCs/>
      <w:sz w:val="28"/>
      <w:szCs w:val="28"/>
    </w:rPr>
  </w:style>
  <w:style w:type="paragraph" w:customStyle="1" w:styleId="Default">
    <w:name w:val="Default"/>
    <w:rsid w:val="00E560A8"/>
    <w:pPr>
      <w:autoSpaceDE w:val="0"/>
      <w:autoSpaceDN w:val="0"/>
      <w:adjustRightInd w:val="0"/>
      <w:spacing w:after="0" w:line="240" w:lineRule="auto"/>
    </w:pPr>
    <w:rPr>
      <w:rFonts w:ascii="Arial" w:hAnsi="Arial" w:cs="Arial"/>
      <w:color w:val="000000"/>
      <w:sz w:val="24"/>
      <w:szCs w:val="24"/>
    </w:rPr>
  </w:style>
  <w:style w:type="character" w:customStyle="1" w:styleId="maincopy1">
    <w:name w:val="maincopy1"/>
    <w:basedOn w:val="DefaultParagraphFont"/>
    <w:rsid w:val="002A5E0C"/>
    <w:rPr>
      <w:rFonts w:ascii="Verdana" w:hAnsi="Verdana" w:hint="default"/>
      <w:b w:val="0"/>
      <w:bCs w:val="0"/>
      <w:color w:val="707A7B"/>
      <w:sz w:val="17"/>
      <w:szCs w:val="17"/>
    </w:rPr>
  </w:style>
  <w:style w:type="paragraph" w:customStyle="1" w:styleId="ACMABodyText0">
    <w:name w:val="ACMA Body Text"/>
    <w:link w:val="ACMABodyTextChar"/>
    <w:rsid w:val="002F799F"/>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0"/>
    <w:locked/>
    <w:rsid w:val="002F799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unhideWhenUsed/>
    <w:rsid w:val="000F6DAA"/>
    <w:rPr>
      <w:sz w:val="16"/>
      <w:szCs w:val="16"/>
    </w:rPr>
  </w:style>
  <w:style w:type="paragraph" w:styleId="CommentText">
    <w:name w:val="annotation text"/>
    <w:basedOn w:val="Normal"/>
    <w:link w:val="CommentTextChar"/>
    <w:uiPriority w:val="99"/>
    <w:semiHidden/>
    <w:unhideWhenUsed/>
    <w:rsid w:val="000F6DAA"/>
    <w:pPr>
      <w:spacing w:line="240" w:lineRule="auto"/>
    </w:pPr>
    <w:rPr>
      <w:sz w:val="20"/>
      <w:szCs w:val="20"/>
    </w:rPr>
  </w:style>
  <w:style w:type="character" w:customStyle="1" w:styleId="CommentTextChar">
    <w:name w:val="Comment Text Char"/>
    <w:basedOn w:val="DefaultParagraphFont"/>
    <w:link w:val="CommentText"/>
    <w:uiPriority w:val="99"/>
    <w:semiHidden/>
    <w:rsid w:val="000F6DAA"/>
    <w:rPr>
      <w:sz w:val="20"/>
      <w:szCs w:val="20"/>
    </w:rPr>
  </w:style>
  <w:style w:type="paragraph" w:styleId="CommentSubject">
    <w:name w:val="annotation subject"/>
    <w:basedOn w:val="CommentText"/>
    <w:next w:val="CommentText"/>
    <w:link w:val="CommentSubjectChar"/>
    <w:uiPriority w:val="99"/>
    <w:semiHidden/>
    <w:unhideWhenUsed/>
    <w:rsid w:val="000F6DAA"/>
    <w:rPr>
      <w:b/>
      <w:bCs/>
    </w:rPr>
  </w:style>
  <w:style w:type="character" w:customStyle="1" w:styleId="CommentSubjectChar">
    <w:name w:val="Comment Subject Char"/>
    <w:basedOn w:val="CommentTextChar"/>
    <w:link w:val="CommentSubject"/>
    <w:uiPriority w:val="99"/>
    <w:semiHidden/>
    <w:rsid w:val="000F6DAA"/>
    <w:rPr>
      <w:b/>
      <w:bCs/>
      <w:sz w:val="20"/>
      <w:szCs w:val="20"/>
    </w:rPr>
  </w:style>
  <w:style w:type="paragraph" w:styleId="BalloonText">
    <w:name w:val="Balloon Text"/>
    <w:basedOn w:val="Normal"/>
    <w:link w:val="BalloonTextChar"/>
    <w:uiPriority w:val="99"/>
    <w:semiHidden/>
    <w:unhideWhenUsed/>
    <w:rsid w:val="000F6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DAA"/>
    <w:rPr>
      <w:rFonts w:ascii="Segoe UI" w:hAnsi="Segoe UI" w:cs="Segoe UI"/>
      <w:sz w:val="18"/>
      <w:szCs w:val="18"/>
    </w:rPr>
  </w:style>
  <w:style w:type="character" w:styleId="FollowedHyperlink">
    <w:name w:val="FollowedHyperlink"/>
    <w:basedOn w:val="DefaultParagraphFont"/>
    <w:uiPriority w:val="99"/>
    <w:semiHidden/>
    <w:unhideWhenUsed/>
    <w:rsid w:val="00150BC7"/>
    <w:rPr>
      <w:color w:val="954F72" w:themeColor="followedHyperlink"/>
      <w:u w:val="single"/>
    </w:rPr>
  </w:style>
  <w:style w:type="paragraph" w:customStyle="1" w:styleId="Definition">
    <w:name w:val="Definition"/>
    <w:aliases w:val="dd"/>
    <w:basedOn w:val="Normal"/>
    <w:rsid w:val="00150BC7"/>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150BC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50BC7"/>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Emphasis">
    <w:name w:val="Emphasis"/>
    <w:basedOn w:val="DefaultParagraphFont"/>
    <w:uiPriority w:val="20"/>
    <w:qFormat/>
    <w:rsid w:val="00627AAF"/>
    <w:rPr>
      <w:i/>
      <w:iCs/>
    </w:rPr>
  </w:style>
  <w:style w:type="paragraph" w:customStyle="1" w:styleId="R1">
    <w:name w:val="R1"/>
    <w:aliases w:val="1. or 1.(1)"/>
    <w:basedOn w:val="Normal"/>
    <w:next w:val="Normal"/>
    <w:rsid w:val="00627AAF"/>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CMANumberedList">
    <w:name w:val="ACMA Numbered List"/>
    <w:link w:val="ACMANumberedListChar"/>
    <w:rsid w:val="00814C77"/>
    <w:pPr>
      <w:numPr>
        <w:numId w:val="10"/>
      </w:numPr>
      <w:spacing w:before="20" w:after="20" w:line="240" w:lineRule="auto"/>
    </w:pPr>
    <w:rPr>
      <w:rFonts w:ascii="Times New Roman" w:eastAsia="Times New Roman" w:hAnsi="Times New Roman" w:cs="Times New Roman"/>
      <w:sz w:val="24"/>
      <w:szCs w:val="20"/>
    </w:rPr>
  </w:style>
  <w:style w:type="paragraph" w:customStyle="1" w:styleId="ACMABulletLevel1">
    <w:name w:val="ACMA Bullet Level 1"/>
    <w:rsid w:val="00984E5B"/>
    <w:pPr>
      <w:numPr>
        <w:numId w:val="11"/>
      </w:numPr>
      <w:spacing w:after="120" w:line="240" w:lineRule="auto"/>
    </w:pPr>
    <w:rPr>
      <w:rFonts w:ascii="Times New Roman" w:eastAsia="Times New Roman" w:hAnsi="Times New Roman" w:cs="Times New Roman"/>
      <w:sz w:val="24"/>
      <w:szCs w:val="20"/>
    </w:rPr>
  </w:style>
  <w:style w:type="character" w:customStyle="1" w:styleId="ACMANumberedListChar">
    <w:name w:val="ACMA Numbered List Char"/>
    <w:basedOn w:val="DefaultParagraphFont"/>
    <w:link w:val="ACMANumberedList"/>
    <w:rsid w:val="00984E5B"/>
    <w:rPr>
      <w:rFonts w:ascii="Times New Roman" w:eastAsia="Times New Roman" w:hAnsi="Times New Roman" w:cs="Times New Roman"/>
      <w:sz w:val="24"/>
      <w:szCs w:val="20"/>
    </w:rPr>
  </w:style>
  <w:style w:type="paragraph" w:customStyle="1" w:styleId="subsection">
    <w:name w:val="subsection"/>
    <w:aliases w:val="ss"/>
    <w:basedOn w:val="Normal"/>
    <w:rsid w:val="00334D7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OPCParaBaseChar">
    <w:name w:val="OPCParaBase Char"/>
    <w:basedOn w:val="DefaultParagraphFont"/>
    <w:link w:val="OPCParaBase"/>
    <w:rsid w:val="00DF6DC9"/>
  </w:style>
  <w:style w:type="paragraph" w:customStyle="1" w:styleId="OPCParaBase">
    <w:name w:val="OPCParaBase"/>
    <w:link w:val="OPCParaBaseChar"/>
    <w:qFormat/>
    <w:rsid w:val="00DF6DC9"/>
    <w:pPr>
      <w:spacing w:after="0" w:line="260" w:lineRule="atLeast"/>
    </w:pPr>
  </w:style>
  <w:style w:type="character" w:customStyle="1" w:styleId="ACMABodyTextChar1">
    <w:name w:val="ACMA Body Text Char1"/>
    <w:rsid w:val="00F22A48"/>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D4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8F2"/>
  </w:style>
  <w:style w:type="paragraph" w:styleId="Footer">
    <w:name w:val="footer"/>
    <w:basedOn w:val="Normal"/>
    <w:link w:val="FooterChar"/>
    <w:uiPriority w:val="99"/>
    <w:unhideWhenUsed/>
    <w:rsid w:val="002D4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4860">
      <w:bodyDiv w:val="1"/>
      <w:marLeft w:val="0"/>
      <w:marRight w:val="0"/>
      <w:marTop w:val="0"/>
      <w:marBottom w:val="0"/>
      <w:divBdr>
        <w:top w:val="none" w:sz="0" w:space="0" w:color="auto"/>
        <w:left w:val="none" w:sz="0" w:space="0" w:color="auto"/>
        <w:bottom w:val="none" w:sz="0" w:space="0" w:color="auto"/>
        <w:right w:val="none" w:sz="0" w:space="0" w:color="auto"/>
      </w:divBdr>
      <w:divsChild>
        <w:div w:id="1444305840">
          <w:marLeft w:val="0"/>
          <w:marRight w:val="0"/>
          <w:marTop w:val="0"/>
          <w:marBottom w:val="0"/>
          <w:divBdr>
            <w:top w:val="none" w:sz="0" w:space="0" w:color="auto"/>
            <w:left w:val="none" w:sz="0" w:space="0" w:color="auto"/>
            <w:bottom w:val="none" w:sz="0" w:space="0" w:color="auto"/>
            <w:right w:val="none" w:sz="0" w:space="0" w:color="auto"/>
          </w:divBdr>
          <w:divsChild>
            <w:div w:id="29036200">
              <w:marLeft w:val="0"/>
              <w:marRight w:val="0"/>
              <w:marTop w:val="0"/>
              <w:marBottom w:val="0"/>
              <w:divBdr>
                <w:top w:val="none" w:sz="0" w:space="0" w:color="auto"/>
                <w:left w:val="none" w:sz="0" w:space="0" w:color="auto"/>
                <w:bottom w:val="none" w:sz="0" w:space="0" w:color="auto"/>
                <w:right w:val="none" w:sz="0" w:space="0" w:color="auto"/>
              </w:divBdr>
              <w:divsChild>
                <w:div w:id="1561356192">
                  <w:marLeft w:val="0"/>
                  <w:marRight w:val="0"/>
                  <w:marTop w:val="0"/>
                  <w:marBottom w:val="0"/>
                  <w:divBdr>
                    <w:top w:val="none" w:sz="0" w:space="0" w:color="auto"/>
                    <w:left w:val="none" w:sz="0" w:space="0" w:color="auto"/>
                    <w:bottom w:val="none" w:sz="0" w:space="0" w:color="auto"/>
                    <w:right w:val="none" w:sz="0" w:space="0" w:color="auto"/>
                  </w:divBdr>
                  <w:divsChild>
                    <w:div w:id="1773816396">
                      <w:marLeft w:val="0"/>
                      <w:marRight w:val="0"/>
                      <w:marTop w:val="0"/>
                      <w:marBottom w:val="0"/>
                      <w:divBdr>
                        <w:top w:val="none" w:sz="0" w:space="0" w:color="auto"/>
                        <w:left w:val="none" w:sz="0" w:space="0" w:color="auto"/>
                        <w:bottom w:val="none" w:sz="0" w:space="0" w:color="auto"/>
                        <w:right w:val="none" w:sz="0" w:space="0" w:color="auto"/>
                      </w:divBdr>
                      <w:divsChild>
                        <w:div w:id="433092886">
                          <w:marLeft w:val="0"/>
                          <w:marRight w:val="0"/>
                          <w:marTop w:val="0"/>
                          <w:marBottom w:val="0"/>
                          <w:divBdr>
                            <w:top w:val="single" w:sz="6" w:space="0" w:color="828282"/>
                            <w:left w:val="single" w:sz="6" w:space="0" w:color="828282"/>
                            <w:bottom w:val="single" w:sz="6" w:space="0" w:color="828282"/>
                            <w:right w:val="single" w:sz="6" w:space="0" w:color="828282"/>
                          </w:divBdr>
                          <w:divsChild>
                            <w:div w:id="1432774020">
                              <w:marLeft w:val="0"/>
                              <w:marRight w:val="0"/>
                              <w:marTop w:val="0"/>
                              <w:marBottom w:val="0"/>
                              <w:divBdr>
                                <w:top w:val="none" w:sz="0" w:space="0" w:color="auto"/>
                                <w:left w:val="none" w:sz="0" w:space="0" w:color="auto"/>
                                <w:bottom w:val="none" w:sz="0" w:space="0" w:color="auto"/>
                                <w:right w:val="none" w:sz="0" w:space="0" w:color="auto"/>
                              </w:divBdr>
                              <w:divsChild>
                                <w:div w:id="645860749">
                                  <w:marLeft w:val="0"/>
                                  <w:marRight w:val="0"/>
                                  <w:marTop w:val="0"/>
                                  <w:marBottom w:val="0"/>
                                  <w:divBdr>
                                    <w:top w:val="none" w:sz="0" w:space="0" w:color="auto"/>
                                    <w:left w:val="none" w:sz="0" w:space="0" w:color="auto"/>
                                    <w:bottom w:val="none" w:sz="0" w:space="0" w:color="auto"/>
                                    <w:right w:val="none" w:sz="0" w:space="0" w:color="auto"/>
                                  </w:divBdr>
                                  <w:divsChild>
                                    <w:div w:id="828248215">
                                      <w:marLeft w:val="0"/>
                                      <w:marRight w:val="0"/>
                                      <w:marTop w:val="0"/>
                                      <w:marBottom w:val="0"/>
                                      <w:divBdr>
                                        <w:top w:val="none" w:sz="0" w:space="0" w:color="auto"/>
                                        <w:left w:val="none" w:sz="0" w:space="0" w:color="auto"/>
                                        <w:bottom w:val="none" w:sz="0" w:space="0" w:color="auto"/>
                                        <w:right w:val="none" w:sz="0" w:space="0" w:color="auto"/>
                                      </w:divBdr>
                                      <w:divsChild>
                                        <w:div w:id="369260143">
                                          <w:marLeft w:val="0"/>
                                          <w:marRight w:val="0"/>
                                          <w:marTop w:val="0"/>
                                          <w:marBottom w:val="0"/>
                                          <w:divBdr>
                                            <w:top w:val="none" w:sz="0" w:space="0" w:color="auto"/>
                                            <w:left w:val="none" w:sz="0" w:space="0" w:color="auto"/>
                                            <w:bottom w:val="none" w:sz="0" w:space="0" w:color="auto"/>
                                            <w:right w:val="none" w:sz="0" w:space="0" w:color="auto"/>
                                          </w:divBdr>
                                          <w:divsChild>
                                            <w:div w:id="1384527122">
                                              <w:marLeft w:val="0"/>
                                              <w:marRight w:val="0"/>
                                              <w:marTop w:val="0"/>
                                              <w:marBottom w:val="0"/>
                                              <w:divBdr>
                                                <w:top w:val="none" w:sz="0" w:space="0" w:color="auto"/>
                                                <w:left w:val="none" w:sz="0" w:space="0" w:color="auto"/>
                                                <w:bottom w:val="none" w:sz="0" w:space="0" w:color="auto"/>
                                                <w:right w:val="none" w:sz="0" w:space="0" w:color="auto"/>
                                              </w:divBdr>
                                              <w:divsChild>
                                                <w:div w:id="11167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027195">
      <w:bodyDiv w:val="1"/>
      <w:marLeft w:val="0"/>
      <w:marRight w:val="0"/>
      <w:marTop w:val="0"/>
      <w:marBottom w:val="0"/>
      <w:divBdr>
        <w:top w:val="none" w:sz="0" w:space="0" w:color="auto"/>
        <w:left w:val="none" w:sz="0" w:space="0" w:color="auto"/>
        <w:bottom w:val="none" w:sz="0" w:space="0" w:color="auto"/>
        <w:right w:val="none" w:sz="0" w:space="0" w:color="auto"/>
      </w:divBdr>
      <w:divsChild>
        <w:div w:id="1390299839">
          <w:marLeft w:val="0"/>
          <w:marRight w:val="0"/>
          <w:marTop w:val="0"/>
          <w:marBottom w:val="0"/>
          <w:divBdr>
            <w:top w:val="none" w:sz="0" w:space="0" w:color="auto"/>
            <w:left w:val="none" w:sz="0" w:space="0" w:color="auto"/>
            <w:bottom w:val="none" w:sz="0" w:space="0" w:color="auto"/>
            <w:right w:val="none" w:sz="0" w:space="0" w:color="auto"/>
          </w:divBdr>
          <w:divsChild>
            <w:div w:id="1720398040">
              <w:marLeft w:val="0"/>
              <w:marRight w:val="0"/>
              <w:marTop w:val="0"/>
              <w:marBottom w:val="0"/>
              <w:divBdr>
                <w:top w:val="none" w:sz="0" w:space="0" w:color="auto"/>
                <w:left w:val="none" w:sz="0" w:space="0" w:color="auto"/>
                <w:bottom w:val="none" w:sz="0" w:space="0" w:color="auto"/>
                <w:right w:val="none" w:sz="0" w:space="0" w:color="auto"/>
              </w:divBdr>
              <w:divsChild>
                <w:div w:id="1633290627">
                  <w:marLeft w:val="0"/>
                  <w:marRight w:val="0"/>
                  <w:marTop w:val="0"/>
                  <w:marBottom w:val="0"/>
                  <w:divBdr>
                    <w:top w:val="none" w:sz="0" w:space="0" w:color="auto"/>
                    <w:left w:val="none" w:sz="0" w:space="0" w:color="auto"/>
                    <w:bottom w:val="none" w:sz="0" w:space="0" w:color="auto"/>
                    <w:right w:val="none" w:sz="0" w:space="0" w:color="auto"/>
                  </w:divBdr>
                  <w:divsChild>
                    <w:div w:id="659236859">
                      <w:marLeft w:val="0"/>
                      <w:marRight w:val="0"/>
                      <w:marTop w:val="0"/>
                      <w:marBottom w:val="0"/>
                      <w:divBdr>
                        <w:top w:val="none" w:sz="0" w:space="0" w:color="auto"/>
                        <w:left w:val="none" w:sz="0" w:space="0" w:color="auto"/>
                        <w:bottom w:val="none" w:sz="0" w:space="0" w:color="auto"/>
                        <w:right w:val="none" w:sz="0" w:space="0" w:color="auto"/>
                      </w:divBdr>
                      <w:divsChild>
                        <w:div w:id="257062511">
                          <w:marLeft w:val="0"/>
                          <w:marRight w:val="0"/>
                          <w:marTop w:val="0"/>
                          <w:marBottom w:val="0"/>
                          <w:divBdr>
                            <w:top w:val="single" w:sz="6" w:space="0" w:color="828282"/>
                            <w:left w:val="single" w:sz="6" w:space="0" w:color="828282"/>
                            <w:bottom w:val="single" w:sz="6" w:space="0" w:color="828282"/>
                            <w:right w:val="single" w:sz="6" w:space="0" w:color="828282"/>
                          </w:divBdr>
                          <w:divsChild>
                            <w:div w:id="702285968">
                              <w:marLeft w:val="0"/>
                              <w:marRight w:val="0"/>
                              <w:marTop w:val="0"/>
                              <w:marBottom w:val="0"/>
                              <w:divBdr>
                                <w:top w:val="none" w:sz="0" w:space="0" w:color="auto"/>
                                <w:left w:val="none" w:sz="0" w:space="0" w:color="auto"/>
                                <w:bottom w:val="none" w:sz="0" w:space="0" w:color="auto"/>
                                <w:right w:val="none" w:sz="0" w:space="0" w:color="auto"/>
                              </w:divBdr>
                              <w:divsChild>
                                <w:div w:id="1770808762">
                                  <w:marLeft w:val="0"/>
                                  <w:marRight w:val="0"/>
                                  <w:marTop w:val="0"/>
                                  <w:marBottom w:val="0"/>
                                  <w:divBdr>
                                    <w:top w:val="none" w:sz="0" w:space="0" w:color="auto"/>
                                    <w:left w:val="none" w:sz="0" w:space="0" w:color="auto"/>
                                    <w:bottom w:val="none" w:sz="0" w:space="0" w:color="auto"/>
                                    <w:right w:val="none" w:sz="0" w:space="0" w:color="auto"/>
                                  </w:divBdr>
                                  <w:divsChild>
                                    <w:div w:id="1085803159">
                                      <w:marLeft w:val="0"/>
                                      <w:marRight w:val="0"/>
                                      <w:marTop w:val="0"/>
                                      <w:marBottom w:val="0"/>
                                      <w:divBdr>
                                        <w:top w:val="none" w:sz="0" w:space="0" w:color="auto"/>
                                        <w:left w:val="none" w:sz="0" w:space="0" w:color="auto"/>
                                        <w:bottom w:val="none" w:sz="0" w:space="0" w:color="auto"/>
                                        <w:right w:val="none" w:sz="0" w:space="0" w:color="auto"/>
                                      </w:divBdr>
                                      <w:divsChild>
                                        <w:div w:id="1673415363">
                                          <w:marLeft w:val="0"/>
                                          <w:marRight w:val="0"/>
                                          <w:marTop w:val="0"/>
                                          <w:marBottom w:val="0"/>
                                          <w:divBdr>
                                            <w:top w:val="none" w:sz="0" w:space="0" w:color="auto"/>
                                            <w:left w:val="none" w:sz="0" w:space="0" w:color="auto"/>
                                            <w:bottom w:val="none" w:sz="0" w:space="0" w:color="auto"/>
                                            <w:right w:val="none" w:sz="0" w:space="0" w:color="auto"/>
                                          </w:divBdr>
                                          <w:divsChild>
                                            <w:div w:id="976253525">
                                              <w:marLeft w:val="0"/>
                                              <w:marRight w:val="0"/>
                                              <w:marTop w:val="0"/>
                                              <w:marBottom w:val="0"/>
                                              <w:divBdr>
                                                <w:top w:val="none" w:sz="0" w:space="0" w:color="auto"/>
                                                <w:left w:val="none" w:sz="0" w:space="0" w:color="auto"/>
                                                <w:bottom w:val="none" w:sz="0" w:space="0" w:color="auto"/>
                                                <w:right w:val="none" w:sz="0" w:space="0" w:color="auto"/>
                                              </w:divBdr>
                                              <w:divsChild>
                                                <w:div w:id="2071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462265">
      <w:bodyDiv w:val="1"/>
      <w:marLeft w:val="0"/>
      <w:marRight w:val="0"/>
      <w:marTop w:val="0"/>
      <w:marBottom w:val="0"/>
      <w:divBdr>
        <w:top w:val="none" w:sz="0" w:space="0" w:color="auto"/>
        <w:left w:val="none" w:sz="0" w:space="0" w:color="auto"/>
        <w:bottom w:val="none" w:sz="0" w:space="0" w:color="auto"/>
        <w:right w:val="none" w:sz="0" w:space="0" w:color="auto"/>
      </w:divBdr>
      <w:divsChild>
        <w:div w:id="1218861039">
          <w:marLeft w:val="0"/>
          <w:marRight w:val="0"/>
          <w:marTop w:val="0"/>
          <w:marBottom w:val="0"/>
          <w:divBdr>
            <w:top w:val="none" w:sz="0" w:space="0" w:color="auto"/>
            <w:left w:val="none" w:sz="0" w:space="0" w:color="auto"/>
            <w:bottom w:val="none" w:sz="0" w:space="0" w:color="auto"/>
            <w:right w:val="none" w:sz="0" w:space="0" w:color="auto"/>
          </w:divBdr>
          <w:divsChild>
            <w:div w:id="971519228">
              <w:marLeft w:val="0"/>
              <w:marRight w:val="0"/>
              <w:marTop w:val="0"/>
              <w:marBottom w:val="0"/>
              <w:divBdr>
                <w:top w:val="none" w:sz="0" w:space="0" w:color="auto"/>
                <w:left w:val="none" w:sz="0" w:space="0" w:color="auto"/>
                <w:bottom w:val="none" w:sz="0" w:space="0" w:color="auto"/>
                <w:right w:val="none" w:sz="0" w:space="0" w:color="auto"/>
              </w:divBdr>
              <w:divsChild>
                <w:div w:id="1476070672">
                  <w:marLeft w:val="0"/>
                  <w:marRight w:val="0"/>
                  <w:marTop w:val="0"/>
                  <w:marBottom w:val="0"/>
                  <w:divBdr>
                    <w:top w:val="none" w:sz="0" w:space="0" w:color="auto"/>
                    <w:left w:val="none" w:sz="0" w:space="0" w:color="auto"/>
                    <w:bottom w:val="none" w:sz="0" w:space="0" w:color="auto"/>
                    <w:right w:val="none" w:sz="0" w:space="0" w:color="auto"/>
                  </w:divBdr>
                  <w:divsChild>
                    <w:div w:id="343754426">
                      <w:marLeft w:val="0"/>
                      <w:marRight w:val="0"/>
                      <w:marTop w:val="0"/>
                      <w:marBottom w:val="0"/>
                      <w:divBdr>
                        <w:top w:val="none" w:sz="0" w:space="0" w:color="auto"/>
                        <w:left w:val="none" w:sz="0" w:space="0" w:color="auto"/>
                        <w:bottom w:val="none" w:sz="0" w:space="0" w:color="auto"/>
                        <w:right w:val="none" w:sz="0" w:space="0" w:color="auto"/>
                      </w:divBdr>
                      <w:divsChild>
                        <w:div w:id="1814249961">
                          <w:marLeft w:val="0"/>
                          <w:marRight w:val="0"/>
                          <w:marTop w:val="0"/>
                          <w:marBottom w:val="0"/>
                          <w:divBdr>
                            <w:top w:val="single" w:sz="6" w:space="0" w:color="828282"/>
                            <w:left w:val="single" w:sz="6" w:space="0" w:color="828282"/>
                            <w:bottom w:val="single" w:sz="6" w:space="0" w:color="828282"/>
                            <w:right w:val="single" w:sz="6" w:space="0" w:color="828282"/>
                          </w:divBdr>
                          <w:divsChild>
                            <w:div w:id="2128766719">
                              <w:marLeft w:val="0"/>
                              <w:marRight w:val="0"/>
                              <w:marTop w:val="0"/>
                              <w:marBottom w:val="0"/>
                              <w:divBdr>
                                <w:top w:val="none" w:sz="0" w:space="0" w:color="auto"/>
                                <w:left w:val="none" w:sz="0" w:space="0" w:color="auto"/>
                                <w:bottom w:val="none" w:sz="0" w:space="0" w:color="auto"/>
                                <w:right w:val="none" w:sz="0" w:space="0" w:color="auto"/>
                              </w:divBdr>
                              <w:divsChild>
                                <w:div w:id="1455828325">
                                  <w:marLeft w:val="0"/>
                                  <w:marRight w:val="0"/>
                                  <w:marTop w:val="0"/>
                                  <w:marBottom w:val="0"/>
                                  <w:divBdr>
                                    <w:top w:val="none" w:sz="0" w:space="0" w:color="auto"/>
                                    <w:left w:val="none" w:sz="0" w:space="0" w:color="auto"/>
                                    <w:bottom w:val="none" w:sz="0" w:space="0" w:color="auto"/>
                                    <w:right w:val="none" w:sz="0" w:space="0" w:color="auto"/>
                                  </w:divBdr>
                                  <w:divsChild>
                                    <w:div w:id="2018002038">
                                      <w:marLeft w:val="0"/>
                                      <w:marRight w:val="0"/>
                                      <w:marTop w:val="0"/>
                                      <w:marBottom w:val="0"/>
                                      <w:divBdr>
                                        <w:top w:val="none" w:sz="0" w:space="0" w:color="auto"/>
                                        <w:left w:val="none" w:sz="0" w:space="0" w:color="auto"/>
                                        <w:bottom w:val="none" w:sz="0" w:space="0" w:color="auto"/>
                                        <w:right w:val="none" w:sz="0" w:space="0" w:color="auto"/>
                                      </w:divBdr>
                                      <w:divsChild>
                                        <w:div w:id="1823814039">
                                          <w:marLeft w:val="0"/>
                                          <w:marRight w:val="0"/>
                                          <w:marTop w:val="0"/>
                                          <w:marBottom w:val="0"/>
                                          <w:divBdr>
                                            <w:top w:val="none" w:sz="0" w:space="0" w:color="auto"/>
                                            <w:left w:val="none" w:sz="0" w:space="0" w:color="auto"/>
                                            <w:bottom w:val="none" w:sz="0" w:space="0" w:color="auto"/>
                                            <w:right w:val="none" w:sz="0" w:space="0" w:color="auto"/>
                                          </w:divBdr>
                                          <w:divsChild>
                                            <w:div w:id="195578745">
                                              <w:marLeft w:val="0"/>
                                              <w:marRight w:val="0"/>
                                              <w:marTop w:val="0"/>
                                              <w:marBottom w:val="0"/>
                                              <w:divBdr>
                                                <w:top w:val="none" w:sz="0" w:space="0" w:color="auto"/>
                                                <w:left w:val="none" w:sz="0" w:space="0" w:color="auto"/>
                                                <w:bottom w:val="none" w:sz="0" w:space="0" w:color="auto"/>
                                                <w:right w:val="none" w:sz="0" w:space="0" w:color="auto"/>
                                              </w:divBdr>
                                              <w:divsChild>
                                                <w:div w:id="1180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648299">
      <w:bodyDiv w:val="1"/>
      <w:marLeft w:val="0"/>
      <w:marRight w:val="0"/>
      <w:marTop w:val="0"/>
      <w:marBottom w:val="0"/>
      <w:divBdr>
        <w:top w:val="none" w:sz="0" w:space="0" w:color="auto"/>
        <w:left w:val="none" w:sz="0" w:space="0" w:color="auto"/>
        <w:bottom w:val="none" w:sz="0" w:space="0" w:color="auto"/>
        <w:right w:val="none" w:sz="0" w:space="0" w:color="auto"/>
      </w:divBdr>
    </w:div>
    <w:div w:id="1637569177">
      <w:bodyDiv w:val="1"/>
      <w:marLeft w:val="0"/>
      <w:marRight w:val="0"/>
      <w:marTop w:val="0"/>
      <w:marBottom w:val="0"/>
      <w:divBdr>
        <w:top w:val="none" w:sz="0" w:space="0" w:color="auto"/>
        <w:left w:val="none" w:sz="0" w:space="0" w:color="auto"/>
        <w:bottom w:val="none" w:sz="0" w:space="0" w:color="auto"/>
        <w:right w:val="none" w:sz="0" w:space="0" w:color="auto"/>
      </w:divBdr>
    </w:div>
    <w:div w:id="1784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a.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csm.gov.au" TargetMode="External"/><Relationship Id="rId2" Type="http://schemas.openxmlformats.org/officeDocument/2006/relationships/customXml" Target="../customXml/item2.xml"/><Relationship Id="rId16" Type="http://schemas.openxmlformats.org/officeDocument/2006/relationships/hyperlink" Target="http://www.g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cma.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m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Industry/Spectrum/Radiocomms-licensing/Spectrum-licences/spectrum_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033047a-93aa-421b-8aef-52cbfb63cf36" ContentTypeId="0x01010070E27D6A746B5B48ADF22C2128054D55" PreviousValue="false"/>
</file>

<file path=customXml/item3.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KNAH4PPFC442-3114-188</_dlc_DocId>
    <_dlc_DocIdUrl xmlns="6db8f3c6-01a1-4322-b043-a3b2a190f7a8">
      <Url>http://collaboration/organisation/Auth/Chair/Auth/_layouts/DocIdRedir.aspx?ID=KNAH4PPFC442-3114-188</Url>
      <Description>KNAH4PPFC442-3114-188</Description>
    </_dlc_DocIdUrl>
    <Record_x0020_Number xmlns="83630db1-6fc2-4dfd-b3fe-d61d34e1440c">ER2015/120139</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3B81-3584-42A9-B8E0-33761C265D2E}">
  <ds:schemaRefs>
    <ds:schemaRef ds:uri="http://schemas.microsoft.com/sharepoint/events"/>
  </ds:schemaRefs>
</ds:datastoreItem>
</file>

<file path=customXml/itemProps2.xml><?xml version="1.0" encoding="utf-8"?>
<ds:datastoreItem xmlns:ds="http://schemas.openxmlformats.org/officeDocument/2006/customXml" ds:itemID="{74FB3665-8ACA-483A-8ED1-33009CB98C85}">
  <ds:schemaRefs>
    <ds:schemaRef ds:uri="Microsoft.SharePoint.Taxonomy.ContentTypeSync"/>
  </ds:schemaRefs>
</ds:datastoreItem>
</file>

<file path=customXml/itemProps3.xml><?xml version="1.0" encoding="utf-8"?>
<ds:datastoreItem xmlns:ds="http://schemas.openxmlformats.org/officeDocument/2006/customXml" ds:itemID="{ED4CF647-4AAD-4AC3-8782-050DA57B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F6D84-1341-4C4A-BD2C-06EE0F10FC12}">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5.xml><?xml version="1.0" encoding="utf-8"?>
<ds:datastoreItem xmlns:ds="http://schemas.openxmlformats.org/officeDocument/2006/customXml" ds:itemID="{DE6B7435-350F-438A-9A6B-8F4AA5CB9290}">
  <ds:schemaRefs>
    <ds:schemaRef ds:uri="http://schemas.microsoft.com/sharepoint/v3/contenttype/forms"/>
  </ds:schemaRefs>
</ds:datastoreItem>
</file>

<file path=customXml/itemProps6.xml><?xml version="1.0" encoding="utf-8"?>
<ds:datastoreItem xmlns:ds="http://schemas.openxmlformats.org/officeDocument/2006/customXml" ds:itemID="{7781EE2C-3193-4467-83B1-25DD47B0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Wong</dc:creator>
  <cp:keywords/>
  <dc:description/>
  <cp:lastModifiedBy>Stephen A Jones (VIC)</cp:lastModifiedBy>
  <cp:revision>4</cp:revision>
  <cp:lastPrinted>2015-02-15T23:49:00Z</cp:lastPrinted>
  <dcterms:created xsi:type="dcterms:W3CDTF">2015-03-03T05:28:00Z</dcterms:created>
  <dcterms:modified xsi:type="dcterms:W3CDTF">2015-03-03T05:31:00Z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5af73c89-67c1-4f97-9335-5799151378d8</vt:lpwstr>
  </property>
  <property fmtid="{D5CDD505-2E9C-101B-9397-08002B2CF9AE}" pid="3" name="ContentTypeId">
    <vt:lpwstr>0x01010070E27D6A746B5B48ADF22C2128054D5500EE817EA22CCD994CB2E127746CF12863</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{f1c3c3d6-c421-46f6-a621-f79f6b29635f}</vt:lpwstr>
  </property>
  <property fmtid="{D5CDD505-2E9C-101B-9397-08002B2CF9AE}" pid="7" name="RecordPoint_RecordFormat">
    <vt:lpwstr/>
  </property>
  <property fmtid="{D5CDD505-2E9C-101B-9397-08002B2CF9AE}" pid="8" name="RecordPoint_ActiveItemUniqueId">
    <vt:lpwstr>{5af73c89-67c1-4f97-9335-5799151378d8}</vt:lpwstr>
  </property>
  <property fmtid="{D5CDD505-2E9C-101B-9397-08002B2CF9AE}" pid="9" name="RecordPoint_SubmissionCompleted">
    <vt:lpwstr>2015-03-02T16:24:22.4013370+11:00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