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61C55" w14:textId="77777777" w:rsidR="004C12CC" w:rsidRPr="00734E98" w:rsidRDefault="004C12CC" w:rsidP="004C12CC">
      <w:pPr>
        <w:spacing w:before="100" w:beforeAutospacing="1" w:after="0" w:line="240" w:lineRule="auto"/>
        <w:jc w:val="center"/>
        <w:rPr>
          <w:rFonts w:ascii="Arial" w:eastAsia="Times New Roman" w:hAnsi="Arial" w:cs="Arial"/>
          <w:lang w:eastAsia="en-AU"/>
        </w:rPr>
      </w:pPr>
      <w:r w:rsidRPr="00734E98">
        <w:rPr>
          <w:rFonts w:ascii="Arial" w:eastAsia="Times New Roman" w:hAnsi="Arial" w:cs="Arial"/>
          <w:b/>
          <w:bCs/>
          <w:lang w:eastAsia="en-AU"/>
        </w:rPr>
        <w:t>EXPLANATORY STATEMENT</w:t>
      </w:r>
    </w:p>
    <w:p w14:paraId="1CF9E88F" w14:textId="77777777" w:rsidR="004C12CC" w:rsidRPr="00734E98" w:rsidRDefault="004C12CC" w:rsidP="004C12CC">
      <w:pPr>
        <w:spacing w:before="240" w:after="0" w:line="240" w:lineRule="auto"/>
        <w:jc w:val="center"/>
        <w:rPr>
          <w:rFonts w:ascii="Arial" w:eastAsia="Times New Roman" w:hAnsi="Arial" w:cs="Arial"/>
          <w:lang w:eastAsia="en-AU"/>
        </w:rPr>
      </w:pPr>
      <w:r w:rsidRPr="00734E98">
        <w:rPr>
          <w:rFonts w:ascii="Arial" w:eastAsia="Times New Roman" w:hAnsi="Arial" w:cs="Arial"/>
          <w:b/>
          <w:bCs/>
          <w:lang w:eastAsia="en-AU"/>
        </w:rPr>
        <w:t>Prepared by the Australian Communications and Media Authority</w:t>
      </w:r>
    </w:p>
    <w:p w14:paraId="3A5B7D35" w14:textId="07244F36" w:rsidR="004C12CC" w:rsidRPr="00734E98" w:rsidRDefault="004C12CC" w:rsidP="004C12CC">
      <w:pPr>
        <w:spacing w:before="240" w:after="0" w:line="240" w:lineRule="auto"/>
        <w:jc w:val="center"/>
        <w:rPr>
          <w:rFonts w:ascii="Arial" w:eastAsia="Times New Roman" w:hAnsi="Arial" w:cs="Arial"/>
          <w:b/>
          <w:bCs/>
          <w:i/>
          <w:iCs/>
          <w:lang w:eastAsia="en-AU"/>
        </w:rPr>
      </w:pPr>
      <w:r w:rsidRPr="00734E98">
        <w:rPr>
          <w:rFonts w:ascii="Arial" w:eastAsia="Times New Roman" w:hAnsi="Arial" w:cs="Arial"/>
          <w:b/>
          <w:bCs/>
          <w:i/>
          <w:iCs/>
          <w:lang w:eastAsia="en-AU"/>
        </w:rPr>
        <w:t>Radiocommunicatio</w:t>
      </w:r>
      <w:r w:rsidR="00C47441" w:rsidRPr="00734E98">
        <w:rPr>
          <w:rFonts w:ascii="Arial" w:eastAsia="Times New Roman" w:hAnsi="Arial" w:cs="Arial"/>
          <w:b/>
          <w:bCs/>
          <w:i/>
          <w:iCs/>
          <w:lang w:eastAsia="en-AU"/>
        </w:rPr>
        <w:t>ns (</w:t>
      </w:r>
      <w:r w:rsidR="0037590C" w:rsidRPr="00734E98">
        <w:rPr>
          <w:rFonts w:ascii="Arial" w:eastAsia="Times New Roman" w:hAnsi="Arial" w:cs="Arial"/>
          <w:b/>
          <w:bCs/>
          <w:i/>
          <w:iCs/>
          <w:lang w:eastAsia="en-AU"/>
        </w:rPr>
        <w:t>Receiver</w:t>
      </w:r>
      <w:r w:rsidR="00C47441" w:rsidRPr="00734E98">
        <w:rPr>
          <w:rFonts w:ascii="Arial" w:eastAsia="Times New Roman" w:hAnsi="Arial" w:cs="Arial"/>
          <w:b/>
          <w:bCs/>
          <w:i/>
          <w:iCs/>
          <w:lang w:eastAsia="en-AU"/>
        </w:rPr>
        <w:t xml:space="preserve"> Licence Tax</w:t>
      </w:r>
      <w:r w:rsidR="00C640C7" w:rsidRPr="00734E98">
        <w:rPr>
          <w:rFonts w:ascii="Arial" w:eastAsia="Times New Roman" w:hAnsi="Arial" w:cs="Arial"/>
          <w:b/>
          <w:bCs/>
          <w:i/>
          <w:iCs/>
          <w:lang w:eastAsia="en-AU"/>
        </w:rPr>
        <w:t xml:space="preserve">) </w:t>
      </w:r>
      <w:r w:rsidR="00C47441" w:rsidRPr="00734E98">
        <w:rPr>
          <w:rFonts w:ascii="Arial" w:eastAsia="Times New Roman" w:hAnsi="Arial" w:cs="Arial"/>
          <w:b/>
          <w:bCs/>
          <w:i/>
          <w:iCs/>
          <w:lang w:eastAsia="en-AU"/>
        </w:rPr>
        <w:br/>
        <w:t>Determination 2015</w:t>
      </w:r>
    </w:p>
    <w:p w14:paraId="62DF2A20" w14:textId="12C4AD82" w:rsidR="004C12CC" w:rsidRPr="00734E98" w:rsidRDefault="004C12CC" w:rsidP="004C12CC">
      <w:pPr>
        <w:spacing w:before="100" w:beforeAutospacing="1" w:after="0" w:line="240" w:lineRule="auto"/>
        <w:jc w:val="center"/>
        <w:rPr>
          <w:rFonts w:ascii="Arial" w:eastAsia="Times New Roman" w:hAnsi="Arial" w:cs="Arial"/>
          <w:lang w:eastAsia="en-AU"/>
        </w:rPr>
      </w:pPr>
      <w:r w:rsidRPr="00734E98">
        <w:rPr>
          <w:rFonts w:ascii="Arial" w:eastAsia="Times New Roman" w:hAnsi="Arial" w:cs="Arial"/>
          <w:b/>
          <w:bCs/>
          <w:i/>
          <w:iCs/>
          <w:lang w:eastAsia="en-AU"/>
        </w:rPr>
        <w:t>Radiocommunications (</w:t>
      </w:r>
      <w:r w:rsidR="0037590C" w:rsidRPr="00734E98">
        <w:rPr>
          <w:rFonts w:ascii="Arial" w:eastAsia="Times New Roman" w:hAnsi="Arial" w:cs="Arial"/>
          <w:b/>
          <w:bCs/>
          <w:i/>
          <w:iCs/>
          <w:lang w:eastAsia="en-AU"/>
        </w:rPr>
        <w:t>Receiver</w:t>
      </w:r>
      <w:r w:rsidRPr="00734E98">
        <w:rPr>
          <w:rFonts w:ascii="Arial" w:eastAsia="Times New Roman" w:hAnsi="Arial" w:cs="Arial"/>
          <w:b/>
          <w:bCs/>
          <w:i/>
          <w:iCs/>
          <w:lang w:eastAsia="en-AU"/>
        </w:rPr>
        <w:t xml:space="preserve"> Licence Tax) Act 1983</w:t>
      </w:r>
    </w:p>
    <w:p w14:paraId="4BDD2842" w14:textId="77777777" w:rsidR="004C12CC" w:rsidRPr="00734E98" w:rsidRDefault="004C12CC" w:rsidP="004C12CC">
      <w:pPr>
        <w:spacing w:before="100" w:beforeAutospacing="1" w:after="120" w:line="240" w:lineRule="auto"/>
        <w:jc w:val="both"/>
        <w:rPr>
          <w:rFonts w:ascii="Arial" w:eastAsia="Times New Roman" w:hAnsi="Arial" w:cs="Arial"/>
          <w:lang w:eastAsia="en-AU"/>
        </w:rPr>
      </w:pPr>
      <w:r w:rsidRPr="00734E98">
        <w:rPr>
          <w:rFonts w:ascii="Arial" w:eastAsia="Times New Roman" w:hAnsi="Arial" w:cs="Arial"/>
          <w:b/>
          <w:bCs/>
          <w:lang w:eastAsia="en-AU"/>
        </w:rPr>
        <w:t>Purpose</w:t>
      </w:r>
    </w:p>
    <w:p w14:paraId="7E5E5519" w14:textId="6B64B3DB" w:rsidR="004C12CC" w:rsidRPr="00734E98" w:rsidRDefault="004C12CC" w:rsidP="004C12CC">
      <w:pPr>
        <w:spacing w:before="100" w:beforeAutospacing="1" w:after="100" w:afterAutospacing="1" w:line="240" w:lineRule="auto"/>
        <w:jc w:val="both"/>
        <w:rPr>
          <w:rFonts w:ascii="Arial" w:eastAsia="Times New Roman" w:hAnsi="Arial" w:cs="Arial"/>
          <w:lang w:eastAsia="en-AU"/>
        </w:rPr>
      </w:pPr>
      <w:r w:rsidRPr="00734E98">
        <w:rPr>
          <w:rFonts w:ascii="Arial" w:eastAsia="Times New Roman" w:hAnsi="Arial" w:cs="Arial"/>
          <w:lang w:eastAsia="en-AU"/>
        </w:rPr>
        <w:t>The</w:t>
      </w:r>
      <w:r w:rsidR="00C47441" w:rsidRPr="00734E98">
        <w:rPr>
          <w:rFonts w:ascii="Arial" w:eastAsia="Times New Roman" w:hAnsi="Arial" w:cs="Arial"/>
          <w:lang w:eastAsia="en-AU"/>
        </w:rPr>
        <w:t xml:space="preserve"> purpose of the</w:t>
      </w:r>
      <w:r w:rsidRPr="00734E98">
        <w:rPr>
          <w:rFonts w:ascii="Arial" w:eastAsia="Times New Roman" w:hAnsi="Arial" w:cs="Arial"/>
          <w:lang w:eastAsia="en-AU"/>
        </w:rPr>
        <w:t xml:space="preserve"> </w:t>
      </w:r>
      <w:r w:rsidRPr="00734E98">
        <w:rPr>
          <w:rFonts w:ascii="Arial" w:eastAsia="Times New Roman" w:hAnsi="Arial" w:cs="Arial"/>
          <w:i/>
          <w:iCs/>
          <w:lang w:eastAsia="en-AU"/>
        </w:rPr>
        <w:t>Radiocommunicatio</w:t>
      </w:r>
      <w:r w:rsidR="00C47441" w:rsidRPr="00734E98">
        <w:rPr>
          <w:rFonts w:ascii="Arial" w:eastAsia="Times New Roman" w:hAnsi="Arial" w:cs="Arial"/>
          <w:i/>
          <w:iCs/>
          <w:lang w:eastAsia="en-AU"/>
        </w:rPr>
        <w:t>ns (</w:t>
      </w:r>
      <w:r w:rsidR="0037590C" w:rsidRPr="00734E98">
        <w:rPr>
          <w:rFonts w:ascii="Arial" w:eastAsia="Times New Roman" w:hAnsi="Arial" w:cs="Arial"/>
          <w:i/>
          <w:iCs/>
          <w:lang w:eastAsia="en-AU"/>
        </w:rPr>
        <w:t>Receiver</w:t>
      </w:r>
      <w:r w:rsidR="00C47441" w:rsidRPr="00734E98">
        <w:rPr>
          <w:rFonts w:ascii="Arial" w:eastAsia="Times New Roman" w:hAnsi="Arial" w:cs="Arial"/>
          <w:i/>
          <w:iCs/>
          <w:lang w:eastAsia="en-AU"/>
        </w:rPr>
        <w:t xml:space="preserve"> Licence Tax) Determination</w:t>
      </w:r>
      <w:r w:rsidR="00BE35C6" w:rsidRPr="00734E98">
        <w:rPr>
          <w:rFonts w:ascii="Arial" w:eastAsia="Times New Roman" w:hAnsi="Arial" w:cs="Arial"/>
          <w:i/>
          <w:iCs/>
          <w:lang w:eastAsia="en-AU"/>
        </w:rPr>
        <w:t xml:space="preserve"> 2015</w:t>
      </w:r>
      <w:r w:rsidR="007659A2" w:rsidRPr="00734E98">
        <w:rPr>
          <w:rFonts w:ascii="Arial" w:eastAsia="Times New Roman" w:hAnsi="Arial" w:cs="Arial"/>
          <w:i/>
          <w:iCs/>
          <w:lang w:eastAsia="en-AU"/>
        </w:rPr>
        <w:t xml:space="preserve"> </w:t>
      </w:r>
      <w:r w:rsidR="007659A2" w:rsidRPr="00734E98">
        <w:rPr>
          <w:rFonts w:ascii="Arial" w:eastAsia="Times New Roman" w:hAnsi="Arial" w:cs="Arial"/>
          <w:iCs/>
          <w:lang w:eastAsia="en-AU"/>
        </w:rPr>
        <w:t>(the Determination)</w:t>
      </w:r>
      <w:r w:rsidR="00C47441" w:rsidRPr="00734E98">
        <w:rPr>
          <w:rFonts w:ascii="Arial" w:eastAsia="Times New Roman" w:hAnsi="Arial" w:cs="Arial"/>
          <w:i/>
          <w:iCs/>
          <w:lang w:eastAsia="en-AU"/>
        </w:rPr>
        <w:t xml:space="preserve"> </w:t>
      </w:r>
      <w:r w:rsidR="00C47441" w:rsidRPr="00734E98">
        <w:rPr>
          <w:rFonts w:ascii="Arial" w:eastAsia="Times New Roman" w:hAnsi="Arial" w:cs="Arial"/>
          <w:iCs/>
          <w:lang w:eastAsia="en-AU"/>
        </w:rPr>
        <w:t xml:space="preserve">is to </w:t>
      </w:r>
      <w:r w:rsidR="00801DA2" w:rsidRPr="00734E98">
        <w:rPr>
          <w:rFonts w:ascii="Arial" w:eastAsia="Times New Roman" w:hAnsi="Arial" w:cs="Arial"/>
          <w:iCs/>
          <w:lang w:eastAsia="en-AU"/>
        </w:rPr>
        <w:t xml:space="preserve">revoke and </w:t>
      </w:r>
      <w:r w:rsidR="00C47441" w:rsidRPr="00734E98">
        <w:rPr>
          <w:rFonts w:ascii="Arial" w:eastAsia="Times New Roman" w:hAnsi="Arial" w:cs="Arial"/>
          <w:iCs/>
          <w:lang w:eastAsia="en-AU"/>
        </w:rPr>
        <w:t xml:space="preserve">replace the </w:t>
      </w:r>
      <w:r w:rsidR="00C47441" w:rsidRPr="00734E98">
        <w:rPr>
          <w:rFonts w:ascii="Arial" w:eastAsia="Times New Roman" w:hAnsi="Arial" w:cs="Arial"/>
          <w:i/>
          <w:iCs/>
          <w:lang w:eastAsia="en-AU"/>
        </w:rPr>
        <w:t>Radiocommunications (</w:t>
      </w:r>
      <w:r w:rsidR="0037590C" w:rsidRPr="00734E98">
        <w:rPr>
          <w:rFonts w:ascii="Arial" w:eastAsia="Times New Roman" w:hAnsi="Arial" w:cs="Arial"/>
          <w:i/>
          <w:iCs/>
          <w:lang w:eastAsia="en-AU"/>
        </w:rPr>
        <w:t>Receiver</w:t>
      </w:r>
      <w:r w:rsidR="00C47441" w:rsidRPr="00734E98">
        <w:rPr>
          <w:rFonts w:ascii="Arial" w:eastAsia="Times New Roman" w:hAnsi="Arial" w:cs="Arial"/>
          <w:i/>
          <w:iCs/>
          <w:lang w:eastAsia="en-AU"/>
        </w:rPr>
        <w:t xml:space="preserve"> Licence Tax) Determination 2003 (No. 2) </w:t>
      </w:r>
      <w:r w:rsidR="00801DA2" w:rsidRPr="00734E98">
        <w:rPr>
          <w:rFonts w:ascii="Arial" w:eastAsia="Times New Roman" w:hAnsi="Arial" w:cs="Arial"/>
          <w:iCs/>
          <w:lang w:eastAsia="en-AU"/>
        </w:rPr>
        <w:t xml:space="preserve">(the 2003 Determination) </w:t>
      </w:r>
      <w:r w:rsidR="009A743A" w:rsidRPr="00826C6B">
        <w:rPr>
          <w:rFonts w:ascii="Arial" w:eastAsia="Times New Roman" w:hAnsi="Arial" w:cs="Arial"/>
          <w:iCs/>
          <w:lang w:eastAsia="en-AU"/>
        </w:rPr>
        <w:t>which is</w:t>
      </w:r>
      <w:r w:rsidR="006C37F2" w:rsidRPr="00826C6B">
        <w:rPr>
          <w:rFonts w:ascii="Arial" w:eastAsia="Times New Roman" w:hAnsi="Arial" w:cs="Arial"/>
          <w:iCs/>
          <w:lang w:eastAsia="en-AU"/>
        </w:rPr>
        <w:t xml:space="preserve"> due to sunset on 1 </w:t>
      </w:r>
      <w:r w:rsidR="00C47441" w:rsidRPr="00826C6B">
        <w:rPr>
          <w:rFonts w:ascii="Arial" w:eastAsia="Times New Roman" w:hAnsi="Arial" w:cs="Arial"/>
          <w:iCs/>
          <w:lang w:eastAsia="en-AU"/>
        </w:rPr>
        <w:t>April 2015</w:t>
      </w:r>
      <w:r w:rsidR="007C6771" w:rsidRPr="00734E98">
        <w:rPr>
          <w:rFonts w:ascii="Arial" w:eastAsia="Times New Roman" w:hAnsi="Arial" w:cs="Arial"/>
          <w:iCs/>
          <w:lang w:eastAsia="en-AU"/>
        </w:rPr>
        <w:t xml:space="preserve"> under the automatic repeal </w:t>
      </w:r>
      <w:r w:rsidR="007C6771" w:rsidRPr="0018583D">
        <w:rPr>
          <w:rFonts w:ascii="Arial" w:eastAsia="Times New Roman" w:hAnsi="Arial" w:cs="Arial"/>
          <w:iCs/>
          <w:lang w:eastAsia="en-AU"/>
        </w:rPr>
        <w:t xml:space="preserve">provisions of the </w:t>
      </w:r>
      <w:r w:rsidR="007C6771" w:rsidRPr="00734E98">
        <w:rPr>
          <w:rFonts w:ascii="Arial" w:eastAsia="Times New Roman" w:hAnsi="Arial" w:cs="Arial"/>
          <w:i/>
          <w:iCs/>
          <w:lang w:eastAsia="en-AU"/>
        </w:rPr>
        <w:t>Legislative Instruments Act 2003</w:t>
      </w:r>
      <w:r w:rsidR="007659A2" w:rsidRPr="00734E98">
        <w:rPr>
          <w:rFonts w:ascii="Arial" w:eastAsia="Times New Roman" w:hAnsi="Arial" w:cs="Arial"/>
          <w:i/>
          <w:iCs/>
          <w:lang w:eastAsia="en-AU"/>
        </w:rPr>
        <w:t xml:space="preserve"> </w:t>
      </w:r>
      <w:r w:rsidR="007659A2" w:rsidRPr="00734E98">
        <w:rPr>
          <w:rFonts w:ascii="Arial" w:eastAsia="Times New Roman" w:hAnsi="Arial" w:cs="Arial"/>
          <w:iCs/>
          <w:lang w:eastAsia="en-AU"/>
        </w:rPr>
        <w:t>(the LIA)</w:t>
      </w:r>
      <w:r w:rsidR="00C47441" w:rsidRPr="00826C6B">
        <w:rPr>
          <w:rFonts w:ascii="Arial" w:eastAsia="Times New Roman" w:hAnsi="Arial" w:cs="Arial"/>
          <w:iCs/>
          <w:lang w:eastAsia="en-AU"/>
        </w:rPr>
        <w:t xml:space="preserve">. </w:t>
      </w:r>
      <w:r w:rsidR="009A743A" w:rsidRPr="00826C6B">
        <w:rPr>
          <w:rFonts w:ascii="Arial" w:eastAsia="Times New Roman" w:hAnsi="Arial" w:cs="Arial"/>
          <w:iCs/>
          <w:lang w:eastAsia="en-AU"/>
        </w:rPr>
        <w:t xml:space="preserve">The </w:t>
      </w:r>
      <w:r w:rsidR="00230784" w:rsidRPr="00826C6B">
        <w:rPr>
          <w:rFonts w:ascii="Arial" w:eastAsia="Times New Roman" w:hAnsi="Arial" w:cs="Arial"/>
          <w:iCs/>
          <w:lang w:eastAsia="en-AU"/>
        </w:rPr>
        <w:t xml:space="preserve">new </w:t>
      </w:r>
      <w:r w:rsidR="009A743A" w:rsidRPr="00826C6B">
        <w:rPr>
          <w:rFonts w:ascii="Arial" w:eastAsia="Times New Roman" w:hAnsi="Arial" w:cs="Arial"/>
          <w:iCs/>
          <w:lang w:eastAsia="en-AU"/>
        </w:rPr>
        <w:t>instrument is</w:t>
      </w:r>
      <w:r w:rsidR="00627AAF" w:rsidRPr="00826C6B">
        <w:rPr>
          <w:rFonts w:ascii="Arial" w:eastAsia="Times New Roman" w:hAnsi="Arial" w:cs="Arial"/>
          <w:iCs/>
          <w:lang w:eastAsia="en-AU"/>
        </w:rPr>
        <w:t xml:space="preserve"> referred to as ‘the Determi</w:t>
      </w:r>
      <w:r w:rsidR="009A743A" w:rsidRPr="00826C6B">
        <w:rPr>
          <w:rFonts w:ascii="Arial" w:eastAsia="Times New Roman" w:hAnsi="Arial" w:cs="Arial"/>
          <w:iCs/>
          <w:lang w:eastAsia="en-AU"/>
        </w:rPr>
        <w:t>nation</w:t>
      </w:r>
      <w:r w:rsidR="00627AAF" w:rsidRPr="00826C6B">
        <w:rPr>
          <w:rFonts w:ascii="Arial" w:eastAsia="Times New Roman" w:hAnsi="Arial" w:cs="Arial"/>
          <w:iCs/>
          <w:lang w:eastAsia="en-AU"/>
        </w:rPr>
        <w:t xml:space="preserve">’ </w:t>
      </w:r>
      <w:r w:rsidR="00801DA2" w:rsidRPr="00734E98">
        <w:rPr>
          <w:rFonts w:ascii="Arial" w:eastAsia="Times New Roman" w:hAnsi="Arial" w:cs="Arial"/>
          <w:iCs/>
          <w:lang w:eastAsia="en-AU"/>
        </w:rPr>
        <w:t>below</w:t>
      </w:r>
      <w:r w:rsidR="00627AAF" w:rsidRPr="00826C6B">
        <w:rPr>
          <w:rFonts w:ascii="Arial" w:eastAsia="Times New Roman" w:hAnsi="Arial" w:cs="Arial"/>
          <w:iCs/>
          <w:lang w:eastAsia="en-AU"/>
        </w:rPr>
        <w:t>.</w:t>
      </w:r>
    </w:p>
    <w:p w14:paraId="03F39A38" w14:textId="77777777" w:rsidR="004C12CC" w:rsidRPr="00734E98" w:rsidRDefault="004C12CC" w:rsidP="004C12CC">
      <w:pPr>
        <w:spacing w:before="100" w:beforeAutospacing="1" w:after="100" w:afterAutospacing="1" w:line="240" w:lineRule="auto"/>
        <w:jc w:val="both"/>
        <w:rPr>
          <w:rFonts w:ascii="Arial" w:eastAsia="Times New Roman" w:hAnsi="Arial" w:cs="Arial"/>
          <w:lang w:eastAsia="en-AU"/>
        </w:rPr>
      </w:pPr>
      <w:r w:rsidRPr="00734E98">
        <w:rPr>
          <w:rFonts w:ascii="Arial" w:eastAsia="Times New Roman" w:hAnsi="Arial" w:cs="Arial"/>
          <w:b/>
          <w:bCs/>
          <w:lang w:eastAsia="en-AU"/>
        </w:rPr>
        <w:t>Legislative Provisions</w:t>
      </w:r>
    </w:p>
    <w:p w14:paraId="33700CD1" w14:textId="77974E5E" w:rsidR="004C12CC" w:rsidRPr="00734E98" w:rsidRDefault="004C12CC" w:rsidP="004C12CC">
      <w:pPr>
        <w:spacing w:before="100" w:beforeAutospacing="1" w:after="100" w:afterAutospacing="1" w:line="240" w:lineRule="auto"/>
        <w:jc w:val="both"/>
        <w:rPr>
          <w:rFonts w:ascii="Arial" w:eastAsia="Times New Roman" w:hAnsi="Arial" w:cs="Arial"/>
          <w:lang w:eastAsia="en-AU"/>
        </w:rPr>
      </w:pPr>
      <w:r w:rsidRPr="00734E98">
        <w:rPr>
          <w:rFonts w:ascii="Arial" w:eastAsia="Times New Roman" w:hAnsi="Arial" w:cs="Arial"/>
          <w:lang w:eastAsia="en-AU"/>
        </w:rPr>
        <w:t>The Determination</w:t>
      </w:r>
      <w:r w:rsidR="009A743A" w:rsidRPr="00734E98">
        <w:rPr>
          <w:rFonts w:ascii="Arial" w:eastAsia="Times New Roman" w:hAnsi="Arial" w:cs="Arial"/>
          <w:lang w:eastAsia="en-AU"/>
        </w:rPr>
        <w:t xml:space="preserve"> is</w:t>
      </w:r>
      <w:r w:rsidRPr="00734E98">
        <w:rPr>
          <w:rFonts w:ascii="Arial" w:eastAsia="Times New Roman" w:hAnsi="Arial" w:cs="Arial"/>
          <w:lang w:eastAsia="en-AU"/>
        </w:rPr>
        <w:t xml:space="preserve"> made under subsection 7(1) of the </w:t>
      </w:r>
      <w:r w:rsidRPr="00734E98">
        <w:rPr>
          <w:rFonts w:ascii="Arial" w:eastAsia="Times New Roman" w:hAnsi="Arial" w:cs="Arial"/>
          <w:i/>
          <w:iCs/>
          <w:lang w:eastAsia="en-AU"/>
        </w:rPr>
        <w:t>Radiocommunications (</w:t>
      </w:r>
      <w:r w:rsidR="0037590C" w:rsidRPr="00734E98">
        <w:rPr>
          <w:rFonts w:ascii="Arial" w:eastAsia="Times New Roman" w:hAnsi="Arial" w:cs="Arial"/>
          <w:i/>
          <w:iCs/>
          <w:lang w:eastAsia="en-AU"/>
        </w:rPr>
        <w:t>Receiver</w:t>
      </w:r>
      <w:r w:rsidRPr="00734E98">
        <w:rPr>
          <w:rFonts w:ascii="Arial" w:eastAsia="Times New Roman" w:hAnsi="Arial" w:cs="Arial"/>
          <w:i/>
          <w:iCs/>
          <w:lang w:eastAsia="en-AU"/>
        </w:rPr>
        <w:t xml:space="preserve"> Licence Tax) Act 1983</w:t>
      </w:r>
      <w:r w:rsidR="00C47441" w:rsidRPr="00734E98">
        <w:rPr>
          <w:rFonts w:ascii="Arial" w:eastAsia="Times New Roman" w:hAnsi="Arial" w:cs="Arial"/>
          <w:lang w:eastAsia="en-AU"/>
        </w:rPr>
        <w:t xml:space="preserve"> </w:t>
      </w:r>
      <w:r w:rsidR="00D16C08" w:rsidRPr="00734E98">
        <w:rPr>
          <w:rFonts w:ascii="Arial" w:eastAsia="Times New Roman" w:hAnsi="Arial" w:cs="Arial"/>
          <w:lang w:eastAsia="en-AU"/>
        </w:rPr>
        <w:t xml:space="preserve">(the Act) </w:t>
      </w:r>
      <w:r w:rsidR="00C47441" w:rsidRPr="00734E98">
        <w:rPr>
          <w:rFonts w:ascii="Arial" w:eastAsia="Times New Roman" w:hAnsi="Arial" w:cs="Arial"/>
          <w:lang w:eastAsia="en-AU"/>
        </w:rPr>
        <w:t>which</w:t>
      </w:r>
      <w:r w:rsidR="00C47441" w:rsidRPr="0018583D">
        <w:rPr>
          <w:rFonts w:ascii="Arial" w:eastAsia="Times New Roman" w:hAnsi="Arial" w:cs="Arial"/>
          <w:lang w:eastAsia="en-AU"/>
        </w:rPr>
        <w:t xml:space="preserve"> provide</w:t>
      </w:r>
      <w:r w:rsidR="009A743A" w:rsidRPr="00734E98">
        <w:rPr>
          <w:rFonts w:ascii="Arial" w:eastAsia="Times New Roman" w:hAnsi="Arial" w:cs="Arial"/>
          <w:lang w:eastAsia="en-AU"/>
        </w:rPr>
        <w:t>s</w:t>
      </w:r>
      <w:r w:rsidRPr="00734E98">
        <w:rPr>
          <w:rFonts w:ascii="Arial" w:eastAsia="Times New Roman" w:hAnsi="Arial" w:cs="Arial"/>
          <w:lang w:eastAsia="en-AU"/>
        </w:rPr>
        <w:t xml:space="preserve"> that the Australian Communications and Media Authority (the</w:t>
      </w:r>
      <w:r w:rsidRPr="00734E98">
        <w:rPr>
          <w:rFonts w:ascii="Arial" w:eastAsia="Times New Roman" w:hAnsi="Arial" w:cs="Arial"/>
          <w:b/>
          <w:bCs/>
          <w:lang w:eastAsia="en-AU"/>
        </w:rPr>
        <w:t xml:space="preserve"> </w:t>
      </w:r>
      <w:r w:rsidRPr="00ED0C5A">
        <w:rPr>
          <w:rFonts w:ascii="Arial" w:eastAsia="Times New Roman" w:hAnsi="Arial" w:cs="Arial"/>
          <w:bCs/>
          <w:lang w:eastAsia="en-AU"/>
        </w:rPr>
        <w:t>ACMA</w:t>
      </w:r>
      <w:r w:rsidRPr="00734E98">
        <w:rPr>
          <w:rFonts w:ascii="Arial" w:eastAsia="Times New Roman" w:hAnsi="Arial" w:cs="Arial"/>
          <w:lang w:eastAsia="en-AU"/>
        </w:rPr>
        <w:t xml:space="preserve">) may determine the amount of tax </w:t>
      </w:r>
      <w:r w:rsidR="007659A2" w:rsidRPr="00734E98">
        <w:rPr>
          <w:rFonts w:ascii="Arial" w:eastAsia="Times New Roman" w:hAnsi="Arial" w:cs="Arial"/>
          <w:lang w:eastAsia="en-AU"/>
        </w:rPr>
        <w:t xml:space="preserve">that is imposed by the Act, </w:t>
      </w:r>
      <w:r w:rsidRPr="00734E98">
        <w:rPr>
          <w:rFonts w:ascii="Arial" w:eastAsia="Times New Roman" w:hAnsi="Arial" w:cs="Arial"/>
          <w:lang w:eastAsia="en-AU"/>
        </w:rPr>
        <w:t>in respect of</w:t>
      </w:r>
      <w:r w:rsidR="008E071C">
        <w:rPr>
          <w:rFonts w:ascii="Arial" w:eastAsia="Times New Roman" w:hAnsi="Arial" w:cs="Arial"/>
          <w:lang w:eastAsia="en-AU"/>
        </w:rPr>
        <w:t>:</w:t>
      </w:r>
    </w:p>
    <w:p w14:paraId="6CA889C9" w14:textId="1154CEA6" w:rsidR="004C12CC" w:rsidRPr="00734E98" w:rsidRDefault="004C12CC" w:rsidP="004C12CC">
      <w:pPr>
        <w:pStyle w:val="ListParagraph"/>
        <w:numPr>
          <w:ilvl w:val="0"/>
          <w:numId w:val="2"/>
        </w:numPr>
        <w:spacing w:before="100" w:beforeAutospacing="1" w:after="100" w:afterAutospacing="1" w:line="240" w:lineRule="auto"/>
        <w:jc w:val="both"/>
        <w:rPr>
          <w:rFonts w:ascii="Arial" w:eastAsia="Times New Roman" w:hAnsi="Arial" w:cs="Arial"/>
          <w:lang w:eastAsia="en-AU"/>
        </w:rPr>
      </w:pPr>
      <w:r w:rsidRPr="00734E98">
        <w:rPr>
          <w:rFonts w:ascii="Arial" w:eastAsia="Times New Roman" w:hAnsi="Arial" w:cs="Arial"/>
          <w:lang w:eastAsia="en-AU"/>
        </w:rPr>
        <w:t xml:space="preserve">the issue of a </w:t>
      </w:r>
      <w:r w:rsidR="00801DA2" w:rsidRPr="00734E98">
        <w:rPr>
          <w:rFonts w:ascii="Arial" w:eastAsia="Times New Roman" w:hAnsi="Arial" w:cs="Arial"/>
          <w:lang w:eastAsia="en-AU"/>
        </w:rPr>
        <w:t>r</w:t>
      </w:r>
      <w:r w:rsidR="0037590C" w:rsidRPr="00734E98">
        <w:rPr>
          <w:rFonts w:ascii="Arial" w:eastAsia="Times New Roman" w:hAnsi="Arial" w:cs="Arial"/>
          <w:lang w:eastAsia="en-AU"/>
        </w:rPr>
        <w:t>eceiver</w:t>
      </w:r>
      <w:r w:rsidRPr="00734E98">
        <w:rPr>
          <w:rFonts w:ascii="Arial" w:eastAsia="Times New Roman" w:hAnsi="Arial" w:cs="Arial"/>
          <w:lang w:eastAsia="en-AU"/>
        </w:rPr>
        <w:t xml:space="preserve"> licence; </w:t>
      </w:r>
    </w:p>
    <w:p w14:paraId="18BAD863" w14:textId="7D8873F8" w:rsidR="004C12CC" w:rsidRPr="00734E98" w:rsidRDefault="004C12CC" w:rsidP="004C12CC">
      <w:pPr>
        <w:pStyle w:val="ListParagraph"/>
        <w:numPr>
          <w:ilvl w:val="0"/>
          <w:numId w:val="2"/>
        </w:numPr>
        <w:spacing w:before="100" w:beforeAutospacing="1" w:after="100" w:afterAutospacing="1" w:line="240" w:lineRule="auto"/>
        <w:jc w:val="both"/>
        <w:rPr>
          <w:rFonts w:ascii="Arial" w:eastAsia="Times New Roman" w:hAnsi="Arial" w:cs="Arial"/>
          <w:lang w:eastAsia="en-AU"/>
        </w:rPr>
      </w:pPr>
      <w:r w:rsidRPr="00734E98">
        <w:rPr>
          <w:rFonts w:ascii="Arial" w:eastAsia="Times New Roman" w:hAnsi="Arial" w:cs="Arial"/>
          <w:lang w:eastAsia="en-AU"/>
        </w:rPr>
        <w:t xml:space="preserve">the anniversary of a </w:t>
      </w:r>
      <w:r w:rsidR="00801DA2" w:rsidRPr="00734E98">
        <w:rPr>
          <w:rFonts w:ascii="Arial" w:eastAsia="Times New Roman" w:hAnsi="Arial" w:cs="Arial"/>
          <w:lang w:eastAsia="en-AU"/>
        </w:rPr>
        <w:t>r</w:t>
      </w:r>
      <w:r w:rsidR="0037590C" w:rsidRPr="00734E98">
        <w:rPr>
          <w:rFonts w:ascii="Arial" w:eastAsia="Times New Roman" w:hAnsi="Arial" w:cs="Arial"/>
          <w:lang w:eastAsia="en-AU"/>
        </w:rPr>
        <w:t>eceiver</w:t>
      </w:r>
      <w:r w:rsidRPr="00734E98">
        <w:rPr>
          <w:rFonts w:ascii="Arial" w:eastAsia="Times New Roman" w:hAnsi="Arial" w:cs="Arial"/>
          <w:lang w:eastAsia="en-AU"/>
        </w:rPr>
        <w:t xml:space="preserve"> licence coming into force; and </w:t>
      </w:r>
    </w:p>
    <w:p w14:paraId="3560B2E3" w14:textId="05A88430" w:rsidR="00801DA2" w:rsidRPr="00734E98" w:rsidRDefault="004C12CC" w:rsidP="00ED0C5A">
      <w:pPr>
        <w:pStyle w:val="ListParagraph"/>
        <w:numPr>
          <w:ilvl w:val="0"/>
          <w:numId w:val="2"/>
        </w:numPr>
        <w:spacing w:before="100" w:beforeAutospacing="1" w:after="100" w:afterAutospacing="1" w:line="240" w:lineRule="auto"/>
        <w:jc w:val="both"/>
        <w:rPr>
          <w:rFonts w:ascii="Arial" w:eastAsia="Times New Roman" w:hAnsi="Arial" w:cs="Arial"/>
          <w:lang w:eastAsia="en-AU"/>
        </w:rPr>
      </w:pPr>
      <w:proofErr w:type="gramStart"/>
      <w:r w:rsidRPr="00734E98">
        <w:rPr>
          <w:rFonts w:ascii="Arial" w:eastAsia="Times New Roman" w:hAnsi="Arial" w:cs="Arial"/>
          <w:lang w:eastAsia="en-AU"/>
        </w:rPr>
        <w:t>the</w:t>
      </w:r>
      <w:proofErr w:type="gramEnd"/>
      <w:r w:rsidRPr="00734E98">
        <w:rPr>
          <w:rFonts w:ascii="Arial" w:eastAsia="Times New Roman" w:hAnsi="Arial" w:cs="Arial"/>
          <w:lang w:eastAsia="en-AU"/>
        </w:rPr>
        <w:t xml:space="preserve"> holding of a </w:t>
      </w:r>
      <w:r w:rsidR="00801DA2" w:rsidRPr="00734E98">
        <w:rPr>
          <w:rFonts w:ascii="Arial" w:eastAsia="Times New Roman" w:hAnsi="Arial" w:cs="Arial"/>
          <w:lang w:eastAsia="en-AU"/>
        </w:rPr>
        <w:t>r</w:t>
      </w:r>
      <w:r w:rsidR="0037590C" w:rsidRPr="00734E98">
        <w:rPr>
          <w:rFonts w:ascii="Arial" w:eastAsia="Times New Roman" w:hAnsi="Arial" w:cs="Arial"/>
          <w:lang w:eastAsia="en-AU"/>
        </w:rPr>
        <w:t>eceiver</w:t>
      </w:r>
      <w:r w:rsidRPr="00734E98">
        <w:rPr>
          <w:rFonts w:ascii="Arial" w:eastAsia="Times New Roman" w:hAnsi="Arial" w:cs="Arial"/>
          <w:lang w:eastAsia="en-AU"/>
        </w:rPr>
        <w:t xml:space="preserve"> licence.</w:t>
      </w:r>
    </w:p>
    <w:p w14:paraId="034EF8AD" w14:textId="7EA319EE" w:rsidR="007E313C" w:rsidRPr="00734E98" w:rsidRDefault="00801DA2" w:rsidP="00272465">
      <w:pPr>
        <w:spacing w:before="100" w:beforeAutospacing="1" w:after="120" w:line="240" w:lineRule="auto"/>
        <w:jc w:val="both"/>
        <w:rPr>
          <w:rFonts w:ascii="Arial" w:hAnsi="Arial" w:cs="Arial"/>
        </w:rPr>
      </w:pPr>
      <w:r w:rsidRPr="00734E98">
        <w:rPr>
          <w:rFonts w:ascii="Arial" w:hAnsi="Arial" w:cs="Arial"/>
        </w:rPr>
        <w:t>The Determination specifies the amount of tax payable for different classes of receiver licences. The Determination revokes the 2003 Determination</w:t>
      </w:r>
      <w:r w:rsidR="007E313C">
        <w:rPr>
          <w:rFonts w:ascii="Arial" w:hAnsi="Arial" w:cs="Arial"/>
        </w:rPr>
        <w:t xml:space="preserve">. Subsection 33(3) of the </w:t>
      </w:r>
      <w:r w:rsidR="007E313C">
        <w:rPr>
          <w:rFonts w:ascii="Arial" w:hAnsi="Arial" w:cs="Arial"/>
          <w:i/>
        </w:rPr>
        <w:t xml:space="preserve">Acts Interpretation Act 1901 </w:t>
      </w:r>
      <w:r w:rsidR="00703322">
        <w:rPr>
          <w:rFonts w:ascii="Arial" w:hAnsi="Arial" w:cs="Arial"/>
        </w:rPr>
        <w:t xml:space="preserve">provides that where an Act confers a power to make a legislative instrument (such as section 7 of the Act), the power shall be construed as including a power exercisable in the like manner and subject to the like conditions (if any) to repeal, rescind, revoke, amend or vary the instrument. </w:t>
      </w:r>
    </w:p>
    <w:p w14:paraId="54B94474" w14:textId="5226CC7A" w:rsidR="00801DA2" w:rsidRPr="00734E98" w:rsidRDefault="00627AAF" w:rsidP="00272465">
      <w:pPr>
        <w:spacing w:before="100" w:beforeAutospacing="1" w:after="120" w:line="240" w:lineRule="auto"/>
        <w:jc w:val="both"/>
        <w:rPr>
          <w:rFonts w:ascii="Arial" w:hAnsi="Arial" w:cs="Arial"/>
        </w:rPr>
      </w:pPr>
      <w:r w:rsidRPr="00734E98">
        <w:rPr>
          <w:rFonts w:ascii="Arial" w:hAnsi="Arial" w:cs="Arial"/>
        </w:rPr>
        <w:t xml:space="preserve">The </w:t>
      </w:r>
      <w:r w:rsidR="009A743A" w:rsidRPr="00734E98">
        <w:rPr>
          <w:rFonts w:ascii="Arial" w:hAnsi="Arial" w:cs="Arial"/>
        </w:rPr>
        <w:t xml:space="preserve">Determination is a </w:t>
      </w:r>
      <w:r w:rsidR="00801DA2" w:rsidRPr="00734E98">
        <w:rPr>
          <w:rFonts w:ascii="Arial" w:hAnsi="Arial" w:cs="Arial"/>
        </w:rPr>
        <w:t xml:space="preserve">disallowable </w:t>
      </w:r>
      <w:r w:rsidR="009A743A" w:rsidRPr="00734E98">
        <w:rPr>
          <w:rFonts w:ascii="Arial" w:hAnsi="Arial" w:cs="Arial"/>
        </w:rPr>
        <w:t>legislative instrument</w:t>
      </w:r>
      <w:r w:rsidRPr="00734E98">
        <w:rPr>
          <w:rFonts w:ascii="Arial" w:hAnsi="Arial" w:cs="Arial"/>
        </w:rPr>
        <w:t xml:space="preserve"> for the purposes of the </w:t>
      </w:r>
      <w:r w:rsidR="007E313C">
        <w:rPr>
          <w:rFonts w:ascii="Arial" w:hAnsi="Arial" w:cs="Arial"/>
        </w:rPr>
        <w:t>LIA</w:t>
      </w:r>
      <w:r w:rsidRPr="00734E98">
        <w:rPr>
          <w:rFonts w:ascii="Arial" w:hAnsi="Arial" w:cs="Arial"/>
        </w:rPr>
        <w:t xml:space="preserve">. </w:t>
      </w:r>
    </w:p>
    <w:p w14:paraId="6A62F422" w14:textId="77777777" w:rsidR="00272465" w:rsidRPr="00734E98" w:rsidRDefault="00272465" w:rsidP="00272465">
      <w:pPr>
        <w:spacing w:before="100" w:beforeAutospacing="1" w:after="120" w:line="240" w:lineRule="auto"/>
        <w:jc w:val="both"/>
        <w:rPr>
          <w:rFonts w:ascii="Arial" w:eastAsia="Times New Roman" w:hAnsi="Arial" w:cs="Arial"/>
          <w:b/>
          <w:bCs/>
          <w:lang w:eastAsia="en-AU"/>
        </w:rPr>
      </w:pPr>
      <w:r w:rsidRPr="00734E98">
        <w:rPr>
          <w:rFonts w:ascii="Arial" w:eastAsia="Times New Roman" w:hAnsi="Arial" w:cs="Arial"/>
          <w:b/>
          <w:bCs/>
          <w:lang w:eastAsia="en-AU"/>
        </w:rPr>
        <w:t>Background</w:t>
      </w:r>
    </w:p>
    <w:p w14:paraId="1364BA71" w14:textId="17FD5EA4" w:rsidR="007659A2" w:rsidRPr="00826C6B" w:rsidRDefault="007659A2" w:rsidP="00190BCF">
      <w:pPr>
        <w:rPr>
          <w:rFonts w:ascii="Arial" w:hAnsi="Arial" w:cs="Arial"/>
        </w:rPr>
      </w:pPr>
      <w:r w:rsidRPr="00826C6B">
        <w:rPr>
          <w:rFonts w:ascii="Arial" w:hAnsi="Arial" w:cs="Arial"/>
        </w:rPr>
        <w:t xml:space="preserve">Section 6 of the Act imposes tax on the issue of </w:t>
      </w:r>
      <w:r w:rsidR="00730223">
        <w:rPr>
          <w:rFonts w:ascii="Arial" w:hAnsi="Arial" w:cs="Arial"/>
        </w:rPr>
        <w:t>receiver</w:t>
      </w:r>
      <w:r w:rsidR="00730223" w:rsidRPr="00826C6B">
        <w:rPr>
          <w:rFonts w:ascii="Arial" w:hAnsi="Arial" w:cs="Arial"/>
        </w:rPr>
        <w:t xml:space="preserve"> </w:t>
      </w:r>
      <w:r w:rsidRPr="00826C6B">
        <w:rPr>
          <w:rFonts w:ascii="Arial" w:hAnsi="Arial" w:cs="Arial"/>
        </w:rPr>
        <w:t>licences.  Section 7 of the Act provides that the amount of these taxes is to be determined by the ACMA.</w:t>
      </w:r>
    </w:p>
    <w:p w14:paraId="1B6C43B0" w14:textId="418C3CF7" w:rsidR="00190BCF" w:rsidRPr="00734E98" w:rsidRDefault="00190BCF" w:rsidP="00190BCF">
      <w:pPr>
        <w:rPr>
          <w:rFonts w:ascii="Arial" w:hAnsi="Arial" w:cs="Arial"/>
        </w:rPr>
      </w:pPr>
      <w:r w:rsidRPr="00826C6B">
        <w:rPr>
          <w:rFonts w:ascii="Arial" w:eastAsia="Times New Roman" w:hAnsi="Arial" w:cs="Arial"/>
          <w:lang w:eastAsia="en-AU"/>
        </w:rPr>
        <w:t>The Determination sets out the different amounts of receiver licence tax that the ACMA has determined is payable by licensees of par</w:t>
      </w:r>
      <w:r w:rsidRPr="00734E98">
        <w:rPr>
          <w:rFonts w:ascii="Arial" w:eastAsia="Times New Roman" w:hAnsi="Arial" w:cs="Arial"/>
          <w:lang w:eastAsia="en-AU"/>
        </w:rPr>
        <w:t>ticular types of receiver</w:t>
      </w:r>
      <w:r w:rsidRPr="00826C6B">
        <w:rPr>
          <w:rFonts w:ascii="Arial" w:eastAsia="Times New Roman" w:hAnsi="Arial" w:cs="Arial"/>
          <w:lang w:eastAsia="en-AU"/>
        </w:rPr>
        <w:t xml:space="preserve"> licences.</w:t>
      </w:r>
    </w:p>
    <w:p w14:paraId="124D107D" w14:textId="74316003" w:rsidR="00CD0D5A" w:rsidRPr="00734E98" w:rsidRDefault="00CD0D5A" w:rsidP="00CD0D5A">
      <w:pPr>
        <w:rPr>
          <w:rFonts w:ascii="Arial" w:hAnsi="Arial" w:cs="Arial"/>
        </w:rPr>
      </w:pPr>
      <w:r w:rsidRPr="00734E98">
        <w:rPr>
          <w:rFonts w:ascii="Arial" w:hAnsi="Arial" w:cs="Arial"/>
        </w:rPr>
        <w:t xml:space="preserve">Under subsection 7(2) of the </w:t>
      </w:r>
      <w:r w:rsidRPr="0018583D">
        <w:rPr>
          <w:rFonts w:ascii="Arial" w:hAnsi="Arial" w:cs="Arial"/>
        </w:rPr>
        <w:t>Act, t</w:t>
      </w:r>
      <w:r w:rsidRPr="00734E98">
        <w:rPr>
          <w:rFonts w:ascii="Arial" w:hAnsi="Arial" w:cs="Arial"/>
        </w:rPr>
        <w:t>he Determination may, among other things, provide for amounts of tax in relation to:</w:t>
      </w:r>
    </w:p>
    <w:p w14:paraId="317E50F2" w14:textId="77777777" w:rsidR="00CD0D5A" w:rsidRPr="00734E98" w:rsidRDefault="00CD0D5A" w:rsidP="00CD0D5A">
      <w:pPr>
        <w:rPr>
          <w:rFonts w:ascii="Arial" w:hAnsi="Arial" w:cs="Arial"/>
        </w:rPr>
      </w:pPr>
      <w:r w:rsidRPr="00734E98">
        <w:rPr>
          <w:rFonts w:ascii="Arial" w:hAnsi="Arial" w:cs="Arial"/>
        </w:rPr>
        <w:t xml:space="preserve">                     (a)  </w:t>
      </w:r>
      <w:proofErr w:type="gramStart"/>
      <w:r w:rsidRPr="00734E98">
        <w:rPr>
          <w:rFonts w:ascii="Arial" w:hAnsi="Arial" w:cs="Arial"/>
        </w:rPr>
        <w:t>specified</w:t>
      </w:r>
      <w:proofErr w:type="gramEnd"/>
      <w:r w:rsidRPr="00734E98">
        <w:rPr>
          <w:rFonts w:ascii="Arial" w:hAnsi="Arial" w:cs="Arial"/>
        </w:rPr>
        <w:t xml:space="preserve"> periods; or</w:t>
      </w:r>
    </w:p>
    <w:p w14:paraId="55F41CF8" w14:textId="77777777" w:rsidR="00CD0D5A" w:rsidRPr="00734E98" w:rsidRDefault="00CD0D5A" w:rsidP="00CD0D5A">
      <w:pPr>
        <w:rPr>
          <w:rFonts w:ascii="Arial" w:hAnsi="Arial" w:cs="Arial"/>
        </w:rPr>
      </w:pPr>
      <w:r w:rsidRPr="00734E98">
        <w:rPr>
          <w:rFonts w:ascii="Arial" w:hAnsi="Arial" w:cs="Arial"/>
        </w:rPr>
        <w:t xml:space="preserve">                     (b)  </w:t>
      </w:r>
      <w:proofErr w:type="gramStart"/>
      <w:r w:rsidRPr="00734E98">
        <w:rPr>
          <w:rFonts w:ascii="Arial" w:hAnsi="Arial" w:cs="Arial"/>
        </w:rPr>
        <w:t>specified</w:t>
      </w:r>
      <w:proofErr w:type="gramEnd"/>
      <w:r w:rsidRPr="00734E98">
        <w:rPr>
          <w:rFonts w:ascii="Arial" w:hAnsi="Arial" w:cs="Arial"/>
        </w:rPr>
        <w:t xml:space="preserve"> classes of licences; or</w:t>
      </w:r>
    </w:p>
    <w:p w14:paraId="110833C2" w14:textId="77777777" w:rsidR="00CD0D5A" w:rsidRPr="00734E98" w:rsidRDefault="00CD0D5A" w:rsidP="00CD0D5A">
      <w:pPr>
        <w:rPr>
          <w:rFonts w:ascii="Arial" w:hAnsi="Arial" w:cs="Arial"/>
        </w:rPr>
      </w:pPr>
      <w:r w:rsidRPr="00734E98">
        <w:rPr>
          <w:rFonts w:ascii="Arial" w:hAnsi="Arial" w:cs="Arial"/>
        </w:rPr>
        <w:t xml:space="preserve">                     (c)  </w:t>
      </w:r>
      <w:proofErr w:type="gramStart"/>
      <w:r w:rsidRPr="00734E98">
        <w:rPr>
          <w:rFonts w:ascii="Arial" w:hAnsi="Arial" w:cs="Arial"/>
        </w:rPr>
        <w:t>specified</w:t>
      </w:r>
      <w:proofErr w:type="gramEnd"/>
      <w:r w:rsidRPr="00734E98">
        <w:rPr>
          <w:rFonts w:ascii="Arial" w:hAnsi="Arial" w:cs="Arial"/>
        </w:rPr>
        <w:t xml:space="preserve"> classes of persons.</w:t>
      </w:r>
    </w:p>
    <w:p w14:paraId="1D24EBF5" w14:textId="79350230" w:rsidR="00661B52" w:rsidRPr="00826C6B" w:rsidRDefault="00661B52" w:rsidP="00661B52">
      <w:pPr>
        <w:rPr>
          <w:rFonts w:ascii="Arial" w:hAnsi="Arial" w:cs="Arial"/>
        </w:rPr>
      </w:pPr>
      <w:r w:rsidRPr="00826C6B">
        <w:rPr>
          <w:rFonts w:ascii="Arial" w:hAnsi="Arial" w:cs="Arial"/>
        </w:rPr>
        <w:lastRenderedPageBreak/>
        <w:t xml:space="preserve">The Determination determines the amounts of receiver licence taxes imposed by the Act by setting out the information necessary for the calculation of radiocommunications receiver licence tax amounts. </w:t>
      </w:r>
    </w:p>
    <w:p w14:paraId="53057645" w14:textId="391B7D00" w:rsidR="005C65AD" w:rsidRPr="00826C6B" w:rsidRDefault="008939D1" w:rsidP="00814C77">
      <w:pPr>
        <w:spacing w:after="240" w:line="240" w:lineRule="auto"/>
        <w:jc w:val="both"/>
        <w:rPr>
          <w:rFonts w:ascii="Arial" w:hAnsi="Arial" w:cs="Arial"/>
          <w:i/>
        </w:rPr>
      </w:pPr>
      <w:r>
        <w:rPr>
          <w:rFonts w:ascii="Arial" w:eastAsia="Times New Roman" w:hAnsi="Arial" w:cs="Arial"/>
          <w:bCs/>
          <w:i/>
          <w:lang w:eastAsia="en-AU"/>
        </w:rPr>
        <w:t>D</w:t>
      </w:r>
      <w:r w:rsidR="00993F4F" w:rsidRPr="00734E98">
        <w:rPr>
          <w:rFonts w:ascii="Arial" w:eastAsia="Times New Roman" w:hAnsi="Arial" w:cs="Arial"/>
          <w:bCs/>
          <w:i/>
          <w:lang w:eastAsia="en-AU"/>
        </w:rPr>
        <w:t>ifferences between the 2003 Determination and the new</w:t>
      </w:r>
      <w:r w:rsidR="009A743A" w:rsidRPr="00826C6B">
        <w:rPr>
          <w:rFonts w:ascii="Arial" w:eastAsia="Times New Roman" w:hAnsi="Arial" w:cs="Arial"/>
          <w:bCs/>
          <w:i/>
          <w:lang w:eastAsia="en-AU"/>
        </w:rPr>
        <w:t xml:space="preserve"> Determination</w:t>
      </w:r>
    </w:p>
    <w:p w14:paraId="4F9B6B2E" w14:textId="228E0071" w:rsidR="00661B52" w:rsidRPr="00826C6B" w:rsidRDefault="00661B52" w:rsidP="00661B52">
      <w:pPr>
        <w:rPr>
          <w:rFonts w:ascii="Arial" w:hAnsi="Arial" w:cs="Arial"/>
        </w:rPr>
      </w:pPr>
      <w:r w:rsidRPr="00826C6B">
        <w:rPr>
          <w:rFonts w:ascii="Arial" w:hAnsi="Arial" w:cs="Arial"/>
        </w:rPr>
        <w:t>The Determination largely replicates the provisions of the 2003 Determination.  However, there are some changes to the provisions.  The main difference</w:t>
      </w:r>
      <w:r w:rsidRPr="00734E98">
        <w:rPr>
          <w:rFonts w:ascii="Arial" w:hAnsi="Arial" w:cs="Arial"/>
        </w:rPr>
        <w:t>s</w:t>
      </w:r>
      <w:r w:rsidRPr="00826C6B">
        <w:rPr>
          <w:rFonts w:ascii="Arial" w:hAnsi="Arial" w:cs="Arial"/>
        </w:rPr>
        <w:t xml:space="preserve"> between the Determination and the 2003 Determination include:</w:t>
      </w:r>
    </w:p>
    <w:p w14:paraId="22332592" w14:textId="1476E297" w:rsidR="00984E5B" w:rsidRPr="00734E98" w:rsidRDefault="00712F28" w:rsidP="00984E5B">
      <w:pPr>
        <w:pStyle w:val="ListParagraph"/>
        <w:numPr>
          <w:ilvl w:val="0"/>
          <w:numId w:val="14"/>
        </w:numPr>
        <w:rPr>
          <w:rFonts w:ascii="Arial" w:hAnsi="Arial" w:cs="Arial"/>
        </w:rPr>
      </w:pPr>
      <w:r w:rsidRPr="00734E98">
        <w:rPr>
          <w:rFonts w:ascii="Arial" w:hAnsi="Arial" w:cs="Arial"/>
        </w:rPr>
        <w:t>updated</w:t>
      </w:r>
      <w:r w:rsidRPr="0018583D">
        <w:rPr>
          <w:rFonts w:ascii="Arial" w:hAnsi="Arial" w:cs="Arial"/>
        </w:rPr>
        <w:t xml:space="preserve"> </w:t>
      </w:r>
      <w:r w:rsidR="00984E5B" w:rsidRPr="00734E98">
        <w:rPr>
          <w:rFonts w:ascii="Arial" w:hAnsi="Arial" w:cs="Arial"/>
        </w:rPr>
        <w:t xml:space="preserve">references to other instruments that have changed over time; </w:t>
      </w:r>
    </w:p>
    <w:p w14:paraId="1F350D03" w14:textId="02F92A58" w:rsidR="00984E5B" w:rsidRPr="00734E98" w:rsidRDefault="00984E5B" w:rsidP="00984E5B">
      <w:pPr>
        <w:pStyle w:val="ListParagraph"/>
        <w:numPr>
          <w:ilvl w:val="0"/>
          <w:numId w:val="14"/>
        </w:numPr>
        <w:rPr>
          <w:rFonts w:ascii="Arial" w:hAnsi="Arial" w:cs="Arial"/>
        </w:rPr>
      </w:pPr>
      <w:r w:rsidRPr="00734E98">
        <w:rPr>
          <w:rFonts w:ascii="Arial" w:hAnsi="Arial" w:cs="Arial"/>
        </w:rPr>
        <w:t>removal of redundant sections; and</w:t>
      </w:r>
    </w:p>
    <w:p w14:paraId="4A3A0076" w14:textId="2FDF8868" w:rsidR="009E62A2" w:rsidRPr="00826C6B" w:rsidRDefault="00984E5B" w:rsidP="00B05043">
      <w:pPr>
        <w:pStyle w:val="ListParagraph"/>
        <w:numPr>
          <w:ilvl w:val="0"/>
          <w:numId w:val="14"/>
        </w:numPr>
        <w:rPr>
          <w:rFonts w:ascii="Arial" w:hAnsi="Arial" w:cs="Arial"/>
        </w:rPr>
      </w:pPr>
      <w:proofErr w:type="gramStart"/>
      <w:r w:rsidRPr="00734E98">
        <w:rPr>
          <w:rFonts w:ascii="Arial" w:hAnsi="Arial" w:cs="Arial"/>
        </w:rPr>
        <w:t>improvements</w:t>
      </w:r>
      <w:proofErr w:type="gramEnd"/>
      <w:r w:rsidRPr="00734E98">
        <w:rPr>
          <w:rFonts w:ascii="Arial" w:hAnsi="Arial" w:cs="Arial"/>
        </w:rPr>
        <w:t xml:space="preserve"> to the flow and readability of the instrument.</w:t>
      </w:r>
    </w:p>
    <w:p w14:paraId="1BF21568" w14:textId="11588D77" w:rsidR="00830CEC" w:rsidRPr="00734E98" w:rsidRDefault="00814AAB" w:rsidP="00830CEC">
      <w:pPr>
        <w:rPr>
          <w:rFonts w:ascii="Arial" w:hAnsi="Arial" w:cs="Arial"/>
        </w:rPr>
      </w:pPr>
      <w:r w:rsidRPr="00734E98">
        <w:rPr>
          <w:rFonts w:ascii="Arial" w:hAnsi="Arial" w:cs="Arial"/>
        </w:rPr>
        <w:t xml:space="preserve">Annual </w:t>
      </w:r>
      <w:r w:rsidR="00712F28" w:rsidRPr="00734E98">
        <w:rPr>
          <w:rFonts w:ascii="Arial" w:hAnsi="Arial" w:cs="Arial"/>
        </w:rPr>
        <w:t>consumer price index (</w:t>
      </w:r>
      <w:r w:rsidR="00830CEC" w:rsidRPr="00734E98">
        <w:rPr>
          <w:rFonts w:ascii="Arial" w:hAnsi="Arial" w:cs="Arial"/>
        </w:rPr>
        <w:t>CPI</w:t>
      </w:r>
      <w:r w:rsidR="00712F28" w:rsidRPr="00734E98">
        <w:rPr>
          <w:rFonts w:ascii="Arial" w:hAnsi="Arial" w:cs="Arial"/>
        </w:rPr>
        <w:t>)</w:t>
      </w:r>
      <w:r w:rsidR="00830CEC" w:rsidRPr="00734E98">
        <w:rPr>
          <w:rFonts w:ascii="Arial" w:hAnsi="Arial" w:cs="Arial"/>
        </w:rPr>
        <w:t xml:space="preserve"> </w:t>
      </w:r>
      <w:r w:rsidRPr="00734E98">
        <w:rPr>
          <w:rFonts w:ascii="Arial" w:hAnsi="Arial" w:cs="Arial"/>
        </w:rPr>
        <w:t xml:space="preserve">based </w:t>
      </w:r>
      <w:r w:rsidR="00830CEC" w:rsidRPr="00734E98">
        <w:rPr>
          <w:rFonts w:ascii="Arial" w:hAnsi="Arial" w:cs="Arial"/>
        </w:rPr>
        <w:t>adjustments</w:t>
      </w:r>
      <w:r w:rsidRPr="00734E98">
        <w:rPr>
          <w:rFonts w:ascii="Arial" w:hAnsi="Arial" w:cs="Arial"/>
        </w:rPr>
        <w:t xml:space="preserve"> have also been incorporated into the Determination</w:t>
      </w:r>
      <w:r w:rsidR="00830CEC" w:rsidRPr="00734E98">
        <w:rPr>
          <w:rFonts w:ascii="Arial" w:hAnsi="Arial" w:cs="Arial"/>
        </w:rPr>
        <w:t>.</w:t>
      </w:r>
    </w:p>
    <w:p w14:paraId="2BD045BF" w14:textId="77777777" w:rsidR="00984E5B" w:rsidRPr="005B2256" w:rsidRDefault="00984E5B" w:rsidP="00984E5B">
      <w:pPr>
        <w:pStyle w:val="ACMABodyText0"/>
        <w:rPr>
          <w:rFonts w:ascii="Arial" w:hAnsi="Arial" w:cs="Arial"/>
          <w:bCs/>
          <w:i/>
          <w:snapToGrid/>
          <w:sz w:val="22"/>
          <w:szCs w:val="22"/>
          <w:lang w:eastAsia="en-AU"/>
        </w:rPr>
      </w:pPr>
      <w:r w:rsidRPr="005B2256">
        <w:rPr>
          <w:rFonts w:ascii="Arial" w:hAnsi="Arial" w:cs="Arial"/>
          <w:bCs/>
          <w:i/>
          <w:snapToGrid/>
          <w:sz w:val="22"/>
          <w:szCs w:val="22"/>
          <w:lang w:eastAsia="en-AU"/>
        </w:rPr>
        <w:t>CPI adjustments</w:t>
      </w:r>
    </w:p>
    <w:p w14:paraId="6D441DBC" w14:textId="4DD79787" w:rsidR="00CD48CA" w:rsidRPr="005B2256" w:rsidRDefault="00CD48CA" w:rsidP="00CD48CA">
      <w:pPr>
        <w:rPr>
          <w:rFonts w:ascii="Arial" w:hAnsi="Arial" w:cs="Arial"/>
        </w:rPr>
      </w:pPr>
      <w:r w:rsidRPr="005B2256">
        <w:rPr>
          <w:rFonts w:ascii="Arial" w:hAnsi="Arial" w:cs="Arial"/>
        </w:rPr>
        <w:t>The Determination amends the taxing regime for radiocommunications receiver licences to adjust all taxes by a 3 percent increase based on the annual CPI movement to June 2014.</w:t>
      </w:r>
      <w:r w:rsidR="00A338C1">
        <w:rPr>
          <w:rStyle w:val="FootnoteReference"/>
          <w:rFonts w:cs="Arial"/>
        </w:rPr>
        <w:footnoteReference w:id="1"/>
      </w:r>
      <w:r w:rsidRPr="005B2256">
        <w:rPr>
          <w:rFonts w:ascii="Arial" w:hAnsi="Arial" w:cs="Arial"/>
        </w:rPr>
        <w:t xml:space="preserve">  In real terms there is no effect on businesses, as the nominal dollar increases merely preserve the value of the licence taxes against erosion by inflation.</w:t>
      </w:r>
      <w:r w:rsidR="006A57FC" w:rsidRPr="005B2256">
        <w:rPr>
          <w:rFonts w:ascii="Arial" w:hAnsi="Arial" w:cs="Arial"/>
        </w:rPr>
        <w:t xml:space="preserve"> </w:t>
      </w:r>
      <w:r w:rsidR="006F0DF5" w:rsidRPr="005B2256">
        <w:rPr>
          <w:rFonts w:ascii="Arial" w:hAnsi="Arial" w:cs="Arial"/>
        </w:rPr>
        <w:t>The ACMA and its predecessors have increased apparatus licence taxes each year by CPI since 1995.</w:t>
      </w:r>
    </w:p>
    <w:p w14:paraId="6935B44C" w14:textId="77C6174E" w:rsidR="00CD48CA" w:rsidRPr="00734E98" w:rsidRDefault="00CD48CA" w:rsidP="00CD48CA">
      <w:pPr>
        <w:rPr>
          <w:rFonts w:ascii="Arial" w:hAnsi="Arial" w:cs="Arial"/>
        </w:rPr>
      </w:pPr>
      <w:r w:rsidRPr="005B2256">
        <w:rPr>
          <w:rFonts w:ascii="Arial" w:hAnsi="Arial" w:cs="Arial"/>
        </w:rPr>
        <w:t xml:space="preserve">The only exception to the CPI increase is that the Determination continues the freeze, in dollar amounts, of taxes levied on fixed receive licences </w:t>
      </w:r>
      <w:r w:rsidR="009E62A2" w:rsidRPr="005B2256">
        <w:rPr>
          <w:rFonts w:ascii="Arial" w:hAnsi="Arial" w:cs="Arial"/>
        </w:rPr>
        <w:t xml:space="preserve">operating in frequencies </w:t>
      </w:r>
      <w:r w:rsidRPr="005B2256">
        <w:rPr>
          <w:rFonts w:ascii="Arial" w:hAnsi="Arial" w:cs="Arial"/>
        </w:rPr>
        <w:t>below 960 MHz</w:t>
      </w:r>
      <w:r w:rsidR="009E62A2" w:rsidRPr="005B2256">
        <w:rPr>
          <w:rFonts w:ascii="Arial" w:hAnsi="Arial" w:cs="Arial"/>
        </w:rPr>
        <w:t xml:space="preserve"> </w:t>
      </w:r>
      <w:r w:rsidRPr="005B2256">
        <w:rPr>
          <w:rFonts w:ascii="Arial" w:hAnsi="Arial" w:cs="Arial"/>
        </w:rPr>
        <w:t>in remote density areas</w:t>
      </w:r>
      <w:r w:rsidR="00814AAB" w:rsidRPr="005B2256">
        <w:rPr>
          <w:rFonts w:ascii="Arial" w:hAnsi="Arial" w:cs="Arial"/>
        </w:rPr>
        <w:t xml:space="preserve">. </w:t>
      </w:r>
      <w:r w:rsidRPr="005B2256">
        <w:rPr>
          <w:rFonts w:ascii="Arial" w:hAnsi="Arial" w:cs="Arial"/>
          <w:color w:val="000000"/>
        </w:rPr>
        <w:t xml:space="preserve">The apparatus licence taxes for these will continue to remain at the same level as in April 2008 pending the </w:t>
      </w:r>
      <w:r w:rsidR="006356BB" w:rsidRPr="005B2256">
        <w:rPr>
          <w:rFonts w:ascii="Arial" w:hAnsi="Arial" w:cs="Arial"/>
          <w:color w:val="000000"/>
        </w:rPr>
        <w:t xml:space="preserve">ACMA’s </w:t>
      </w:r>
      <w:r w:rsidRPr="005B2256">
        <w:rPr>
          <w:rFonts w:ascii="Arial" w:hAnsi="Arial" w:cs="Arial"/>
          <w:color w:val="000000"/>
        </w:rPr>
        <w:t>review of the 900 MHz band</w:t>
      </w:r>
      <w:r w:rsidR="006356BB" w:rsidRPr="005B2256">
        <w:rPr>
          <w:rFonts w:ascii="Arial" w:hAnsi="Arial" w:cs="Arial"/>
          <w:color w:val="000000"/>
        </w:rPr>
        <w:t>,</w:t>
      </w:r>
      <w:r w:rsidRPr="005B2256">
        <w:rPr>
          <w:rFonts w:ascii="Arial" w:hAnsi="Arial" w:cs="Arial"/>
          <w:color w:val="000000"/>
        </w:rPr>
        <w:t xml:space="preserve"> and </w:t>
      </w:r>
      <w:r w:rsidR="006356BB" w:rsidRPr="005B2256">
        <w:rPr>
          <w:rFonts w:ascii="Arial" w:hAnsi="Arial" w:cs="Arial"/>
          <w:color w:val="000000"/>
        </w:rPr>
        <w:t xml:space="preserve">of </w:t>
      </w:r>
      <w:r w:rsidRPr="005B2256">
        <w:rPr>
          <w:rFonts w:ascii="Arial" w:hAnsi="Arial" w:cs="Arial"/>
          <w:color w:val="000000"/>
        </w:rPr>
        <w:t>the application of opportunity cost prices in remote density areas in the 400 MHz band.</w:t>
      </w:r>
    </w:p>
    <w:p w14:paraId="5D984C9D" w14:textId="77777777" w:rsidR="00272465" w:rsidRPr="00734E98" w:rsidRDefault="00272465" w:rsidP="00272465">
      <w:pPr>
        <w:spacing w:before="100" w:beforeAutospacing="1" w:after="120" w:line="240" w:lineRule="auto"/>
        <w:jc w:val="both"/>
        <w:rPr>
          <w:rStyle w:val="charsectno"/>
          <w:rFonts w:ascii="Arial" w:hAnsi="Arial" w:cs="Arial"/>
          <w:b/>
          <w:bCs/>
        </w:rPr>
      </w:pPr>
      <w:r w:rsidRPr="00734E98">
        <w:rPr>
          <w:rStyle w:val="charsectno"/>
          <w:rFonts w:ascii="Arial" w:hAnsi="Arial" w:cs="Arial"/>
          <w:b/>
          <w:bCs/>
        </w:rPr>
        <w:t>Consultation</w:t>
      </w:r>
    </w:p>
    <w:p w14:paraId="750EF4BB" w14:textId="1BAF27C8" w:rsidR="007A1006" w:rsidRPr="00826C6B" w:rsidRDefault="003869AC" w:rsidP="00627AAF">
      <w:pPr>
        <w:rPr>
          <w:rFonts w:ascii="Arial" w:hAnsi="Arial" w:cs="Arial"/>
        </w:rPr>
      </w:pPr>
      <w:r w:rsidRPr="0089594A">
        <w:rPr>
          <w:rFonts w:ascii="Arial" w:hAnsi="Arial" w:cs="Arial"/>
        </w:rPr>
        <w:t xml:space="preserve">The ACMA held a public consultation process </w:t>
      </w:r>
      <w:r w:rsidR="007A1006" w:rsidRPr="00734E98">
        <w:rPr>
          <w:rFonts w:ascii="Arial" w:hAnsi="Arial" w:cs="Arial"/>
        </w:rPr>
        <w:t xml:space="preserve">on the proposal to remake the instrument </w:t>
      </w:r>
      <w:r w:rsidR="008773FB">
        <w:rPr>
          <w:rFonts w:ascii="Arial" w:hAnsi="Arial" w:cs="Arial"/>
        </w:rPr>
        <w:t xml:space="preserve">and make the adjustment for CPI </w:t>
      </w:r>
      <w:r w:rsidRPr="0089594A">
        <w:rPr>
          <w:rFonts w:ascii="Arial" w:hAnsi="Arial" w:cs="Arial"/>
        </w:rPr>
        <w:t>over the period 28 November 2014 to 9 January 2015.</w:t>
      </w:r>
      <w:r w:rsidR="00F166F2" w:rsidRPr="00826C6B">
        <w:rPr>
          <w:rFonts w:ascii="Arial" w:hAnsi="Arial" w:cs="Arial"/>
        </w:rPr>
        <w:t xml:space="preserve"> A consultation paper was published on the </w:t>
      </w:r>
      <w:r w:rsidR="00661B52" w:rsidRPr="00826C6B">
        <w:rPr>
          <w:rFonts w:ascii="Arial" w:hAnsi="Arial" w:cs="Arial"/>
        </w:rPr>
        <w:t>ACMA website. The paper outlined</w:t>
      </w:r>
      <w:r w:rsidR="00F166F2" w:rsidRPr="00826C6B">
        <w:rPr>
          <w:rFonts w:ascii="Arial" w:hAnsi="Arial" w:cs="Arial"/>
        </w:rPr>
        <w:t xml:space="preserve"> the main differences between the 2003 Determination and the Determination. </w:t>
      </w:r>
    </w:p>
    <w:p w14:paraId="476CA0E7" w14:textId="053F6BBC" w:rsidR="00627AAF" w:rsidRPr="00734E98" w:rsidRDefault="003869AC" w:rsidP="00627AAF">
      <w:pPr>
        <w:rPr>
          <w:rFonts w:ascii="Arial" w:hAnsi="Arial" w:cs="Arial"/>
        </w:rPr>
      </w:pPr>
      <w:r w:rsidRPr="00734E98">
        <w:rPr>
          <w:rFonts w:ascii="Arial" w:hAnsi="Arial" w:cs="Arial"/>
        </w:rPr>
        <w:t>The p</w:t>
      </w:r>
      <w:r w:rsidR="00A117B2" w:rsidRPr="00734E98">
        <w:rPr>
          <w:rFonts w:ascii="Arial" w:hAnsi="Arial" w:cs="Arial"/>
        </w:rPr>
        <w:t>ublic consultation resulted in one submission</w:t>
      </w:r>
      <w:r w:rsidR="007A1006" w:rsidRPr="00734E98">
        <w:rPr>
          <w:rFonts w:ascii="Arial" w:hAnsi="Arial" w:cs="Arial"/>
        </w:rPr>
        <w:t>,</w:t>
      </w:r>
      <w:r w:rsidR="00A117B2" w:rsidRPr="00734E98">
        <w:rPr>
          <w:rFonts w:ascii="Arial" w:hAnsi="Arial" w:cs="Arial"/>
        </w:rPr>
        <w:t xml:space="preserve"> from Telstra</w:t>
      </w:r>
      <w:r w:rsidR="007A1006" w:rsidRPr="00734E98">
        <w:rPr>
          <w:rFonts w:ascii="Arial" w:hAnsi="Arial" w:cs="Arial"/>
        </w:rPr>
        <w:t>,</w:t>
      </w:r>
      <w:r w:rsidR="00A117B2" w:rsidRPr="00734E98">
        <w:rPr>
          <w:rFonts w:ascii="Arial" w:hAnsi="Arial" w:cs="Arial"/>
        </w:rPr>
        <w:t xml:space="preserve"> supporting the proposed remaking of the Determination. </w:t>
      </w:r>
      <w:r w:rsidR="00F166F2" w:rsidRPr="00734E98">
        <w:rPr>
          <w:rFonts w:ascii="Arial" w:hAnsi="Arial" w:cs="Arial"/>
        </w:rPr>
        <w:t xml:space="preserve">No changes to the Determination </w:t>
      </w:r>
      <w:r w:rsidR="008939D1">
        <w:rPr>
          <w:rFonts w:ascii="Arial" w:hAnsi="Arial" w:cs="Arial"/>
        </w:rPr>
        <w:t>resulted from</w:t>
      </w:r>
      <w:r w:rsidR="00F166F2" w:rsidRPr="00734E98">
        <w:rPr>
          <w:rFonts w:ascii="Arial" w:hAnsi="Arial" w:cs="Arial"/>
        </w:rPr>
        <w:t xml:space="preserve"> the consultation process. </w:t>
      </w:r>
    </w:p>
    <w:p w14:paraId="58841D54" w14:textId="6749BC26" w:rsidR="006A57FC" w:rsidRPr="00734E98" w:rsidRDefault="006A57FC" w:rsidP="008A766F">
      <w:pPr>
        <w:spacing w:after="240" w:line="240" w:lineRule="auto"/>
        <w:jc w:val="both"/>
        <w:rPr>
          <w:rFonts w:ascii="Arial" w:eastAsia="Times New Roman" w:hAnsi="Arial" w:cs="Arial"/>
          <w:b/>
          <w:bCs/>
          <w:lang w:eastAsia="en-AU"/>
        </w:rPr>
      </w:pPr>
      <w:r w:rsidRPr="00734E98">
        <w:rPr>
          <w:rFonts w:ascii="Arial" w:eastAsia="Times New Roman" w:hAnsi="Arial" w:cs="Arial"/>
          <w:b/>
          <w:bCs/>
          <w:lang w:eastAsia="en-AU"/>
        </w:rPr>
        <w:t>Documents incorporated by reference</w:t>
      </w:r>
    </w:p>
    <w:p w14:paraId="5F660138" w14:textId="6D14AEBC" w:rsidR="006A57FC" w:rsidRPr="00734E98" w:rsidRDefault="008D504C" w:rsidP="008A766F">
      <w:pPr>
        <w:spacing w:after="240" w:line="240" w:lineRule="auto"/>
        <w:jc w:val="both"/>
        <w:rPr>
          <w:rFonts w:ascii="Arial" w:eastAsia="Times New Roman" w:hAnsi="Arial" w:cs="Arial"/>
          <w:bCs/>
          <w:lang w:eastAsia="en-AU"/>
        </w:rPr>
      </w:pPr>
      <w:r w:rsidRPr="00734E98">
        <w:rPr>
          <w:rFonts w:ascii="Arial" w:eastAsia="Times New Roman" w:hAnsi="Arial" w:cs="Arial"/>
          <w:bCs/>
          <w:lang w:eastAsia="en-AU"/>
        </w:rPr>
        <w:t>The following document</w:t>
      </w:r>
      <w:r w:rsidR="00661B52" w:rsidRPr="00734E98">
        <w:rPr>
          <w:rFonts w:ascii="Arial" w:eastAsia="Times New Roman" w:hAnsi="Arial" w:cs="Arial"/>
          <w:bCs/>
          <w:lang w:eastAsia="en-AU"/>
        </w:rPr>
        <w:t xml:space="preserve"> </w:t>
      </w:r>
      <w:r w:rsidR="00730223">
        <w:rPr>
          <w:rFonts w:ascii="Arial" w:eastAsia="Times New Roman" w:hAnsi="Arial" w:cs="Arial"/>
          <w:bCs/>
          <w:lang w:eastAsia="en-AU"/>
        </w:rPr>
        <w:t xml:space="preserve">is </w:t>
      </w:r>
      <w:r w:rsidRPr="00734E98">
        <w:rPr>
          <w:rFonts w:ascii="Arial" w:eastAsia="Times New Roman" w:hAnsi="Arial" w:cs="Arial"/>
          <w:bCs/>
          <w:lang w:eastAsia="en-AU"/>
        </w:rPr>
        <w:t>incorporated</w:t>
      </w:r>
      <w:r w:rsidR="008939D1">
        <w:rPr>
          <w:rFonts w:ascii="Arial" w:eastAsia="Times New Roman" w:hAnsi="Arial" w:cs="Arial"/>
          <w:bCs/>
          <w:lang w:eastAsia="en-AU"/>
        </w:rPr>
        <w:t xml:space="preserve"> in the Determination by reference</w:t>
      </w:r>
      <w:r w:rsidRPr="00734E98">
        <w:rPr>
          <w:rFonts w:ascii="Arial" w:eastAsia="Times New Roman" w:hAnsi="Arial" w:cs="Arial"/>
          <w:bCs/>
          <w:lang w:eastAsia="en-AU"/>
        </w:rPr>
        <w:t>:</w:t>
      </w:r>
    </w:p>
    <w:p w14:paraId="438C209B" w14:textId="75454A78" w:rsidR="008C15E5" w:rsidRPr="00826C6B" w:rsidRDefault="008939D1" w:rsidP="00826C6B">
      <w:pPr>
        <w:pStyle w:val="ListParagraph"/>
        <w:numPr>
          <w:ilvl w:val="0"/>
          <w:numId w:val="18"/>
        </w:numPr>
        <w:spacing w:after="240" w:line="240" w:lineRule="auto"/>
        <w:jc w:val="both"/>
        <w:rPr>
          <w:rFonts w:ascii="Arial" w:eastAsia="Times New Roman" w:hAnsi="Arial" w:cs="Arial"/>
          <w:bCs/>
          <w:lang w:eastAsia="en-AU"/>
        </w:rPr>
      </w:pPr>
      <w:proofErr w:type="gramStart"/>
      <w:r>
        <w:rPr>
          <w:rFonts w:ascii="Arial" w:eastAsia="Times New Roman" w:hAnsi="Arial" w:cs="Arial"/>
          <w:bCs/>
          <w:lang w:eastAsia="en-AU"/>
        </w:rPr>
        <w:t>the</w:t>
      </w:r>
      <w:proofErr w:type="gramEnd"/>
      <w:r>
        <w:rPr>
          <w:rFonts w:ascii="Arial" w:eastAsia="Times New Roman" w:hAnsi="Arial" w:cs="Arial"/>
          <w:bCs/>
          <w:lang w:eastAsia="en-AU"/>
        </w:rPr>
        <w:t xml:space="preserve"> </w:t>
      </w:r>
      <w:r w:rsidR="004E130B" w:rsidRPr="00734E98">
        <w:rPr>
          <w:rFonts w:ascii="Arial" w:eastAsia="Times New Roman" w:hAnsi="Arial" w:cs="Arial"/>
          <w:bCs/>
          <w:lang w:eastAsia="en-AU"/>
        </w:rPr>
        <w:t xml:space="preserve">Australian Map Grid </w:t>
      </w:r>
      <w:r w:rsidR="008C15E5" w:rsidRPr="00734E98">
        <w:rPr>
          <w:rFonts w:ascii="Arial" w:eastAsia="Times New Roman" w:hAnsi="Arial" w:cs="Arial"/>
          <w:bCs/>
          <w:lang w:eastAsia="en-AU"/>
        </w:rPr>
        <w:t xml:space="preserve">(AMG66) published by Geoscience Australia. The map grid can be accessed </w:t>
      </w:r>
      <w:r w:rsidR="0055662F" w:rsidRPr="00734E98">
        <w:rPr>
          <w:rFonts w:ascii="Arial" w:eastAsia="Times New Roman" w:hAnsi="Arial" w:cs="Arial"/>
          <w:bCs/>
          <w:lang w:eastAsia="en-AU"/>
        </w:rPr>
        <w:t xml:space="preserve">through the Geoscience Australia website: </w:t>
      </w:r>
      <w:hyperlink r:id="rId13" w:history="1">
        <w:r w:rsidR="008C15E5" w:rsidRPr="00734E98">
          <w:rPr>
            <w:rStyle w:val="Hyperlink"/>
            <w:rFonts w:ascii="Arial" w:eastAsia="Times New Roman" w:hAnsi="Arial" w:cs="Arial"/>
            <w:bCs/>
            <w:lang w:eastAsia="en-AU"/>
          </w:rPr>
          <w:t>www.ga.gov.au</w:t>
        </w:r>
      </w:hyperlink>
      <w:r w:rsidR="008C15E5" w:rsidRPr="00734E98">
        <w:rPr>
          <w:rFonts w:ascii="Arial" w:eastAsia="Times New Roman" w:hAnsi="Arial" w:cs="Arial"/>
          <w:bCs/>
          <w:lang w:eastAsia="en-AU"/>
        </w:rPr>
        <w:t xml:space="preserve">. </w:t>
      </w:r>
    </w:p>
    <w:p w14:paraId="2C15EA74" w14:textId="77777777" w:rsidR="00272465" w:rsidRPr="00734E98" w:rsidRDefault="00272465" w:rsidP="008A766F">
      <w:pPr>
        <w:spacing w:after="240" w:line="240" w:lineRule="auto"/>
        <w:jc w:val="both"/>
        <w:rPr>
          <w:rFonts w:ascii="Arial" w:eastAsia="Times New Roman" w:hAnsi="Arial" w:cs="Arial"/>
          <w:lang w:eastAsia="en-AU"/>
        </w:rPr>
      </w:pPr>
      <w:r w:rsidRPr="00734E98">
        <w:rPr>
          <w:rFonts w:ascii="Arial" w:eastAsia="Times New Roman" w:hAnsi="Arial" w:cs="Arial"/>
          <w:b/>
          <w:bCs/>
          <w:lang w:eastAsia="en-AU"/>
        </w:rPr>
        <w:t>Regulation Impact Statement</w:t>
      </w:r>
    </w:p>
    <w:p w14:paraId="41FD06F4" w14:textId="004BC36A" w:rsidR="004B1AAF" w:rsidRPr="00734E98" w:rsidRDefault="004B1AAF" w:rsidP="004B1AAF">
      <w:pPr>
        <w:rPr>
          <w:rFonts w:ascii="Arial" w:hAnsi="Arial" w:cs="Arial"/>
        </w:rPr>
      </w:pPr>
      <w:r w:rsidRPr="005B2256">
        <w:rPr>
          <w:rFonts w:ascii="Arial" w:hAnsi="Arial" w:cs="Arial"/>
        </w:rPr>
        <w:t>The Office of Best Practice Regulation (OBPR) applies streamlined administrative processes to</w:t>
      </w:r>
      <w:r w:rsidR="007A1006" w:rsidRPr="005B2256">
        <w:rPr>
          <w:rFonts w:ascii="Arial" w:hAnsi="Arial" w:cs="Arial"/>
        </w:rPr>
        <w:t xml:space="preserve"> some</w:t>
      </w:r>
      <w:r w:rsidRPr="005B2256">
        <w:rPr>
          <w:rFonts w:ascii="Arial" w:hAnsi="Arial" w:cs="Arial"/>
        </w:rPr>
        <w:t xml:space="preserve"> sunsetting legislative instruments. As the ACMA has determined that the 2003 Determination was fit for purpose and should be remade without any significant changes, </w:t>
      </w:r>
      <w:r w:rsidRPr="005B2256">
        <w:rPr>
          <w:rFonts w:ascii="Arial" w:hAnsi="Arial" w:cs="Arial"/>
        </w:rPr>
        <w:lastRenderedPageBreak/>
        <w:t xml:space="preserve">and has certified those matters to OBPR, no Regulation Impact Statement (RIS) is required in relation to the making of the Determination (OBPR reference ID </w:t>
      </w:r>
      <w:r w:rsidR="004C30BB" w:rsidRPr="005B2256">
        <w:rPr>
          <w:rFonts w:ascii="Arial" w:hAnsi="Arial" w:cs="Arial"/>
        </w:rPr>
        <w:t>17459</w:t>
      </w:r>
      <w:r w:rsidRPr="005B2256">
        <w:rPr>
          <w:rFonts w:ascii="Arial" w:hAnsi="Arial" w:cs="Arial"/>
        </w:rPr>
        <w:t>).</w:t>
      </w:r>
    </w:p>
    <w:p w14:paraId="23008886" w14:textId="6232AC3D" w:rsidR="004B1AAF" w:rsidRPr="00734E98" w:rsidRDefault="004B1AAF" w:rsidP="004B1AAF">
      <w:pPr>
        <w:contextualSpacing/>
        <w:rPr>
          <w:rFonts w:ascii="Arial" w:hAnsi="Arial" w:cs="Arial"/>
        </w:rPr>
      </w:pPr>
      <w:r w:rsidRPr="00734E98">
        <w:rPr>
          <w:rFonts w:ascii="Arial" w:hAnsi="Arial" w:cs="Arial"/>
        </w:rPr>
        <w:t>The OBPR has considered the matter of the annual CPI adjustment and formed the opinion t</w:t>
      </w:r>
      <w:r w:rsidR="00C01E48" w:rsidRPr="00734E98">
        <w:rPr>
          <w:rFonts w:ascii="Arial" w:hAnsi="Arial" w:cs="Arial"/>
        </w:rPr>
        <w:t>hat no RIS</w:t>
      </w:r>
      <w:r w:rsidRPr="00734E98">
        <w:rPr>
          <w:rFonts w:ascii="Arial" w:hAnsi="Arial" w:cs="Arial"/>
        </w:rPr>
        <w:t xml:space="preserve"> is required </w:t>
      </w:r>
      <w:r w:rsidR="007C6771" w:rsidRPr="00734E98">
        <w:rPr>
          <w:rFonts w:ascii="Arial" w:hAnsi="Arial" w:cs="Arial"/>
        </w:rPr>
        <w:t>in relation to the annual CPI changes</w:t>
      </w:r>
      <w:r w:rsidRPr="00734E98">
        <w:rPr>
          <w:rFonts w:ascii="Arial" w:hAnsi="Arial" w:cs="Arial"/>
        </w:rPr>
        <w:t>. The OBPR reference number is ID</w:t>
      </w:r>
      <w:r w:rsidR="007A1006" w:rsidRPr="00734E98">
        <w:rPr>
          <w:rFonts w:ascii="Arial" w:hAnsi="Arial" w:cs="Arial"/>
        </w:rPr>
        <w:t xml:space="preserve"> </w:t>
      </w:r>
      <w:r w:rsidRPr="00734E98">
        <w:rPr>
          <w:rFonts w:ascii="Arial" w:hAnsi="Arial" w:cs="Arial"/>
        </w:rPr>
        <w:t>12297.</w:t>
      </w:r>
    </w:p>
    <w:p w14:paraId="758CDACF" w14:textId="77777777" w:rsidR="004C30BB" w:rsidRPr="00734E98" w:rsidRDefault="004C30BB" w:rsidP="004C30BB">
      <w:pPr>
        <w:contextualSpacing/>
        <w:rPr>
          <w:rFonts w:ascii="Arial" w:hAnsi="Arial" w:cs="Arial"/>
        </w:rPr>
      </w:pPr>
    </w:p>
    <w:p w14:paraId="7DB081F3" w14:textId="393EAEFB" w:rsidR="00AD361D" w:rsidRPr="00734E98" w:rsidRDefault="00AD361D" w:rsidP="00AD361D">
      <w:pPr>
        <w:spacing w:after="200" w:line="240" w:lineRule="auto"/>
        <w:jc w:val="both"/>
        <w:rPr>
          <w:rFonts w:ascii="Arial" w:eastAsia="Times New Roman" w:hAnsi="Arial" w:cs="Arial"/>
          <w:b/>
          <w:bCs/>
          <w:lang w:eastAsia="en-AU"/>
        </w:rPr>
      </w:pPr>
      <w:r w:rsidRPr="00734E98">
        <w:rPr>
          <w:rFonts w:ascii="Arial" w:eastAsia="Times New Roman" w:hAnsi="Arial" w:cs="Arial"/>
          <w:b/>
          <w:bCs/>
          <w:lang w:eastAsia="en-AU"/>
        </w:rPr>
        <w:t>Determination Details</w:t>
      </w:r>
    </w:p>
    <w:p w14:paraId="77763EDC" w14:textId="1D0D01F9" w:rsidR="00AD361D" w:rsidRPr="00734E98" w:rsidRDefault="0055413B" w:rsidP="00AD361D">
      <w:pPr>
        <w:spacing w:after="200" w:line="240" w:lineRule="auto"/>
        <w:jc w:val="both"/>
        <w:rPr>
          <w:rFonts w:ascii="Arial" w:eastAsia="Times New Roman" w:hAnsi="Arial" w:cs="Arial"/>
          <w:bCs/>
          <w:lang w:eastAsia="en-AU"/>
        </w:rPr>
      </w:pPr>
      <w:r w:rsidRPr="00734E98">
        <w:rPr>
          <w:rFonts w:ascii="Arial" w:eastAsia="Times New Roman" w:hAnsi="Arial" w:cs="Arial"/>
          <w:bCs/>
          <w:lang w:eastAsia="en-AU"/>
        </w:rPr>
        <w:t xml:space="preserve">Details of the </w:t>
      </w:r>
      <w:r w:rsidR="00AD361D" w:rsidRPr="00734E98">
        <w:rPr>
          <w:rFonts w:ascii="Arial" w:eastAsia="Times New Roman" w:hAnsi="Arial" w:cs="Arial"/>
          <w:bCs/>
          <w:lang w:eastAsia="en-AU"/>
        </w:rPr>
        <w:t>Determination are provided in Attachment 1.</w:t>
      </w:r>
    </w:p>
    <w:p w14:paraId="60B1E431" w14:textId="3D953FAD" w:rsidR="00160C17" w:rsidRPr="00734E98" w:rsidRDefault="00160C17" w:rsidP="007A1006">
      <w:pPr>
        <w:rPr>
          <w:rFonts w:ascii="Arial" w:eastAsia="Times New Roman" w:hAnsi="Arial" w:cs="Arial"/>
          <w:b/>
          <w:bCs/>
          <w:lang w:eastAsia="en-AU"/>
        </w:rPr>
      </w:pPr>
      <w:r w:rsidRPr="00734E98">
        <w:rPr>
          <w:rFonts w:ascii="Arial" w:eastAsia="Times New Roman" w:hAnsi="Arial" w:cs="Arial"/>
          <w:b/>
          <w:bCs/>
          <w:lang w:eastAsia="en-AU"/>
        </w:rPr>
        <w:t>Statement of Compatibility with Human Rights</w:t>
      </w:r>
    </w:p>
    <w:p w14:paraId="3333C8EB" w14:textId="4D805F47" w:rsidR="005F3644" w:rsidRPr="00734E98" w:rsidRDefault="005F3644" w:rsidP="005F3644">
      <w:pPr>
        <w:spacing w:after="240" w:line="240" w:lineRule="auto"/>
        <w:jc w:val="both"/>
        <w:rPr>
          <w:rFonts w:ascii="Arial" w:eastAsia="Times New Roman" w:hAnsi="Arial" w:cs="Arial"/>
          <w:lang w:eastAsia="en-AU"/>
        </w:rPr>
      </w:pPr>
      <w:r w:rsidRPr="00734E98">
        <w:rPr>
          <w:rFonts w:ascii="Arial" w:eastAsia="Times New Roman" w:hAnsi="Arial" w:cs="Arial"/>
          <w:lang w:eastAsia="en-AU"/>
        </w:rPr>
        <w:t xml:space="preserve">Subsection 9(1) of the </w:t>
      </w:r>
      <w:r w:rsidRPr="00734E98">
        <w:rPr>
          <w:rFonts w:ascii="Arial" w:eastAsia="Times New Roman" w:hAnsi="Arial" w:cs="Arial"/>
          <w:i/>
          <w:iCs/>
          <w:lang w:eastAsia="en-AU"/>
        </w:rPr>
        <w:t>Human Rights (Parliamentary Scrutiny) Act 2011</w:t>
      </w:r>
      <w:r w:rsidRPr="00734E98">
        <w:rPr>
          <w:rFonts w:ascii="Arial" w:eastAsia="Times New Roman" w:hAnsi="Arial" w:cs="Arial"/>
          <w:lang w:eastAsia="en-AU"/>
        </w:rPr>
        <w:t xml:space="preserve"> (HR Act) requires the rule maker in relation to a legislative instrument to which section 42 (disallowance) of the </w:t>
      </w:r>
      <w:r w:rsidR="00042BF3">
        <w:rPr>
          <w:rFonts w:ascii="Arial" w:eastAsia="Times New Roman" w:hAnsi="Arial" w:cs="Arial"/>
          <w:iCs/>
          <w:lang w:eastAsia="en-AU"/>
        </w:rPr>
        <w:t>LIA</w:t>
      </w:r>
      <w:r w:rsidRPr="00734E98">
        <w:rPr>
          <w:rFonts w:ascii="Arial" w:eastAsia="Times New Roman" w:hAnsi="Arial" w:cs="Arial"/>
          <w:i/>
          <w:iCs/>
          <w:lang w:eastAsia="en-AU"/>
        </w:rPr>
        <w:t xml:space="preserve"> </w:t>
      </w:r>
      <w:r w:rsidRPr="00734E98">
        <w:rPr>
          <w:rFonts w:ascii="Arial" w:eastAsia="Times New Roman" w:hAnsi="Arial" w:cs="Arial"/>
          <w:lang w:eastAsia="en-AU"/>
        </w:rPr>
        <w:t xml:space="preserve">applies to cause a statement of compatibility to be prepared in respect of that legislative instrument. </w:t>
      </w:r>
    </w:p>
    <w:p w14:paraId="64AFBB9B" w14:textId="77777777" w:rsidR="005F3644" w:rsidRPr="00734E98" w:rsidRDefault="005F3644" w:rsidP="005F3644">
      <w:pPr>
        <w:spacing w:after="240" w:line="240" w:lineRule="auto"/>
        <w:jc w:val="both"/>
        <w:rPr>
          <w:rFonts w:ascii="Arial" w:eastAsia="Times New Roman" w:hAnsi="Arial" w:cs="Arial"/>
          <w:lang w:eastAsia="en-AU"/>
        </w:rPr>
      </w:pPr>
      <w:r w:rsidRPr="00734E98">
        <w:rPr>
          <w:rFonts w:ascii="Arial" w:eastAsia="Times New Roman" w:hAnsi="Arial" w:cs="Arial"/>
          <w:lang w:eastAsia="en-AU"/>
        </w:rPr>
        <w:t>This statement has been prepared in accordance with Part 3 of the HR Act.</w:t>
      </w:r>
    </w:p>
    <w:p w14:paraId="44BD1A27" w14:textId="4851AF62" w:rsidR="005F3644" w:rsidRPr="00734E98" w:rsidRDefault="005F3644" w:rsidP="005F3644">
      <w:pPr>
        <w:spacing w:after="240" w:line="240" w:lineRule="auto"/>
        <w:jc w:val="both"/>
        <w:rPr>
          <w:rFonts w:ascii="Arial" w:eastAsia="Times New Roman" w:hAnsi="Arial" w:cs="Arial"/>
          <w:lang w:eastAsia="en-AU"/>
        </w:rPr>
      </w:pPr>
      <w:r w:rsidRPr="00734E98">
        <w:rPr>
          <w:rFonts w:ascii="Arial" w:eastAsia="Times New Roman" w:hAnsi="Arial" w:cs="Arial"/>
          <w:lang w:eastAsia="en-AU"/>
        </w:rPr>
        <w:t xml:space="preserve">The Determination, the effect of which is to </w:t>
      </w:r>
      <w:r w:rsidR="0023638D" w:rsidRPr="00734E98">
        <w:rPr>
          <w:rFonts w:ascii="Arial" w:eastAsia="Times New Roman" w:hAnsi="Arial" w:cs="Arial"/>
          <w:lang w:eastAsia="en-AU"/>
        </w:rPr>
        <w:t xml:space="preserve">revoke and </w:t>
      </w:r>
      <w:r w:rsidRPr="00734E98">
        <w:rPr>
          <w:rFonts w:ascii="Arial" w:eastAsia="Times New Roman" w:hAnsi="Arial" w:cs="Arial"/>
          <w:lang w:eastAsia="en-AU"/>
        </w:rPr>
        <w:t xml:space="preserve">remake the </w:t>
      </w:r>
      <w:r w:rsidR="00042BF3">
        <w:rPr>
          <w:rFonts w:ascii="Arial" w:eastAsia="Times New Roman" w:hAnsi="Arial" w:cs="Arial"/>
          <w:iCs/>
          <w:lang w:eastAsia="en-AU"/>
        </w:rPr>
        <w:t>2003 Determination</w:t>
      </w:r>
      <w:r w:rsidRPr="00734E98">
        <w:rPr>
          <w:rFonts w:ascii="Arial" w:eastAsia="Times New Roman" w:hAnsi="Arial" w:cs="Arial"/>
          <w:lang w:eastAsia="en-AU"/>
        </w:rPr>
        <w:t>, is compatible with the human rights and freedoms recognised or declared in the international instruments listed in section 3 of the</w:t>
      </w:r>
      <w:r w:rsidR="00BD779F" w:rsidRPr="00734E98">
        <w:rPr>
          <w:rFonts w:ascii="Arial" w:eastAsia="Times New Roman" w:hAnsi="Arial" w:cs="Arial"/>
          <w:lang w:eastAsia="en-AU"/>
        </w:rPr>
        <w:t xml:space="preserve"> HR Act</w:t>
      </w:r>
      <w:r w:rsidRPr="00734E98">
        <w:rPr>
          <w:rFonts w:ascii="Arial" w:eastAsia="Times New Roman" w:hAnsi="Arial" w:cs="Arial"/>
          <w:lang w:eastAsia="en-AU"/>
        </w:rPr>
        <w:t>.</w:t>
      </w:r>
    </w:p>
    <w:p w14:paraId="25A112C7" w14:textId="64603081" w:rsidR="005F3644" w:rsidRPr="00734E98" w:rsidRDefault="005F3644" w:rsidP="005F3644">
      <w:pPr>
        <w:spacing w:after="240" w:line="240" w:lineRule="auto"/>
        <w:jc w:val="both"/>
        <w:rPr>
          <w:rFonts w:ascii="Arial" w:eastAsia="Times New Roman" w:hAnsi="Arial" w:cs="Arial"/>
          <w:lang w:eastAsia="en-AU"/>
        </w:rPr>
      </w:pPr>
      <w:r w:rsidRPr="00734E98">
        <w:rPr>
          <w:rFonts w:ascii="Arial" w:eastAsia="Times New Roman" w:hAnsi="Arial" w:cs="Arial"/>
          <w:lang w:eastAsia="en-AU"/>
        </w:rPr>
        <w:t xml:space="preserve">The ACMA has considered whether the Determination engages any applicable human rights or freedoms and has formed the view that it does not.  </w:t>
      </w:r>
      <w:r w:rsidR="0023638D" w:rsidRPr="00734E98">
        <w:rPr>
          <w:rFonts w:ascii="Arial" w:eastAsia="Times New Roman" w:hAnsi="Arial" w:cs="Arial"/>
          <w:lang w:eastAsia="en-AU"/>
        </w:rPr>
        <w:t xml:space="preserve">The </w:t>
      </w:r>
      <w:r w:rsidRPr="00734E98">
        <w:rPr>
          <w:rFonts w:ascii="Arial" w:eastAsia="Times New Roman" w:hAnsi="Arial" w:cs="Arial"/>
          <w:lang w:eastAsia="en-AU"/>
        </w:rPr>
        <w:t>Determination is compatible with human rights as it does not raise any human rights issues.</w:t>
      </w:r>
    </w:p>
    <w:p w14:paraId="50C39397" w14:textId="77777777" w:rsidR="00272465" w:rsidRPr="00734E98" w:rsidRDefault="00272465" w:rsidP="00272465">
      <w:pPr>
        <w:spacing w:after="240" w:line="240" w:lineRule="auto"/>
        <w:jc w:val="both"/>
        <w:rPr>
          <w:rFonts w:ascii="Arial" w:eastAsia="Times New Roman" w:hAnsi="Arial" w:cs="Arial"/>
          <w:lang w:eastAsia="en-AU"/>
        </w:rPr>
      </w:pPr>
    </w:p>
    <w:p w14:paraId="7A01E955" w14:textId="35967F5A" w:rsidR="00160C17" w:rsidRPr="00815DD0" w:rsidRDefault="00160C17">
      <w:pPr>
        <w:rPr>
          <w:rFonts w:ascii="Arial" w:eastAsia="Times New Roman" w:hAnsi="Arial" w:cs="Arial"/>
          <w:b/>
          <w:bCs/>
          <w:lang w:eastAsia="en-AU"/>
        </w:rPr>
      </w:pPr>
    </w:p>
    <w:p w14:paraId="23DA0630" w14:textId="77777777" w:rsidR="00AD361D" w:rsidRPr="00734E98" w:rsidRDefault="00C33092" w:rsidP="00AD361D">
      <w:pPr>
        <w:jc w:val="right"/>
        <w:rPr>
          <w:rFonts w:ascii="Arial" w:hAnsi="Arial" w:cs="Arial"/>
          <w:b/>
        </w:rPr>
      </w:pPr>
      <w:r w:rsidRPr="00734E98">
        <w:rPr>
          <w:rFonts w:ascii="Arial" w:eastAsia="Times New Roman" w:hAnsi="Arial" w:cs="Arial"/>
          <w:b/>
          <w:bCs/>
          <w:lang w:eastAsia="en-AU"/>
        </w:rPr>
        <w:br w:type="page"/>
      </w:r>
      <w:r w:rsidR="00AD361D" w:rsidRPr="00734E98">
        <w:rPr>
          <w:rFonts w:ascii="Arial" w:hAnsi="Arial" w:cs="Arial"/>
          <w:b/>
        </w:rPr>
        <w:lastRenderedPageBreak/>
        <w:t xml:space="preserve">ATTACHMENT 1 </w:t>
      </w:r>
    </w:p>
    <w:p w14:paraId="7E2C15FB" w14:textId="77777777" w:rsidR="00AD361D" w:rsidRPr="00734E98" w:rsidRDefault="00AD361D" w:rsidP="00AD361D">
      <w:pPr>
        <w:rPr>
          <w:rFonts w:ascii="Arial" w:hAnsi="Arial" w:cs="Arial"/>
          <w:b/>
        </w:rPr>
      </w:pPr>
    </w:p>
    <w:p w14:paraId="7C544760" w14:textId="77777777" w:rsidR="00AD361D" w:rsidRPr="00734E98" w:rsidRDefault="00AD361D" w:rsidP="00AD361D">
      <w:pPr>
        <w:rPr>
          <w:rFonts w:ascii="Arial" w:hAnsi="Arial" w:cs="Arial"/>
          <w:b/>
        </w:rPr>
      </w:pPr>
      <w:r w:rsidRPr="00734E98">
        <w:rPr>
          <w:rFonts w:ascii="Arial" w:hAnsi="Arial" w:cs="Arial"/>
          <w:b/>
        </w:rPr>
        <w:t>NOTES ON SECTIONS</w:t>
      </w:r>
    </w:p>
    <w:p w14:paraId="77A6A377" w14:textId="2FEF5E66" w:rsidR="00C33092" w:rsidRPr="00734E98" w:rsidRDefault="00C3146C">
      <w:pPr>
        <w:rPr>
          <w:rFonts w:ascii="Arial" w:eastAsia="Times New Roman" w:hAnsi="Arial" w:cs="Arial"/>
          <w:b/>
          <w:bCs/>
          <w:lang w:eastAsia="en-AU"/>
        </w:rPr>
      </w:pPr>
      <w:r w:rsidRPr="00734E98">
        <w:rPr>
          <w:rFonts w:ascii="Arial" w:eastAsia="Times New Roman" w:hAnsi="Arial" w:cs="Arial"/>
          <w:b/>
          <w:bCs/>
          <w:lang w:eastAsia="en-AU"/>
        </w:rPr>
        <w:t>Part 1</w:t>
      </w:r>
      <w:r w:rsidR="007C6771" w:rsidRPr="00734E98">
        <w:rPr>
          <w:rFonts w:ascii="Arial" w:eastAsia="Times New Roman" w:hAnsi="Arial" w:cs="Arial"/>
          <w:b/>
          <w:bCs/>
          <w:lang w:eastAsia="en-AU"/>
        </w:rPr>
        <w:tab/>
        <w:t>Preliminary</w:t>
      </w:r>
    </w:p>
    <w:p w14:paraId="4B6D2D7C" w14:textId="02A6579A" w:rsidR="00354B78" w:rsidRPr="00734E98" w:rsidRDefault="00492972" w:rsidP="006D5D49">
      <w:pPr>
        <w:rPr>
          <w:rFonts w:ascii="Arial" w:eastAsia="Times New Roman" w:hAnsi="Arial" w:cs="Arial"/>
          <w:bCs/>
          <w:lang w:eastAsia="en-AU"/>
        </w:rPr>
      </w:pPr>
      <w:r w:rsidRPr="00734E98">
        <w:rPr>
          <w:rFonts w:ascii="Arial" w:eastAsia="Times New Roman" w:hAnsi="Arial" w:cs="Arial"/>
          <w:bCs/>
          <w:lang w:eastAsia="en-AU"/>
        </w:rPr>
        <w:t xml:space="preserve">Section 1 of </w:t>
      </w:r>
      <w:r w:rsidR="006D5D49" w:rsidRPr="00734E98">
        <w:rPr>
          <w:rFonts w:ascii="Arial" w:eastAsia="Times New Roman" w:hAnsi="Arial" w:cs="Arial"/>
          <w:bCs/>
          <w:lang w:eastAsia="en-AU"/>
        </w:rPr>
        <w:t>Part 1</w:t>
      </w:r>
      <w:r w:rsidRPr="00734E98">
        <w:rPr>
          <w:rFonts w:ascii="Arial" w:eastAsia="Times New Roman" w:hAnsi="Arial" w:cs="Arial"/>
          <w:bCs/>
          <w:lang w:eastAsia="en-AU"/>
        </w:rPr>
        <w:t xml:space="preserve"> provides</w:t>
      </w:r>
      <w:r w:rsidR="006D5D49" w:rsidRPr="00734E98">
        <w:rPr>
          <w:rFonts w:ascii="Arial" w:eastAsia="Times New Roman" w:hAnsi="Arial" w:cs="Arial"/>
          <w:bCs/>
          <w:lang w:eastAsia="en-AU"/>
        </w:rPr>
        <w:t xml:space="preserve"> </w:t>
      </w:r>
      <w:r w:rsidR="00B82862">
        <w:rPr>
          <w:rFonts w:ascii="Arial" w:eastAsia="Times New Roman" w:hAnsi="Arial" w:cs="Arial"/>
          <w:bCs/>
          <w:lang w:eastAsia="en-AU"/>
        </w:rPr>
        <w:t xml:space="preserve">for </w:t>
      </w:r>
      <w:r w:rsidR="006D5D49" w:rsidRPr="00734E98">
        <w:rPr>
          <w:rFonts w:ascii="Arial" w:eastAsia="Times New Roman" w:hAnsi="Arial" w:cs="Arial"/>
          <w:bCs/>
          <w:lang w:eastAsia="en-AU"/>
        </w:rPr>
        <w:t xml:space="preserve">the name of the </w:t>
      </w:r>
      <w:r w:rsidR="00B82862">
        <w:rPr>
          <w:rFonts w:ascii="Arial" w:eastAsia="Times New Roman" w:hAnsi="Arial" w:cs="Arial"/>
          <w:bCs/>
          <w:lang w:eastAsia="en-AU"/>
        </w:rPr>
        <w:t>D</w:t>
      </w:r>
      <w:r w:rsidR="006D5D49" w:rsidRPr="00734E98">
        <w:rPr>
          <w:rFonts w:ascii="Arial" w:eastAsia="Times New Roman" w:hAnsi="Arial" w:cs="Arial"/>
          <w:bCs/>
          <w:lang w:eastAsia="en-AU"/>
        </w:rPr>
        <w:t xml:space="preserve">etermination, </w:t>
      </w:r>
      <w:r w:rsidRPr="00734E98">
        <w:rPr>
          <w:rFonts w:ascii="Arial" w:eastAsia="Times New Roman" w:hAnsi="Arial" w:cs="Arial"/>
          <w:bCs/>
          <w:lang w:eastAsia="en-AU"/>
        </w:rPr>
        <w:t xml:space="preserve">and section 2 provides </w:t>
      </w:r>
      <w:r w:rsidR="00B82862">
        <w:rPr>
          <w:rFonts w:ascii="Arial" w:eastAsia="Times New Roman" w:hAnsi="Arial" w:cs="Arial"/>
          <w:bCs/>
          <w:lang w:eastAsia="en-AU"/>
        </w:rPr>
        <w:t xml:space="preserve">for </w:t>
      </w:r>
      <w:r w:rsidR="006D5D49" w:rsidRPr="00734E98">
        <w:rPr>
          <w:rFonts w:ascii="Arial" w:eastAsia="Times New Roman" w:hAnsi="Arial" w:cs="Arial"/>
          <w:bCs/>
          <w:lang w:eastAsia="en-AU"/>
        </w:rPr>
        <w:t>the da</w:t>
      </w:r>
      <w:r w:rsidR="007C6771" w:rsidRPr="00734E98">
        <w:rPr>
          <w:rFonts w:ascii="Arial" w:eastAsia="Times New Roman" w:hAnsi="Arial" w:cs="Arial"/>
          <w:bCs/>
          <w:lang w:eastAsia="en-AU"/>
        </w:rPr>
        <w:t xml:space="preserve">y on which the </w:t>
      </w:r>
      <w:r w:rsidR="00B82862">
        <w:rPr>
          <w:rFonts w:ascii="Arial" w:eastAsia="Times New Roman" w:hAnsi="Arial" w:cs="Arial"/>
          <w:bCs/>
          <w:lang w:eastAsia="en-AU"/>
        </w:rPr>
        <w:t>D</w:t>
      </w:r>
      <w:r w:rsidR="007C6771" w:rsidRPr="00734E98">
        <w:rPr>
          <w:rFonts w:ascii="Arial" w:eastAsia="Times New Roman" w:hAnsi="Arial" w:cs="Arial"/>
          <w:bCs/>
          <w:lang w:eastAsia="en-AU"/>
        </w:rPr>
        <w:t>ete</w:t>
      </w:r>
      <w:r w:rsidRPr="00734E98">
        <w:rPr>
          <w:rFonts w:ascii="Arial" w:eastAsia="Times New Roman" w:hAnsi="Arial" w:cs="Arial"/>
          <w:bCs/>
          <w:lang w:eastAsia="en-AU"/>
        </w:rPr>
        <w:t>rmination commences. Section 3 provides</w:t>
      </w:r>
      <w:r w:rsidR="006D5D49" w:rsidRPr="00734E98">
        <w:rPr>
          <w:rFonts w:ascii="Arial" w:eastAsia="Times New Roman" w:hAnsi="Arial" w:cs="Arial"/>
          <w:bCs/>
          <w:lang w:eastAsia="en-AU"/>
        </w:rPr>
        <w:t xml:space="preserve"> the definitions</w:t>
      </w:r>
      <w:r w:rsidR="005914F3" w:rsidRPr="00734E98">
        <w:rPr>
          <w:rFonts w:ascii="Arial" w:eastAsia="Times New Roman" w:hAnsi="Arial" w:cs="Arial"/>
          <w:bCs/>
          <w:lang w:eastAsia="en-AU"/>
        </w:rPr>
        <w:t xml:space="preserve"> </w:t>
      </w:r>
      <w:r w:rsidR="007C6771" w:rsidRPr="00734E98">
        <w:rPr>
          <w:rFonts w:ascii="Arial" w:eastAsia="Times New Roman" w:hAnsi="Arial" w:cs="Arial"/>
          <w:bCs/>
          <w:lang w:eastAsia="en-AU"/>
        </w:rPr>
        <w:t xml:space="preserve">of terms used in </w:t>
      </w:r>
      <w:r w:rsidR="005914F3" w:rsidRPr="00734E98">
        <w:rPr>
          <w:rFonts w:ascii="Arial" w:eastAsia="Times New Roman" w:hAnsi="Arial" w:cs="Arial"/>
          <w:bCs/>
          <w:lang w:eastAsia="en-AU"/>
        </w:rPr>
        <w:t xml:space="preserve">the </w:t>
      </w:r>
      <w:r w:rsidR="007C6771" w:rsidRPr="00734E98">
        <w:rPr>
          <w:rFonts w:ascii="Arial" w:eastAsia="Times New Roman" w:hAnsi="Arial" w:cs="Arial"/>
          <w:bCs/>
          <w:lang w:eastAsia="en-AU"/>
        </w:rPr>
        <w:t>D</w:t>
      </w:r>
      <w:r w:rsidR="005914F3" w:rsidRPr="00734E98">
        <w:rPr>
          <w:rFonts w:ascii="Arial" w:eastAsia="Times New Roman" w:hAnsi="Arial" w:cs="Arial"/>
          <w:bCs/>
          <w:lang w:eastAsia="en-AU"/>
        </w:rPr>
        <w:t>etermination</w:t>
      </w:r>
      <w:r w:rsidR="006D5D49" w:rsidRPr="00734E98">
        <w:rPr>
          <w:rFonts w:ascii="Arial" w:eastAsia="Times New Roman" w:hAnsi="Arial" w:cs="Arial"/>
          <w:bCs/>
          <w:lang w:eastAsia="en-AU"/>
        </w:rPr>
        <w:t>.</w:t>
      </w:r>
      <w:r w:rsidR="008D504C" w:rsidRPr="00734E98">
        <w:rPr>
          <w:rFonts w:ascii="Arial" w:eastAsia="Times New Roman" w:hAnsi="Arial" w:cs="Arial"/>
          <w:bCs/>
          <w:lang w:eastAsia="en-AU"/>
        </w:rPr>
        <w:t xml:space="preserve"> Section 3 notes that terms used in the Determination which are defined in the </w:t>
      </w:r>
      <w:r w:rsidR="008D504C" w:rsidRPr="00734E98">
        <w:rPr>
          <w:rFonts w:ascii="Arial" w:eastAsia="Times New Roman" w:hAnsi="Arial" w:cs="Arial"/>
          <w:bCs/>
          <w:i/>
          <w:lang w:eastAsia="en-AU"/>
        </w:rPr>
        <w:t xml:space="preserve">Radiocommunications </w:t>
      </w:r>
      <w:r w:rsidR="00354B78" w:rsidRPr="00734E98">
        <w:rPr>
          <w:rFonts w:ascii="Arial" w:eastAsia="Times New Roman" w:hAnsi="Arial" w:cs="Arial"/>
          <w:bCs/>
          <w:i/>
          <w:lang w:eastAsia="en-AU"/>
        </w:rPr>
        <w:t>(</w:t>
      </w:r>
      <w:r w:rsidR="008D504C" w:rsidRPr="00734E98">
        <w:rPr>
          <w:rFonts w:ascii="Arial" w:eastAsia="Times New Roman" w:hAnsi="Arial" w:cs="Arial"/>
          <w:bCs/>
          <w:i/>
          <w:lang w:eastAsia="en-AU"/>
        </w:rPr>
        <w:t>Interpretation</w:t>
      </w:r>
      <w:r w:rsidR="00354B78" w:rsidRPr="00734E98">
        <w:rPr>
          <w:rFonts w:ascii="Arial" w:eastAsia="Times New Roman" w:hAnsi="Arial" w:cs="Arial"/>
          <w:bCs/>
          <w:i/>
          <w:lang w:eastAsia="en-AU"/>
        </w:rPr>
        <w:t>)</w:t>
      </w:r>
      <w:r w:rsidR="008D504C" w:rsidRPr="00734E98">
        <w:rPr>
          <w:rFonts w:ascii="Arial" w:eastAsia="Times New Roman" w:hAnsi="Arial" w:cs="Arial"/>
          <w:bCs/>
          <w:i/>
          <w:lang w:eastAsia="en-AU"/>
        </w:rPr>
        <w:t xml:space="preserve"> Determination 2015 </w:t>
      </w:r>
      <w:r w:rsidR="008D504C" w:rsidRPr="00734E98">
        <w:rPr>
          <w:rFonts w:ascii="Arial" w:eastAsia="Times New Roman" w:hAnsi="Arial" w:cs="Arial"/>
          <w:bCs/>
          <w:lang w:eastAsia="en-AU"/>
        </w:rPr>
        <w:t xml:space="preserve">have the same meaning as in that determination. </w:t>
      </w:r>
    </w:p>
    <w:p w14:paraId="1D3DFF1A" w14:textId="0C668945" w:rsidR="006D5D49" w:rsidRPr="00734E98" w:rsidRDefault="00492972" w:rsidP="006D5D49">
      <w:pPr>
        <w:rPr>
          <w:rFonts w:ascii="Arial" w:eastAsia="Times New Roman" w:hAnsi="Arial" w:cs="Arial"/>
          <w:bCs/>
          <w:lang w:eastAsia="en-AU"/>
        </w:rPr>
      </w:pPr>
      <w:r w:rsidRPr="00734E98">
        <w:rPr>
          <w:rFonts w:ascii="Arial" w:eastAsia="Times New Roman" w:hAnsi="Arial" w:cs="Arial"/>
          <w:bCs/>
          <w:lang w:eastAsia="en-AU"/>
        </w:rPr>
        <w:t>S</w:t>
      </w:r>
      <w:r w:rsidR="008D504C" w:rsidRPr="00734E98">
        <w:rPr>
          <w:rFonts w:ascii="Arial" w:eastAsia="Times New Roman" w:hAnsi="Arial" w:cs="Arial"/>
          <w:bCs/>
          <w:lang w:eastAsia="en-AU"/>
        </w:rPr>
        <w:t xml:space="preserve">ection 4 revokes the </w:t>
      </w:r>
      <w:r w:rsidRPr="00734E98">
        <w:rPr>
          <w:rFonts w:ascii="Arial" w:eastAsia="Times New Roman" w:hAnsi="Arial" w:cs="Arial"/>
          <w:iCs/>
          <w:lang w:eastAsia="en-AU"/>
        </w:rPr>
        <w:t xml:space="preserve">2003 Determination. </w:t>
      </w:r>
    </w:p>
    <w:p w14:paraId="4BAE00A3" w14:textId="65E120EE" w:rsidR="00C3146C" w:rsidRPr="00734E98" w:rsidRDefault="00C3146C">
      <w:pPr>
        <w:rPr>
          <w:rFonts w:ascii="Arial" w:eastAsia="Times New Roman" w:hAnsi="Arial" w:cs="Arial"/>
          <w:b/>
          <w:bCs/>
          <w:lang w:eastAsia="en-AU"/>
        </w:rPr>
      </w:pPr>
      <w:r w:rsidRPr="00734E98">
        <w:rPr>
          <w:rFonts w:ascii="Arial" w:eastAsia="Times New Roman" w:hAnsi="Arial" w:cs="Arial"/>
          <w:b/>
          <w:bCs/>
          <w:lang w:eastAsia="en-AU"/>
        </w:rPr>
        <w:t>Part 2</w:t>
      </w:r>
      <w:r w:rsidR="008D504C" w:rsidRPr="00734E98">
        <w:rPr>
          <w:rFonts w:ascii="Arial" w:eastAsia="Times New Roman" w:hAnsi="Arial" w:cs="Arial"/>
          <w:b/>
          <w:bCs/>
          <w:lang w:eastAsia="en-AU"/>
        </w:rPr>
        <w:tab/>
        <w:t>Working out receiver licence tax</w:t>
      </w:r>
    </w:p>
    <w:p w14:paraId="3424D4AD" w14:textId="645ADE9A" w:rsidR="00661B52" w:rsidRPr="00815DD0" w:rsidRDefault="006D5D49" w:rsidP="00661B52">
      <w:pPr>
        <w:rPr>
          <w:rFonts w:ascii="Arial" w:eastAsia="Times New Roman" w:hAnsi="Arial" w:cs="Arial"/>
          <w:bCs/>
          <w:lang w:eastAsia="en-AU"/>
        </w:rPr>
      </w:pPr>
      <w:r w:rsidRPr="00734E98">
        <w:rPr>
          <w:rFonts w:ascii="Arial" w:eastAsia="Times New Roman" w:hAnsi="Arial" w:cs="Arial"/>
          <w:bCs/>
          <w:lang w:eastAsia="en-AU"/>
        </w:rPr>
        <w:t xml:space="preserve">Part 2 sets out the methodology for </w:t>
      </w:r>
      <w:r w:rsidR="005914F3" w:rsidRPr="00734E98">
        <w:rPr>
          <w:rFonts w:ascii="Arial" w:eastAsia="Times New Roman" w:hAnsi="Arial" w:cs="Arial"/>
          <w:bCs/>
          <w:lang w:eastAsia="en-AU"/>
        </w:rPr>
        <w:t>working out</w:t>
      </w:r>
      <w:r w:rsidRPr="00734E98">
        <w:rPr>
          <w:rFonts w:ascii="Arial" w:eastAsia="Times New Roman" w:hAnsi="Arial" w:cs="Arial"/>
          <w:bCs/>
          <w:lang w:eastAsia="en-AU"/>
        </w:rPr>
        <w:t xml:space="preserve"> receiver licence tax</w:t>
      </w:r>
      <w:r w:rsidR="008D504C" w:rsidRPr="00734E98">
        <w:rPr>
          <w:rFonts w:ascii="Arial" w:eastAsia="Times New Roman" w:hAnsi="Arial" w:cs="Arial"/>
          <w:bCs/>
          <w:lang w:eastAsia="en-AU"/>
        </w:rPr>
        <w:t xml:space="preserve">, using Schedules </w:t>
      </w:r>
      <w:r w:rsidR="00661B52" w:rsidRPr="00734E98">
        <w:rPr>
          <w:rFonts w:ascii="Arial" w:eastAsia="Times New Roman" w:hAnsi="Arial" w:cs="Arial"/>
          <w:bCs/>
          <w:lang w:eastAsia="en-AU"/>
        </w:rPr>
        <w:t xml:space="preserve">1, </w:t>
      </w:r>
      <w:r w:rsidR="008D504C" w:rsidRPr="00734E98">
        <w:rPr>
          <w:rFonts w:ascii="Arial" w:eastAsia="Times New Roman" w:hAnsi="Arial" w:cs="Arial"/>
          <w:bCs/>
          <w:lang w:eastAsia="en-AU"/>
        </w:rPr>
        <w:t>2 and 3 of the Determination</w:t>
      </w:r>
      <w:r w:rsidRPr="00734E98">
        <w:rPr>
          <w:rFonts w:ascii="Arial" w:eastAsia="Times New Roman" w:hAnsi="Arial" w:cs="Arial"/>
          <w:bCs/>
          <w:lang w:eastAsia="en-AU"/>
        </w:rPr>
        <w:t>.</w:t>
      </w:r>
      <w:r w:rsidR="00661B52" w:rsidRPr="00815DD0">
        <w:rPr>
          <w:rFonts w:ascii="Arial" w:eastAsia="Times New Roman" w:hAnsi="Arial" w:cs="Arial"/>
          <w:bCs/>
          <w:lang w:eastAsia="en-AU"/>
        </w:rPr>
        <w:t xml:space="preserve"> </w:t>
      </w:r>
      <w:r w:rsidR="00492972" w:rsidRPr="00734E98">
        <w:rPr>
          <w:rFonts w:ascii="Arial" w:eastAsia="Times New Roman" w:hAnsi="Arial" w:cs="Arial"/>
          <w:bCs/>
          <w:lang w:eastAsia="en-AU"/>
        </w:rPr>
        <w:t>Section 5 sets out what each Schedule provides for. Section 6</w:t>
      </w:r>
      <w:r w:rsidR="00661B52" w:rsidRPr="00815DD0">
        <w:rPr>
          <w:rFonts w:ascii="Arial" w:eastAsia="Times New Roman" w:hAnsi="Arial" w:cs="Arial"/>
          <w:bCs/>
          <w:lang w:eastAsia="en-AU"/>
        </w:rPr>
        <w:t xml:space="preserve"> provide</w:t>
      </w:r>
      <w:r w:rsidR="00492972" w:rsidRPr="00734E98">
        <w:rPr>
          <w:rFonts w:ascii="Arial" w:eastAsia="Times New Roman" w:hAnsi="Arial" w:cs="Arial"/>
          <w:bCs/>
          <w:lang w:eastAsia="en-AU"/>
        </w:rPr>
        <w:t>s</w:t>
      </w:r>
      <w:r w:rsidR="00661B52" w:rsidRPr="00815DD0">
        <w:rPr>
          <w:rFonts w:ascii="Arial" w:eastAsia="Times New Roman" w:hAnsi="Arial" w:cs="Arial"/>
          <w:bCs/>
          <w:lang w:eastAsia="en-AU"/>
        </w:rPr>
        <w:t xml:space="preserve"> that, to w</w:t>
      </w:r>
      <w:r w:rsidR="00492972" w:rsidRPr="00734E98">
        <w:rPr>
          <w:rFonts w:ascii="Arial" w:eastAsia="Times New Roman" w:hAnsi="Arial" w:cs="Arial"/>
          <w:bCs/>
          <w:lang w:eastAsia="en-AU"/>
        </w:rPr>
        <w:t>ork out an amount of receiver</w:t>
      </w:r>
      <w:r w:rsidR="00661B52" w:rsidRPr="00815DD0">
        <w:rPr>
          <w:rFonts w:ascii="Arial" w:eastAsia="Times New Roman" w:hAnsi="Arial" w:cs="Arial"/>
          <w:bCs/>
          <w:lang w:eastAsia="en-AU"/>
        </w:rPr>
        <w:t xml:space="preserve"> licence tax for a given licence, a person must:</w:t>
      </w:r>
    </w:p>
    <w:p w14:paraId="03FFCBAA" w14:textId="69A931B1" w:rsidR="00661B52" w:rsidRPr="00815DD0" w:rsidRDefault="00661B52" w:rsidP="00661B52">
      <w:pPr>
        <w:spacing w:after="0"/>
        <w:ind w:left="851" w:hanging="567"/>
        <w:rPr>
          <w:rFonts w:ascii="Arial" w:eastAsia="Times New Roman" w:hAnsi="Arial" w:cs="Arial"/>
          <w:bCs/>
          <w:lang w:eastAsia="en-AU"/>
        </w:rPr>
      </w:pPr>
      <w:r w:rsidRPr="00815DD0">
        <w:rPr>
          <w:rFonts w:ascii="Arial" w:eastAsia="Times New Roman" w:hAnsi="Arial" w:cs="Arial"/>
          <w:bCs/>
          <w:lang w:eastAsia="en-AU"/>
        </w:rPr>
        <w:t>(a)</w:t>
      </w:r>
      <w:r w:rsidRPr="00815DD0">
        <w:rPr>
          <w:rFonts w:ascii="Arial" w:eastAsia="Times New Roman" w:hAnsi="Arial" w:cs="Arial"/>
          <w:bCs/>
          <w:lang w:eastAsia="en-AU"/>
        </w:rPr>
        <w:tab/>
      </w:r>
      <w:proofErr w:type="gramStart"/>
      <w:r w:rsidRPr="00815DD0">
        <w:rPr>
          <w:rFonts w:ascii="Arial" w:eastAsia="Times New Roman" w:hAnsi="Arial" w:cs="Arial"/>
          <w:bCs/>
          <w:lang w:eastAsia="en-AU"/>
        </w:rPr>
        <w:t>identify</w:t>
      </w:r>
      <w:proofErr w:type="gramEnd"/>
      <w:r w:rsidRPr="00815DD0">
        <w:rPr>
          <w:rFonts w:ascii="Arial" w:eastAsia="Times New Roman" w:hAnsi="Arial" w:cs="Arial"/>
          <w:bCs/>
          <w:lang w:eastAsia="en-AU"/>
        </w:rPr>
        <w:t xml:space="preserve"> the Part of Schedule 2 to the Determination that applies to the </w:t>
      </w:r>
      <w:r w:rsidR="00492972" w:rsidRPr="00734E98">
        <w:rPr>
          <w:rFonts w:ascii="Arial" w:eastAsia="Times New Roman" w:hAnsi="Arial" w:cs="Arial"/>
          <w:bCs/>
          <w:lang w:eastAsia="en-AU"/>
        </w:rPr>
        <w:t xml:space="preserve">type of </w:t>
      </w:r>
      <w:r w:rsidRPr="00815DD0">
        <w:rPr>
          <w:rFonts w:ascii="Arial" w:eastAsia="Times New Roman" w:hAnsi="Arial" w:cs="Arial"/>
          <w:bCs/>
          <w:lang w:eastAsia="en-AU"/>
        </w:rPr>
        <w:t>licence;</w:t>
      </w:r>
    </w:p>
    <w:p w14:paraId="0734F1EF" w14:textId="026C92A6" w:rsidR="00661B52" w:rsidRPr="00815DD0" w:rsidRDefault="00661B52" w:rsidP="00661B52">
      <w:pPr>
        <w:spacing w:after="0"/>
        <w:ind w:left="851" w:hanging="567"/>
        <w:rPr>
          <w:rFonts w:ascii="Arial" w:eastAsia="Times New Roman" w:hAnsi="Arial" w:cs="Arial"/>
          <w:bCs/>
          <w:lang w:eastAsia="en-AU"/>
        </w:rPr>
      </w:pPr>
      <w:r w:rsidRPr="00815DD0">
        <w:rPr>
          <w:rFonts w:ascii="Arial" w:eastAsia="Times New Roman" w:hAnsi="Arial" w:cs="Arial"/>
          <w:bCs/>
          <w:lang w:eastAsia="en-AU"/>
        </w:rPr>
        <w:t>(b)</w:t>
      </w:r>
      <w:r w:rsidRPr="00815DD0">
        <w:rPr>
          <w:rFonts w:ascii="Arial" w:eastAsia="Times New Roman" w:hAnsi="Arial" w:cs="Arial"/>
          <w:bCs/>
          <w:lang w:eastAsia="en-AU"/>
        </w:rPr>
        <w:tab/>
        <w:t xml:space="preserve">apply the provisions of that Part to the particulars of the licence, including “area densities” that are set out in Schedule 1, to derive either an </w:t>
      </w:r>
      <w:r w:rsidR="00B82862">
        <w:rPr>
          <w:rFonts w:ascii="Arial" w:eastAsia="Times New Roman" w:hAnsi="Arial" w:cs="Arial"/>
          <w:bCs/>
          <w:lang w:eastAsia="en-AU"/>
        </w:rPr>
        <w:t>“</w:t>
      </w:r>
      <w:r w:rsidRPr="00815DD0">
        <w:rPr>
          <w:rFonts w:ascii="Arial" w:eastAsia="Times New Roman" w:hAnsi="Arial" w:cs="Arial"/>
          <w:bCs/>
          <w:lang w:eastAsia="en-AU"/>
        </w:rPr>
        <w:t>annual amount</w:t>
      </w:r>
      <w:r w:rsidR="00B82862">
        <w:rPr>
          <w:rFonts w:ascii="Arial" w:eastAsia="Times New Roman" w:hAnsi="Arial" w:cs="Arial"/>
          <w:bCs/>
          <w:lang w:eastAsia="en-AU"/>
        </w:rPr>
        <w:t>”</w:t>
      </w:r>
      <w:r w:rsidRPr="00815DD0">
        <w:rPr>
          <w:rFonts w:ascii="Arial" w:eastAsia="Times New Roman" w:hAnsi="Arial" w:cs="Arial"/>
          <w:bCs/>
          <w:lang w:eastAsia="en-AU"/>
        </w:rPr>
        <w:t xml:space="preserve"> for a spectrum access under a licence, or the annual amount of </w:t>
      </w:r>
      <w:r w:rsidR="00492972" w:rsidRPr="00734E98">
        <w:rPr>
          <w:rFonts w:ascii="Arial" w:eastAsia="Times New Roman" w:hAnsi="Arial" w:cs="Arial"/>
          <w:bCs/>
          <w:lang w:eastAsia="en-AU"/>
        </w:rPr>
        <w:t>receiver</w:t>
      </w:r>
      <w:r w:rsidRPr="00815DD0">
        <w:rPr>
          <w:rFonts w:ascii="Arial" w:eastAsia="Times New Roman" w:hAnsi="Arial" w:cs="Arial"/>
          <w:bCs/>
          <w:lang w:eastAsia="en-AU"/>
        </w:rPr>
        <w:t xml:space="preserve"> licence tax for the licence; and</w:t>
      </w:r>
    </w:p>
    <w:p w14:paraId="153201A5" w14:textId="1A42A38D" w:rsidR="00661B52" w:rsidRPr="00815DD0" w:rsidRDefault="00661B52" w:rsidP="00661B52">
      <w:pPr>
        <w:spacing w:after="0"/>
        <w:ind w:left="851" w:hanging="567"/>
        <w:rPr>
          <w:rFonts w:ascii="Arial" w:eastAsia="Times New Roman" w:hAnsi="Arial" w:cs="Arial"/>
          <w:bCs/>
          <w:lang w:eastAsia="en-AU"/>
        </w:rPr>
      </w:pPr>
      <w:r w:rsidRPr="00815DD0">
        <w:rPr>
          <w:rFonts w:ascii="Arial" w:eastAsia="Times New Roman" w:hAnsi="Arial" w:cs="Arial"/>
          <w:bCs/>
          <w:lang w:eastAsia="en-AU"/>
        </w:rPr>
        <w:t>(c)</w:t>
      </w:r>
      <w:r w:rsidRPr="00815DD0">
        <w:rPr>
          <w:rFonts w:ascii="Arial" w:eastAsia="Times New Roman" w:hAnsi="Arial" w:cs="Arial"/>
          <w:bCs/>
          <w:lang w:eastAsia="en-AU"/>
        </w:rPr>
        <w:tab/>
      </w:r>
      <w:proofErr w:type="gramStart"/>
      <w:r w:rsidRPr="00815DD0">
        <w:rPr>
          <w:rFonts w:ascii="Arial" w:eastAsia="Times New Roman" w:hAnsi="Arial" w:cs="Arial"/>
          <w:bCs/>
          <w:lang w:eastAsia="en-AU"/>
        </w:rPr>
        <w:t>apply</w:t>
      </w:r>
      <w:proofErr w:type="gramEnd"/>
      <w:r w:rsidRPr="00815DD0">
        <w:rPr>
          <w:rFonts w:ascii="Arial" w:eastAsia="Times New Roman" w:hAnsi="Arial" w:cs="Arial"/>
          <w:bCs/>
          <w:lang w:eastAsia="en-AU"/>
        </w:rPr>
        <w:t xml:space="preserve"> the provisions in Schedule 3 to the amounts</w:t>
      </w:r>
      <w:r w:rsidR="00F0201A">
        <w:rPr>
          <w:rFonts w:ascii="Arial" w:eastAsia="Times New Roman" w:hAnsi="Arial" w:cs="Arial"/>
          <w:bCs/>
          <w:lang w:eastAsia="en-AU"/>
        </w:rPr>
        <w:t xml:space="preserve"> so</w:t>
      </w:r>
      <w:r w:rsidRPr="00815DD0">
        <w:rPr>
          <w:rFonts w:ascii="Arial" w:eastAsia="Times New Roman" w:hAnsi="Arial" w:cs="Arial"/>
          <w:bCs/>
          <w:lang w:eastAsia="en-AU"/>
        </w:rPr>
        <w:t xml:space="preserve"> derived.</w:t>
      </w:r>
    </w:p>
    <w:p w14:paraId="3A75C3AD" w14:textId="6E74E39B" w:rsidR="00661B52" w:rsidRPr="00815DD0" w:rsidRDefault="00661B52" w:rsidP="00661B52">
      <w:pPr>
        <w:spacing w:before="120"/>
        <w:rPr>
          <w:rFonts w:ascii="Arial" w:eastAsia="Times New Roman" w:hAnsi="Arial" w:cs="Arial"/>
          <w:bCs/>
          <w:lang w:eastAsia="en-AU"/>
        </w:rPr>
      </w:pPr>
      <w:r w:rsidRPr="00815DD0">
        <w:rPr>
          <w:rFonts w:ascii="Arial" w:eastAsia="Times New Roman" w:hAnsi="Arial" w:cs="Arial"/>
          <w:bCs/>
          <w:lang w:eastAsia="en-AU"/>
        </w:rPr>
        <w:t xml:space="preserve">Some Parts of Schedule 2 allow a person to calculate an annual amount for a spectrum access under a licence.  Spectrum access is defined </w:t>
      </w:r>
      <w:r w:rsidR="00492972" w:rsidRPr="00734E98">
        <w:rPr>
          <w:rFonts w:ascii="Arial" w:eastAsia="Times New Roman" w:hAnsi="Arial" w:cs="Arial"/>
          <w:bCs/>
          <w:lang w:eastAsia="en-AU"/>
        </w:rPr>
        <w:t>section 3 (definitions)</w:t>
      </w:r>
      <w:r w:rsidRPr="00815DD0">
        <w:rPr>
          <w:rFonts w:ascii="Arial" w:eastAsia="Times New Roman" w:hAnsi="Arial" w:cs="Arial"/>
          <w:bCs/>
          <w:lang w:eastAsia="en-AU"/>
        </w:rPr>
        <w:t xml:space="preserve"> to mean an authorisation to access the spectrum that consists of a unique combination of:</w:t>
      </w:r>
    </w:p>
    <w:p w14:paraId="52E0882E" w14:textId="3A511F9E" w:rsidR="00661B52" w:rsidRPr="00815DD0" w:rsidRDefault="00492972" w:rsidP="00661B52">
      <w:pPr>
        <w:spacing w:after="0"/>
        <w:ind w:left="851" w:hanging="567"/>
        <w:rPr>
          <w:rFonts w:ascii="Arial" w:eastAsia="Times New Roman" w:hAnsi="Arial" w:cs="Arial"/>
          <w:bCs/>
          <w:lang w:eastAsia="en-AU"/>
        </w:rPr>
      </w:pPr>
      <w:r w:rsidRPr="00734E98">
        <w:rPr>
          <w:rFonts w:ascii="Arial" w:eastAsia="Times New Roman" w:hAnsi="Arial" w:cs="Arial"/>
          <w:bCs/>
          <w:lang w:eastAsia="en-AU"/>
        </w:rPr>
        <w:t>(a)</w:t>
      </w:r>
      <w:r w:rsidRPr="00734E98">
        <w:rPr>
          <w:rFonts w:ascii="Arial" w:eastAsia="Times New Roman" w:hAnsi="Arial" w:cs="Arial"/>
          <w:bCs/>
          <w:lang w:eastAsia="en-AU"/>
        </w:rPr>
        <w:tab/>
      </w:r>
      <w:proofErr w:type="gramStart"/>
      <w:r w:rsidRPr="00734E98">
        <w:rPr>
          <w:rFonts w:ascii="Arial" w:eastAsia="Times New Roman" w:hAnsi="Arial" w:cs="Arial"/>
          <w:bCs/>
          <w:lang w:eastAsia="en-AU"/>
        </w:rPr>
        <w:t>a</w:t>
      </w:r>
      <w:proofErr w:type="gramEnd"/>
      <w:r w:rsidRPr="00734E98">
        <w:rPr>
          <w:rFonts w:ascii="Arial" w:eastAsia="Times New Roman" w:hAnsi="Arial" w:cs="Arial"/>
          <w:bCs/>
          <w:lang w:eastAsia="en-AU"/>
        </w:rPr>
        <w:t xml:space="preserve"> particular receive</w:t>
      </w:r>
      <w:r w:rsidR="00661B52" w:rsidRPr="00815DD0">
        <w:rPr>
          <w:rFonts w:ascii="Arial" w:eastAsia="Times New Roman" w:hAnsi="Arial" w:cs="Arial"/>
          <w:bCs/>
          <w:lang w:eastAsia="en-AU"/>
        </w:rPr>
        <w:t xml:space="preserve"> frequency;</w:t>
      </w:r>
    </w:p>
    <w:p w14:paraId="0AD53FBB" w14:textId="77777777" w:rsidR="00661B52" w:rsidRPr="00815DD0" w:rsidRDefault="00661B52" w:rsidP="00661B52">
      <w:pPr>
        <w:spacing w:after="0"/>
        <w:ind w:left="851" w:hanging="567"/>
        <w:rPr>
          <w:rFonts w:ascii="Arial" w:eastAsia="Times New Roman" w:hAnsi="Arial" w:cs="Arial"/>
          <w:bCs/>
          <w:lang w:eastAsia="en-AU"/>
        </w:rPr>
      </w:pPr>
      <w:r w:rsidRPr="00815DD0">
        <w:rPr>
          <w:rFonts w:ascii="Arial" w:eastAsia="Times New Roman" w:hAnsi="Arial" w:cs="Arial"/>
          <w:bCs/>
          <w:lang w:eastAsia="en-AU"/>
        </w:rPr>
        <w:t>(b)</w:t>
      </w:r>
      <w:r w:rsidRPr="00815DD0">
        <w:rPr>
          <w:rFonts w:ascii="Arial" w:eastAsia="Times New Roman" w:hAnsi="Arial" w:cs="Arial"/>
          <w:bCs/>
          <w:lang w:eastAsia="en-AU"/>
        </w:rPr>
        <w:tab/>
      </w:r>
      <w:proofErr w:type="gramStart"/>
      <w:r w:rsidRPr="00815DD0">
        <w:rPr>
          <w:rFonts w:ascii="Arial" w:eastAsia="Times New Roman" w:hAnsi="Arial" w:cs="Arial"/>
          <w:bCs/>
          <w:lang w:eastAsia="en-AU"/>
        </w:rPr>
        <w:t>a</w:t>
      </w:r>
      <w:proofErr w:type="gramEnd"/>
      <w:r w:rsidRPr="00815DD0">
        <w:rPr>
          <w:rFonts w:ascii="Arial" w:eastAsia="Times New Roman" w:hAnsi="Arial" w:cs="Arial"/>
          <w:bCs/>
          <w:lang w:eastAsia="en-AU"/>
        </w:rPr>
        <w:t xml:space="preserve"> particular bandwidth; and</w:t>
      </w:r>
    </w:p>
    <w:p w14:paraId="31FA9571" w14:textId="77777777" w:rsidR="00661B52" w:rsidRPr="00815DD0" w:rsidRDefault="00661B52" w:rsidP="00661B52">
      <w:pPr>
        <w:spacing w:after="0"/>
        <w:ind w:left="851" w:hanging="567"/>
        <w:rPr>
          <w:rFonts w:ascii="Arial" w:eastAsia="Times New Roman" w:hAnsi="Arial" w:cs="Arial"/>
          <w:bCs/>
          <w:lang w:eastAsia="en-AU"/>
        </w:rPr>
      </w:pPr>
      <w:r w:rsidRPr="00815DD0">
        <w:rPr>
          <w:rFonts w:ascii="Arial" w:eastAsia="Times New Roman" w:hAnsi="Arial" w:cs="Arial"/>
          <w:bCs/>
          <w:lang w:eastAsia="en-AU"/>
        </w:rPr>
        <w:t>(c)</w:t>
      </w:r>
      <w:r w:rsidRPr="00815DD0">
        <w:rPr>
          <w:rFonts w:ascii="Arial" w:eastAsia="Times New Roman" w:hAnsi="Arial" w:cs="Arial"/>
          <w:bCs/>
          <w:lang w:eastAsia="en-AU"/>
        </w:rPr>
        <w:tab/>
      </w:r>
      <w:proofErr w:type="gramStart"/>
      <w:r w:rsidRPr="00815DD0">
        <w:rPr>
          <w:rFonts w:ascii="Arial" w:eastAsia="Times New Roman" w:hAnsi="Arial" w:cs="Arial"/>
          <w:bCs/>
          <w:lang w:eastAsia="en-AU"/>
        </w:rPr>
        <w:t>a</w:t>
      </w:r>
      <w:proofErr w:type="gramEnd"/>
      <w:r w:rsidRPr="00815DD0">
        <w:rPr>
          <w:rFonts w:ascii="Arial" w:eastAsia="Times New Roman" w:hAnsi="Arial" w:cs="Arial"/>
          <w:bCs/>
          <w:lang w:eastAsia="en-AU"/>
        </w:rPr>
        <w:t xml:space="preserve"> particular site or access area.</w:t>
      </w:r>
    </w:p>
    <w:p w14:paraId="23AB85F5" w14:textId="52B6CBCC" w:rsidR="006D5D49" w:rsidRPr="00734E98" w:rsidRDefault="006D5D49" w:rsidP="006D5D49">
      <w:pPr>
        <w:rPr>
          <w:rFonts w:ascii="Arial" w:eastAsia="Times New Roman" w:hAnsi="Arial" w:cs="Arial"/>
          <w:bCs/>
          <w:lang w:eastAsia="en-AU"/>
        </w:rPr>
      </w:pPr>
    </w:p>
    <w:p w14:paraId="4FF15224" w14:textId="6A4CFBBB" w:rsidR="00C3146C" w:rsidRPr="00734E98" w:rsidRDefault="00C3146C">
      <w:pPr>
        <w:rPr>
          <w:rFonts w:ascii="Arial" w:eastAsia="Times New Roman" w:hAnsi="Arial" w:cs="Arial"/>
          <w:b/>
          <w:bCs/>
          <w:lang w:eastAsia="en-AU"/>
        </w:rPr>
      </w:pPr>
      <w:r w:rsidRPr="00734E98">
        <w:rPr>
          <w:rFonts w:ascii="Arial" w:eastAsia="Times New Roman" w:hAnsi="Arial" w:cs="Arial"/>
          <w:b/>
          <w:bCs/>
          <w:lang w:eastAsia="en-AU"/>
        </w:rPr>
        <w:t>Part 3</w:t>
      </w:r>
      <w:r w:rsidR="008D504C" w:rsidRPr="00734E98">
        <w:rPr>
          <w:rFonts w:ascii="Arial" w:eastAsia="Times New Roman" w:hAnsi="Arial" w:cs="Arial"/>
          <w:b/>
          <w:bCs/>
          <w:lang w:eastAsia="en-AU"/>
        </w:rPr>
        <w:tab/>
        <w:t>Transitional and savings</w:t>
      </w:r>
    </w:p>
    <w:p w14:paraId="16B118C5" w14:textId="5A1D3534" w:rsidR="006D5D49" w:rsidRPr="00734E98" w:rsidRDefault="006D5D49" w:rsidP="006D5D49">
      <w:pPr>
        <w:rPr>
          <w:rFonts w:ascii="Arial" w:eastAsia="Times New Roman" w:hAnsi="Arial" w:cs="Arial"/>
          <w:bCs/>
          <w:lang w:eastAsia="en-AU"/>
        </w:rPr>
      </w:pPr>
      <w:r w:rsidRPr="00734E98">
        <w:rPr>
          <w:rFonts w:ascii="Arial" w:eastAsia="Times New Roman" w:hAnsi="Arial" w:cs="Arial"/>
          <w:bCs/>
          <w:lang w:eastAsia="en-AU"/>
        </w:rPr>
        <w:t xml:space="preserve">Part 3 sets out transitional arrangements </w:t>
      </w:r>
      <w:r w:rsidR="00190BCF" w:rsidRPr="00734E98">
        <w:rPr>
          <w:rFonts w:ascii="Arial" w:eastAsia="Times New Roman" w:hAnsi="Arial" w:cs="Arial"/>
          <w:bCs/>
          <w:lang w:eastAsia="en-AU"/>
        </w:rPr>
        <w:t xml:space="preserve">to allow for the taxes in the 2003 Determination to </w:t>
      </w:r>
      <w:r w:rsidR="00F0201A">
        <w:rPr>
          <w:rFonts w:ascii="Arial" w:eastAsia="Times New Roman" w:hAnsi="Arial" w:cs="Arial"/>
          <w:bCs/>
          <w:lang w:eastAsia="en-AU"/>
        </w:rPr>
        <w:t xml:space="preserve">continue to </w:t>
      </w:r>
      <w:r w:rsidR="00190BCF" w:rsidRPr="00734E98">
        <w:rPr>
          <w:rFonts w:ascii="Arial" w:eastAsia="Times New Roman" w:hAnsi="Arial" w:cs="Arial"/>
          <w:bCs/>
          <w:lang w:eastAsia="en-AU"/>
        </w:rPr>
        <w:t xml:space="preserve">apply to certain receiver licences.  Section 7 defines terms used in the Part, and section 8 provides that Part 3 has effect despite the revocation of the 2003 Determination. Section 9 provides </w:t>
      </w:r>
      <w:r w:rsidR="00354B78" w:rsidRPr="00734E98">
        <w:rPr>
          <w:rFonts w:ascii="Arial" w:eastAsia="Times New Roman" w:hAnsi="Arial" w:cs="Arial"/>
          <w:bCs/>
          <w:lang w:eastAsia="en-AU"/>
        </w:rPr>
        <w:t xml:space="preserve">for </w:t>
      </w:r>
      <w:r w:rsidR="00190BCF" w:rsidRPr="00734E98">
        <w:rPr>
          <w:rFonts w:ascii="Arial" w:eastAsia="Times New Roman" w:hAnsi="Arial" w:cs="Arial"/>
          <w:bCs/>
          <w:lang w:eastAsia="en-AU"/>
        </w:rPr>
        <w:t xml:space="preserve">the transitional arrangements. Although the Determination commences on the day after it is registered, </w:t>
      </w:r>
      <w:r w:rsidR="00354B78" w:rsidRPr="00734E98">
        <w:rPr>
          <w:rFonts w:ascii="Arial" w:hAnsi="Arial" w:cs="Arial"/>
        </w:rPr>
        <w:t>in some instances where receiver licence</w:t>
      </w:r>
      <w:r w:rsidR="00190BCF" w:rsidRPr="00815DD0">
        <w:rPr>
          <w:rFonts w:ascii="Arial" w:hAnsi="Arial" w:cs="Arial"/>
        </w:rPr>
        <w:t xml:space="preserve"> tax is payable after this date</w:t>
      </w:r>
      <w:r w:rsidR="00190BCF" w:rsidRPr="00734E98">
        <w:rPr>
          <w:rFonts w:ascii="Arial" w:hAnsi="Arial" w:cs="Arial"/>
        </w:rPr>
        <w:t xml:space="preserve"> and before 5 April 2015</w:t>
      </w:r>
      <w:r w:rsidR="00190BCF" w:rsidRPr="00815DD0">
        <w:rPr>
          <w:rFonts w:ascii="Arial" w:hAnsi="Arial" w:cs="Arial"/>
        </w:rPr>
        <w:t xml:space="preserve">, the amount of tax will continue to be based on the </w:t>
      </w:r>
      <w:r w:rsidR="00190BCF" w:rsidRPr="00734E98">
        <w:rPr>
          <w:rFonts w:ascii="Arial" w:hAnsi="Arial" w:cs="Arial"/>
        </w:rPr>
        <w:t>2003 Determination as in force immedia</w:t>
      </w:r>
      <w:r w:rsidR="00190BCF" w:rsidRPr="00815DD0">
        <w:rPr>
          <w:rFonts w:ascii="Arial" w:hAnsi="Arial" w:cs="Arial"/>
        </w:rPr>
        <w:t xml:space="preserve">tely before the commencement of the Determination. </w:t>
      </w:r>
    </w:p>
    <w:p w14:paraId="4D71B9D3" w14:textId="248B0D84" w:rsidR="00C3146C" w:rsidRPr="00734E98" w:rsidRDefault="00C3146C">
      <w:pPr>
        <w:rPr>
          <w:rFonts w:ascii="Arial" w:eastAsia="Times New Roman" w:hAnsi="Arial" w:cs="Arial"/>
          <w:b/>
          <w:bCs/>
          <w:lang w:eastAsia="en-AU"/>
        </w:rPr>
      </w:pPr>
      <w:r w:rsidRPr="00734E98">
        <w:rPr>
          <w:rFonts w:ascii="Arial" w:eastAsia="Times New Roman" w:hAnsi="Arial" w:cs="Arial"/>
          <w:b/>
          <w:bCs/>
          <w:lang w:eastAsia="en-AU"/>
        </w:rPr>
        <w:t>Schedule 1 – Area densities</w:t>
      </w:r>
    </w:p>
    <w:p w14:paraId="2DA9DBAD" w14:textId="427B4E57" w:rsidR="00354B78" w:rsidRPr="00815DD0" w:rsidRDefault="00354B78" w:rsidP="00354B78">
      <w:pPr>
        <w:rPr>
          <w:rFonts w:ascii="Arial" w:eastAsia="Times New Roman" w:hAnsi="Arial" w:cs="Arial"/>
          <w:bCs/>
          <w:lang w:eastAsia="en-AU"/>
        </w:rPr>
      </w:pPr>
      <w:r w:rsidRPr="00815DD0">
        <w:rPr>
          <w:rFonts w:ascii="Arial" w:eastAsia="Times New Roman" w:hAnsi="Arial" w:cs="Arial"/>
          <w:bCs/>
          <w:lang w:eastAsia="en-AU"/>
        </w:rPr>
        <w:t>Under Schedule 2 of the Determination, some calculations of tax for particular licences require an assessment of the “density” of the area that relates to the licence.  Differe</w:t>
      </w:r>
      <w:r w:rsidR="00492972" w:rsidRPr="00734E98">
        <w:rPr>
          <w:rFonts w:ascii="Arial" w:eastAsia="Times New Roman" w:hAnsi="Arial" w:cs="Arial"/>
          <w:bCs/>
          <w:lang w:eastAsia="en-AU"/>
        </w:rPr>
        <w:t>nt rates of tax may apply to</w:t>
      </w:r>
      <w:r w:rsidRPr="00815DD0">
        <w:rPr>
          <w:rFonts w:ascii="Arial" w:eastAsia="Times New Roman" w:hAnsi="Arial" w:cs="Arial"/>
          <w:bCs/>
          <w:lang w:eastAsia="en-AU"/>
        </w:rPr>
        <w:t xml:space="preserve"> licences of the same type, if the licences authorise the use of a device in areas of different densities.  For example, a licence that authorises the use of a device in the </w:t>
      </w:r>
      <w:r w:rsidRPr="00815DD0">
        <w:rPr>
          <w:rFonts w:ascii="Arial" w:eastAsia="Times New Roman" w:hAnsi="Arial" w:cs="Arial"/>
          <w:bCs/>
          <w:lang w:eastAsia="en-AU"/>
        </w:rPr>
        <w:lastRenderedPageBreak/>
        <w:t>range 30-70 MHz, to which item 202 of</w:t>
      </w:r>
      <w:r w:rsidR="00D96D6C" w:rsidRPr="00815DD0">
        <w:rPr>
          <w:rFonts w:ascii="Arial" w:eastAsia="Times New Roman" w:hAnsi="Arial" w:cs="Arial"/>
          <w:bCs/>
          <w:lang w:eastAsia="en-AU"/>
        </w:rPr>
        <w:t xml:space="preserve"> Part 2 of</w:t>
      </w:r>
      <w:r w:rsidRPr="00815DD0">
        <w:rPr>
          <w:rFonts w:ascii="Arial" w:eastAsia="Times New Roman" w:hAnsi="Arial" w:cs="Arial"/>
          <w:bCs/>
          <w:lang w:eastAsia="en-AU"/>
        </w:rPr>
        <w:t xml:space="preserve"> Schedule 2 applies, will have one rate applied if it authorises the use of the device in the Brisbane area</w:t>
      </w:r>
      <w:r w:rsidR="00D96D6C" w:rsidRPr="00815DD0">
        <w:rPr>
          <w:rFonts w:ascii="Arial" w:eastAsia="Times New Roman" w:hAnsi="Arial" w:cs="Arial"/>
          <w:bCs/>
          <w:lang w:eastAsia="en-AU"/>
        </w:rPr>
        <w:t xml:space="preserve"> (which is an area of high density (item 201 of Part 2 of Schedule 1)</w:t>
      </w:r>
      <w:r w:rsidRPr="00815DD0">
        <w:rPr>
          <w:rFonts w:ascii="Arial" w:eastAsia="Times New Roman" w:hAnsi="Arial" w:cs="Arial"/>
          <w:bCs/>
          <w:lang w:eastAsia="en-AU"/>
        </w:rPr>
        <w:t xml:space="preserve">, and a different rate applied if it authorises the use of the device in an area of </w:t>
      </w:r>
      <w:r w:rsidR="00D96D6C" w:rsidRPr="00815DD0">
        <w:rPr>
          <w:rFonts w:ascii="Arial" w:eastAsia="Times New Roman" w:hAnsi="Arial" w:cs="Arial"/>
          <w:bCs/>
          <w:lang w:eastAsia="en-AU"/>
        </w:rPr>
        <w:t xml:space="preserve">remote density (see Table 202). </w:t>
      </w:r>
    </w:p>
    <w:p w14:paraId="6C520711" w14:textId="1395E204" w:rsidR="00354B78" w:rsidRPr="00815DD0" w:rsidRDefault="00354B78">
      <w:pPr>
        <w:rPr>
          <w:rFonts w:ascii="Arial" w:eastAsia="Times New Roman" w:hAnsi="Arial" w:cs="Arial"/>
          <w:bCs/>
          <w:lang w:eastAsia="en-AU"/>
        </w:rPr>
      </w:pPr>
      <w:r w:rsidRPr="00815DD0">
        <w:rPr>
          <w:rFonts w:ascii="Arial" w:eastAsia="Times New Roman" w:hAnsi="Arial" w:cs="Arial"/>
          <w:bCs/>
          <w:lang w:eastAsia="en-AU"/>
        </w:rPr>
        <w:t>Schedule 1 sets out particular areas and defines what category of density those areas are.</w:t>
      </w:r>
    </w:p>
    <w:p w14:paraId="20F2FAC5" w14:textId="23C0FC84" w:rsidR="00C3146C" w:rsidRPr="00734E98" w:rsidRDefault="00C3146C">
      <w:pPr>
        <w:rPr>
          <w:rFonts w:ascii="Arial" w:eastAsia="Times New Roman" w:hAnsi="Arial" w:cs="Arial"/>
          <w:b/>
          <w:bCs/>
          <w:lang w:eastAsia="en-AU"/>
        </w:rPr>
      </w:pPr>
      <w:r w:rsidRPr="00734E98">
        <w:rPr>
          <w:rFonts w:ascii="Arial" w:eastAsia="Times New Roman" w:hAnsi="Arial" w:cs="Arial"/>
          <w:b/>
          <w:bCs/>
          <w:lang w:eastAsia="en-AU"/>
        </w:rPr>
        <w:t>Part 1</w:t>
      </w:r>
      <w:r w:rsidR="004E130B" w:rsidRPr="00734E98">
        <w:rPr>
          <w:rFonts w:ascii="Arial" w:eastAsia="Times New Roman" w:hAnsi="Arial" w:cs="Arial"/>
          <w:b/>
          <w:bCs/>
          <w:lang w:eastAsia="en-AU"/>
        </w:rPr>
        <w:tab/>
        <w:t>Areas</w:t>
      </w:r>
    </w:p>
    <w:p w14:paraId="4D66A2D7" w14:textId="625FEC18" w:rsidR="006D5D49" w:rsidRPr="00734E98" w:rsidRDefault="006D5D49" w:rsidP="006D5D49">
      <w:pPr>
        <w:rPr>
          <w:rFonts w:ascii="Arial" w:eastAsia="Times New Roman" w:hAnsi="Arial" w:cs="Arial"/>
          <w:bCs/>
          <w:lang w:eastAsia="en-AU"/>
        </w:rPr>
      </w:pPr>
      <w:r w:rsidRPr="00734E98">
        <w:rPr>
          <w:rFonts w:ascii="Arial" w:eastAsia="Times New Roman" w:hAnsi="Arial" w:cs="Arial"/>
          <w:bCs/>
          <w:lang w:eastAsia="en-AU"/>
        </w:rPr>
        <w:t xml:space="preserve">Part 1 </w:t>
      </w:r>
      <w:r w:rsidR="00D96D6C" w:rsidRPr="00734E98">
        <w:rPr>
          <w:rFonts w:ascii="Arial" w:eastAsia="Times New Roman" w:hAnsi="Arial" w:cs="Arial"/>
          <w:bCs/>
          <w:lang w:eastAsia="en-AU"/>
        </w:rPr>
        <w:t xml:space="preserve">of Schedule 1 </w:t>
      </w:r>
      <w:r w:rsidRPr="00734E98">
        <w:rPr>
          <w:rFonts w:ascii="Arial" w:eastAsia="Times New Roman" w:hAnsi="Arial" w:cs="Arial"/>
          <w:bCs/>
          <w:lang w:eastAsia="en-AU"/>
        </w:rPr>
        <w:t xml:space="preserve">sets out map grid coordinates </w:t>
      </w:r>
      <w:r w:rsidR="00975D33" w:rsidRPr="00734E98">
        <w:rPr>
          <w:rFonts w:ascii="Arial" w:eastAsia="Times New Roman" w:hAnsi="Arial" w:cs="Arial"/>
          <w:bCs/>
          <w:lang w:eastAsia="en-AU"/>
        </w:rPr>
        <w:t xml:space="preserve">for different geographic areas, </w:t>
      </w:r>
      <w:r w:rsidRPr="00734E98">
        <w:rPr>
          <w:rFonts w:ascii="Arial" w:eastAsia="Times New Roman" w:hAnsi="Arial" w:cs="Arial"/>
          <w:bCs/>
          <w:lang w:eastAsia="en-AU"/>
        </w:rPr>
        <w:t xml:space="preserve">necessary for </w:t>
      </w:r>
      <w:r w:rsidR="005914F3" w:rsidRPr="00734E98">
        <w:rPr>
          <w:rFonts w:ascii="Arial" w:eastAsia="Times New Roman" w:hAnsi="Arial" w:cs="Arial"/>
          <w:bCs/>
          <w:lang w:eastAsia="en-AU"/>
        </w:rPr>
        <w:t>working out</w:t>
      </w:r>
      <w:r w:rsidRPr="00734E98">
        <w:rPr>
          <w:rFonts w:ascii="Arial" w:eastAsia="Times New Roman" w:hAnsi="Arial" w:cs="Arial"/>
          <w:bCs/>
          <w:lang w:eastAsia="en-AU"/>
        </w:rPr>
        <w:t xml:space="preserve"> receiver licence tax.</w:t>
      </w:r>
      <w:r w:rsidR="004E130B" w:rsidRPr="00734E98">
        <w:rPr>
          <w:rFonts w:ascii="Arial" w:eastAsia="Times New Roman" w:hAnsi="Arial" w:cs="Arial"/>
          <w:bCs/>
          <w:lang w:eastAsia="en-AU"/>
        </w:rPr>
        <w:t xml:space="preserve"> </w:t>
      </w:r>
      <w:r w:rsidR="00975D33" w:rsidRPr="00734E98">
        <w:rPr>
          <w:rFonts w:ascii="Arial" w:eastAsia="Times New Roman" w:hAnsi="Arial" w:cs="Arial"/>
          <w:bCs/>
          <w:lang w:eastAsia="en-AU"/>
        </w:rPr>
        <w:t xml:space="preserve">The map grid coordinates are based on the Australian Map Grid and the </w:t>
      </w:r>
      <w:r w:rsidR="003713E7" w:rsidRPr="00734E98">
        <w:rPr>
          <w:rFonts w:ascii="Arial" w:eastAsia="Times New Roman" w:hAnsi="Arial" w:cs="Arial"/>
          <w:bCs/>
          <w:lang w:eastAsia="en-AU"/>
        </w:rPr>
        <w:t xml:space="preserve">1966 Australian Geodetic Datum. </w:t>
      </w:r>
      <w:r w:rsidR="00D96D6C" w:rsidRPr="00815DD0">
        <w:rPr>
          <w:rFonts w:ascii="Arial" w:eastAsia="Times New Roman" w:hAnsi="Arial" w:cs="Arial"/>
          <w:bCs/>
          <w:lang w:eastAsia="en-AU"/>
        </w:rPr>
        <w:t xml:space="preserve">The 1966 Australian Geodetic Datum was gazetted in the </w:t>
      </w:r>
      <w:r w:rsidR="00D96D6C" w:rsidRPr="00815DD0">
        <w:rPr>
          <w:rFonts w:ascii="Arial" w:eastAsia="Times New Roman" w:hAnsi="Arial" w:cs="Arial"/>
          <w:bCs/>
          <w:i/>
          <w:lang w:eastAsia="en-AU"/>
        </w:rPr>
        <w:t xml:space="preserve">Gazette </w:t>
      </w:r>
      <w:r w:rsidR="00D96D6C" w:rsidRPr="00815DD0">
        <w:rPr>
          <w:rFonts w:ascii="Arial" w:eastAsia="Times New Roman" w:hAnsi="Arial" w:cs="Arial"/>
          <w:bCs/>
          <w:lang w:eastAsia="en-AU"/>
        </w:rPr>
        <w:t>No. 84, 6 October 1966. I</w:t>
      </w:r>
      <w:r w:rsidR="003713E7" w:rsidRPr="00734E98">
        <w:rPr>
          <w:rFonts w:ascii="Arial" w:eastAsia="Times New Roman" w:hAnsi="Arial" w:cs="Arial"/>
          <w:bCs/>
          <w:lang w:eastAsia="en-AU"/>
        </w:rPr>
        <w:t xml:space="preserve">nformation on the Australian Map Grid and the Geodetic Datum is available on the website of Geoscience Australia: </w:t>
      </w:r>
      <w:hyperlink r:id="rId14" w:history="1">
        <w:r w:rsidR="003713E7" w:rsidRPr="00734E98">
          <w:rPr>
            <w:rStyle w:val="Hyperlink"/>
            <w:rFonts w:ascii="Arial" w:eastAsia="Times New Roman" w:hAnsi="Arial" w:cs="Arial"/>
            <w:bCs/>
            <w:lang w:eastAsia="en-AU"/>
          </w:rPr>
          <w:t>www.ga.gov.au</w:t>
        </w:r>
      </w:hyperlink>
      <w:r w:rsidR="003713E7" w:rsidRPr="00734E98">
        <w:rPr>
          <w:rFonts w:ascii="Arial" w:eastAsia="Times New Roman" w:hAnsi="Arial" w:cs="Arial"/>
          <w:bCs/>
          <w:lang w:eastAsia="en-AU"/>
        </w:rPr>
        <w:t xml:space="preserve">. Further information is also available on the </w:t>
      </w:r>
      <w:r w:rsidR="00247054" w:rsidRPr="00734E98">
        <w:rPr>
          <w:rFonts w:ascii="Arial" w:eastAsia="Times New Roman" w:hAnsi="Arial" w:cs="Arial"/>
          <w:bCs/>
          <w:lang w:eastAsia="en-AU"/>
        </w:rPr>
        <w:t xml:space="preserve">website of the Intergovernmental Committee on Surveying and Mapping: </w:t>
      </w:r>
      <w:hyperlink r:id="rId15" w:history="1">
        <w:r w:rsidR="00247054" w:rsidRPr="00734E98">
          <w:rPr>
            <w:rStyle w:val="Hyperlink"/>
            <w:rFonts w:ascii="Arial" w:eastAsia="Times New Roman" w:hAnsi="Arial" w:cs="Arial"/>
            <w:bCs/>
            <w:lang w:eastAsia="en-AU"/>
          </w:rPr>
          <w:t>www.icsm.gov.au</w:t>
        </w:r>
      </w:hyperlink>
      <w:r w:rsidR="00247054" w:rsidRPr="00734E98">
        <w:rPr>
          <w:rFonts w:ascii="Arial" w:eastAsia="Times New Roman" w:hAnsi="Arial" w:cs="Arial"/>
          <w:bCs/>
          <w:lang w:eastAsia="en-AU"/>
        </w:rPr>
        <w:t xml:space="preserve">.  </w:t>
      </w:r>
    </w:p>
    <w:p w14:paraId="386C6182" w14:textId="23B86BB7" w:rsidR="00C3146C" w:rsidRPr="00734E98" w:rsidRDefault="00C3146C">
      <w:pPr>
        <w:rPr>
          <w:rFonts w:ascii="Arial" w:eastAsia="Times New Roman" w:hAnsi="Arial" w:cs="Arial"/>
          <w:b/>
          <w:bCs/>
          <w:lang w:eastAsia="en-AU"/>
        </w:rPr>
      </w:pPr>
      <w:r w:rsidRPr="00734E98">
        <w:rPr>
          <w:rFonts w:ascii="Arial" w:eastAsia="Times New Roman" w:hAnsi="Arial" w:cs="Arial"/>
          <w:b/>
          <w:bCs/>
          <w:lang w:eastAsia="en-AU"/>
        </w:rPr>
        <w:t>Part 2</w:t>
      </w:r>
      <w:r w:rsidR="00357ED5" w:rsidRPr="00734E98">
        <w:rPr>
          <w:rFonts w:ascii="Arial" w:eastAsia="Times New Roman" w:hAnsi="Arial" w:cs="Arial"/>
          <w:b/>
          <w:bCs/>
          <w:lang w:eastAsia="en-AU"/>
        </w:rPr>
        <w:tab/>
      </w:r>
      <w:r w:rsidR="00975D33" w:rsidRPr="00734E98">
        <w:rPr>
          <w:rFonts w:ascii="Arial" w:eastAsia="Times New Roman" w:hAnsi="Arial" w:cs="Arial"/>
          <w:b/>
          <w:bCs/>
          <w:lang w:eastAsia="en-AU"/>
        </w:rPr>
        <w:t>Density types</w:t>
      </w:r>
    </w:p>
    <w:p w14:paraId="4B245725" w14:textId="0F5CA40F" w:rsidR="006D5D49" w:rsidRPr="00734E98" w:rsidRDefault="006D5D49" w:rsidP="006D5D49">
      <w:pPr>
        <w:rPr>
          <w:rFonts w:ascii="Arial" w:eastAsia="Times New Roman" w:hAnsi="Arial" w:cs="Arial"/>
          <w:bCs/>
          <w:lang w:eastAsia="en-AU"/>
        </w:rPr>
      </w:pPr>
      <w:r w:rsidRPr="00734E98">
        <w:rPr>
          <w:rFonts w:ascii="Arial" w:eastAsia="Times New Roman" w:hAnsi="Arial" w:cs="Arial"/>
          <w:bCs/>
          <w:lang w:eastAsia="en-AU"/>
        </w:rPr>
        <w:t xml:space="preserve">Part 2 </w:t>
      </w:r>
      <w:r w:rsidR="00D96D6C" w:rsidRPr="00734E98">
        <w:rPr>
          <w:rFonts w:ascii="Arial" w:eastAsia="Times New Roman" w:hAnsi="Arial" w:cs="Arial"/>
          <w:bCs/>
          <w:lang w:eastAsia="en-AU"/>
        </w:rPr>
        <w:t xml:space="preserve">of Schedule 1 </w:t>
      </w:r>
      <w:r w:rsidRPr="00734E98">
        <w:rPr>
          <w:rFonts w:ascii="Arial" w:eastAsia="Times New Roman" w:hAnsi="Arial" w:cs="Arial"/>
          <w:bCs/>
          <w:lang w:eastAsia="en-AU"/>
        </w:rPr>
        <w:t xml:space="preserve">sets out </w:t>
      </w:r>
      <w:r w:rsidR="00975D33" w:rsidRPr="00734E98">
        <w:rPr>
          <w:rFonts w:ascii="Arial" w:eastAsia="Times New Roman" w:hAnsi="Arial" w:cs="Arial"/>
          <w:bCs/>
          <w:lang w:eastAsia="en-AU"/>
        </w:rPr>
        <w:t xml:space="preserve">the density types </w:t>
      </w:r>
      <w:r w:rsidR="00D96D6C" w:rsidRPr="00734E98">
        <w:rPr>
          <w:rFonts w:ascii="Arial" w:eastAsia="Times New Roman" w:hAnsi="Arial" w:cs="Arial"/>
          <w:bCs/>
          <w:lang w:eastAsia="en-AU"/>
        </w:rPr>
        <w:t xml:space="preserve">for the different areas specified in Part 1, for the purposes of the Determination. The density types are - </w:t>
      </w:r>
      <w:r w:rsidR="00975D33" w:rsidRPr="00734E98">
        <w:rPr>
          <w:rFonts w:ascii="Arial" w:eastAsia="Times New Roman" w:hAnsi="Arial" w:cs="Arial"/>
          <w:bCs/>
          <w:lang w:eastAsia="en-AU"/>
        </w:rPr>
        <w:t>high density, medium density, low density</w:t>
      </w:r>
      <w:r w:rsidR="000D2E19" w:rsidRPr="00734E98">
        <w:rPr>
          <w:rFonts w:ascii="Arial" w:eastAsia="Times New Roman" w:hAnsi="Arial" w:cs="Arial"/>
          <w:bCs/>
          <w:lang w:eastAsia="en-AU"/>
        </w:rPr>
        <w:t xml:space="preserve">, </w:t>
      </w:r>
      <w:r w:rsidR="00D96D6C" w:rsidRPr="00734E98">
        <w:rPr>
          <w:rFonts w:ascii="Arial" w:eastAsia="Times New Roman" w:hAnsi="Arial" w:cs="Arial"/>
          <w:bCs/>
          <w:lang w:eastAsia="en-AU"/>
        </w:rPr>
        <w:t xml:space="preserve">remote density </w:t>
      </w:r>
      <w:r w:rsidR="000D2E19" w:rsidRPr="00734E98">
        <w:rPr>
          <w:rFonts w:ascii="Arial" w:eastAsia="Times New Roman" w:hAnsi="Arial" w:cs="Arial"/>
          <w:bCs/>
          <w:lang w:eastAsia="en-AU"/>
        </w:rPr>
        <w:t>and Australia wide</w:t>
      </w:r>
      <w:r w:rsidR="00975D33" w:rsidRPr="00734E98">
        <w:rPr>
          <w:rFonts w:ascii="Arial" w:eastAsia="Times New Roman" w:hAnsi="Arial" w:cs="Arial"/>
          <w:bCs/>
          <w:lang w:eastAsia="en-AU"/>
        </w:rPr>
        <w:t>.</w:t>
      </w:r>
      <w:r w:rsidR="000D2E19" w:rsidRPr="00734E98">
        <w:rPr>
          <w:rFonts w:ascii="Arial" w:eastAsia="Times New Roman" w:hAnsi="Arial" w:cs="Arial"/>
          <w:bCs/>
          <w:lang w:eastAsia="en-AU"/>
        </w:rPr>
        <w:t xml:space="preserve"> </w:t>
      </w:r>
      <w:r w:rsidR="00975D33" w:rsidRPr="00734E98">
        <w:rPr>
          <w:rFonts w:ascii="Arial" w:eastAsia="Times New Roman" w:hAnsi="Arial" w:cs="Arial"/>
          <w:bCs/>
          <w:lang w:eastAsia="en-AU"/>
        </w:rPr>
        <w:t xml:space="preserve"> </w:t>
      </w:r>
    </w:p>
    <w:p w14:paraId="14C3D16B" w14:textId="004A1AEE" w:rsidR="00C3146C" w:rsidRPr="00734E98" w:rsidRDefault="00C3146C">
      <w:pPr>
        <w:rPr>
          <w:rFonts w:ascii="Arial" w:eastAsia="Times New Roman" w:hAnsi="Arial" w:cs="Arial"/>
          <w:b/>
          <w:bCs/>
          <w:lang w:eastAsia="en-AU"/>
        </w:rPr>
      </w:pPr>
      <w:r w:rsidRPr="00734E98">
        <w:rPr>
          <w:rFonts w:ascii="Arial" w:eastAsia="Times New Roman" w:hAnsi="Arial" w:cs="Arial"/>
          <w:b/>
          <w:bCs/>
          <w:lang w:eastAsia="en-AU"/>
        </w:rPr>
        <w:t>Schedule 2 – Annual amounts</w:t>
      </w:r>
    </w:p>
    <w:p w14:paraId="77B545F7" w14:textId="700E84AD" w:rsidR="00C3146C" w:rsidRPr="00734E98" w:rsidRDefault="00C3146C">
      <w:pPr>
        <w:rPr>
          <w:rFonts w:ascii="Arial" w:eastAsia="Times New Roman" w:hAnsi="Arial" w:cs="Arial"/>
          <w:b/>
          <w:bCs/>
          <w:lang w:eastAsia="en-AU"/>
        </w:rPr>
      </w:pPr>
      <w:r w:rsidRPr="00734E98">
        <w:rPr>
          <w:rFonts w:ascii="Arial" w:eastAsia="Times New Roman" w:hAnsi="Arial" w:cs="Arial"/>
          <w:b/>
          <w:bCs/>
          <w:lang w:eastAsia="en-AU"/>
        </w:rPr>
        <w:t>Part 1</w:t>
      </w:r>
      <w:r w:rsidR="000D2E19" w:rsidRPr="00734E98">
        <w:rPr>
          <w:rFonts w:ascii="Arial" w:eastAsia="Times New Roman" w:hAnsi="Arial" w:cs="Arial"/>
          <w:b/>
          <w:bCs/>
          <w:lang w:eastAsia="en-AU"/>
        </w:rPr>
        <w:tab/>
        <w:t xml:space="preserve">General </w:t>
      </w:r>
      <w:r w:rsidR="00F0201A">
        <w:rPr>
          <w:rFonts w:ascii="Arial" w:eastAsia="Times New Roman" w:hAnsi="Arial" w:cs="Arial"/>
          <w:b/>
          <w:bCs/>
          <w:lang w:eastAsia="en-AU"/>
        </w:rPr>
        <w:t>r</w:t>
      </w:r>
      <w:r w:rsidR="000D2E19" w:rsidRPr="00734E98">
        <w:rPr>
          <w:rFonts w:ascii="Arial" w:eastAsia="Times New Roman" w:hAnsi="Arial" w:cs="Arial"/>
          <w:b/>
          <w:bCs/>
          <w:lang w:eastAsia="en-AU"/>
        </w:rPr>
        <w:t>ules</w:t>
      </w:r>
    </w:p>
    <w:p w14:paraId="549EEF52" w14:textId="1CDD9D5E" w:rsidR="006D5D49" w:rsidRPr="00734E98" w:rsidRDefault="00D96D6C" w:rsidP="006D5D49">
      <w:pPr>
        <w:rPr>
          <w:rFonts w:ascii="Arial" w:eastAsia="Times New Roman" w:hAnsi="Arial" w:cs="Arial"/>
          <w:bCs/>
          <w:lang w:eastAsia="en-AU"/>
        </w:rPr>
      </w:pPr>
      <w:r w:rsidRPr="00734E98">
        <w:rPr>
          <w:rFonts w:ascii="Arial" w:eastAsia="Times New Roman" w:hAnsi="Arial" w:cs="Arial"/>
          <w:bCs/>
          <w:lang w:eastAsia="en-AU"/>
        </w:rPr>
        <w:t xml:space="preserve">Item 101 of </w:t>
      </w:r>
      <w:r w:rsidR="006D5D49" w:rsidRPr="00734E98">
        <w:rPr>
          <w:rFonts w:ascii="Arial" w:eastAsia="Times New Roman" w:hAnsi="Arial" w:cs="Arial"/>
          <w:bCs/>
          <w:lang w:eastAsia="en-AU"/>
        </w:rPr>
        <w:t>Part 1</w:t>
      </w:r>
      <w:r w:rsidRPr="00734E98">
        <w:rPr>
          <w:rFonts w:ascii="Arial" w:eastAsia="Times New Roman" w:hAnsi="Arial" w:cs="Arial"/>
          <w:bCs/>
          <w:lang w:eastAsia="en-AU"/>
        </w:rPr>
        <w:t xml:space="preserve"> of Schedule 2</w:t>
      </w:r>
      <w:r w:rsidR="006D5D49" w:rsidRPr="00734E98">
        <w:rPr>
          <w:rFonts w:ascii="Arial" w:eastAsia="Times New Roman" w:hAnsi="Arial" w:cs="Arial"/>
          <w:bCs/>
          <w:lang w:eastAsia="en-AU"/>
        </w:rPr>
        <w:t xml:space="preserve"> </w:t>
      </w:r>
      <w:r w:rsidR="00C60B2A" w:rsidRPr="00734E98">
        <w:rPr>
          <w:rFonts w:ascii="Arial" w:eastAsia="Times New Roman" w:hAnsi="Arial" w:cs="Arial"/>
          <w:bCs/>
          <w:lang w:eastAsia="en-AU"/>
        </w:rPr>
        <w:t>provides that where an item of Schedule 2 applies to a licence that authorises</w:t>
      </w:r>
      <w:r w:rsidR="006D5D49" w:rsidRPr="00734E98">
        <w:rPr>
          <w:rFonts w:ascii="Arial" w:eastAsia="Times New Roman" w:hAnsi="Arial" w:cs="Arial"/>
          <w:bCs/>
          <w:lang w:eastAsia="en-AU"/>
        </w:rPr>
        <w:t xml:space="preserve"> the use of </w:t>
      </w:r>
      <w:r w:rsidR="00C60B2A" w:rsidRPr="00734E98">
        <w:rPr>
          <w:rFonts w:ascii="Arial" w:eastAsia="Times New Roman" w:hAnsi="Arial" w:cs="Arial"/>
          <w:bCs/>
          <w:lang w:eastAsia="en-AU"/>
        </w:rPr>
        <w:t xml:space="preserve">a </w:t>
      </w:r>
      <w:r w:rsidR="006D5D49" w:rsidRPr="00734E98">
        <w:rPr>
          <w:rFonts w:ascii="Arial" w:eastAsia="Times New Roman" w:hAnsi="Arial" w:cs="Arial"/>
          <w:bCs/>
          <w:lang w:eastAsia="en-AU"/>
        </w:rPr>
        <w:t xml:space="preserve">station </w:t>
      </w:r>
      <w:r w:rsidR="00C60B2A" w:rsidRPr="00734E98">
        <w:rPr>
          <w:rFonts w:ascii="Arial" w:eastAsia="Times New Roman" w:hAnsi="Arial" w:cs="Arial"/>
          <w:bCs/>
          <w:lang w:eastAsia="en-AU"/>
        </w:rPr>
        <w:t xml:space="preserve">of a </w:t>
      </w:r>
      <w:r w:rsidR="003713E7" w:rsidRPr="00734E98">
        <w:rPr>
          <w:rFonts w:ascii="Arial" w:eastAsia="Times New Roman" w:hAnsi="Arial" w:cs="Arial"/>
          <w:bCs/>
          <w:lang w:eastAsia="en-AU"/>
        </w:rPr>
        <w:t>particular</w:t>
      </w:r>
      <w:r w:rsidR="00C60B2A" w:rsidRPr="00734E98">
        <w:rPr>
          <w:rFonts w:ascii="Arial" w:eastAsia="Times New Roman" w:hAnsi="Arial" w:cs="Arial"/>
          <w:bCs/>
          <w:lang w:eastAsia="en-AU"/>
        </w:rPr>
        <w:t xml:space="preserve"> kind, the item applies to a licence that authorises the operation of more than 1 station of that kind, 2 or more stations including a station of that kind, or</w:t>
      </w:r>
      <w:r w:rsidR="006D5D49" w:rsidRPr="00734E98">
        <w:rPr>
          <w:rFonts w:ascii="Arial" w:eastAsia="Times New Roman" w:hAnsi="Arial" w:cs="Arial"/>
          <w:bCs/>
          <w:lang w:eastAsia="en-AU"/>
        </w:rPr>
        <w:t xml:space="preserve"> supplementary stations</w:t>
      </w:r>
      <w:r w:rsidR="00F0201A">
        <w:rPr>
          <w:rFonts w:ascii="Arial" w:eastAsia="Times New Roman" w:hAnsi="Arial" w:cs="Arial"/>
          <w:bCs/>
          <w:lang w:eastAsia="en-AU"/>
        </w:rPr>
        <w:t>,</w:t>
      </w:r>
      <w:r w:rsidR="006D5D49" w:rsidRPr="00734E98">
        <w:rPr>
          <w:rFonts w:ascii="Arial" w:eastAsia="Times New Roman" w:hAnsi="Arial" w:cs="Arial"/>
          <w:bCs/>
          <w:lang w:eastAsia="en-AU"/>
        </w:rPr>
        <w:t xml:space="preserve"> for </w:t>
      </w:r>
      <w:r w:rsidR="00F0201A">
        <w:rPr>
          <w:rFonts w:ascii="Arial" w:eastAsia="Times New Roman" w:hAnsi="Arial" w:cs="Arial"/>
          <w:bCs/>
          <w:lang w:eastAsia="en-AU"/>
        </w:rPr>
        <w:t xml:space="preserve">the purpose of </w:t>
      </w:r>
      <w:r w:rsidR="006D5D49" w:rsidRPr="00734E98">
        <w:rPr>
          <w:rFonts w:ascii="Arial" w:eastAsia="Times New Roman" w:hAnsi="Arial" w:cs="Arial"/>
          <w:bCs/>
          <w:lang w:eastAsia="en-AU"/>
        </w:rPr>
        <w:t>working out the receiver licence tax.</w:t>
      </w:r>
      <w:r w:rsidR="00247054" w:rsidRPr="00734E98">
        <w:rPr>
          <w:rFonts w:ascii="Arial" w:eastAsia="Times New Roman" w:hAnsi="Arial" w:cs="Arial"/>
          <w:bCs/>
          <w:lang w:eastAsia="en-AU"/>
        </w:rPr>
        <w:t xml:space="preserve"> It also provides that spectrum access that is described in a licence as </w:t>
      </w:r>
      <w:r w:rsidR="00BE15BE" w:rsidRPr="00734E98">
        <w:rPr>
          <w:rFonts w:ascii="Arial" w:eastAsia="Times New Roman" w:hAnsi="Arial" w:cs="Arial"/>
          <w:bCs/>
          <w:lang w:eastAsia="en-AU"/>
        </w:rPr>
        <w:t>“</w:t>
      </w:r>
      <w:r w:rsidR="00247054" w:rsidRPr="00734E98">
        <w:rPr>
          <w:rFonts w:ascii="Arial" w:eastAsia="Times New Roman" w:hAnsi="Arial" w:cs="Arial"/>
          <w:bCs/>
          <w:lang w:eastAsia="en-AU"/>
        </w:rPr>
        <w:t>supplementary spectrum access</w:t>
      </w:r>
      <w:r w:rsidR="00BE15BE" w:rsidRPr="00734E98">
        <w:rPr>
          <w:rFonts w:ascii="Arial" w:eastAsia="Times New Roman" w:hAnsi="Arial" w:cs="Arial"/>
          <w:bCs/>
          <w:lang w:eastAsia="en-AU"/>
        </w:rPr>
        <w:t>”</w:t>
      </w:r>
      <w:r w:rsidR="00247054" w:rsidRPr="00734E98">
        <w:rPr>
          <w:rFonts w:ascii="Arial" w:eastAsia="Times New Roman" w:hAnsi="Arial" w:cs="Arial"/>
          <w:bCs/>
          <w:lang w:eastAsia="en-AU"/>
        </w:rPr>
        <w:t xml:space="preserve"> is not to be included in the calculation of receiver licence tax. </w:t>
      </w:r>
    </w:p>
    <w:p w14:paraId="2316E4C5" w14:textId="0813EA46" w:rsidR="00C3146C" w:rsidRPr="00734E98" w:rsidRDefault="00C3146C">
      <w:pPr>
        <w:rPr>
          <w:rFonts w:ascii="Arial" w:eastAsia="Times New Roman" w:hAnsi="Arial" w:cs="Arial"/>
          <w:b/>
          <w:bCs/>
          <w:lang w:eastAsia="en-AU"/>
        </w:rPr>
      </w:pPr>
      <w:r w:rsidRPr="00734E98">
        <w:rPr>
          <w:rFonts w:ascii="Arial" w:eastAsia="Times New Roman" w:hAnsi="Arial" w:cs="Arial"/>
          <w:b/>
          <w:bCs/>
          <w:lang w:eastAsia="en-AU"/>
        </w:rPr>
        <w:t>Part 2</w:t>
      </w:r>
      <w:r w:rsidR="003A7F95" w:rsidRPr="00734E98">
        <w:rPr>
          <w:rFonts w:ascii="Arial" w:eastAsia="Times New Roman" w:hAnsi="Arial" w:cs="Arial"/>
          <w:b/>
          <w:bCs/>
          <w:lang w:eastAsia="en-AU"/>
        </w:rPr>
        <w:tab/>
        <w:t>Receive licences</w:t>
      </w:r>
    </w:p>
    <w:p w14:paraId="7A13B2C9" w14:textId="7804C7A5" w:rsidR="006D5D49" w:rsidRPr="00734E98" w:rsidRDefault="006D5D49" w:rsidP="00815DD0">
      <w:pPr>
        <w:rPr>
          <w:rFonts w:ascii="Arial" w:eastAsia="Times New Roman" w:hAnsi="Arial" w:cs="Arial"/>
          <w:bCs/>
          <w:lang w:eastAsia="en-AU"/>
        </w:rPr>
      </w:pPr>
      <w:r w:rsidRPr="00734E98">
        <w:rPr>
          <w:rFonts w:ascii="Arial" w:eastAsia="Times New Roman" w:hAnsi="Arial" w:cs="Arial"/>
          <w:bCs/>
          <w:lang w:eastAsia="en-AU"/>
        </w:rPr>
        <w:t xml:space="preserve">Part 2 </w:t>
      </w:r>
      <w:r w:rsidR="00DD3DE5" w:rsidRPr="00734E98">
        <w:rPr>
          <w:rFonts w:ascii="Arial" w:eastAsia="Times New Roman" w:hAnsi="Arial" w:cs="Arial"/>
          <w:bCs/>
          <w:lang w:eastAsia="en-AU"/>
        </w:rPr>
        <w:t xml:space="preserve">of Schedule 2 </w:t>
      </w:r>
      <w:r w:rsidR="001279FE" w:rsidRPr="00734E98">
        <w:rPr>
          <w:rFonts w:ascii="Arial" w:eastAsia="Times New Roman" w:hAnsi="Arial" w:cs="Arial"/>
          <w:bCs/>
          <w:lang w:eastAsia="en-AU"/>
        </w:rPr>
        <w:t>sets out how to work out</w:t>
      </w:r>
      <w:r w:rsidR="00247054" w:rsidRPr="00734E98">
        <w:rPr>
          <w:rFonts w:ascii="Arial" w:eastAsia="Times New Roman" w:hAnsi="Arial" w:cs="Arial"/>
          <w:bCs/>
          <w:lang w:eastAsia="en-AU"/>
        </w:rPr>
        <w:t xml:space="preserve"> the annual amount of tax</w:t>
      </w:r>
      <w:r w:rsidR="001279FE" w:rsidRPr="00734E98">
        <w:rPr>
          <w:rFonts w:ascii="Arial" w:eastAsia="Times New Roman" w:hAnsi="Arial" w:cs="Arial"/>
          <w:bCs/>
          <w:lang w:eastAsia="en-AU"/>
        </w:rPr>
        <w:t xml:space="preserve"> for specified receive licences (listed in item 201). Item 202 provides that, subject to item 203, the amount of tax</w:t>
      </w:r>
      <w:r w:rsidR="00247054" w:rsidRPr="00734E98">
        <w:rPr>
          <w:rFonts w:ascii="Arial" w:eastAsia="Times New Roman" w:hAnsi="Arial" w:cs="Arial"/>
          <w:bCs/>
          <w:lang w:eastAsia="en-AU"/>
        </w:rPr>
        <w:t xml:space="preserve"> in respect of each spectrum access under the types of licences specified in item 201 is the amount specified in Table 202</w:t>
      </w:r>
      <w:r w:rsidR="001279FE" w:rsidRPr="00734E98">
        <w:rPr>
          <w:rFonts w:ascii="Arial" w:eastAsia="Times New Roman" w:hAnsi="Arial" w:cs="Arial"/>
          <w:bCs/>
          <w:lang w:eastAsia="en-AU"/>
        </w:rPr>
        <w:t>,</w:t>
      </w:r>
      <w:r w:rsidR="00247054" w:rsidRPr="00734E98">
        <w:rPr>
          <w:rFonts w:ascii="Arial" w:eastAsia="Times New Roman" w:hAnsi="Arial" w:cs="Arial"/>
          <w:bCs/>
          <w:lang w:eastAsia="en-AU"/>
        </w:rPr>
        <w:t xml:space="preserve"> for the </w:t>
      </w:r>
      <w:r w:rsidR="00247054" w:rsidRPr="00815DD0">
        <w:rPr>
          <w:rFonts w:ascii="Arial" w:hAnsi="Arial" w:cs="Arial"/>
        </w:rPr>
        <w:t>frequency range and area density type applicable to the spectrum access, multiplied by the bandwidth (in kHz) of the spectrum access</w:t>
      </w:r>
      <w:r w:rsidR="00247054" w:rsidRPr="00734E98">
        <w:rPr>
          <w:rFonts w:ascii="Arial" w:hAnsi="Arial" w:cs="Arial"/>
        </w:rPr>
        <w:t>.  Item 203 provides for a different tax amount for particular types of space receive licences. Item 204 provides that if the tax amount worked out using items 202 or 203 is less than the minimum annual amount ($38.60) the applicable tax is taken to be the minimum amount.</w:t>
      </w:r>
      <w:r w:rsidR="00247054" w:rsidRPr="00734E98">
        <w:rPr>
          <w:rFonts w:ascii="Arial" w:eastAsia="Times New Roman" w:hAnsi="Arial" w:cs="Arial"/>
          <w:bCs/>
          <w:lang w:eastAsia="en-AU"/>
        </w:rPr>
        <w:t xml:space="preserve"> </w:t>
      </w:r>
    </w:p>
    <w:p w14:paraId="7213F5F6" w14:textId="02BC7B81" w:rsidR="00C3146C" w:rsidRPr="00734E98" w:rsidRDefault="00C3146C">
      <w:pPr>
        <w:rPr>
          <w:rFonts w:ascii="Arial" w:eastAsia="Times New Roman" w:hAnsi="Arial" w:cs="Arial"/>
          <w:b/>
          <w:bCs/>
          <w:lang w:eastAsia="en-AU"/>
        </w:rPr>
      </w:pPr>
      <w:r w:rsidRPr="00734E98">
        <w:rPr>
          <w:rFonts w:ascii="Arial" w:eastAsia="Times New Roman" w:hAnsi="Arial" w:cs="Arial"/>
          <w:b/>
          <w:bCs/>
          <w:lang w:eastAsia="en-AU"/>
        </w:rPr>
        <w:t>Part 3</w:t>
      </w:r>
      <w:r w:rsidR="003A7F95" w:rsidRPr="00734E98">
        <w:rPr>
          <w:rFonts w:ascii="Arial" w:eastAsia="Times New Roman" w:hAnsi="Arial" w:cs="Arial"/>
          <w:b/>
          <w:bCs/>
          <w:lang w:eastAsia="en-AU"/>
        </w:rPr>
        <w:tab/>
        <w:t>Fixed receive licences</w:t>
      </w:r>
    </w:p>
    <w:p w14:paraId="5B87DF24" w14:textId="77777777" w:rsidR="006B287F" w:rsidRDefault="006D5D49">
      <w:pPr>
        <w:rPr>
          <w:rFonts w:ascii="Arial" w:eastAsia="Times New Roman" w:hAnsi="Arial" w:cs="Arial"/>
          <w:bCs/>
          <w:lang w:eastAsia="en-AU"/>
        </w:rPr>
      </w:pPr>
      <w:r w:rsidRPr="00734E98">
        <w:rPr>
          <w:rFonts w:ascii="Arial" w:eastAsia="Times New Roman" w:hAnsi="Arial" w:cs="Arial"/>
          <w:bCs/>
          <w:lang w:eastAsia="en-AU"/>
        </w:rPr>
        <w:t xml:space="preserve">Part </w:t>
      </w:r>
      <w:r w:rsidR="00DD3DE5" w:rsidRPr="00734E98">
        <w:rPr>
          <w:rFonts w:ascii="Arial" w:eastAsia="Times New Roman" w:hAnsi="Arial" w:cs="Arial"/>
          <w:bCs/>
          <w:lang w:eastAsia="en-AU"/>
        </w:rPr>
        <w:t xml:space="preserve">3 of Schedule 2 </w:t>
      </w:r>
      <w:r w:rsidRPr="00734E98">
        <w:rPr>
          <w:rFonts w:ascii="Arial" w:eastAsia="Times New Roman" w:hAnsi="Arial" w:cs="Arial"/>
          <w:bCs/>
          <w:lang w:eastAsia="en-AU"/>
        </w:rPr>
        <w:t>sets out</w:t>
      </w:r>
      <w:r w:rsidR="00DD3DE5" w:rsidRPr="00734E98">
        <w:rPr>
          <w:rFonts w:ascii="Arial" w:eastAsia="Times New Roman" w:hAnsi="Arial" w:cs="Arial"/>
          <w:bCs/>
          <w:lang w:eastAsia="en-AU"/>
        </w:rPr>
        <w:t xml:space="preserve"> how to work out</w:t>
      </w:r>
      <w:r w:rsidRPr="00734E98">
        <w:rPr>
          <w:rFonts w:ascii="Arial" w:eastAsia="Times New Roman" w:hAnsi="Arial" w:cs="Arial"/>
          <w:bCs/>
          <w:lang w:eastAsia="en-AU"/>
        </w:rPr>
        <w:t xml:space="preserve"> the tax amounts for fixed receive licences</w:t>
      </w:r>
      <w:r w:rsidR="00DD3DE5" w:rsidRPr="00734E98">
        <w:rPr>
          <w:rFonts w:ascii="Arial" w:eastAsia="Times New Roman" w:hAnsi="Arial" w:cs="Arial"/>
          <w:bCs/>
          <w:lang w:eastAsia="en-AU"/>
        </w:rPr>
        <w:t>. Item 302 provides that the amount of tax in respect of each spectrum access under a fixed receive licence is the amount specified in Table 302 for the frequency range and density type applicable to the spectrum access, multiplied by the bandwidth (in kHz) of the spectrum access</w:t>
      </w:r>
      <w:r w:rsidRPr="00734E98">
        <w:rPr>
          <w:rFonts w:ascii="Arial" w:eastAsia="Times New Roman" w:hAnsi="Arial" w:cs="Arial"/>
          <w:bCs/>
          <w:lang w:eastAsia="en-AU"/>
        </w:rPr>
        <w:t>.</w:t>
      </w:r>
      <w:r w:rsidR="00247054" w:rsidRPr="00734E98">
        <w:rPr>
          <w:rFonts w:ascii="Arial" w:eastAsia="Times New Roman" w:hAnsi="Arial" w:cs="Arial"/>
          <w:bCs/>
          <w:lang w:eastAsia="en-AU"/>
        </w:rPr>
        <w:t xml:space="preserve"> Item 303 is similar to item 204 in imposing the minimum annual amount of tax.</w:t>
      </w:r>
    </w:p>
    <w:p w14:paraId="35D3F4D8" w14:textId="77777777" w:rsidR="006B287F" w:rsidRDefault="006B287F">
      <w:pPr>
        <w:rPr>
          <w:rFonts w:ascii="Arial" w:eastAsia="Times New Roman" w:hAnsi="Arial" w:cs="Arial"/>
          <w:bCs/>
          <w:lang w:eastAsia="en-AU"/>
        </w:rPr>
      </w:pPr>
      <w:r>
        <w:rPr>
          <w:rFonts w:ascii="Arial" w:eastAsia="Times New Roman" w:hAnsi="Arial" w:cs="Arial"/>
          <w:bCs/>
          <w:lang w:eastAsia="en-AU"/>
        </w:rPr>
        <w:br w:type="page"/>
      </w:r>
    </w:p>
    <w:p w14:paraId="76F489F9" w14:textId="69622504" w:rsidR="00C3146C" w:rsidRPr="00734E98" w:rsidRDefault="00C3146C">
      <w:pPr>
        <w:rPr>
          <w:rFonts w:ascii="Arial" w:eastAsia="Times New Roman" w:hAnsi="Arial" w:cs="Arial"/>
          <w:b/>
          <w:bCs/>
          <w:lang w:eastAsia="en-AU"/>
        </w:rPr>
      </w:pPr>
      <w:r w:rsidRPr="00734E98">
        <w:rPr>
          <w:rFonts w:ascii="Arial" w:eastAsia="Times New Roman" w:hAnsi="Arial" w:cs="Arial"/>
          <w:b/>
          <w:bCs/>
          <w:lang w:eastAsia="en-AU"/>
        </w:rPr>
        <w:lastRenderedPageBreak/>
        <w:t>Schedule 3 – Working out receiver licence tax for a particular licence period</w:t>
      </w:r>
    </w:p>
    <w:p w14:paraId="62A0A527" w14:textId="20490020" w:rsidR="00F0214C" w:rsidRPr="00734E98" w:rsidRDefault="003A7F95">
      <w:pPr>
        <w:rPr>
          <w:rFonts w:ascii="Arial" w:eastAsia="Times New Roman" w:hAnsi="Arial" w:cs="Arial"/>
          <w:bCs/>
          <w:lang w:eastAsia="en-AU"/>
        </w:rPr>
      </w:pPr>
      <w:r w:rsidRPr="00734E98">
        <w:rPr>
          <w:rFonts w:ascii="Arial" w:eastAsia="Times New Roman" w:hAnsi="Arial" w:cs="Arial"/>
          <w:bCs/>
          <w:lang w:eastAsia="en-AU"/>
        </w:rPr>
        <w:t>Schedule 3</w:t>
      </w:r>
      <w:r w:rsidR="006D5D49" w:rsidRPr="00734E98">
        <w:rPr>
          <w:rFonts w:ascii="Arial" w:eastAsia="Times New Roman" w:hAnsi="Arial" w:cs="Arial"/>
          <w:bCs/>
          <w:lang w:eastAsia="en-AU"/>
        </w:rPr>
        <w:t xml:space="preserve"> sets out how to calculate a receiver licence tax for a particular licence period</w:t>
      </w:r>
      <w:r w:rsidR="00F0214C" w:rsidRPr="00734E98">
        <w:rPr>
          <w:rFonts w:ascii="Arial" w:eastAsia="Times New Roman" w:hAnsi="Arial" w:cs="Arial"/>
          <w:bCs/>
          <w:lang w:eastAsia="en-AU"/>
        </w:rPr>
        <w:t xml:space="preserve"> </w:t>
      </w:r>
      <w:r w:rsidR="00DD3DE5" w:rsidRPr="00734E98">
        <w:rPr>
          <w:rFonts w:ascii="Arial" w:eastAsia="Times New Roman" w:hAnsi="Arial" w:cs="Arial"/>
          <w:bCs/>
          <w:lang w:eastAsia="en-AU"/>
        </w:rPr>
        <w:t>Section 6 of the Act</w:t>
      </w:r>
      <w:r w:rsidR="009C3B60" w:rsidRPr="00734E98">
        <w:rPr>
          <w:rFonts w:ascii="Arial" w:eastAsia="Times New Roman" w:hAnsi="Arial" w:cs="Arial"/>
          <w:bCs/>
          <w:lang w:eastAsia="en-AU"/>
        </w:rPr>
        <w:t xml:space="preserve"> </w:t>
      </w:r>
      <w:r w:rsidR="00F0214C" w:rsidRPr="00734E98">
        <w:rPr>
          <w:rFonts w:ascii="Arial" w:eastAsia="Times New Roman" w:hAnsi="Arial" w:cs="Arial"/>
          <w:bCs/>
          <w:lang w:eastAsia="en-AU"/>
        </w:rPr>
        <w:t xml:space="preserve">sets out when tax is imposed on a receiver licence. Holders of licences issued for a period exceeding 12 months may also elect for tax to be imposed at a particular time – for example, on issue of the licence or on issue and on each anniversary of the date the licence came into force during the period of the licence. </w:t>
      </w:r>
    </w:p>
    <w:p w14:paraId="52C8A866" w14:textId="6B73C8F0" w:rsidR="00DD3DE5" w:rsidRPr="00815DD0" w:rsidRDefault="00DD3DE5" w:rsidP="00DD3DE5">
      <w:pPr>
        <w:rPr>
          <w:rFonts w:ascii="Arial" w:eastAsia="Times New Roman" w:hAnsi="Arial" w:cs="Arial"/>
          <w:bCs/>
          <w:lang w:eastAsia="en-AU"/>
        </w:rPr>
      </w:pPr>
      <w:r w:rsidRPr="00815DD0">
        <w:rPr>
          <w:rFonts w:ascii="Arial" w:eastAsia="Times New Roman" w:hAnsi="Arial" w:cs="Arial"/>
          <w:bCs/>
          <w:lang w:eastAsia="en-AU"/>
        </w:rPr>
        <w:t xml:space="preserve">Item 101 of Schedule 3 discounts February 29 in leap years from any calculation of </w:t>
      </w:r>
      <w:r w:rsidR="00730223">
        <w:rPr>
          <w:rFonts w:ascii="Arial" w:eastAsia="Times New Roman" w:hAnsi="Arial" w:cs="Arial"/>
          <w:bCs/>
          <w:lang w:eastAsia="en-AU"/>
        </w:rPr>
        <w:t>receiver</w:t>
      </w:r>
      <w:r w:rsidR="00730223" w:rsidRPr="00815DD0">
        <w:rPr>
          <w:rFonts w:ascii="Arial" w:eastAsia="Times New Roman" w:hAnsi="Arial" w:cs="Arial"/>
          <w:bCs/>
          <w:lang w:eastAsia="en-AU"/>
        </w:rPr>
        <w:t xml:space="preserve"> </w:t>
      </w:r>
      <w:r w:rsidRPr="00815DD0">
        <w:rPr>
          <w:rFonts w:ascii="Arial" w:eastAsia="Times New Roman" w:hAnsi="Arial" w:cs="Arial"/>
          <w:bCs/>
          <w:lang w:eastAsia="en-AU"/>
        </w:rPr>
        <w:t>licence tax.</w:t>
      </w:r>
    </w:p>
    <w:p w14:paraId="76F13E5F" w14:textId="77777777" w:rsidR="00DD3DE5" w:rsidRPr="00815DD0" w:rsidRDefault="00DD3DE5" w:rsidP="00DD3DE5">
      <w:pPr>
        <w:rPr>
          <w:rFonts w:ascii="Arial" w:eastAsia="Times New Roman" w:hAnsi="Arial" w:cs="Arial"/>
          <w:bCs/>
          <w:lang w:eastAsia="en-AU"/>
        </w:rPr>
      </w:pPr>
      <w:r w:rsidRPr="00815DD0">
        <w:rPr>
          <w:rFonts w:ascii="Arial" w:eastAsia="Times New Roman" w:hAnsi="Arial" w:cs="Arial"/>
          <w:bCs/>
          <w:lang w:eastAsia="en-AU"/>
        </w:rPr>
        <w:t>Item 102 of Schedule 3 provides for rounding up or down of calculated amounts to the nearest whole dollar.</w:t>
      </w:r>
    </w:p>
    <w:p w14:paraId="24491DAB" w14:textId="45B57F12" w:rsidR="00DD3DE5" w:rsidRPr="00815DD0" w:rsidRDefault="00DD3DE5" w:rsidP="00DD3DE5">
      <w:pPr>
        <w:rPr>
          <w:rFonts w:ascii="Arial" w:eastAsia="Times New Roman" w:hAnsi="Arial" w:cs="Arial"/>
          <w:bCs/>
          <w:lang w:eastAsia="en-AU"/>
        </w:rPr>
      </w:pPr>
      <w:r w:rsidRPr="00815DD0">
        <w:rPr>
          <w:rFonts w:ascii="Arial" w:eastAsia="Times New Roman" w:hAnsi="Arial" w:cs="Arial"/>
          <w:bCs/>
          <w:lang w:eastAsia="en-AU"/>
        </w:rPr>
        <w:t xml:space="preserve">Item 103 of Schedule 3 deals with full payment of tax on issue of a licence in force for a period of 12 months or less, and a licence in force for a period greater than 12 months where the licensee has not elected to pay the tax by instalments.  Table 103 effectively requires the addition of the amounts calculated for all spectrum accesses in the licence (pro-rated in any year where the licence is not in force for the entire year), to determine the </w:t>
      </w:r>
      <w:r w:rsidRPr="00734E98">
        <w:rPr>
          <w:rFonts w:ascii="Arial" w:eastAsia="Times New Roman" w:hAnsi="Arial" w:cs="Arial"/>
          <w:bCs/>
          <w:lang w:eastAsia="en-AU"/>
        </w:rPr>
        <w:t>receiver</w:t>
      </w:r>
      <w:r w:rsidRPr="00815DD0">
        <w:rPr>
          <w:rFonts w:ascii="Arial" w:eastAsia="Times New Roman" w:hAnsi="Arial" w:cs="Arial"/>
          <w:bCs/>
          <w:lang w:eastAsia="en-AU"/>
        </w:rPr>
        <w:t xml:space="preserve"> licence tax for the licence.  If that works out to be less than the minimum annual amount, the amount becomes the minimum annual amount.  A discount is applied for the Royal Flyi</w:t>
      </w:r>
      <w:r w:rsidRPr="00734E98">
        <w:rPr>
          <w:rFonts w:ascii="Arial" w:eastAsia="Times New Roman" w:hAnsi="Arial" w:cs="Arial"/>
          <w:bCs/>
          <w:lang w:eastAsia="en-AU"/>
        </w:rPr>
        <w:t>ng Doctor Service of Australia</w:t>
      </w:r>
      <w:r w:rsidR="00622DC4">
        <w:rPr>
          <w:rFonts w:ascii="Arial" w:eastAsia="Times New Roman" w:hAnsi="Arial" w:cs="Arial"/>
          <w:bCs/>
          <w:lang w:eastAsia="en-AU"/>
        </w:rPr>
        <w:t xml:space="preserve"> (RFDS) (an eligible person, as defined</w:t>
      </w:r>
      <w:r w:rsidR="008F43DB">
        <w:rPr>
          <w:rFonts w:ascii="Arial" w:eastAsia="Times New Roman" w:hAnsi="Arial" w:cs="Arial"/>
          <w:bCs/>
          <w:lang w:eastAsia="en-AU"/>
        </w:rPr>
        <w:t xml:space="preserve"> in section 3</w:t>
      </w:r>
      <w:r w:rsidR="00D009D3">
        <w:rPr>
          <w:rFonts w:ascii="Arial" w:eastAsia="Times New Roman" w:hAnsi="Arial" w:cs="Arial"/>
          <w:bCs/>
          <w:lang w:eastAsia="en-AU"/>
        </w:rPr>
        <w:t xml:space="preserve"> of the Determination)</w:t>
      </w:r>
      <w:r w:rsidRPr="00815DD0">
        <w:rPr>
          <w:rFonts w:ascii="Arial" w:eastAsia="Times New Roman" w:hAnsi="Arial" w:cs="Arial"/>
          <w:bCs/>
          <w:lang w:eastAsia="en-AU"/>
        </w:rPr>
        <w:t>.</w:t>
      </w:r>
    </w:p>
    <w:p w14:paraId="2403F8EC" w14:textId="2D0EF586" w:rsidR="00DD3DE5" w:rsidRPr="00815DD0" w:rsidRDefault="00DD3DE5" w:rsidP="00DD3DE5">
      <w:pPr>
        <w:rPr>
          <w:rFonts w:ascii="Arial" w:eastAsia="Times New Roman" w:hAnsi="Arial" w:cs="Arial"/>
          <w:bCs/>
          <w:lang w:eastAsia="en-AU"/>
        </w:rPr>
      </w:pPr>
      <w:r w:rsidRPr="00815DD0">
        <w:rPr>
          <w:rFonts w:ascii="Arial" w:eastAsia="Times New Roman" w:hAnsi="Arial" w:cs="Arial"/>
          <w:bCs/>
          <w:lang w:eastAsia="en-AU"/>
        </w:rPr>
        <w:t xml:space="preserve">Item 104 of Schedule 3 deals with imposition of tax </w:t>
      </w:r>
      <w:r w:rsidRPr="00ED0C5A">
        <w:rPr>
          <w:rFonts w:ascii="Arial" w:eastAsia="Times New Roman" w:hAnsi="Arial" w:cs="Arial"/>
          <w:bCs/>
          <w:lang w:eastAsia="en-AU"/>
        </w:rPr>
        <w:t>on issue</w:t>
      </w:r>
      <w:r w:rsidRPr="00815DD0">
        <w:rPr>
          <w:rFonts w:ascii="Arial" w:eastAsia="Times New Roman" w:hAnsi="Arial" w:cs="Arial"/>
          <w:bCs/>
          <w:lang w:eastAsia="en-AU"/>
        </w:rPr>
        <w:t xml:space="preserve"> of a licence in force for more than 12 months, where the licensee has elected to pay the tax by instalments on issue and on the anniversary of the day a licence comes into force.  Table 104 effectively requires the addition of the amounts calculated for all spectrum accesses in the licence (pro-rated in any year where the licence is not in force for the entire ye</w:t>
      </w:r>
      <w:bookmarkStart w:id="0" w:name="_GoBack"/>
      <w:bookmarkEnd w:id="0"/>
      <w:r w:rsidRPr="00815DD0">
        <w:rPr>
          <w:rFonts w:ascii="Arial" w:eastAsia="Times New Roman" w:hAnsi="Arial" w:cs="Arial"/>
          <w:bCs/>
          <w:lang w:eastAsia="en-AU"/>
        </w:rPr>
        <w:t>a</w:t>
      </w:r>
      <w:r w:rsidRPr="00734E98">
        <w:rPr>
          <w:rFonts w:ascii="Arial" w:eastAsia="Times New Roman" w:hAnsi="Arial" w:cs="Arial"/>
          <w:bCs/>
          <w:lang w:eastAsia="en-AU"/>
        </w:rPr>
        <w:t>r), to determine the receiver</w:t>
      </w:r>
      <w:r w:rsidRPr="00815DD0">
        <w:rPr>
          <w:rFonts w:ascii="Arial" w:eastAsia="Times New Roman" w:hAnsi="Arial" w:cs="Arial"/>
          <w:bCs/>
          <w:lang w:eastAsia="en-AU"/>
        </w:rPr>
        <w:t xml:space="preserve"> licence tax for the licence.  If that works out to be less than the minimum annual amount, the amount becomes the minimum annual amount.  A discount is applied for </w:t>
      </w:r>
      <w:r w:rsidR="008F43DB">
        <w:rPr>
          <w:rFonts w:ascii="Arial" w:eastAsia="Times New Roman" w:hAnsi="Arial" w:cs="Arial"/>
          <w:bCs/>
          <w:lang w:eastAsia="en-AU"/>
        </w:rPr>
        <w:t>the RFDS</w:t>
      </w:r>
      <w:r w:rsidRPr="00815DD0">
        <w:rPr>
          <w:rFonts w:ascii="Arial" w:eastAsia="Times New Roman" w:hAnsi="Arial" w:cs="Arial"/>
          <w:bCs/>
          <w:lang w:eastAsia="en-AU"/>
        </w:rPr>
        <w:t>.</w:t>
      </w:r>
    </w:p>
    <w:p w14:paraId="47713A5E" w14:textId="31EDEC86" w:rsidR="00DD3DE5" w:rsidRPr="00815DD0" w:rsidRDefault="00DD3DE5" w:rsidP="00DD3DE5">
      <w:pPr>
        <w:rPr>
          <w:rFonts w:ascii="Arial" w:eastAsia="Times New Roman" w:hAnsi="Arial" w:cs="Arial"/>
          <w:b/>
          <w:bCs/>
          <w:lang w:eastAsia="en-AU"/>
        </w:rPr>
      </w:pPr>
      <w:r w:rsidRPr="00815DD0">
        <w:rPr>
          <w:rFonts w:ascii="Arial" w:eastAsia="Times New Roman" w:hAnsi="Arial" w:cs="Arial"/>
          <w:bCs/>
          <w:lang w:eastAsia="en-AU"/>
        </w:rPr>
        <w:t xml:space="preserve">Item 105 of Schedule 3 deals with imposition of the tax on a particular day, being the anniversary of the day the licence comes into force (if subsection 6(5) of the Act applies) or the day after the end of the 60 day period after the anniversary of the day the licence comes into force, (if subsection 6(6) of the Act applies).  It is the corollary to item 104, where the licensee has elected to pay the tax by instalments.  Table 105 effectively requires the addition of the amounts calculated for all spectrum accesses in the licence (pro-rated in any year where the licence is not in force for the entire year), to determine the </w:t>
      </w:r>
      <w:r w:rsidRPr="00734E98">
        <w:rPr>
          <w:rFonts w:ascii="Arial" w:eastAsia="Times New Roman" w:hAnsi="Arial" w:cs="Arial"/>
          <w:bCs/>
          <w:lang w:eastAsia="en-AU"/>
        </w:rPr>
        <w:t>receiver</w:t>
      </w:r>
      <w:r w:rsidRPr="00815DD0">
        <w:rPr>
          <w:rFonts w:ascii="Arial" w:eastAsia="Times New Roman" w:hAnsi="Arial" w:cs="Arial"/>
          <w:bCs/>
          <w:lang w:eastAsia="en-AU"/>
        </w:rPr>
        <w:t xml:space="preserve"> licence tax for the licence.  If that works out to be less than the minimum annual amount, the amount becomes the minimum annual amount.  A discount is applied for </w:t>
      </w:r>
      <w:r w:rsidR="008F43DB">
        <w:rPr>
          <w:rFonts w:ascii="Arial" w:eastAsia="Times New Roman" w:hAnsi="Arial" w:cs="Arial"/>
          <w:bCs/>
          <w:lang w:eastAsia="en-AU"/>
        </w:rPr>
        <w:t>the RFDS</w:t>
      </w:r>
      <w:r w:rsidRPr="00815DD0">
        <w:rPr>
          <w:rFonts w:ascii="Arial" w:eastAsia="Times New Roman" w:hAnsi="Arial" w:cs="Arial"/>
          <w:bCs/>
          <w:lang w:eastAsia="en-AU"/>
        </w:rPr>
        <w:t>.</w:t>
      </w:r>
    </w:p>
    <w:p w14:paraId="66C9FF20" w14:textId="4776668E" w:rsidR="006D5D49" w:rsidRPr="00734E98" w:rsidRDefault="009C3B60" w:rsidP="00DD3DE5">
      <w:pPr>
        <w:rPr>
          <w:rFonts w:ascii="Arial" w:eastAsia="Times New Roman" w:hAnsi="Arial" w:cs="Arial"/>
          <w:b/>
          <w:bCs/>
          <w:lang w:eastAsia="en-AU"/>
        </w:rPr>
      </w:pPr>
      <w:r w:rsidRPr="00734E98">
        <w:rPr>
          <w:rFonts w:ascii="Arial" w:eastAsia="Times New Roman" w:hAnsi="Arial" w:cs="Arial"/>
          <w:bCs/>
          <w:lang w:eastAsia="en-AU"/>
        </w:rPr>
        <w:t xml:space="preserve"> </w:t>
      </w:r>
    </w:p>
    <w:sectPr w:rsidR="006D5D49" w:rsidRPr="00734E9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F163F" w14:textId="77777777" w:rsidR="00402355" w:rsidRDefault="00402355" w:rsidP="00272465">
      <w:pPr>
        <w:spacing w:after="0" w:line="240" w:lineRule="auto"/>
      </w:pPr>
      <w:r>
        <w:separator/>
      </w:r>
    </w:p>
  </w:endnote>
  <w:endnote w:type="continuationSeparator" w:id="0">
    <w:p w14:paraId="1B08E6B2" w14:textId="77777777" w:rsidR="00402355" w:rsidRDefault="00402355" w:rsidP="0027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NeueLT Std Lt">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545449"/>
      <w:docPartObj>
        <w:docPartGallery w:val="Page Numbers (Bottom of Page)"/>
        <w:docPartUnique/>
      </w:docPartObj>
    </w:sdtPr>
    <w:sdtEndPr>
      <w:rPr>
        <w:noProof/>
      </w:rPr>
    </w:sdtEndPr>
    <w:sdtContent>
      <w:p w14:paraId="62E45860" w14:textId="62AEB135" w:rsidR="00703322" w:rsidRDefault="00703322">
        <w:pPr>
          <w:pStyle w:val="Footer"/>
          <w:jc w:val="right"/>
        </w:pPr>
        <w:r>
          <w:fldChar w:fldCharType="begin"/>
        </w:r>
        <w:r>
          <w:instrText xml:space="preserve"> PAGE   \* MERGEFORMAT </w:instrText>
        </w:r>
        <w:r>
          <w:fldChar w:fldCharType="separate"/>
        </w:r>
        <w:r w:rsidR="00D009D3">
          <w:rPr>
            <w:noProof/>
          </w:rPr>
          <w:t>5</w:t>
        </w:r>
        <w:r>
          <w:rPr>
            <w:noProof/>
          </w:rPr>
          <w:fldChar w:fldCharType="end"/>
        </w:r>
      </w:p>
    </w:sdtContent>
  </w:sdt>
  <w:p w14:paraId="4B688B5C" w14:textId="77777777" w:rsidR="00703322" w:rsidRDefault="00703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08424" w14:textId="77777777" w:rsidR="00402355" w:rsidRDefault="00402355" w:rsidP="00272465">
      <w:pPr>
        <w:spacing w:after="0" w:line="240" w:lineRule="auto"/>
      </w:pPr>
      <w:r>
        <w:separator/>
      </w:r>
    </w:p>
  </w:footnote>
  <w:footnote w:type="continuationSeparator" w:id="0">
    <w:p w14:paraId="10A9B076" w14:textId="77777777" w:rsidR="00402355" w:rsidRDefault="00402355" w:rsidP="00272465">
      <w:pPr>
        <w:spacing w:after="0" w:line="240" w:lineRule="auto"/>
      </w:pPr>
      <w:r>
        <w:continuationSeparator/>
      </w:r>
    </w:p>
  </w:footnote>
  <w:footnote w:id="1">
    <w:p w14:paraId="62DCE338" w14:textId="7849E6D8" w:rsidR="00A338C1" w:rsidRDefault="00A338C1">
      <w:pPr>
        <w:pStyle w:val="FootnoteText"/>
      </w:pPr>
      <w:r>
        <w:rPr>
          <w:rStyle w:val="FootnoteReference"/>
        </w:rPr>
        <w:footnoteRef/>
      </w:r>
      <w:r>
        <w:t xml:space="preserve"> </w:t>
      </w:r>
      <w:r w:rsidRPr="00240968">
        <w:rPr>
          <w:rFonts w:cs="Arial"/>
        </w:rPr>
        <w:t>Australian Bureau of Statistics, Catalogue 6401.0, Consumer Price Index, June Quarter 201</w:t>
      </w:r>
      <w:r>
        <w:rPr>
          <w:rFonts w:cs="Arial"/>
        </w:rPr>
        <w:t>4 All groups CPI.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6F62344"/>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nsid w:val="0C50788A"/>
    <w:multiLevelType w:val="hybridMultilevel"/>
    <w:tmpl w:val="6E48461E"/>
    <w:lvl w:ilvl="0" w:tplc="7946F8CC">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2E70F2"/>
    <w:multiLevelType w:val="hybridMultilevel"/>
    <w:tmpl w:val="AED015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nsid w:val="51112F98"/>
    <w:multiLevelType w:val="hybridMultilevel"/>
    <w:tmpl w:val="047A10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3010CA6"/>
    <w:multiLevelType w:val="hybridMultilevel"/>
    <w:tmpl w:val="E2A4429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nsid w:val="55793CD2"/>
    <w:multiLevelType w:val="hybridMultilevel"/>
    <w:tmpl w:val="FFDC6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78A07C3"/>
    <w:multiLevelType w:val="hybridMultilevel"/>
    <w:tmpl w:val="43D00790"/>
    <w:lvl w:ilvl="0" w:tplc="7F9CF1C8">
      <w:start w:val="1"/>
      <w:numFmt w:val="decimal"/>
      <w:lvlText w:val="%1."/>
      <w:lvlJc w:val="left"/>
      <w:pPr>
        <w:tabs>
          <w:tab w:val="num" w:pos="540"/>
        </w:tabs>
        <w:ind w:left="540" w:hanging="360"/>
      </w:pPr>
      <w:rPr>
        <w:rFonts w:ascii="Arial" w:hAnsi="Arial" w:cs="Arial" w:hint="default"/>
      </w:r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nsid w:val="58C960A9"/>
    <w:multiLevelType w:val="hybridMultilevel"/>
    <w:tmpl w:val="65F268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C1A1089"/>
    <w:multiLevelType w:val="hybridMultilevel"/>
    <w:tmpl w:val="68AC0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CFD2630"/>
    <w:multiLevelType w:val="hybridMultilevel"/>
    <w:tmpl w:val="52AAC9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5E9955F8"/>
    <w:multiLevelType w:val="hybridMultilevel"/>
    <w:tmpl w:val="87203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EDA2A58"/>
    <w:multiLevelType w:val="hybridMultilevel"/>
    <w:tmpl w:val="05862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1E5261C"/>
    <w:multiLevelType w:val="hybridMultilevel"/>
    <w:tmpl w:val="7E947CBE"/>
    <w:lvl w:ilvl="0" w:tplc="0C09000F">
      <w:start w:val="1"/>
      <w:numFmt w:val="decimal"/>
      <w:lvlText w:val="%1."/>
      <w:lvlJc w:val="left"/>
      <w:pPr>
        <w:ind w:left="-776" w:hanging="360"/>
      </w:pPr>
    </w:lvl>
    <w:lvl w:ilvl="1" w:tplc="0C090019" w:tentative="1">
      <w:start w:val="1"/>
      <w:numFmt w:val="lowerLetter"/>
      <w:lvlText w:val="%2."/>
      <w:lvlJc w:val="left"/>
      <w:pPr>
        <w:ind w:left="-56" w:hanging="360"/>
      </w:pPr>
    </w:lvl>
    <w:lvl w:ilvl="2" w:tplc="0C09001B" w:tentative="1">
      <w:start w:val="1"/>
      <w:numFmt w:val="lowerRoman"/>
      <w:lvlText w:val="%3."/>
      <w:lvlJc w:val="right"/>
      <w:pPr>
        <w:ind w:left="664" w:hanging="180"/>
      </w:pPr>
    </w:lvl>
    <w:lvl w:ilvl="3" w:tplc="0C09000F" w:tentative="1">
      <w:start w:val="1"/>
      <w:numFmt w:val="decimal"/>
      <w:lvlText w:val="%4."/>
      <w:lvlJc w:val="left"/>
      <w:pPr>
        <w:ind w:left="1384" w:hanging="360"/>
      </w:pPr>
    </w:lvl>
    <w:lvl w:ilvl="4" w:tplc="0C090019" w:tentative="1">
      <w:start w:val="1"/>
      <w:numFmt w:val="lowerLetter"/>
      <w:lvlText w:val="%5."/>
      <w:lvlJc w:val="left"/>
      <w:pPr>
        <w:ind w:left="2104" w:hanging="360"/>
      </w:pPr>
    </w:lvl>
    <w:lvl w:ilvl="5" w:tplc="0C09001B" w:tentative="1">
      <w:start w:val="1"/>
      <w:numFmt w:val="lowerRoman"/>
      <w:lvlText w:val="%6."/>
      <w:lvlJc w:val="right"/>
      <w:pPr>
        <w:ind w:left="2824" w:hanging="180"/>
      </w:pPr>
    </w:lvl>
    <w:lvl w:ilvl="6" w:tplc="0C09000F" w:tentative="1">
      <w:start w:val="1"/>
      <w:numFmt w:val="decimal"/>
      <w:lvlText w:val="%7."/>
      <w:lvlJc w:val="left"/>
      <w:pPr>
        <w:ind w:left="3544" w:hanging="360"/>
      </w:pPr>
    </w:lvl>
    <w:lvl w:ilvl="7" w:tplc="0C090019" w:tentative="1">
      <w:start w:val="1"/>
      <w:numFmt w:val="lowerLetter"/>
      <w:lvlText w:val="%8."/>
      <w:lvlJc w:val="left"/>
      <w:pPr>
        <w:ind w:left="4264" w:hanging="360"/>
      </w:pPr>
    </w:lvl>
    <w:lvl w:ilvl="8" w:tplc="0C09001B" w:tentative="1">
      <w:start w:val="1"/>
      <w:numFmt w:val="lowerRoman"/>
      <w:lvlText w:val="%9."/>
      <w:lvlJc w:val="right"/>
      <w:pPr>
        <w:ind w:left="4984" w:hanging="180"/>
      </w:pPr>
    </w:lvl>
  </w:abstractNum>
  <w:abstractNum w:abstractNumId="15">
    <w:nsid w:val="78023603"/>
    <w:multiLevelType w:val="hybridMultilevel"/>
    <w:tmpl w:val="814A7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99D4405"/>
    <w:multiLevelType w:val="hybridMultilevel"/>
    <w:tmpl w:val="35F6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B9D7D44"/>
    <w:multiLevelType w:val="hybridMultilevel"/>
    <w:tmpl w:val="F9AA970C"/>
    <w:lvl w:ilvl="0" w:tplc="7F9CF1C8">
      <w:start w:val="1"/>
      <w:numFmt w:val="bullet"/>
      <w:lvlText w:val=""/>
      <w:lvlJc w:val="left"/>
      <w:pPr>
        <w:tabs>
          <w:tab w:val="num" w:pos="-568"/>
        </w:tabs>
        <w:ind w:left="283" w:hanging="283"/>
      </w:pPr>
      <w:rPr>
        <w:rFonts w:ascii="Symbol" w:hAnsi="Symbol" w:hint="default"/>
      </w:rPr>
    </w:lvl>
    <w:lvl w:ilvl="1" w:tplc="8B54880C">
      <w:start w:val="1"/>
      <w:numFmt w:val="bullet"/>
      <w:lvlText w:val="o"/>
      <w:lvlJc w:val="left"/>
      <w:pPr>
        <w:tabs>
          <w:tab w:val="num" w:pos="1444"/>
        </w:tabs>
        <w:ind w:left="1444" w:hanging="360"/>
      </w:pPr>
      <w:rPr>
        <w:rFonts w:ascii="Courier New" w:hAnsi="Courier New" w:hint="default"/>
      </w:rPr>
    </w:lvl>
    <w:lvl w:ilvl="2" w:tplc="0C09001B">
      <w:start w:val="1"/>
      <w:numFmt w:val="bullet"/>
      <w:lvlText w:val=""/>
      <w:lvlJc w:val="left"/>
      <w:pPr>
        <w:tabs>
          <w:tab w:val="num" w:pos="2164"/>
        </w:tabs>
        <w:ind w:left="2164" w:hanging="360"/>
      </w:pPr>
      <w:rPr>
        <w:rFonts w:ascii="Wingdings" w:hAnsi="Wingdings" w:hint="default"/>
      </w:rPr>
    </w:lvl>
    <w:lvl w:ilvl="3" w:tplc="0C09000F" w:tentative="1">
      <w:start w:val="1"/>
      <w:numFmt w:val="bullet"/>
      <w:lvlText w:val=""/>
      <w:lvlJc w:val="left"/>
      <w:pPr>
        <w:tabs>
          <w:tab w:val="num" w:pos="2884"/>
        </w:tabs>
        <w:ind w:left="2884" w:hanging="360"/>
      </w:pPr>
      <w:rPr>
        <w:rFonts w:ascii="Symbol" w:hAnsi="Symbol" w:hint="default"/>
      </w:rPr>
    </w:lvl>
    <w:lvl w:ilvl="4" w:tplc="0C090019" w:tentative="1">
      <w:start w:val="1"/>
      <w:numFmt w:val="bullet"/>
      <w:lvlText w:val="o"/>
      <w:lvlJc w:val="left"/>
      <w:pPr>
        <w:tabs>
          <w:tab w:val="num" w:pos="3604"/>
        </w:tabs>
        <w:ind w:left="3604" w:hanging="360"/>
      </w:pPr>
      <w:rPr>
        <w:rFonts w:ascii="Courier New" w:hAnsi="Courier New" w:hint="default"/>
      </w:rPr>
    </w:lvl>
    <w:lvl w:ilvl="5" w:tplc="0C09001B" w:tentative="1">
      <w:start w:val="1"/>
      <w:numFmt w:val="bullet"/>
      <w:lvlText w:val=""/>
      <w:lvlJc w:val="left"/>
      <w:pPr>
        <w:tabs>
          <w:tab w:val="num" w:pos="4324"/>
        </w:tabs>
        <w:ind w:left="4324" w:hanging="360"/>
      </w:pPr>
      <w:rPr>
        <w:rFonts w:ascii="Wingdings" w:hAnsi="Wingdings" w:hint="default"/>
      </w:rPr>
    </w:lvl>
    <w:lvl w:ilvl="6" w:tplc="0C09000F" w:tentative="1">
      <w:start w:val="1"/>
      <w:numFmt w:val="bullet"/>
      <w:lvlText w:val=""/>
      <w:lvlJc w:val="left"/>
      <w:pPr>
        <w:tabs>
          <w:tab w:val="num" w:pos="5044"/>
        </w:tabs>
        <w:ind w:left="5044" w:hanging="360"/>
      </w:pPr>
      <w:rPr>
        <w:rFonts w:ascii="Symbol" w:hAnsi="Symbol" w:hint="default"/>
      </w:rPr>
    </w:lvl>
    <w:lvl w:ilvl="7" w:tplc="0C090019" w:tentative="1">
      <w:start w:val="1"/>
      <w:numFmt w:val="bullet"/>
      <w:lvlText w:val="o"/>
      <w:lvlJc w:val="left"/>
      <w:pPr>
        <w:tabs>
          <w:tab w:val="num" w:pos="5764"/>
        </w:tabs>
        <w:ind w:left="5764" w:hanging="360"/>
      </w:pPr>
      <w:rPr>
        <w:rFonts w:ascii="Courier New" w:hAnsi="Courier New" w:hint="default"/>
      </w:rPr>
    </w:lvl>
    <w:lvl w:ilvl="8" w:tplc="0C09001B" w:tentative="1">
      <w:start w:val="1"/>
      <w:numFmt w:val="bullet"/>
      <w:lvlText w:val=""/>
      <w:lvlJc w:val="left"/>
      <w:pPr>
        <w:tabs>
          <w:tab w:val="num" w:pos="6484"/>
        </w:tabs>
        <w:ind w:left="6484" w:hanging="360"/>
      </w:pPr>
      <w:rPr>
        <w:rFonts w:ascii="Wingdings" w:hAnsi="Wingdings" w:hint="default"/>
      </w:rPr>
    </w:lvl>
  </w:abstractNum>
  <w:num w:numId="1">
    <w:abstractNumId w:val="15"/>
  </w:num>
  <w:num w:numId="2">
    <w:abstractNumId w:val="16"/>
  </w:num>
  <w:num w:numId="3">
    <w:abstractNumId w:val="0"/>
  </w:num>
  <w:num w:numId="4">
    <w:abstractNumId w:val="11"/>
  </w:num>
  <w:num w:numId="5">
    <w:abstractNumId w:val="9"/>
  </w:num>
  <w:num w:numId="6">
    <w:abstractNumId w:val="2"/>
  </w:num>
  <w:num w:numId="7">
    <w:abstractNumId w:val="13"/>
  </w:num>
  <w:num w:numId="8">
    <w:abstractNumId w:val="5"/>
  </w:num>
  <w:num w:numId="9">
    <w:abstractNumId w:val="8"/>
  </w:num>
  <w:num w:numId="10">
    <w:abstractNumId w:val="3"/>
  </w:num>
  <w:num w:numId="11">
    <w:abstractNumId w:val="4"/>
  </w:num>
  <w:num w:numId="12">
    <w:abstractNumId w:val="14"/>
  </w:num>
  <w:num w:numId="13">
    <w:abstractNumId w:val="17"/>
  </w:num>
  <w:num w:numId="14">
    <w:abstractNumId w:val="10"/>
  </w:num>
  <w:num w:numId="15">
    <w:abstractNumId w:val="12"/>
  </w:num>
  <w:num w:numId="16">
    <w:abstractNumId w:val="7"/>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CC"/>
    <w:rsid w:val="00004EC5"/>
    <w:rsid w:val="00011904"/>
    <w:rsid w:val="0003470E"/>
    <w:rsid w:val="00042BF3"/>
    <w:rsid w:val="000B43A1"/>
    <w:rsid w:val="000D2E19"/>
    <w:rsid w:val="000D359C"/>
    <w:rsid w:val="000F6DAA"/>
    <w:rsid w:val="00111347"/>
    <w:rsid w:val="00117B81"/>
    <w:rsid w:val="00121FEE"/>
    <w:rsid w:val="001279FE"/>
    <w:rsid w:val="00136F7C"/>
    <w:rsid w:val="00150BC7"/>
    <w:rsid w:val="00160C17"/>
    <w:rsid w:val="00160D4A"/>
    <w:rsid w:val="001626D3"/>
    <w:rsid w:val="0018583D"/>
    <w:rsid w:val="00190BCF"/>
    <w:rsid w:val="00196656"/>
    <w:rsid w:val="00197D19"/>
    <w:rsid w:val="001A4DFF"/>
    <w:rsid w:val="00230784"/>
    <w:rsid w:val="0023638D"/>
    <w:rsid w:val="00247054"/>
    <w:rsid w:val="00262D21"/>
    <w:rsid w:val="00272465"/>
    <w:rsid w:val="002A5E0C"/>
    <w:rsid w:val="002B7785"/>
    <w:rsid w:val="002D2B74"/>
    <w:rsid w:val="002F799F"/>
    <w:rsid w:val="00304082"/>
    <w:rsid w:val="00324236"/>
    <w:rsid w:val="00354B78"/>
    <w:rsid w:val="00357ED5"/>
    <w:rsid w:val="00364678"/>
    <w:rsid w:val="003713E7"/>
    <w:rsid w:val="003719C4"/>
    <w:rsid w:val="0037590C"/>
    <w:rsid w:val="00375B4D"/>
    <w:rsid w:val="003869AC"/>
    <w:rsid w:val="00393150"/>
    <w:rsid w:val="003A53BB"/>
    <w:rsid w:val="003A7F95"/>
    <w:rsid w:val="003D4C55"/>
    <w:rsid w:val="003D6B68"/>
    <w:rsid w:val="003E61DF"/>
    <w:rsid w:val="00402355"/>
    <w:rsid w:val="00425036"/>
    <w:rsid w:val="0044037D"/>
    <w:rsid w:val="00492972"/>
    <w:rsid w:val="004B1AAF"/>
    <w:rsid w:val="004C12CC"/>
    <w:rsid w:val="004C307F"/>
    <w:rsid w:val="004C30BB"/>
    <w:rsid w:val="004E130B"/>
    <w:rsid w:val="004F3550"/>
    <w:rsid w:val="005037FF"/>
    <w:rsid w:val="005207AE"/>
    <w:rsid w:val="0055413B"/>
    <w:rsid w:val="0055662F"/>
    <w:rsid w:val="00563D7C"/>
    <w:rsid w:val="00564632"/>
    <w:rsid w:val="0057396E"/>
    <w:rsid w:val="005765A7"/>
    <w:rsid w:val="005914F3"/>
    <w:rsid w:val="005B2256"/>
    <w:rsid w:val="005C65AD"/>
    <w:rsid w:val="005D744E"/>
    <w:rsid w:val="005E0490"/>
    <w:rsid w:val="005E55A9"/>
    <w:rsid w:val="005F3644"/>
    <w:rsid w:val="00622DC4"/>
    <w:rsid w:val="006247CB"/>
    <w:rsid w:val="00624DAC"/>
    <w:rsid w:val="00627AAF"/>
    <w:rsid w:val="006356BB"/>
    <w:rsid w:val="00640143"/>
    <w:rsid w:val="00641EDC"/>
    <w:rsid w:val="00661B52"/>
    <w:rsid w:val="00683FA3"/>
    <w:rsid w:val="006A57FC"/>
    <w:rsid w:val="006B287F"/>
    <w:rsid w:val="006C37F2"/>
    <w:rsid w:val="006D5D49"/>
    <w:rsid w:val="006F0DF5"/>
    <w:rsid w:val="00700D44"/>
    <w:rsid w:val="00703322"/>
    <w:rsid w:val="00712F28"/>
    <w:rsid w:val="00730223"/>
    <w:rsid w:val="00734E98"/>
    <w:rsid w:val="007448B6"/>
    <w:rsid w:val="00754B4A"/>
    <w:rsid w:val="00757D56"/>
    <w:rsid w:val="007659A2"/>
    <w:rsid w:val="00782D22"/>
    <w:rsid w:val="007A1006"/>
    <w:rsid w:val="007B182B"/>
    <w:rsid w:val="007C6771"/>
    <w:rsid w:val="007D7ABE"/>
    <w:rsid w:val="007E313C"/>
    <w:rsid w:val="007E47BF"/>
    <w:rsid w:val="00801DA2"/>
    <w:rsid w:val="008128C1"/>
    <w:rsid w:val="00814AAB"/>
    <w:rsid w:val="00814C77"/>
    <w:rsid w:val="00815DD0"/>
    <w:rsid w:val="00826C6B"/>
    <w:rsid w:val="00830CEC"/>
    <w:rsid w:val="00836835"/>
    <w:rsid w:val="00843D27"/>
    <w:rsid w:val="00847BDB"/>
    <w:rsid w:val="00860CE4"/>
    <w:rsid w:val="0086667C"/>
    <w:rsid w:val="008773FB"/>
    <w:rsid w:val="0088442C"/>
    <w:rsid w:val="008939D1"/>
    <w:rsid w:val="00895241"/>
    <w:rsid w:val="0089594A"/>
    <w:rsid w:val="008A766F"/>
    <w:rsid w:val="008B4D24"/>
    <w:rsid w:val="008C15E5"/>
    <w:rsid w:val="008D504C"/>
    <w:rsid w:val="008D7A62"/>
    <w:rsid w:val="008E071C"/>
    <w:rsid w:val="008E1A44"/>
    <w:rsid w:val="008F43DB"/>
    <w:rsid w:val="009057EC"/>
    <w:rsid w:val="00942FD0"/>
    <w:rsid w:val="00975D33"/>
    <w:rsid w:val="00984E5B"/>
    <w:rsid w:val="009857DD"/>
    <w:rsid w:val="00993F4F"/>
    <w:rsid w:val="00997B83"/>
    <w:rsid w:val="009A743A"/>
    <w:rsid w:val="009C3B60"/>
    <w:rsid w:val="009E5BF3"/>
    <w:rsid w:val="009E62A2"/>
    <w:rsid w:val="00A117B2"/>
    <w:rsid w:val="00A12E57"/>
    <w:rsid w:val="00A22DAD"/>
    <w:rsid w:val="00A338C1"/>
    <w:rsid w:val="00A33A00"/>
    <w:rsid w:val="00A50019"/>
    <w:rsid w:val="00A803D5"/>
    <w:rsid w:val="00A912CC"/>
    <w:rsid w:val="00A934C3"/>
    <w:rsid w:val="00AD361D"/>
    <w:rsid w:val="00B05043"/>
    <w:rsid w:val="00B534C4"/>
    <w:rsid w:val="00B82862"/>
    <w:rsid w:val="00B864E5"/>
    <w:rsid w:val="00BB29DE"/>
    <w:rsid w:val="00BD6B99"/>
    <w:rsid w:val="00BD779F"/>
    <w:rsid w:val="00BE15BE"/>
    <w:rsid w:val="00BE35C6"/>
    <w:rsid w:val="00C01E48"/>
    <w:rsid w:val="00C140EB"/>
    <w:rsid w:val="00C24A58"/>
    <w:rsid w:val="00C3146C"/>
    <w:rsid w:val="00C33092"/>
    <w:rsid w:val="00C4393C"/>
    <w:rsid w:val="00C47441"/>
    <w:rsid w:val="00C55DAE"/>
    <w:rsid w:val="00C60B2A"/>
    <w:rsid w:val="00C640C7"/>
    <w:rsid w:val="00C67DCD"/>
    <w:rsid w:val="00CD0D5A"/>
    <w:rsid w:val="00CD48CA"/>
    <w:rsid w:val="00CE1F46"/>
    <w:rsid w:val="00CF4AF5"/>
    <w:rsid w:val="00CF6946"/>
    <w:rsid w:val="00D009D3"/>
    <w:rsid w:val="00D00F9F"/>
    <w:rsid w:val="00D07FE6"/>
    <w:rsid w:val="00D16C08"/>
    <w:rsid w:val="00D96D6C"/>
    <w:rsid w:val="00DD3DE5"/>
    <w:rsid w:val="00DE2EE5"/>
    <w:rsid w:val="00E104A4"/>
    <w:rsid w:val="00E37530"/>
    <w:rsid w:val="00E451CA"/>
    <w:rsid w:val="00E560A8"/>
    <w:rsid w:val="00E578DE"/>
    <w:rsid w:val="00ED0C5A"/>
    <w:rsid w:val="00EE64BE"/>
    <w:rsid w:val="00F0201A"/>
    <w:rsid w:val="00F0214C"/>
    <w:rsid w:val="00F166F2"/>
    <w:rsid w:val="00F2634E"/>
    <w:rsid w:val="00F4487C"/>
    <w:rsid w:val="00F6046F"/>
    <w:rsid w:val="00F70563"/>
    <w:rsid w:val="00FA7830"/>
    <w:rsid w:val="00FB040B"/>
    <w:rsid w:val="00FB0B8C"/>
    <w:rsid w:val="00FD4F03"/>
    <w:rsid w:val="00FD54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B0FF"/>
  <w15:chartTrackingRefBased/>
  <w15:docId w15:val="{C4A35A04-5E53-4BDB-9126-4594BED5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D744E"/>
    <w:pPr>
      <w:keepNext/>
      <w:spacing w:before="60" w:after="60" w:line="240" w:lineRule="atLeast"/>
      <w:outlineLvl w:val="1"/>
    </w:pPr>
    <w:rPr>
      <w:rFonts w:ascii="Arial" w:eastAsia="Times New Roman" w:hAnsi="Arial" w:cs="Arial"/>
      <w:b/>
      <w:bCs/>
      <w:iCs/>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ulletlevel10">
    <w:name w:val="acmabulletlevel1"/>
    <w:basedOn w:val="Normal"/>
    <w:rsid w:val="004C12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C12CC"/>
  </w:style>
  <w:style w:type="paragraph" w:customStyle="1" w:styleId="dotpoints">
    <w:name w:val="dotpoints"/>
    <w:basedOn w:val="Normal"/>
    <w:rsid w:val="004C12C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4C12CC"/>
    <w:pPr>
      <w:ind w:left="720"/>
      <w:contextualSpacing/>
    </w:pPr>
  </w:style>
  <w:style w:type="character" w:styleId="Hyperlink">
    <w:name w:val="Hyperlink"/>
    <w:basedOn w:val="DefaultParagraphFont"/>
    <w:uiPriority w:val="99"/>
    <w:rsid w:val="00272465"/>
    <w:rPr>
      <w:color w:val="0000FF"/>
      <w:u w:val="single"/>
    </w:rPr>
  </w:style>
  <w:style w:type="character" w:styleId="FootnoteReference">
    <w:name w:val="footnote reference"/>
    <w:aliases w:val="Appel note de bas de p,Appel note de bas de p + 11 pt,Italic,Footnote,Style 12,(NECG) Footnote Reference,Style 124,o,fr,Style 3,Appel note de bas de p1,Appel note de bas de p2,Appel note de bas de p3,Footnote Reference/"/>
    <w:basedOn w:val="DefaultParagraphFont"/>
    <w:rsid w:val="00272465"/>
    <w:rPr>
      <w:rFonts w:ascii="Arial" w:hAnsi="Arial"/>
      <w:vertAlign w:val="superscript"/>
    </w:rPr>
  </w:style>
  <w:style w:type="paragraph" w:styleId="FootnoteText">
    <w:name w:val="footnote text"/>
    <w:aliases w:val="ACMA Footnote Text,footnote text,Footnote Text Char1,Footnote Text Char Char,Footnote Text Char1 Char Char,Footnote Text Char Char Char Char,Footnote Text Char1 Char Char Char Char,Footnote Text Char Char Char Char Char Char,f,fn"/>
    <w:basedOn w:val="Normal"/>
    <w:link w:val="FootnoteTextChar"/>
    <w:rsid w:val="00272465"/>
    <w:pPr>
      <w:spacing w:after="0" w:line="240" w:lineRule="atLeast"/>
    </w:pPr>
    <w:rPr>
      <w:rFonts w:ascii="Arial" w:eastAsia="Times New Roman" w:hAnsi="Arial" w:cs="Times New Roman"/>
      <w:sz w:val="16"/>
      <w:szCs w:val="16"/>
      <w:lang w:eastAsia="en-AU"/>
    </w:rPr>
  </w:style>
  <w:style w:type="character" w:customStyle="1" w:styleId="FootnoteTextChar">
    <w:name w:val="Footnote Text Char"/>
    <w:aliases w:val="ACMA Footnote Text Char,footnote text Char,Footnote Text Char1 Char,Footnote Text Char Char Char,Footnote Text Char1 Char Char Char,Footnote Text Char Char Char Char Char,Footnote Text Char1 Char Char Char Char Char,f Char,fn Char"/>
    <w:basedOn w:val="DefaultParagraphFont"/>
    <w:link w:val="FootnoteText"/>
    <w:rsid w:val="00272465"/>
    <w:rPr>
      <w:rFonts w:ascii="Arial" w:eastAsia="Times New Roman" w:hAnsi="Arial" w:cs="Times New Roman"/>
      <w:sz w:val="16"/>
      <w:szCs w:val="16"/>
      <w:lang w:eastAsia="en-AU"/>
    </w:rPr>
  </w:style>
  <w:style w:type="character" w:customStyle="1" w:styleId="charpartno">
    <w:name w:val="charpartno"/>
    <w:basedOn w:val="DefaultParagraphFont"/>
    <w:rsid w:val="00262D21"/>
  </w:style>
  <w:style w:type="character" w:customStyle="1" w:styleId="charparttext">
    <w:name w:val="charparttext"/>
    <w:basedOn w:val="DefaultParagraphFont"/>
    <w:rsid w:val="00262D21"/>
  </w:style>
  <w:style w:type="paragraph" w:customStyle="1" w:styleId="A1S">
    <w:name w:val="A1S"/>
    <w:aliases w:val="1.Schedule Amendment"/>
    <w:basedOn w:val="Normal"/>
    <w:next w:val="A2S"/>
    <w:rsid w:val="00A33A00"/>
    <w:pPr>
      <w:keepNext/>
      <w:keepLines/>
      <w:spacing w:before="480" w:after="0" w:line="260" w:lineRule="exact"/>
      <w:ind w:left="964" w:hanging="964"/>
    </w:pPr>
    <w:rPr>
      <w:rFonts w:ascii="Arial" w:eastAsia="Times New Roman" w:hAnsi="Arial" w:cs="Times New Roman"/>
      <w:b/>
      <w:sz w:val="24"/>
      <w:szCs w:val="24"/>
      <w:lang w:eastAsia="en-AU"/>
    </w:rPr>
  </w:style>
  <w:style w:type="paragraph" w:customStyle="1" w:styleId="A2S">
    <w:name w:val="A2S"/>
    <w:aliases w:val="Schedule Inst Amendment"/>
    <w:basedOn w:val="Normal"/>
    <w:next w:val="Normal"/>
    <w:rsid w:val="00A33A00"/>
    <w:pPr>
      <w:keepNext/>
      <w:spacing w:before="120" w:after="0" w:line="260" w:lineRule="exact"/>
      <w:ind w:left="964"/>
    </w:pPr>
    <w:rPr>
      <w:rFonts w:ascii="Times New Roman" w:eastAsia="Times New Roman" w:hAnsi="Times New Roman" w:cs="Times New Roman"/>
      <w:i/>
      <w:sz w:val="24"/>
      <w:szCs w:val="24"/>
      <w:lang w:eastAsia="en-AU"/>
    </w:rPr>
  </w:style>
  <w:style w:type="paragraph" w:customStyle="1" w:styleId="R2">
    <w:name w:val="R2"/>
    <w:aliases w:val="(2)"/>
    <w:basedOn w:val="Normal"/>
    <w:rsid w:val="00A33A00"/>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rsid w:val="005D744E"/>
    <w:rPr>
      <w:rFonts w:ascii="Arial" w:eastAsia="Times New Roman" w:hAnsi="Arial" w:cs="Arial"/>
      <w:b/>
      <w:bCs/>
      <w:iCs/>
      <w:sz w:val="28"/>
      <w:szCs w:val="28"/>
      <w:lang w:eastAsia="en-AU"/>
    </w:rPr>
  </w:style>
  <w:style w:type="paragraph" w:styleId="Caption">
    <w:name w:val="caption"/>
    <w:basedOn w:val="Normal"/>
    <w:next w:val="Normal"/>
    <w:qFormat/>
    <w:rsid w:val="005D744E"/>
    <w:pPr>
      <w:spacing w:after="0" w:line="240" w:lineRule="atLeast"/>
    </w:pPr>
    <w:rPr>
      <w:rFonts w:ascii="Arial" w:eastAsia="Times New Roman" w:hAnsi="Arial" w:cs="Times New Roman"/>
      <w:b/>
      <w:bCs/>
      <w:color w:val="808285"/>
      <w:sz w:val="20"/>
      <w:szCs w:val="20"/>
      <w:lang w:eastAsia="en-AU"/>
    </w:rPr>
  </w:style>
  <w:style w:type="paragraph" w:styleId="ListBullet">
    <w:name w:val="List Bullet"/>
    <w:basedOn w:val="Normal"/>
    <w:rsid w:val="005D744E"/>
    <w:pPr>
      <w:numPr>
        <w:numId w:val="3"/>
      </w:numPr>
      <w:spacing w:after="80" w:line="240" w:lineRule="atLeast"/>
    </w:pPr>
    <w:rPr>
      <w:rFonts w:ascii="Arial" w:eastAsia="Times New Roman" w:hAnsi="Arial" w:cs="Times New Roman"/>
      <w:sz w:val="20"/>
      <w:szCs w:val="24"/>
      <w:lang w:eastAsia="en-AU"/>
    </w:rPr>
  </w:style>
  <w:style w:type="paragraph" w:customStyle="1" w:styleId="acmabodytext">
    <w:name w:val="acmabodytext"/>
    <w:basedOn w:val="Normal"/>
    <w:rsid w:val="00160C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egsubtitle1">
    <w:name w:val="legsubtitle1"/>
    <w:basedOn w:val="DefaultParagraphFont"/>
    <w:rsid w:val="00BB29DE"/>
    <w:rPr>
      <w:rFonts w:ascii="Helvetica Neue" w:hAnsi="Helvetica Neue" w:hint="default"/>
      <w:b/>
      <w:bCs/>
      <w:sz w:val="28"/>
      <w:szCs w:val="28"/>
    </w:rPr>
  </w:style>
  <w:style w:type="paragraph" w:customStyle="1" w:styleId="Default">
    <w:name w:val="Default"/>
    <w:rsid w:val="00E560A8"/>
    <w:pPr>
      <w:autoSpaceDE w:val="0"/>
      <w:autoSpaceDN w:val="0"/>
      <w:adjustRightInd w:val="0"/>
      <w:spacing w:after="0" w:line="240" w:lineRule="auto"/>
    </w:pPr>
    <w:rPr>
      <w:rFonts w:ascii="Arial" w:hAnsi="Arial" w:cs="Arial"/>
      <w:color w:val="000000"/>
      <w:sz w:val="24"/>
      <w:szCs w:val="24"/>
    </w:rPr>
  </w:style>
  <w:style w:type="character" w:customStyle="1" w:styleId="maincopy1">
    <w:name w:val="maincopy1"/>
    <w:basedOn w:val="DefaultParagraphFont"/>
    <w:rsid w:val="002A5E0C"/>
    <w:rPr>
      <w:rFonts w:ascii="Verdana" w:hAnsi="Verdana" w:hint="default"/>
      <w:b w:val="0"/>
      <w:bCs w:val="0"/>
      <w:color w:val="707A7B"/>
      <w:sz w:val="17"/>
      <w:szCs w:val="17"/>
    </w:rPr>
  </w:style>
  <w:style w:type="paragraph" w:customStyle="1" w:styleId="ACMABodyText0">
    <w:name w:val="ACMA Body Text"/>
    <w:link w:val="ACMABodyTextChar"/>
    <w:rsid w:val="002F799F"/>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
    <w:name w:val="ACMA Body Text Char"/>
    <w:basedOn w:val="DefaultParagraphFont"/>
    <w:link w:val="ACMABodyText0"/>
    <w:locked/>
    <w:rsid w:val="002F799F"/>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0F6DAA"/>
    <w:rPr>
      <w:sz w:val="16"/>
      <w:szCs w:val="16"/>
    </w:rPr>
  </w:style>
  <w:style w:type="paragraph" w:styleId="CommentText">
    <w:name w:val="annotation text"/>
    <w:basedOn w:val="Normal"/>
    <w:link w:val="CommentTextChar"/>
    <w:uiPriority w:val="99"/>
    <w:semiHidden/>
    <w:unhideWhenUsed/>
    <w:rsid w:val="000F6DAA"/>
    <w:pPr>
      <w:spacing w:line="240" w:lineRule="auto"/>
    </w:pPr>
    <w:rPr>
      <w:sz w:val="20"/>
      <w:szCs w:val="20"/>
    </w:rPr>
  </w:style>
  <w:style w:type="character" w:customStyle="1" w:styleId="CommentTextChar">
    <w:name w:val="Comment Text Char"/>
    <w:basedOn w:val="DefaultParagraphFont"/>
    <w:link w:val="CommentText"/>
    <w:uiPriority w:val="99"/>
    <w:semiHidden/>
    <w:rsid w:val="000F6DAA"/>
    <w:rPr>
      <w:sz w:val="20"/>
      <w:szCs w:val="20"/>
    </w:rPr>
  </w:style>
  <w:style w:type="paragraph" w:styleId="CommentSubject">
    <w:name w:val="annotation subject"/>
    <w:basedOn w:val="CommentText"/>
    <w:next w:val="CommentText"/>
    <w:link w:val="CommentSubjectChar"/>
    <w:uiPriority w:val="99"/>
    <w:semiHidden/>
    <w:unhideWhenUsed/>
    <w:rsid w:val="000F6DAA"/>
    <w:rPr>
      <w:b/>
      <w:bCs/>
    </w:rPr>
  </w:style>
  <w:style w:type="character" w:customStyle="1" w:styleId="CommentSubjectChar">
    <w:name w:val="Comment Subject Char"/>
    <w:basedOn w:val="CommentTextChar"/>
    <w:link w:val="CommentSubject"/>
    <w:uiPriority w:val="99"/>
    <w:semiHidden/>
    <w:rsid w:val="000F6DAA"/>
    <w:rPr>
      <w:b/>
      <w:bCs/>
      <w:sz w:val="20"/>
      <w:szCs w:val="20"/>
    </w:rPr>
  </w:style>
  <w:style w:type="paragraph" w:styleId="BalloonText">
    <w:name w:val="Balloon Text"/>
    <w:basedOn w:val="Normal"/>
    <w:link w:val="BalloonTextChar"/>
    <w:uiPriority w:val="99"/>
    <w:semiHidden/>
    <w:unhideWhenUsed/>
    <w:rsid w:val="000F6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DAA"/>
    <w:rPr>
      <w:rFonts w:ascii="Segoe UI" w:hAnsi="Segoe UI" w:cs="Segoe UI"/>
      <w:sz w:val="18"/>
      <w:szCs w:val="18"/>
    </w:rPr>
  </w:style>
  <w:style w:type="character" w:styleId="FollowedHyperlink">
    <w:name w:val="FollowedHyperlink"/>
    <w:basedOn w:val="DefaultParagraphFont"/>
    <w:uiPriority w:val="99"/>
    <w:semiHidden/>
    <w:unhideWhenUsed/>
    <w:rsid w:val="00150BC7"/>
    <w:rPr>
      <w:color w:val="954F72" w:themeColor="followedHyperlink"/>
      <w:u w:val="single"/>
    </w:rPr>
  </w:style>
  <w:style w:type="paragraph" w:customStyle="1" w:styleId="Definition">
    <w:name w:val="Definition"/>
    <w:aliases w:val="dd"/>
    <w:basedOn w:val="Normal"/>
    <w:rsid w:val="00150BC7"/>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rsid w:val="00150BC7"/>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150BC7"/>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styleId="Emphasis">
    <w:name w:val="Emphasis"/>
    <w:basedOn w:val="DefaultParagraphFont"/>
    <w:uiPriority w:val="20"/>
    <w:qFormat/>
    <w:rsid w:val="00627AAF"/>
    <w:rPr>
      <w:i/>
      <w:iCs/>
    </w:rPr>
  </w:style>
  <w:style w:type="paragraph" w:customStyle="1" w:styleId="R1">
    <w:name w:val="R1"/>
    <w:aliases w:val="1. or 1.(1)"/>
    <w:basedOn w:val="Normal"/>
    <w:next w:val="Normal"/>
    <w:rsid w:val="00627AAF"/>
    <w:pPr>
      <w:keepLines/>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ACMANumberedList">
    <w:name w:val="ACMA Numbered List"/>
    <w:link w:val="ACMANumberedListChar"/>
    <w:rsid w:val="00814C77"/>
    <w:pPr>
      <w:numPr>
        <w:numId w:val="10"/>
      </w:numPr>
      <w:spacing w:before="20" w:after="20" w:line="240" w:lineRule="auto"/>
    </w:pPr>
    <w:rPr>
      <w:rFonts w:ascii="Times New Roman" w:eastAsia="Times New Roman" w:hAnsi="Times New Roman" w:cs="Times New Roman"/>
      <w:sz w:val="24"/>
      <w:szCs w:val="20"/>
    </w:rPr>
  </w:style>
  <w:style w:type="paragraph" w:customStyle="1" w:styleId="ACMABulletLevel1">
    <w:name w:val="ACMA Bullet Level 1"/>
    <w:rsid w:val="00984E5B"/>
    <w:pPr>
      <w:numPr>
        <w:numId w:val="11"/>
      </w:numPr>
      <w:spacing w:after="120" w:line="240" w:lineRule="auto"/>
    </w:pPr>
    <w:rPr>
      <w:rFonts w:ascii="Times New Roman" w:eastAsia="Times New Roman" w:hAnsi="Times New Roman" w:cs="Times New Roman"/>
      <w:sz w:val="24"/>
      <w:szCs w:val="20"/>
    </w:rPr>
  </w:style>
  <w:style w:type="character" w:customStyle="1" w:styleId="ACMANumberedListChar">
    <w:name w:val="ACMA Numbered List Char"/>
    <w:basedOn w:val="DefaultParagraphFont"/>
    <w:link w:val="ACMANumberedList"/>
    <w:rsid w:val="00984E5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03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322"/>
  </w:style>
  <w:style w:type="paragraph" w:styleId="Footer">
    <w:name w:val="footer"/>
    <w:basedOn w:val="Normal"/>
    <w:link w:val="FooterChar"/>
    <w:uiPriority w:val="99"/>
    <w:unhideWhenUsed/>
    <w:rsid w:val="00703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34860">
      <w:bodyDiv w:val="1"/>
      <w:marLeft w:val="0"/>
      <w:marRight w:val="0"/>
      <w:marTop w:val="0"/>
      <w:marBottom w:val="0"/>
      <w:divBdr>
        <w:top w:val="none" w:sz="0" w:space="0" w:color="auto"/>
        <w:left w:val="none" w:sz="0" w:space="0" w:color="auto"/>
        <w:bottom w:val="none" w:sz="0" w:space="0" w:color="auto"/>
        <w:right w:val="none" w:sz="0" w:space="0" w:color="auto"/>
      </w:divBdr>
      <w:divsChild>
        <w:div w:id="1444305840">
          <w:marLeft w:val="0"/>
          <w:marRight w:val="0"/>
          <w:marTop w:val="0"/>
          <w:marBottom w:val="0"/>
          <w:divBdr>
            <w:top w:val="none" w:sz="0" w:space="0" w:color="auto"/>
            <w:left w:val="none" w:sz="0" w:space="0" w:color="auto"/>
            <w:bottom w:val="none" w:sz="0" w:space="0" w:color="auto"/>
            <w:right w:val="none" w:sz="0" w:space="0" w:color="auto"/>
          </w:divBdr>
          <w:divsChild>
            <w:div w:id="29036200">
              <w:marLeft w:val="0"/>
              <w:marRight w:val="0"/>
              <w:marTop w:val="0"/>
              <w:marBottom w:val="0"/>
              <w:divBdr>
                <w:top w:val="none" w:sz="0" w:space="0" w:color="auto"/>
                <w:left w:val="none" w:sz="0" w:space="0" w:color="auto"/>
                <w:bottom w:val="none" w:sz="0" w:space="0" w:color="auto"/>
                <w:right w:val="none" w:sz="0" w:space="0" w:color="auto"/>
              </w:divBdr>
              <w:divsChild>
                <w:div w:id="1561356192">
                  <w:marLeft w:val="0"/>
                  <w:marRight w:val="0"/>
                  <w:marTop w:val="0"/>
                  <w:marBottom w:val="0"/>
                  <w:divBdr>
                    <w:top w:val="none" w:sz="0" w:space="0" w:color="auto"/>
                    <w:left w:val="none" w:sz="0" w:space="0" w:color="auto"/>
                    <w:bottom w:val="none" w:sz="0" w:space="0" w:color="auto"/>
                    <w:right w:val="none" w:sz="0" w:space="0" w:color="auto"/>
                  </w:divBdr>
                  <w:divsChild>
                    <w:div w:id="1773816396">
                      <w:marLeft w:val="0"/>
                      <w:marRight w:val="0"/>
                      <w:marTop w:val="0"/>
                      <w:marBottom w:val="0"/>
                      <w:divBdr>
                        <w:top w:val="none" w:sz="0" w:space="0" w:color="auto"/>
                        <w:left w:val="none" w:sz="0" w:space="0" w:color="auto"/>
                        <w:bottom w:val="none" w:sz="0" w:space="0" w:color="auto"/>
                        <w:right w:val="none" w:sz="0" w:space="0" w:color="auto"/>
                      </w:divBdr>
                      <w:divsChild>
                        <w:div w:id="433092886">
                          <w:marLeft w:val="0"/>
                          <w:marRight w:val="0"/>
                          <w:marTop w:val="0"/>
                          <w:marBottom w:val="0"/>
                          <w:divBdr>
                            <w:top w:val="single" w:sz="6" w:space="0" w:color="828282"/>
                            <w:left w:val="single" w:sz="6" w:space="0" w:color="828282"/>
                            <w:bottom w:val="single" w:sz="6" w:space="0" w:color="828282"/>
                            <w:right w:val="single" w:sz="6" w:space="0" w:color="828282"/>
                          </w:divBdr>
                          <w:divsChild>
                            <w:div w:id="1432774020">
                              <w:marLeft w:val="0"/>
                              <w:marRight w:val="0"/>
                              <w:marTop w:val="0"/>
                              <w:marBottom w:val="0"/>
                              <w:divBdr>
                                <w:top w:val="none" w:sz="0" w:space="0" w:color="auto"/>
                                <w:left w:val="none" w:sz="0" w:space="0" w:color="auto"/>
                                <w:bottom w:val="none" w:sz="0" w:space="0" w:color="auto"/>
                                <w:right w:val="none" w:sz="0" w:space="0" w:color="auto"/>
                              </w:divBdr>
                              <w:divsChild>
                                <w:div w:id="645860749">
                                  <w:marLeft w:val="0"/>
                                  <w:marRight w:val="0"/>
                                  <w:marTop w:val="0"/>
                                  <w:marBottom w:val="0"/>
                                  <w:divBdr>
                                    <w:top w:val="none" w:sz="0" w:space="0" w:color="auto"/>
                                    <w:left w:val="none" w:sz="0" w:space="0" w:color="auto"/>
                                    <w:bottom w:val="none" w:sz="0" w:space="0" w:color="auto"/>
                                    <w:right w:val="none" w:sz="0" w:space="0" w:color="auto"/>
                                  </w:divBdr>
                                  <w:divsChild>
                                    <w:div w:id="828248215">
                                      <w:marLeft w:val="0"/>
                                      <w:marRight w:val="0"/>
                                      <w:marTop w:val="0"/>
                                      <w:marBottom w:val="0"/>
                                      <w:divBdr>
                                        <w:top w:val="none" w:sz="0" w:space="0" w:color="auto"/>
                                        <w:left w:val="none" w:sz="0" w:space="0" w:color="auto"/>
                                        <w:bottom w:val="none" w:sz="0" w:space="0" w:color="auto"/>
                                        <w:right w:val="none" w:sz="0" w:space="0" w:color="auto"/>
                                      </w:divBdr>
                                      <w:divsChild>
                                        <w:div w:id="369260143">
                                          <w:marLeft w:val="0"/>
                                          <w:marRight w:val="0"/>
                                          <w:marTop w:val="0"/>
                                          <w:marBottom w:val="0"/>
                                          <w:divBdr>
                                            <w:top w:val="none" w:sz="0" w:space="0" w:color="auto"/>
                                            <w:left w:val="none" w:sz="0" w:space="0" w:color="auto"/>
                                            <w:bottom w:val="none" w:sz="0" w:space="0" w:color="auto"/>
                                            <w:right w:val="none" w:sz="0" w:space="0" w:color="auto"/>
                                          </w:divBdr>
                                          <w:divsChild>
                                            <w:div w:id="1384527122">
                                              <w:marLeft w:val="0"/>
                                              <w:marRight w:val="0"/>
                                              <w:marTop w:val="0"/>
                                              <w:marBottom w:val="0"/>
                                              <w:divBdr>
                                                <w:top w:val="none" w:sz="0" w:space="0" w:color="auto"/>
                                                <w:left w:val="none" w:sz="0" w:space="0" w:color="auto"/>
                                                <w:bottom w:val="none" w:sz="0" w:space="0" w:color="auto"/>
                                                <w:right w:val="none" w:sz="0" w:space="0" w:color="auto"/>
                                              </w:divBdr>
                                              <w:divsChild>
                                                <w:div w:id="11167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027195">
      <w:bodyDiv w:val="1"/>
      <w:marLeft w:val="0"/>
      <w:marRight w:val="0"/>
      <w:marTop w:val="0"/>
      <w:marBottom w:val="0"/>
      <w:divBdr>
        <w:top w:val="none" w:sz="0" w:space="0" w:color="auto"/>
        <w:left w:val="none" w:sz="0" w:space="0" w:color="auto"/>
        <w:bottom w:val="none" w:sz="0" w:space="0" w:color="auto"/>
        <w:right w:val="none" w:sz="0" w:space="0" w:color="auto"/>
      </w:divBdr>
      <w:divsChild>
        <w:div w:id="1390299839">
          <w:marLeft w:val="0"/>
          <w:marRight w:val="0"/>
          <w:marTop w:val="0"/>
          <w:marBottom w:val="0"/>
          <w:divBdr>
            <w:top w:val="none" w:sz="0" w:space="0" w:color="auto"/>
            <w:left w:val="none" w:sz="0" w:space="0" w:color="auto"/>
            <w:bottom w:val="none" w:sz="0" w:space="0" w:color="auto"/>
            <w:right w:val="none" w:sz="0" w:space="0" w:color="auto"/>
          </w:divBdr>
          <w:divsChild>
            <w:div w:id="1720398040">
              <w:marLeft w:val="0"/>
              <w:marRight w:val="0"/>
              <w:marTop w:val="0"/>
              <w:marBottom w:val="0"/>
              <w:divBdr>
                <w:top w:val="none" w:sz="0" w:space="0" w:color="auto"/>
                <w:left w:val="none" w:sz="0" w:space="0" w:color="auto"/>
                <w:bottom w:val="none" w:sz="0" w:space="0" w:color="auto"/>
                <w:right w:val="none" w:sz="0" w:space="0" w:color="auto"/>
              </w:divBdr>
              <w:divsChild>
                <w:div w:id="1633290627">
                  <w:marLeft w:val="0"/>
                  <w:marRight w:val="0"/>
                  <w:marTop w:val="0"/>
                  <w:marBottom w:val="0"/>
                  <w:divBdr>
                    <w:top w:val="none" w:sz="0" w:space="0" w:color="auto"/>
                    <w:left w:val="none" w:sz="0" w:space="0" w:color="auto"/>
                    <w:bottom w:val="none" w:sz="0" w:space="0" w:color="auto"/>
                    <w:right w:val="none" w:sz="0" w:space="0" w:color="auto"/>
                  </w:divBdr>
                  <w:divsChild>
                    <w:div w:id="659236859">
                      <w:marLeft w:val="0"/>
                      <w:marRight w:val="0"/>
                      <w:marTop w:val="0"/>
                      <w:marBottom w:val="0"/>
                      <w:divBdr>
                        <w:top w:val="none" w:sz="0" w:space="0" w:color="auto"/>
                        <w:left w:val="none" w:sz="0" w:space="0" w:color="auto"/>
                        <w:bottom w:val="none" w:sz="0" w:space="0" w:color="auto"/>
                        <w:right w:val="none" w:sz="0" w:space="0" w:color="auto"/>
                      </w:divBdr>
                      <w:divsChild>
                        <w:div w:id="257062511">
                          <w:marLeft w:val="0"/>
                          <w:marRight w:val="0"/>
                          <w:marTop w:val="0"/>
                          <w:marBottom w:val="0"/>
                          <w:divBdr>
                            <w:top w:val="single" w:sz="6" w:space="0" w:color="828282"/>
                            <w:left w:val="single" w:sz="6" w:space="0" w:color="828282"/>
                            <w:bottom w:val="single" w:sz="6" w:space="0" w:color="828282"/>
                            <w:right w:val="single" w:sz="6" w:space="0" w:color="828282"/>
                          </w:divBdr>
                          <w:divsChild>
                            <w:div w:id="702285968">
                              <w:marLeft w:val="0"/>
                              <w:marRight w:val="0"/>
                              <w:marTop w:val="0"/>
                              <w:marBottom w:val="0"/>
                              <w:divBdr>
                                <w:top w:val="none" w:sz="0" w:space="0" w:color="auto"/>
                                <w:left w:val="none" w:sz="0" w:space="0" w:color="auto"/>
                                <w:bottom w:val="none" w:sz="0" w:space="0" w:color="auto"/>
                                <w:right w:val="none" w:sz="0" w:space="0" w:color="auto"/>
                              </w:divBdr>
                              <w:divsChild>
                                <w:div w:id="1770808762">
                                  <w:marLeft w:val="0"/>
                                  <w:marRight w:val="0"/>
                                  <w:marTop w:val="0"/>
                                  <w:marBottom w:val="0"/>
                                  <w:divBdr>
                                    <w:top w:val="none" w:sz="0" w:space="0" w:color="auto"/>
                                    <w:left w:val="none" w:sz="0" w:space="0" w:color="auto"/>
                                    <w:bottom w:val="none" w:sz="0" w:space="0" w:color="auto"/>
                                    <w:right w:val="none" w:sz="0" w:space="0" w:color="auto"/>
                                  </w:divBdr>
                                  <w:divsChild>
                                    <w:div w:id="1085803159">
                                      <w:marLeft w:val="0"/>
                                      <w:marRight w:val="0"/>
                                      <w:marTop w:val="0"/>
                                      <w:marBottom w:val="0"/>
                                      <w:divBdr>
                                        <w:top w:val="none" w:sz="0" w:space="0" w:color="auto"/>
                                        <w:left w:val="none" w:sz="0" w:space="0" w:color="auto"/>
                                        <w:bottom w:val="none" w:sz="0" w:space="0" w:color="auto"/>
                                        <w:right w:val="none" w:sz="0" w:space="0" w:color="auto"/>
                                      </w:divBdr>
                                      <w:divsChild>
                                        <w:div w:id="1673415363">
                                          <w:marLeft w:val="0"/>
                                          <w:marRight w:val="0"/>
                                          <w:marTop w:val="0"/>
                                          <w:marBottom w:val="0"/>
                                          <w:divBdr>
                                            <w:top w:val="none" w:sz="0" w:space="0" w:color="auto"/>
                                            <w:left w:val="none" w:sz="0" w:space="0" w:color="auto"/>
                                            <w:bottom w:val="none" w:sz="0" w:space="0" w:color="auto"/>
                                            <w:right w:val="none" w:sz="0" w:space="0" w:color="auto"/>
                                          </w:divBdr>
                                          <w:divsChild>
                                            <w:div w:id="976253525">
                                              <w:marLeft w:val="0"/>
                                              <w:marRight w:val="0"/>
                                              <w:marTop w:val="0"/>
                                              <w:marBottom w:val="0"/>
                                              <w:divBdr>
                                                <w:top w:val="none" w:sz="0" w:space="0" w:color="auto"/>
                                                <w:left w:val="none" w:sz="0" w:space="0" w:color="auto"/>
                                                <w:bottom w:val="none" w:sz="0" w:space="0" w:color="auto"/>
                                                <w:right w:val="none" w:sz="0" w:space="0" w:color="auto"/>
                                              </w:divBdr>
                                              <w:divsChild>
                                                <w:div w:id="20714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2462265">
      <w:bodyDiv w:val="1"/>
      <w:marLeft w:val="0"/>
      <w:marRight w:val="0"/>
      <w:marTop w:val="0"/>
      <w:marBottom w:val="0"/>
      <w:divBdr>
        <w:top w:val="none" w:sz="0" w:space="0" w:color="auto"/>
        <w:left w:val="none" w:sz="0" w:space="0" w:color="auto"/>
        <w:bottom w:val="none" w:sz="0" w:space="0" w:color="auto"/>
        <w:right w:val="none" w:sz="0" w:space="0" w:color="auto"/>
      </w:divBdr>
      <w:divsChild>
        <w:div w:id="1218861039">
          <w:marLeft w:val="0"/>
          <w:marRight w:val="0"/>
          <w:marTop w:val="0"/>
          <w:marBottom w:val="0"/>
          <w:divBdr>
            <w:top w:val="none" w:sz="0" w:space="0" w:color="auto"/>
            <w:left w:val="none" w:sz="0" w:space="0" w:color="auto"/>
            <w:bottom w:val="none" w:sz="0" w:space="0" w:color="auto"/>
            <w:right w:val="none" w:sz="0" w:space="0" w:color="auto"/>
          </w:divBdr>
          <w:divsChild>
            <w:div w:id="971519228">
              <w:marLeft w:val="0"/>
              <w:marRight w:val="0"/>
              <w:marTop w:val="0"/>
              <w:marBottom w:val="0"/>
              <w:divBdr>
                <w:top w:val="none" w:sz="0" w:space="0" w:color="auto"/>
                <w:left w:val="none" w:sz="0" w:space="0" w:color="auto"/>
                <w:bottom w:val="none" w:sz="0" w:space="0" w:color="auto"/>
                <w:right w:val="none" w:sz="0" w:space="0" w:color="auto"/>
              </w:divBdr>
              <w:divsChild>
                <w:div w:id="1476070672">
                  <w:marLeft w:val="0"/>
                  <w:marRight w:val="0"/>
                  <w:marTop w:val="0"/>
                  <w:marBottom w:val="0"/>
                  <w:divBdr>
                    <w:top w:val="none" w:sz="0" w:space="0" w:color="auto"/>
                    <w:left w:val="none" w:sz="0" w:space="0" w:color="auto"/>
                    <w:bottom w:val="none" w:sz="0" w:space="0" w:color="auto"/>
                    <w:right w:val="none" w:sz="0" w:space="0" w:color="auto"/>
                  </w:divBdr>
                  <w:divsChild>
                    <w:div w:id="343754426">
                      <w:marLeft w:val="0"/>
                      <w:marRight w:val="0"/>
                      <w:marTop w:val="0"/>
                      <w:marBottom w:val="0"/>
                      <w:divBdr>
                        <w:top w:val="none" w:sz="0" w:space="0" w:color="auto"/>
                        <w:left w:val="none" w:sz="0" w:space="0" w:color="auto"/>
                        <w:bottom w:val="none" w:sz="0" w:space="0" w:color="auto"/>
                        <w:right w:val="none" w:sz="0" w:space="0" w:color="auto"/>
                      </w:divBdr>
                      <w:divsChild>
                        <w:div w:id="1814249961">
                          <w:marLeft w:val="0"/>
                          <w:marRight w:val="0"/>
                          <w:marTop w:val="0"/>
                          <w:marBottom w:val="0"/>
                          <w:divBdr>
                            <w:top w:val="single" w:sz="6" w:space="0" w:color="828282"/>
                            <w:left w:val="single" w:sz="6" w:space="0" w:color="828282"/>
                            <w:bottom w:val="single" w:sz="6" w:space="0" w:color="828282"/>
                            <w:right w:val="single" w:sz="6" w:space="0" w:color="828282"/>
                          </w:divBdr>
                          <w:divsChild>
                            <w:div w:id="2128766719">
                              <w:marLeft w:val="0"/>
                              <w:marRight w:val="0"/>
                              <w:marTop w:val="0"/>
                              <w:marBottom w:val="0"/>
                              <w:divBdr>
                                <w:top w:val="none" w:sz="0" w:space="0" w:color="auto"/>
                                <w:left w:val="none" w:sz="0" w:space="0" w:color="auto"/>
                                <w:bottom w:val="none" w:sz="0" w:space="0" w:color="auto"/>
                                <w:right w:val="none" w:sz="0" w:space="0" w:color="auto"/>
                              </w:divBdr>
                              <w:divsChild>
                                <w:div w:id="1455828325">
                                  <w:marLeft w:val="0"/>
                                  <w:marRight w:val="0"/>
                                  <w:marTop w:val="0"/>
                                  <w:marBottom w:val="0"/>
                                  <w:divBdr>
                                    <w:top w:val="none" w:sz="0" w:space="0" w:color="auto"/>
                                    <w:left w:val="none" w:sz="0" w:space="0" w:color="auto"/>
                                    <w:bottom w:val="none" w:sz="0" w:space="0" w:color="auto"/>
                                    <w:right w:val="none" w:sz="0" w:space="0" w:color="auto"/>
                                  </w:divBdr>
                                  <w:divsChild>
                                    <w:div w:id="2018002038">
                                      <w:marLeft w:val="0"/>
                                      <w:marRight w:val="0"/>
                                      <w:marTop w:val="0"/>
                                      <w:marBottom w:val="0"/>
                                      <w:divBdr>
                                        <w:top w:val="none" w:sz="0" w:space="0" w:color="auto"/>
                                        <w:left w:val="none" w:sz="0" w:space="0" w:color="auto"/>
                                        <w:bottom w:val="none" w:sz="0" w:space="0" w:color="auto"/>
                                        <w:right w:val="none" w:sz="0" w:space="0" w:color="auto"/>
                                      </w:divBdr>
                                      <w:divsChild>
                                        <w:div w:id="1823814039">
                                          <w:marLeft w:val="0"/>
                                          <w:marRight w:val="0"/>
                                          <w:marTop w:val="0"/>
                                          <w:marBottom w:val="0"/>
                                          <w:divBdr>
                                            <w:top w:val="none" w:sz="0" w:space="0" w:color="auto"/>
                                            <w:left w:val="none" w:sz="0" w:space="0" w:color="auto"/>
                                            <w:bottom w:val="none" w:sz="0" w:space="0" w:color="auto"/>
                                            <w:right w:val="none" w:sz="0" w:space="0" w:color="auto"/>
                                          </w:divBdr>
                                          <w:divsChild>
                                            <w:div w:id="195578745">
                                              <w:marLeft w:val="0"/>
                                              <w:marRight w:val="0"/>
                                              <w:marTop w:val="0"/>
                                              <w:marBottom w:val="0"/>
                                              <w:divBdr>
                                                <w:top w:val="none" w:sz="0" w:space="0" w:color="auto"/>
                                                <w:left w:val="none" w:sz="0" w:space="0" w:color="auto"/>
                                                <w:bottom w:val="none" w:sz="0" w:space="0" w:color="auto"/>
                                                <w:right w:val="none" w:sz="0" w:space="0" w:color="auto"/>
                                              </w:divBdr>
                                              <w:divsChild>
                                                <w:div w:id="11808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6334054">
      <w:bodyDiv w:val="1"/>
      <w:marLeft w:val="0"/>
      <w:marRight w:val="0"/>
      <w:marTop w:val="0"/>
      <w:marBottom w:val="0"/>
      <w:divBdr>
        <w:top w:val="none" w:sz="0" w:space="0" w:color="auto"/>
        <w:left w:val="none" w:sz="0" w:space="0" w:color="auto"/>
        <w:bottom w:val="none" w:sz="0" w:space="0" w:color="auto"/>
        <w:right w:val="none" w:sz="0" w:space="0" w:color="auto"/>
      </w:divBdr>
      <w:divsChild>
        <w:div w:id="199167091">
          <w:marLeft w:val="0"/>
          <w:marRight w:val="0"/>
          <w:marTop w:val="0"/>
          <w:marBottom w:val="0"/>
          <w:divBdr>
            <w:top w:val="none" w:sz="0" w:space="0" w:color="auto"/>
            <w:left w:val="none" w:sz="0" w:space="0" w:color="auto"/>
            <w:bottom w:val="none" w:sz="0" w:space="0" w:color="auto"/>
            <w:right w:val="none" w:sz="0" w:space="0" w:color="auto"/>
          </w:divBdr>
          <w:divsChild>
            <w:div w:id="2097360866">
              <w:marLeft w:val="0"/>
              <w:marRight w:val="0"/>
              <w:marTop w:val="0"/>
              <w:marBottom w:val="0"/>
              <w:divBdr>
                <w:top w:val="none" w:sz="0" w:space="0" w:color="auto"/>
                <w:left w:val="none" w:sz="0" w:space="0" w:color="auto"/>
                <w:bottom w:val="none" w:sz="0" w:space="0" w:color="auto"/>
                <w:right w:val="none" w:sz="0" w:space="0" w:color="auto"/>
              </w:divBdr>
              <w:divsChild>
                <w:div w:id="948126711">
                  <w:marLeft w:val="0"/>
                  <w:marRight w:val="0"/>
                  <w:marTop w:val="0"/>
                  <w:marBottom w:val="0"/>
                  <w:divBdr>
                    <w:top w:val="none" w:sz="0" w:space="0" w:color="auto"/>
                    <w:left w:val="none" w:sz="0" w:space="0" w:color="auto"/>
                    <w:bottom w:val="none" w:sz="0" w:space="0" w:color="auto"/>
                    <w:right w:val="none" w:sz="0" w:space="0" w:color="auto"/>
                  </w:divBdr>
                  <w:divsChild>
                    <w:div w:id="1984771741">
                      <w:marLeft w:val="0"/>
                      <w:marRight w:val="0"/>
                      <w:marTop w:val="0"/>
                      <w:marBottom w:val="0"/>
                      <w:divBdr>
                        <w:top w:val="none" w:sz="0" w:space="0" w:color="auto"/>
                        <w:left w:val="none" w:sz="0" w:space="0" w:color="auto"/>
                        <w:bottom w:val="none" w:sz="0" w:space="0" w:color="auto"/>
                        <w:right w:val="none" w:sz="0" w:space="0" w:color="auto"/>
                      </w:divBdr>
                      <w:divsChild>
                        <w:div w:id="1445727613">
                          <w:marLeft w:val="0"/>
                          <w:marRight w:val="0"/>
                          <w:marTop w:val="0"/>
                          <w:marBottom w:val="0"/>
                          <w:divBdr>
                            <w:top w:val="single" w:sz="6" w:space="0" w:color="828282"/>
                            <w:left w:val="single" w:sz="6" w:space="0" w:color="828282"/>
                            <w:bottom w:val="single" w:sz="6" w:space="0" w:color="828282"/>
                            <w:right w:val="single" w:sz="6" w:space="0" w:color="828282"/>
                          </w:divBdr>
                          <w:divsChild>
                            <w:div w:id="353118190">
                              <w:marLeft w:val="0"/>
                              <w:marRight w:val="0"/>
                              <w:marTop w:val="0"/>
                              <w:marBottom w:val="0"/>
                              <w:divBdr>
                                <w:top w:val="none" w:sz="0" w:space="0" w:color="auto"/>
                                <w:left w:val="none" w:sz="0" w:space="0" w:color="auto"/>
                                <w:bottom w:val="none" w:sz="0" w:space="0" w:color="auto"/>
                                <w:right w:val="none" w:sz="0" w:space="0" w:color="auto"/>
                              </w:divBdr>
                              <w:divsChild>
                                <w:div w:id="2052029966">
                                  <w:marLeft w:val="0"/>
                                  <w:marRight w:val="0"/>
                                  <w:marTop w:val="0"/>
                                  <w:marBottom w:val="0"/>
                                  <w:divBdr>
                                    <w:top w:val="none" w:sz="0" w:space="0" w:color="auto"/>
                                    <w:left w:val="none" w:sz="0" w:space="0" w:color="auto"/>
                                    <w:bottom w:val="none" w:sz="0" w:space="0" w:color="auto"/>
                                    <w:right w:val="none" w:sz="0" w:space="0" w:color="auto"/>
                                  </w:divBdr>
                                  <w:divsChild>
                                    <w:div w:id="1752922170">
                                      <w:marLeft w:val="0"/>
                                      <w:marRight w:val="0"/>
                                      <w:marTop w:val="0"/>
                                      <w:marBottom w:val="0"/>
                                      <w:divBdr>
                                        <w:top w:val="none" w:sz="0" w:space="0" w:color="auto"/>
                                        <w:left w:val="none" w:sz="0" w:space="0" w:color="auto"/>
                                        <w:bottom w:val="none" w:sz="0" w:space="0" w:color="auto"/>
                                        <w:right w:val="none" w:sz="0" w:space="0" w:color="auto"/>
                                      </w:divBdr>
                                      <w:divsChild>
                                        <w:div w:id="317615725">
                                          <w:marLeft w:val="0"/>
                                          <w:marRight w:val="0"/>
                                          <w:marTop w:val="0"/>
                                          <w:marBottom w:val="0"/>
                                          <w:divBdr>
                                            <w:top w:val="none" w:sz="0" w:space="0" w:color="auto"/>
                                            <w:left w:val="none" w:sz="0" w:space="0" w:color="auto"/>
                                            <w:bottom w:val="none" w:sz="0" w:space="0" w:color="auto"/>
                                            <w:right w:val="none" w:sz="0" w:space="0" w:color="auto"/>
                                          </w:divBdr>
                                          <w:divsChild>
                                            <w:div w:id="1302421054">
                                              <w:marLeft w:val="0"/>
                                              <w:marRight w:val="0"/>
                                              <w:marTop w:val="0"/>
                                              <w:marBottom w:val="0"/>
                                              <w:divBdr>
                                                <w:top w:val="none" w:sz="0" w:space="0" w:color="auto"/>
                                                <w:left w:val="none" w:sz="0" w:space="0" w:color="auto"/>
                                                <w:bottom w:val="none" w:sz="0" w:space="0" w:color="auto"/>
                                                <w:right w:val="none" w:sz="0" w:space="0" w:color="auto"/>
                                              </w:divBdr>
                                              <w:divsChild>
                                                <w:div w:id="5773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64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a.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csm.gov.a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033047a-93aa-421b-8aef-52cbfb63cf36" ContentTypeId="0x01010070E27D6A746B5B48ADF22C2128054D55" PreviousValue="false"/>
</file>

<file path=customXml/item2.xml><?xml version="1.0" encoding="utf-8"?>
<ct:contentTypeSchema xmlns:ct="http://schemas.microsoft.com/office/2006/metadata/contentType" xmlns:ma="http://schemas.microsoft.com/office/2006/metadata/properties/metaAttributes" ct:_="" ma:_="" ma:contentTypeName="Record" ma:contentTypeID="0x01010070E27D6A746B5B48ADF22C2128054D5500EE817EA22CCD994CB2E127746CF12863" ma:contentTypeVersion="40" ma:contentTypeDescription="A document enhanced so that it is automatically captured by RecordPoint." ma:contentTypeScope="" ma:versionID="e4b41f60994b85d41917cbc701e8f128">
  <xsd:schema xmlns:xsd="http://www.w3.org/2001/XMLSchema" xmlns:xs="http://www.w3.org/2001/XMLSchema" xmlns:p="http://schemas.microsoft.com/office/2006/metadata/properties" xmlns:ns2="83630db1-6fc2-4dfd-b3fe-d61d34e1440c" xmlns:ns3="6db8f3c6-01a1-4322-b043-a3b2a190f7a8" xmlns:ns4="5e268b55-9e20-462b-aba6-694451a37717" xmlns:ns5="http://schemas.microsoft.com/sharepoint/v4" targetNamespace="http://schemas.microsoft.com/office/2006/metadata/properties" ma:root="true" ma:fieldsID="e9deb499b43edd75fe619984536fd035" ns2:_="" ns3:_="" ns4:_="" ns5:_="">
    <xsd:import namespace="83630db1-6fc2-4dfd-b3fe-d61d34e1440c"/>
    <xsd:import namespace="6db8f3c6-01a1-4322-b043-a3b2a190f7a8"/>
    <xsd:import namespace="5e268b55-9e20-462b-aba6-694451a37717"/>
    <xsd:import namespace="http://schemas.microsoft.com/sharepoint/v4"/>
    <xsd:element name="properties">
      <xsd:complexType>
        <xsd:sequence>
          <xsd:element name="documentManagement">
            <xsd:complexType>
              <xsd:all>
                <xsd:element ref="ns2:Legacy_x0020_Record_x0020_Number" minOccurs="0"/>
                <xsd:element ref="ns2:Record_x0020_Number" minOccurs="0"/>
                <xsd:element ref="ns3:_dlc_DocId" minOccurs="0"/>
                <xsd:element ref="ns3:_dlc_DocIdUrl" minOccurs="0"/>
                <xsd:element ref="ns3:_dlc_DocIdPersistId" minOccurs="0"/>
                <xsd:element ref="ns4:Category"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8" nillable="true" ma:displayName="Legacy Record Number" ma:description="Captures legacy record numbers, eg from TRIM." ma:internalName="Legacy_x0020_Record_x0020_Number">
      <xsd:simpleType>
        <xsd:restriction base="dms:Text">
          <xsd:maxLength value="40"/>
        </xsd:restriction>
      </xsd:simpleType>
    </xsd:element>
    <xsd:element name="Record_x0020_Number" ma:index="9"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268b55-9e20-462b-aba6-694451a37717" elementFormDefault="qualified">
    <xsd:import namespace="http://schemas.microsoft.com/office/2006/documentManagement/types"/>
    <xsd:import namespace="http://schemas.microsoft.com/office/infopath/2007/PartnerControls"/>
    <xsd:element name="Category" ma:index="13"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KNAH4PPFC442-3114-168</_dlc_DocId>
    <_dlc_DocIdUrl xmlns="6db8f3c6-01a1-4322-b043-a3b2a190f7a8">
      <Url>http://collaboration/organisation/Auth/Chair/Auth/_layouts/DocIdRedir.aspx?ID=KNAH4PPFC442-3114-168</Url>
      <Description>KNAH4PPFC442-3114-168</Description>
    </_dlc_DocIdUrl>
    <Record_x0020_Number xmlns="83630db1-6fc2-4dfd-b3fe-d61d34e1440c">ER2015/120119</Record_x0020_Number>
    <Legacy_x0020_Record_x0020_Number xmlns="83630db1-6fc2-4dfd-b3fe-d61d34e1440c" xsi:nil="true"/>
    <IconOverlay xmlns="http://schemas.microsoft.com/sharepoint/v4" xsi:nil="true"/>
    <Category xmlns="5e268b55-9e20-462b-aba6-694451a37717">(none)</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626F-6CC0-426F-B859-C0D19CFCDC21}">
  <ds:schemaRefs>
    <ds:schemaRef ds:uri="Microsoft.SharePoint.Taxonomy.ContentTypeSync"/>
  </ds:schemaRefs>
</ds:datastoreItem>
</file>

<file path=customXml/itemProps2.xml><?xml version="1.0" encoding="utf-8"?>
<ds:datastoreItem xmlns:ds="http://schemas.openxmlformats.org/officeDocument/2006/customXml" ds:itemID="{8376FB1E-0C16-4B49-9118-F4683CBB7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30db1-6fc2-4dfd-b3fe-d61d34e1440c"/>
    <ds:schemaRef ds:uri="6db8f3c6-01a1-4322-b043-a3b2a190f7a8"/>
    <ds:schemaRef ds:uri="5e268b55-9e20-462b-aba6-694451a3771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065CD-74BE-4D62-824E-4A19CFC39D1B}">
  <ds:schemaRefs>
    <ds:schemaRef ds:uri="http://schemas.microsoft.com/office/2006/metadata/properties"/>
    <ds:schemaRef ds:uri="http://purl.org/dc/dcmitype/"/>
    <ds:schemaRef ds:uri="http://schemas.microsoft.com/office/2006/documentManagement/types"/>
    <ds:schemaRef ds:uri="5e268b55-9e20-462b-aba6-694451a37717"/>
    <ds:schemaRef ds:uri="http://purl.org/dc/elements/1.1/"/>
    <ds:schemaRef ds:uri="6db8f3c6-01a1-4322-b043-a3b2a190f7a8"/>
    <ds:schemaRef ds:uri="http://schemas.openxmlformats.org/package/2006/metadata/core-properties"/>
    <ds:schemaRef ds:uri="83630db1-6fc2-4dfd-b3fe-d61d34e1440c"/>
    <ds:schemaRef ds:uri="http://schemas.microsoft.com/sharepoint/v4"/>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64E3A37A-611F-4558-8CC8-E672BE2A7119}">
  <ds:schemaRefs>
    <ds:schemaRef ds:uri="http://schemas.microsoft.com/sharepoint/v3/contenttype/forms"/>
  </ds:schemaRefs>
</ds:datastoreItem>
</file>

<file path=customXml/itemProps5.xml><?xml version="1.0" encoding="utf-8"?>
<ds:datastoreItem xmlns:ds="http://schemas.openxmlformats.org/officeDocument/2006/customXml" ds:itemID="{E5B3AE2B-D053-47F8-A5D7-301C56BE50B6}">
  <ds:schemaRefs>
    <ds:schemaRef ds:uri="http://schemas.microsoft.com/sharepoint/events"/>
  </ds:schemaRefs>
</ds:datastoreItem>
</file>

<file path=customXml/itemProps6.xml><?xml version="1.0" encoding="utf-8"?>
<ds:datastoreItem xmlns:ds="http://schemas.openxmlformats.org/officeDocument/2006/customXml" ds:itemID="{EA759B25-D7FA-47B9-8C3A-A46B7912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2259</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Wong</dc:creator>
  <cp:keywords/>
  <dc:description/>
  <cp:lastModifiedBy>Sudharshini Jeyaseelan</cp:lastModifiedBy>
  <cp:revision>5</cp:revision>
  <cp:lastPrinted>2015-01-21T23:16:00Z</cp:lastPrinted>
  <dcterms:created xsi:type="dcterms:W3CDTF">2015-03-03T01:00:00Z</dcterms:created>
  <dcterms:modified xsi:type="dcterms:W3CDTF">2015-03-03T01:28:00Z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e8ca4a99-425e-4cfe-a448-05c02d5f4471</vt:lpwstr>
  </property>
  <property fmtid="{D5CDD505-2E9C-101B-9397-08002B2CF9AE}" pid="3" name="ContentTypeId">
    <vt:lpwstr>0x01010070E27D6A746B5B48ADF22C2128054D5500EE817EA22CCD994CB2E127746CF12863</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{f1c3c3d6-c421-46f6-a621-f79f6b29635f}</vt:lpwstr>
  </property>
  <property fmtid="{D5CDD505-2E9C-101B-9397-08002B2CF9AE}" pid="7" name="RecordPoint_RecordFormat">
    <vt:lpwstr/>
  </property>
  <property fmtid="{D5CDD505-2E9C-101B-9397-08002B2CF9AE}" pid="8" name="RecordPoint_ActiveItemUniqueId">
    <vt:lpwstr>{e8ca4a99-425e-4cfe-a448-05c02d5f4471}</vt:lpwstr>
  </property>
  <property fmtid="{D5CDD505-2E9C-101B-9397-08002B2CF9AE}" pid="9" name="RecordPoint_SubmissionCompleted">
    <vt:lpwstr>2015-03-02T16:20:28.7400436+11:00</vt:lpwstr>
  </property>
  <property fmtid="{D5CDD505-2E9C-101B-9397-08002B2CF9AE}" pid="10" name="RecordPoint_ActiveItemMoved">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ies>
</file>