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BB" w:rsidRDefault="004752BB" w:rsidP="005F69AD">
      <w:pPr>
        <w:pStyle w:val="Heading1"/>
      </w:pPr>
      <w:r>
        <w:rPr>
          <w:noProof/>
          <w:lang w:eastAsia="en-AU"/>
        </w:rPr>
        <w:drawing>
          <wp:inline distT="0" distB="0" distL="0" distR="0" wp14:anchorId="06B056F7" wp14:editId="3604F488">
            <wp:extent cx="1346200" cy="1079500"/>
            <wp:effectExtent l="0" t="0" r="6350" b="6350"/>
            <wp:docPr id="3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527" w:rsidRPr="00FC14DD" w:rsidRDefault="00196527" w:rsidP="00FC14DD">
      <w:pPr>
        <w:pStyle w:val="Heading1"/>
        <w:spacing w:after="120"/>
      </w:pPr>
      <w:r w:rsidRPr="00DB494A">
        <w:t>Privacy</w:t>
      </w:r>
      <w:r w:rsidRPr="00DB494A">
        <w:rPr>
          <w:i/>
        </w:rPr>
        <w:t xml:space="preserve"> </w:t>
      </w:r>
      <w:r w:rsidR="003B56AB">
        <w:t>(Comcare</w:t>
      </w:r>
      <w:r w:rsidR="00E6529C">
        <w:t xml:space="preserve"> Contestability Review</w:t>
      </w:r>
      <w:r w:rsidR="00810ECA" w:rsidRPr="001235B9">
        <w:t xml:space="preserve">) </w:t>
      </w:r>
      <w:r w:rsidRPr="001235B9">
        <w:t>Temporary Pu</w:t>
      </w:r>
      <w:r w:rsidR="00647A4D">
        <w:t>blic Interest Determination 2015</w:t>
      </w:r>
    </w:p>
    <w:p w:rsidR="001A0780" w:rsidRDefault="001A0780" w:rsidP="00FC14DD">
      <w:pPr>
        <w:pStyle w:val="BodyText"/>
        <w:pBdr>
          <w:bottom w:val="single" w:sz="4" w:space="1" w:color="auto"/>
        </w:pBdr>
        <w:spacing w:after="0"/>
        <w:rPr>
          <w:b/>
        </w:rPr>
      </w:pPr>
    </w:p>
    <w:p w:rsidR="001A0780" w:rsidRDefault="001A0780" w:rsidP="00FC14DD">
      <w:pPr>
        <w:pStyle w:val="BodyText1"/>
        <w:spacing w:before="120"/>
      </w:pPr>
      <w:r>
        <w:t>I, Timothy Pilgrim, Privacy Commissioner, make the following determination</w:t>
      </w:r>
      <w:r w:rsidRPr="00196527">
        <w:t xml:space="preserve"> </w:t>
      </w:r>
      <w:r>
        <w:t xml:space="preserve">under subsection </w:t>
      </w:r>
      <w:proofErr w:type="gramStart"/>
      <w:r>
        <w:t>80A(</w:t>
      </w:r>
      <w:proofErr w:type="gramEnd"/>
      <w:r>
        <w:t xml:space="preserve">2) of the </w:t>
      </w:r>
      <w:r>
        <w:rPr>
          <w:i/>
        </w:rPr>
        <w:t>Privacy Act 1988</w:t>
      </w:r>
      <w:r w:rsidR="000E0F75" w:rsidRPr="00FC14DD">
        <w:t xml:space="preserve"> (Privacy Act)</w:t>
      </w:r>
      <w:r>
        <w:t>.</w:t>
      </w:r>
    </w:p>
    <w:p w:rsidR="001A0780" w:rsidRDefault="001A0780" w:rsidP="001A0780">
      <w:r w:rsidRPr="004752BB">
        <w:t>Dated:</w:t>
      </w:r>
      <w:r w:rsidR="00F61EB4">
        <w:t xml:space="preserve"> 16 March 2015</w:t>
      </w:r>
      <w:r w:rsidRPr="004752BB">
        <w:t xml:space="preserve"> </w:t>
      </w:r>
    </w:p>
    <w:p w:rsidR="001A0780" w:rsidRPr="004752BB" w:rsidRDefault="001A0780" w:rsidP="001A0780">
      <w:r w:rsidRPr="004752BB">
        <w:t>Signed</w:t>
      </w:r>
    </w:p>
    <w:p w:rsidR="001A0780" w:rsidRDefault="001A0780" w:rsidP="001A0780">
      <w:pPr>
        <w:rPr>
          <w:b/>
        </w:rPr>
      </w:pPr>
    </w:p>
    <w:p w:rsidR="00237E66" w:rsidRDefault="00237E66" w:rsidP="001A0780">
      <w:pPr>
        <w:rPr>
          <w:b/>
        </w:rPr>
      </w:pPr>
    </w:p>
    <w:p w:rsidR="009663AB" w:rsidRDefault="009663AB" w:rsidP="001A0780">
      <w:pPr>
        <w:rPr>
          <w:b/>
        </w:rPr>
      </w:pPr>
    </w:p>
    <w:p w:rsidR="00602175" w:rsidRDefault="001A0780" w:rsidP="00FC14DD">
      <w:pPr>
        <w:pBdr>
          <w:bottom w:val="single" w:sz="4" w:space="1" w:color="auto"/>
        </w:pBdr>
        <w:spacing w:after="0"/>
      </w:pPr>
      <w:r>
        <w:t>Timothy Pilgrim</w:t>
      </w:r>
      <w:r>
        <w:br/>
      </w:r>
      <w:r w:rsidRPr="00237E66">
        <w:t>Privacy Commissioner</w:t>
      </w:r>
    </w:p>
    <w:p w:rsidR="001A0780" w:rsidRPr="00FC14DD" w:rsidRDefault="001A0780" w:rsidP="00FC14DD">
      <w:pPr>
        <w:pBdr>
          <w:bottom w:val="single" w:sz="4" w:space="1" w:color="auto"/>
        </w:pBdr>
        <w:spacing w:after="0"/>
        <w:rPr>
          <w:rFonts w:eastAsiaTheme="majorEastAsia" w:cstheme="majorBidi"/>
          <w:b/>
          <w:bCs/>
          <w:sz w:val="28"/>
          <w:szCs w:val="26"/>
        </w:rPr>
      </w:pPr>
    </w:p>
    <w:p w:rsidR="001A0780" w:rsidRPr="007912C3" w:rsidRDefault="001A0780" w:rsidP="00FC14DD">
      <w:pPr>
        <w:pStyle w:val="Heading2"/>
      </w:pPr>
      <w:proofErr w:type="gramStart"/>
      <w:r w:rsidRPr="007912C3">
        <w:t xml:space="preserve">1 </w:t>
      </w:r>
      <w:r w:rsidR="009663AB">
        <w:t xml:space="preserve"> </w:t>
      </w:r>
      <w:r>
        <w:t>N</w:t>
      </w:r>
      <w:r w:rsidRPr="007912C3">
        <w:t>ame</w:t>
      </w:r>
      <w:proofErr w:type="gramEnd"/>
      <w:r w:rsidRPr="007912C3">
        <w:t xml:space="preserve"> of determination</w:t>
      </w:r>
    </w:p>
    <w:p w:rsidR="001A0780" w:rsidRPr="00FC14DD" w:rsidRDefault="001A0780" w:rsidP="00FC14DD">
      <w:pPr>
        <w:pStyle w:val="subsection"/>
        <w:ind w:left="425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ab/>
      </w:r>
      <w:r w:rsidRPr="00FC14DD">
        <w:rPr>
          <w:rFonts w:asciiTheme="minorHAnsi" w:hAnsiTheme="minorHAnsi" w:cstheme="minorHAnsi"/>
          <w:sz w:val="24"/>
          <w:szCs w:val="24"/>
        </w:rPr>
        <w:t xml:space="preserve">This determination is the </w:t>
      </w:r>
      <w:r w:rsidR="003B56AB">
        <w:rPr>
          <w:rFonts w:asciiTheme="minorHAnsi" w:hAnsiTheme="minorHAnsi" w:cstheme="minorHAnsi"/>
          <w:i/>
          <w:sz w:val="24"/>
          <w:szCs w:val="24"/>
        </w:rPr>
        <w:t>Privacy (Comcare</w:t>
      </w:r>
      <w:r w:rsidR="00E6529C">
        <w:rPr>
          <w:rFonts w:asciiTheme="minorHAnsi" w:hAnsiTheme="minorHAnsi" w:cstheme="minorHAnsi"/>
          <w:i/>
          <w:sz w:val="24"/>
          <w:szCs w:val="24"/>
        </w:rPr>
        <w:t xml:space="preserve"> Contestability Review</w:t>
      </w:r>
      <w:r w:rsidRPr="00FC14DD">
        <w:rPr>
          <w:rFonts w:asciiTheme="minorHAnsi" w:hAnsiTheme="minorHAnsi" w:cstheme="minorHAnsi"/>
          <w:i/>
          <w:sz w:val="24"/>
          <w:szCs w:val="24"/>
        </w:rPr>
        <w:t xml:space="preserve">) </w:t>
      </w:r>
      <w:r w:rsidR="0052524C" w:rsidRPr="00FC14DD">
        <w:rPr>
          <w:rFonts w:asciiTheme="minorHAnsi" w:hAnsiTheme="minorHAnsi" w:cstheme="minorHAnsi"/>
          <w:i/>
          <w:sz w:val="24"/>
          <w:szCs w:val="24"/>
        </w:rPr>
        <w:t xml:space="preserve">Temporary Public Interest Determination </w:t>
      </w:r>
      <w:r w:rsidR="003B56AB">
        <w:rPr>
          <w:rFonts w:asciiTheme="minorHAnsi" w:hAnsiTheme="minorHAnsi" w:cstheme="minorHAnsi"/>
          <w:i/>
          <w:sz w:val="24"/>
          <w:szCs w:val="24"/>
        </w:rPr>
        <w:t>2015</w:t>
      </w:r>
      <w:r w:rsidR="00647A4D">
        <w:rPr>
          <w:rFonts w:asciiTheme="minorHAnsi" w:hAnsiTheme="minorHAnsi" w:cstheme="minorHAnsi"/>
          <w:i/>
          <w:sz w:val="24"/>
          <w:szCs w:val="24"/>
        </w:rPr>
        <w:t>.</w:t>
      </w:r>
    </w:p>
    <w:p w:rsidR="001A0780" w:rsidRPr="007912C3" w:rsidRDefault="001A0780" w:rsidP="00FC14DD">
      <w:pPr>
        <w:pStyle w:val="Heading2"/>
      </w:pPr>
      <w:proofErr w:type="gramStart"/>
      <w:r w:rsidRPr="007912C3">
        <w:t>2  Commencement</w:t>
      </w:r>
      <w:proofErr w:type="gramEnd"/>
    </w:p>
    <w:p w:rsidR="001A0780" w:rsidRPr="00FC14DD" w:rsidRDefault="009663AB" w:rsidP="009663AB">
      <w:pPr>
        <w:pStyle w:val="BodyText1"/>
        <w:ind w:left="426"/>
      </w:pPr>
      <w:r w:rsidRPr="009663AB">
        <w:t xml:space="preserve">This determination takes effect on the day of its registration </w:t>
      </w:r>
      <w:r w:rsidR="00E5291A">
        <w:t>o</w:t>
      </w:r>
      <w:r w:rsidR="00E5291A" w:rsidRPr="009663AB">
        <w:t xml:space="preserve">n </w:t>
      </w:r>
      <w:r w:rsidRPr="009663AB">
        <w:t xml:space="preserve">the Federal Register of Legislative Instruments maintained under section 20 of the </w:t>
      </w:r>
      <w:r w:rsidRPr="009663AB">
        <w:rPr>
          <w:i/>
        </w:rPr>
        <w:t>Legislative Instruments Act 2003</w:t>
      </w:r>
      <w:r w:rsidRPr="009663AB">
        <w:t>.</w:t>
      </w:r>
      <w:bookmarkStart w:id="0" w:name="_GoBack"/>
      <w:bookmarkEnd w:id="0"/>
    </w:p>
    <w:p w:rsidR="001A0780" w:rsidRDefault="001A0780" w:rsidP="00FC14DD">
      <w:pPr>
        <w:pStyle w:val="Heading2"/>
      </w:pPr>
      <w:proofErr w:type="gramStart"/>
      <w:r w:rsidRPr="007912C3">
        <w:t xml:space="preserve">3  </w:t>
      </w:r>
      <w:r w:rsidR="00647A4D" w:rsidRPr="00647A4D">
        <w:t>Expiry</w:t>
      </w:r>
      <w:proofErr w:type="gramEnd"/>
    </w:p>
    <w:p w:rsidR="001A0780" w:rsidRPr="00FC14DD" w:rsidRDefault="00647A4D" w:rsidP="00FC14DD">
      <w:pPr>
        <w:pStyle w:val="subsection"/>
        <w:ind w:left="425" w:firstLine="0"/>
        <w:rPr>
          <w:rFonts w:asciiTheme="minorHAnsi" w:hAnsiTheme="minorHAnsi" w:cstheme="minorHAnsi"/>
          <w:sz w:val="24"/>
          <w:szCs w:val="24"/>
        </w:rPr>
      </w:pPr>
      <w:r w:rsidRPr="00647A4D">
        <w:rPr>
          <w:rFonts w:asciiTheme="minorHAnsi" w:hAnsiTheme="minorHAnsi" w:cstheme="minorHAnsi"/>
          <w:sz w:val="24"/>
          <w:szCs w:val="24"/>
        </w:rPr>
        <w:t xml:space="preserve">This determination expires, as if it had been repealed by another instrument, </w:t>
      </w:r>
      <w:r>
        <w:rPr>
          <w:rFonts w:asciiTheme="minorHAnsi" w:hAnsiTheme="minorHAnsi" w:cstheme="minorHAnsi"/>
          <w:sz w:val="24"/>
          <w:szCs w:val="24"/>
        </w:rPr>
        <w:t xml:space="preserve">on </w:t>
      </w:r>
      <w:r w:rsidR="003B56AB">
        <w:rPr>
          <w:rFonts w:asciiTheme="minorHAnsi" w:hAnsiTheme="minorHAnsi" w:cstheme="minorHAnsi"/>
          <w:sz w:val="24"/>
          <w:szCs w:val="24"/>
        </w:rPr>
        <w:t xml:space="preserve">22 May </w:t>
      </w:r>
      <w:r w:rsidR="001A0780" w:rsidRPr="00FC14DD">
        <w:rPr>
          <w:rFonts w:asciiTheme="minorHAnsi" w:hAnsiTheme="minorHAnsi" w:cstheme="minorHAnsi"/>
          <w:sz w:val="24"/>
          <w:szCs w:val="24"/>
        </w:rPr>
        <w:t xml:space="preserve">2015 </w:t>
      </w:r>
      <w:r w:rsidR="001235B9" w:rsidRPr="00FC14DD">
        <w:rPr>
          <w:rFonts w:asciiTheme="minorHAnsi" w:hAnsiTheme="minorHAnsi" w:cstheme="minorHAnsi"/>
          <w:sz w:val="24"/>
          <w:szCs w:val="24"/>
        </w:rPr>
        <w:t>unless ceased earlier because of s</w:t>
      </w:r>
      <w:r w:rsidR="000E0F75">
        <w:rPr>
          <w:rFonts w:asciiTheme="minorHAnsi" w:hAnsiTheme="minorHAnsi" w:cstheme="minorHAnsi"/>
          <w:sz w:val="24"/>
          <w:szCs w:val="24"/>
        </w:rPr>
        <w:t xml:space="preserve">ubsection </w:t>
      </w:r>
      <w:proofErr w:type="gramStart"/>
      <w:r w:rsidR="001235B9" w:rsidRPr="00FC14DD">
        <w:rPr>
          <w:rFonts w:asciiTheme="minorHAnsi" w:hAnsiTheme="minorHAnsi" w:cstheme="minorHAnsi"/>
          <w:sz w:val="24"/>
          <w:szCs w:val="24"/>
        </w:rPr>
        <w:t>80D(</w:t>
      </w:r>
      <w:proofErr w:type="gramEnd"/>
      <w:r w:rsidR="001235B9" w:rsidRPr="00FC14DD">
        <w:rPr>
          <w:rFonts w:asciiTheme="minorHAnsi" w:hAnsiTheme="minorHAnsi" w:cstheme="minorHAnsi"/>
          <w:sz w:val="24"/>
          <w:szCs w:val="24"/>
        </w:rPr>
        <w:t>2)</w:t>
      </w:r>
      <w:r w:rsidR="000E0F75">
        <w:rPr>
          <w:rFonts w:asciiTheme="minorHAnsi" w:hAnsiTheme="minorHAnsi" w:cstheme="minorHAnsi"/>
          <w:sz w:val="24"/>
          <w:szCs w:val="24"/>
        </w:rPr>
        <w:t xml:space="preserve"> of the </w:t>
      </w:r>
      <w:r w:rsidR="000E0F75" w:rsidRPr="000E0F75">
        <w:rPr>
          <w:rFonts w:asciiTheme="minorHAnsi" w:hAnsiTheme="minorHAnsi" w:cstheme="minorHAnsi"/>
          <w:sz w:val="24"/>
          <w:szCs w:val="24"/>
        </w:rPr>
        <w:t>Privacy Act</w:t>
      </w:r>
      <w:r w:rsidR="001A0780" w:rsidRPr="00FC14DD">
        <w:rPr>
          <w:rFonts w:asciiTheme="minorHAnsi" w:hAnsiTheme="minorHAnsi" w:cstheme="minorHAnsi"/>
          <w:sz w:val="24"/>
          <w:szCs w:val="24"/>
        </w:rPr>
        <w:t>.</w:t>
      </w:r>
    </w:p>
    <w:p w:rsidR="001A0780" w:rsidRPr="007912C3" w:rsidRDefault="001A0780" w:rsidP="00FC14DD">
      <w:pPr>
        <w:pStyle w:val="Heading2"/>
      </w:pPr>
      <w:proofErr w:type="gramStart"/>
      <w:r>
        <w:t xml:space="preserve">4  </w:t>
      </w:r>
      <w:r w:rsidRPr="007912C3">
        <w:t>Authority</w:t>
      </w:r>
      <w:proofErr w:type="gramEnd"/>
    </w:p>
    <w:p w:rsidR="001A0780" w:rsidRPr="00FC14DD" w:rsidRDefault="001A0780" w:rsidP="00FC14DD">
      <w:pPr>
        <w:pStyle w:val="subsection"/>
        <w:ind w:left="1854" w:hanging="1428"/>
        <w:rPr>
          <w:rFonts w:asciiTheme="minorHAnsi" w:hAnsiTheme="minorHAnsi" w:cstheme="minorHAnsi"/>
          <w:sz w:val="24"/>
          <w:szCs w:val="24"/>
        </w:rPr>
      </w:pPr>
      <w:r w:rsidRPr="007912C3">
        <w:rPr>
          <w:rFonts w:asciiTheme="minorHAnsi" w:hAnsiTheme="minorHAnsi" w:cstheme="minorHAnsi"/>
        </w:rPr>
        <w:tab/>
      </w:r>
      <w:r w:rsidRPr="00FC14DD">
        <w:rPr>
          <w:rFonts w:asciiTheme="minorHAnsi" w:hAnsiTheme="minorHAnsi" w:cstheme="minorHAnsi"/>
          <w:sz w:val="24"/>
          <w:szCs w:val="24"/>
        </w:rPr>
        <w:t xml:space="preserve">This determination is made under subsection </w:t>
      </w:r>
      <w:proofErr w:type="gramStart"/>
      <w:r w:rsidRPr="00FC14DD">
        <w:rPr>
          <w:rFonts w:asciiTheme="minorHAnsi" w:hAnsiTheme="minorHAnsi" w:cstheme="minorHAnsi"/>
          <w:sz w:val="24"/>
          <w:szCs w:val="24"/>
        </w:rPr>
        <w:t>80</w:t>
      </w:r>
      <w:r w:rsidR="0052524C" w:rsidRPr="00FC14DD">
        <w:rPr>
          <w:rFonts w:asciiTheme="minorHAnsi" w:hAnsiTheme="minorHAnsi" w:cstheme="minorHAnsi"/>
          <w:sz w:val="24"/>
          <w:szCs w:val="24"/>
        </w:rPr>
        <w:t>A(</w:t>
      </w:r>
      <w:proofErr w:type="gramEnd"/>
      <w:r w:rsidR="0052524C" w:rsidRPr="00FC14DD">
        <w:rPr>
          <w:rFonts w:asciiTheme="minorHAnsi" w:hAnsiTheme="minorHAnsi" w:cstheme="minorHAnsi"/>
          <w:sz w:val="24"/>
          <w:szCs w:val="24"/>
        </w:rPr>
        <w:t>2</w:t>
      </w:r>
      <w:r w:rsidRPr="00FC14DD">
        <w:rPr>
          <w:rFonts w:asciiTheme="minorHAnsi" w:hAnsiTheme="minorHAnsi" w:cstheme="minorHAnsi"/>
          <w:sz w:val="24"/>
          <w:szCs w:val="24"/>
        </w:rPr>
        <w:t xml:space="preserve">) of the </w:t>
      </w:r>
      <w:r w:rsidR="000E0F75" w:rsidRPr="00FC14DD">
        <w:rPr>
          <w:rFonts w:asciiTheme="minorHAnsi" w:hAnsiTheme="minorHAnsi" w:cstheme="minorHAnsi"/>
          <w:sz w:val="24"/>
          <w:szCs w:val="24"/>
        </w:rPr>
        <w:t>Privacy Act</w:t>
      </w:r>
      <w:r w:rsidRPr="00FC14DD">
        <w:rPr>
          <w:rFonts w:asciiTheme="minorHAnsi" w:hAnsiTheme="minorHAnsi" w:cstheme="minorHAnsi"/>
          <w:i/>
          <w:sz w:val="24"/>
          <w:szCs w:val="24"/>
        </w:rPr>
        <w:t>.</w:t>
      </w:r>
    </w:p>
    <w:p w:rsidR="00DB494A" w:rsidRDefault="001A0780" w:rsidP="00FC14DD">
      <w:pPr>
        <w:pStyle w:val="Heading2"/>
      </w:pPr>
      <w:proofErr w:type="gramStart"/>
      <w:r w:rsidRPr="007912C3">
        <w:lastRenderedPageBreak/>
        <w:t>5  Definitions</w:t>
      </w:r>
      <w:proofErr w:type="gramEnd"/>
      <w:r w:rsidRPr="007912C3">
        <w:tab/>
      </w:r>
    </w:p>
    <w:p w:rsidR="001A0780" w:rsidRPr="00FC14DD" w:rsidRDefault="00DB494A" w:rsidP="00FC14DD">
      <w:pPr>
        <w:pStyle w:val="subsection"/>
        <w:ind w:hanging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Pr="00FC14DD">
        <w:rPr>
          <w:rFonts w:asciiTheme="minorHAnsi" w:hAnsiTheme="minorHAnsi" w:cstheme="minorHAnsi"/>
          <w:sz w:val="24"/>
          <w:szCs w:val="24"/>
        </w:rPr>
        <w:t xml:space="preserve">Terms defined in the </w:t>
      </w:r>
      <w:r w:rsidR="000E0F75" w:rsidRPr="00FC14DD">
        <w:rPr>
          <w:rFonts w:asciiTheme="minorHAnsi" w:hAnsiTheme="minorHAnsi" w:cstheme="minorHAnsi"/>
          <w:sz w:val="24"/>
          <w:szCs w:val="24"/>
        </w:rPr>
        <w:t>Privacy Act</w:t>
      </w:r>
      <w:r w:rsidRPr="00FC14DD">
        <w:rPr>
          <w:rFonts w:asciiTheme="minorHAnsi" w:hAnsiTheme="minorHAnsi" w:cstheme="minorHAnsi"/>
          <w:sz w:val="24"/>
          <w:szCs w:val="24"/>
        </w:rPr>
        <w:t xml:space="preserve"> have the same meanings in this determination</w:t>
      </w:r>
      <w:r w:rsidR="00513D60">
        <w:rPr>
          <w:rFonts w:asciiTheme="minorHAnsi" w:hAnsiTheme="minorHAnsi" w:cstheme="minorHAnsi"/>
          <w:sz w:val="24"/>
          <w:szCs w:val="24"/>
        </w:rPr>
        <w:t>.</w:t>
      </w:r>
    </w:p>
    <w:p w:rsidR="001A0780" w:rsidRPr="000534F0" w:rsidRDefault="0052524C" w:rsidP="00FC14DD">
      <w:pPr>
        <w:pStyle w:val="Heading2"/>
      </w:pPr>
      <w:proofErr w:type="gramStart"/>
      <w:r w:rsidRPr="00FC14DD">
        <w:t xml:space="preserve">6 </w:t>
      </w:r>
      <w:r w:rsidR="00DC26DF" w:rsidRPr="00FC14DD">
        <w:t xml:space="preserve"> Application</w:t>
      </w:r>
      <w:proofErr w:type="gramEnd"/>
      <w:r w:rsidR="00DC26DF" w:rsidRPr="00FC14DD">
        <w:t xml:space="preserve"> for a public interest determination</w:t>
      </w:r>
    </w:p>
    <w:p w:rsidR="00196527" w:rsidRDefault="00647A4D" w:rsidP="00FC14DD">
      <w:pPr>
        <w:pStyle w:val="Numberedrecommendations"/>
        <w:numPr>
          <w:ilvl w:val="0"/>
          <w:numId w:val="30"/>
        </w:numPr>
      </w:pPr>
      <w:r>
        <w:t>Comcare</w:t>
      </w:r>
      <w:r w:rsidR="00196527">
        <w:t xml:space="preserve"> (</w:t>
      </w:r>
      <w:r w:rsidR="00196527">
        <w:rPr>
          <w:b/>
        </w:rPr>
        <w:t>Applicant</w:t>
      </w:r>
      <w:r w:rsidR="00196527">
        <w:t xml:space="preserve">) </w:t>
      </w:r>
      <w:r w:rsidR="00FB31AC">
        <w:t>has applied under section 73 of the Privacy Act for a public interest determination in relation to the acts and practices set out in section 7 below.</w:t>
      </w:r>
      <w:r w:rsidR="00196527">
        <w:t xml:space="preserve">  </w:t>
      </w:r>
    </w:p>
    <w:p w:rsidR="00196527" w:rsidRDefault="00196527" w:rsidP="00FC14DD">
      <w:pPr>
        <w:pStyle w:val="Numberedrecommendations"/>
        <w:numPr>
          <w:ilvl w:val="0"/>
          <w:numId w:val="30"/>
        </w:numPr>
      </w:pPr>
      <w:r>
        <w:t>The Applicant</w:t>
      </w:r>
      <w:r w:rsidR="00FB31AC" w:rsidRPr="00FB31AC">
        <w:t xml:space="preserve"> </w:t>
      </w:r>
      <w:r w:rsidR="00FB31AC">
        <w:t>is an APP entity under subsection 6(1) of the Privacy Act because it is an agency as defined under subsection 6(1) of the Privacy Act</w:t>
      </w:r>
      <w:r>
        <w:t>.</w:t>
      </w:r>
    </w:p>
    <w:p w:rsidR="00333167" w:rsidRPr="00FC14DD" w:rsidRDefault="00333167" w:rsidP="00FC14DD">
      <w:pPr>
        <w:pStyle w:val="Heading2"/>
      </w:pPr>
      <w:proofErr w:type="gramStart"/>
      <w:r w:rsidRPr="00237E66">
        <w:t xml:space="preserve">7  </w:t>
      </w:r>
      <w:r w:rsidR="003B56AB">
        <w:t>Disclosure</w:t>
      </w:r>
      <w:proofErr w:type="gramEnd"/>
      <w:r w:rsidR="003B56AB">
        <w:t xml:space="preserve"> of personal information</w:t>
      </w:r>
    </w:p>
    <w:p w:rsidR="00196527" w:rsidRDefault="00196527" w:rsidP="000520AF">
      <w:pPr>
        <w:pStyle w:val="Numberedrecommendations"/>
        <w:numPr>
          <w:ilvl w:val="0"/>
          <w:numId w:val="25"/>
        </w:numPr>
      </w:pPr>
      <w:r>
        <w:t xml:space="preserve">The </w:t>
      </w:r>
      <w:r w:rsidR="004A7F78">
        <w:t xml:space="preserve">Applicant discloses the </w:t>
      </w:r>
      <w:r>
        <w:t xml:space="preserve">personal information </w:t>
      </w:r>
      <w:r w:rsidR="000520AF" w:rsidRPr="000520AF">
        <w:t xml:space="preserve">contained in no more than 100 injured worker claims files </w:t>
      </w:r>
      <w:r w:rsidR="00FB31AC">
        <w:t>(</w:t>
      </w:r>
      <w:r w:rsidR="00FB31AC">
        <w:rPr>
          <w:b/>
        </w:rPr>
        <w:t xml:space="preserve">Claims </w:t>
      </w:r>
      <w:r w:rsidR="00FB31AC" w:rsidRPr="00FB31AC">
        <w:rPr>
          <w:b/>
        </w:rPr>
        <w:t>Files</w:t>
      </w:r>
      <w:r w:rsidR="00FB31AC">
        <w:t xml:space="preserve">) </w:t>
      </w:r>
      <w:r w:rsidR="000520AF" w:rsidRPr="00FB31AC">
        <w:t>to</w:t>
      </w:r>
      <w:r w:rsidR="000520AF" w:rsidRPr="000520AF">
        <w:t xml:space="preserve"> professional services firm Ernst &amp; Young for the purposes of the undertaking of a ‘Contestability Review’ of the Commonwealth’s insurable risk portfolio</w:t>
      </w:r>
      <w:r w:rsidR="000520AF">
        <w:t>.</w:t>
      </w:r>
    </w:p>
    <w:p w:rsidR="00FB31AC" w:rsidRDefault="00FB31AC" w:rsidP="000520AF">
      <w:pPr>
        <w:pStyle w:val="Numberedrecommendations"/>
        <w:numPr>
          <w:ilvl w:val="0"/>
          <w:numId w:val="25"/>
        </w:numPr>
      </w:pPr>
      <w:r>
        <w:t>This disclosure breaches or may breach Australian Privacy Principle (</w:t>
      </w:r>
      <w:r w:rsidRPr="000520AF">
        <w:rPr>
          <w:b/>
        </w:rPr>
        <w:t>APP</w:t>
      </w:r>
      <w:r>
        <w:t>) 6.1</w:t>
      </w:r>
      <w:r w:rsidRPr="00FB31AC">
        <w:t xml:space="preserve"> </w:t>
      </w:r>
      <w:r>
        <w:t>in Schedule 1 of the Privacy Act</w:t>
      </w:r>
    </w:p>
    <w:p w:rsidR="00494ACF" w:rsidRPr="00237E66" w:rsidRDefault="000534F0" w:rsidP="00FC14DD">
      <w:pPr>
        <w:pStyle w:val="Heading2"/>
      </w:pPr>
      <w:proofErr w:type="gramStart"/>
      <w:r>
        <w:t xml:space="preserve">8 </w:t>
      </w:r>
      <w:r w:rsidR="009663AB">
        <w:t xml:space="preserve"> </w:t>
      </w:r>
      <w:r w:rsidR="00494ACF" w:rsidRPr="00237E66">
        <w:t>Public</w:t>
      </w:r>
      <w:proofErr w:type="gramEnd"/>
      <w:r w:rsidR="00494ACF" w:rsidRPr="00237E66">
        <w:t xml:space="preserve"> Interest</w:t>
      </w:r>
    </w:p>
    <w:p w:rsidR="00E6529C" w:rsidRDefault="00852C35" w:rsidP="00E6529C">
      <w:pPr>
        <w:pStyle w:val="Numberedrecommendations"/>
        <w:ind w:left="720"/>
      </w:pPr>
      <w:r>
        <w:t xml:space="preserve">The public interest in the Applicant carrying out the acts and practices set out in </w:t>
      </w:r>
      <w:r w:rsidR="00494ACF">
        <w:t>section 7 above</w:t>
      </w:r>
      <w:r>
        <w:t xml:space="preserve"> outweighs to a substantial degree the publ</w:t>
      </w:r>
      <w:r w:rsidR="000520AF">
        <w:t>ic interest in adhering to APP 6</w:t>
      </w:r>
      <w:r w:rsidR="00623EB3">
        <w:t>.1.</w:t>
      </w:r>
    </w:p>
    <w:p w:rsidR="00AC1340" w:rsidRPr="00237E66" w:rsidRDefault="00FE2ACC" w:rsidP="00FC14DD">
      <w:pPr>
        <w:pStyle w:val="Heading2"/>
      </w:pPr>
      <w:r>
        <w:t>9  T</w:t>
      </w:r>
      <w:r w:rsidR="00AC1340">
        <w:t>emporary public interest determination</w:t>
      </w:r>
    </w:p>
    <w:p w:rsidR="00196527" w:rsidRDefault="00196527" w:rsidP="00FB31AC">
      <w:pPr>
        <w:pStyle w:val="Numberedrecommendations"/>
        <w:numPr>
          <w:ilvl w:val="0"/>
          <w:numId w:val="47"/>
        </w:numPr>
        <w:spacing w:line="360" w:lineRule="auto"/>
      </w:pPr>
      <w:r>
        <w:t>The Applicant’s application raises issues that require an urgent decision.</w:t>
      </w:r>
    </w:p>
    <w:p w:rsidR="00196527" w:rsidRDefault="00196527" w:rsidP="00FB31AC">
      <w:pPr>
        <w:pStyle w:val="Numberedrecommendations"/>
        <w:numPr>
          <w:ilvl w:val="0"/>
          <w:numId w:val="47"/>
        </w:numPr>
      </w:pPr>
      <w:r>
        <w:t xml:space="preserve">Accordingly, by operation of </w:t>
      </w:r>
      <w:r w:rsidR="00756A53">
        <w:t>subsection</w:t>
      </w:r>
      <w:r>
        <w:t xml:space="preserve"> 80B(</w:t>
      </w:r>
      <w:r w:rsidR="0056007D">
        <w:t>1</w:t>
      </w:r>
      <w:r>
        <w:t xml:space="preserve">) of the Privacy Act the Applicant is taken not to </w:t>
      </w:r>
      <w:r w:rsidR="0056007D">
        <w:t xml:space="preserve">breach </w:t>
      </w:r>
      <w:r>
        <w:t>s</w:t>
      </w:r>
      <w:r w:rsidR="00F821A7">
        <w:t>ection</w:t>
      </w:r>
      <w:r>
        <w:t xml:space="preserve"> 15 of the Privacy Act if:</w:t>
      </w:r>
    </w:p>
    <w:p w:rsidR="00FB31AC" w:rsidRDefault="00FB31AC" w:rsidP="00FB31AC">
      <w:pPr>
        <w:pStyle w:val="Numberedrecommendations"/>
        <w:numPr>
          <w:ilvl w:val="0"/>
          <w:numId w:val="45"/>
        </w:numPr>
      </w:pPr>
      <w:r>
        <w:t>the Applicant engages in the acts and practices set out in subsection 7(1) above, and</w:t>
      </w:r>
    </w:p>
    <w:p w:rsidR="00FB31AC" w:rsidRDefault="00C1738D" w:rsidP="00FB31AC">
      <w:pPr>
        <w:pStyle w:val="Numberedrecommendations"/>
        <w:numPr>
          <w:ilvl w:val="0"/>
          <w:numId w:val="45"/>
        </w:numPr>
      </w:pPr>
      <w:proofErr w:type="gramStart"/>
      <w:r>
        <w:t>the</w:t>
      </w:r>
      <w:proofErr w:type="gramEnd"/>
      <w:r>
        <w:t xml:space="preserve"> acts and practices are carried out in accordance with the co</w:t>
      </w:r>
      <w:r w:rsidR="00FB31AC">
        <w:t>nditions set out in subsection 3 below</w:t>
      </w:r>
      <w:r>
        <w:t>.</w:t>
      </w:r>
    </w:p>
    <w:p w:rsidR="00FB31AC" w:rsidRDefault="00FB31AC" w:rsidP="00FB31AC">
      <w:pPr>
        <w:pStyle w:val="Numberedrecommendations"/>
        <w:ind w:left="720" w:hanging="294"/>
      </w:pPr>
      <w:r>
        <w:t>(3) This determination only applies where the acts and practices set out in section 7(1) are carried out in accordance with the following conditions:</w:t>
      </w:r>
    </w:p>
    <w:p w:rsidR="00FB31AC" w:rsidRDefault="00FB31AC" w:rsidP="00FB31AC">
      <w:pPr>
        <w:pStyle w:val="Numberedrecommendations"/>
        <w:numPr>
          <w:ilvl w:val="0"/>
          <w:numId w:val="49"/>
        </w:numPr>
      </w:pPr>
      <w:r>
        <w:t xml:space="preserve">before an </w:t>
      </w:r>
      <w:r w:rsidRPr="00B5749F">
        <w:t>Ernst &amp; Young employee</w:t>
      </w:r>
      <w:r w:rsidRPr="000520AF">
        <w:t xml:space="preserve"> </w:t>
      </w:r>
      <w:r w:rsidRPr="00B5749F">
        <w:t>access</w:t>
      </w:r>
      <w:r>
        <w:t>es</w:t>
      </w:r>
      <w:r w:rsidRPr="00B5749F">
        <w:t xml:space="preserve"> the personal information </w:t>
      </w:r>
      <w:r>
        <w:t>contained in the</w:t>
      </w:r>
      <w:r w:rsidRPr="000520AF">
        <w:t xml:space="preserve"> </w:t>
      </w:r>
      <w:r>
        <w:t>C</w:t>
      </w:r>
      <w:r w:rsidRPr="000520AF">
        <w:t xml:space="preserve">laims </w:t>
      </w:r>
      <w:r>
        <w:t>F</w:t>
      </w:r>
      <w:r w:rsidRPr="000520AF">
        <w:t>ile</w:t>
      </w:r>
      <w:r>
        <w:t>s, that employee</w:t>
      </w:r>
      <w:r w:rsidRPr="00B5749F">
        <w:t xml:space="preserve"> must have signed a </w:t>
      </w:r>
      <w:r>
        <w:t xml:space="preserve">written </w:t>
      </w:r>
      <w:r w:rsidRPr="00B5749F">
        <w:t>confidentiality underta</w:t>
      </w:r>
      <w:r>
        <w:t>king in relation to the information</w:t>
      </w:r>
    </w:p>
    <w:p w:rsidR="00FB31AC" w:rsidRDefault="00FB31AC" w:rsidP="00FB31AC">
      <w:pPr>
        <w:pStyle w:val="Numberedrecommendations"/>
        <w:numPr>
          <w:ilvl w:val="0"/>
          <w:numId w:val="49"/>
        </w:numPr>
      </w:pPr>
      <w:r>
        <w:rPr>
          <w:rFonts w:asciiTheme="minorHAnsi" w:hAnsiTheme="minorHAnsi" w:cstheme="minorHAnsi"/>
        </w:rPr>
        <w:t>a</w:t>
      </w:r>
      <w:r w:rsidRPr="000520AF">
        <w:rPr>
          <w:rFonts w:asciiTheme="minorHAnsi" w:hAnsiTheme="minorHAnsi" w:cstheme="minorHAnsi"/>
        </w:rPr>
        <w:t xml:space="preserve">ccess </w:t>
      </w:r>
      <w:r>
        <w:rPr>
          <w:rFonts w:asciiTheme="minorHAnsi" w:hAnsiTheme="minorHAnsi" w:cstheme="minorHAnsi"/>
        </w:rPr>
        <w:t>to the Claims Files must</w:t>
      </w:r>
      <w:r w:rsidRPr="000520A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only be given</w:t>
      </w:r>
      <w:r w:rsidRPr="000520AF">
        <w:rPr>
          <w:rFonts w:asciiTheme="minorHAnsi" w:hAnsiTheme="minorHAnsi" w:cstheme="minorHAnsi"/>
        </w:rPr>
        <w:t xml:space="preserve"> to a maximum of </w:t>
      </w:r>
      <w:r>
        <w:rPr>
          <w:rFonts w:asciiTheme="minorHAnsi" w:hAnsiTheme="minorHAnsi" w:cstheme="minorHAnsi"/>
        </w:rPr>
        <w:t>three</w:t>
      </w:r>
      <w:r w:rsidRPr="000520AF">
        <w:rPr>
          <w:rFonts w:asciiTheme="minorHAnsi" w:hAnsiTheme="minorHAnsi" w:cstheme="minorHAnsi"/>
        </w:rPr>
        <w:t xml:space="preserve"> Ernst &amp; Young </w:t>
      </w:r>
      <w:r w:rsidRPr="00426816">
        <w:t xml:space="preserve">employees with a need to access </w:t>
      </w:r>
      <w:r>
        <w:t xml:space="preserve">the </w:t>
      </w:r>
      <w:r w:rsidRPr="00426816">
        <w:t xml:space="preserve">information for the purposes of the </w:t>
      </w:r>
      <w:r w:rsidRPr="000520AF">
        <w:t>Contestability Review</w:t>
      </w:r>
    </w:p>
    <w:p w:rsidR="00FB31AC" w:rsidRPr="00426816" w:rsidRDefault="00FB31AC" w:rsidP="00E6529C">
      <w:pPr>
        <w:pStyle w:val="Numberedrecommendations"/>
        <w:numPr>
          <w:ilvl w:val="0"/>
          <w:numId w:val="49"/>
        </w:numPr>
      </w:pPr>
      <w:r w:rsidRPr="00426816">
        <w:lastRenderedPageBreak/>
        <w:t>Ernst &amp; Young must not collect personal information about any individual referred to in a Claims File</w:t>
      </w:r>
      <w:r w:rsidR="00E6529C">
        <w:t>,</w:t>
      </w:r>
      <w:r w:rsidR="00E6529C" w:rsidRPr="00E6529C">
        <w:t xml:space="preserve"> other than that of the Applicant’s employees in the context of the performance of the</w:t>
      </w:r>
      <w:r w:rsidR="009663AB">
        <w:t xml:space="preserve"> employees’</w:t>
      </w:r>
      <w:r w:rsidR="00E6529C" w:rsidRPr="00E6529C">
        <w:t xml:space="preserve"> duties</w:t>
      </w:r>
      <w:r w:rsidR="004A7F78">
        <w:t>, and</w:t>
      </w:r>
    </w:p>
    <w:p w:rsidR="00FB31AC" w:rsidRDefault="00FB31AC" w:rsidP="00FB31AC">
      <w:pPr>
        <w:pStyle w:val="Numberedrecommendations"/>
        <w:numPr>
          <w:ilvl w:val="0"/>
          <w:numId w:val="49"/>
        </w:numPr>
      </w:pPr>
      <w:proofErr w:type="gramStart"/>
      <w:r w:rsidRPr="00426816">
        <w:t>the</w:t>
      </w:r>
      <w:proofErr w:type="gramEnd"/>
      <w:r w:rsidRPr="00426816">
        <w:t xml:space="preserve"> Applicant must review and approve the content of the Ernst &amp; Young report prior</w:t>
      </w:r>
      <w:r>
        <w:rPr>
          <w:rFonts w:asciiTheme="minorHAnsi" w:hAnsiTheme="minorHAnsi" w:cstheme="minorHAnsi"/>
        </w:rPr>
        <w:t xml:space="preserve"> to its finalisation to ensure that no personal information, other than that of the Applicant’s employees is included in the report.  </w:t>
      </w:r>
    </w:p>
    <w:p w:rsidR="00FB31AC" w:rsidRDefault="00FB31AC" w:rsidP="00FB31AC">
      <w:pPr>
        <w:pStyle w:val="Numberedrecommendations"/>
      </w:pPr>
    </w:p>
    <w:p w:rsidR="000520AF" w:rsidRDefault="000520AF" w:rsidP="000C6475">
      <w:pPr>
        <w:pStyle w:val="BodyText1"/>
        <w:ind w:firstLine="720"/>
      </w:pPr>
    </w:p>
    <w:p w:rsidR="00647A4D" w:rsidRDefault="00647A4D" w:rsidP="000C6475">
      <w:pPr>
        <w:pStyle w:val="BodyText1"/>
        <w:ind w:firstLine="720"/>
      </w:pPr>
    </w:p>
    <w:p w:rsidR="00647A4D" w:rsidRDefault="00647A4D" w:rsidP="000C6475">
      <w:pPr>
        <w:pStyle w:val="BodyText1"/>
        <w:ind w:firstLine="720"/>
      </w:pPr>
    </w:p>
    <w:p w:rsidR="00647A4D" w:rsidRDefault="00647A4D" w:rsidP="000C6475">
      <w:pPr>
        <w:pStyle w:val="BodyText1"/>
        <w:ind w:firstLine="720"/>
      </w:pPr>
    </w:p>
    <w:p w:rsidR="00647A4D" w:rsidRDefault="00647A4D" w:rsidP="000C6475">
      <w:pPr>
        <w:pStyle w:val="BodyText1"/>
        <w:ind w:firstLine="720"/>
      </w:pPr>
    </w:p>
    <w:p w:rsidR="00C41BDC" w:rsidRDefault="00C41BDC" w:rsidP="00C41BDC">
      <w:pPr>
        <w:spacing w:before="240" w:after="120"/>
        <w:ind w:left="6481" w:firstLine="720"/>
        <w:jc w:val="both"/>
        <w:outlineLvl w:val="2"/>
        <w:rPr>
          <w:b/>
        </w:rPr>
      </w:pPr>
    </w:p>
    <w:sectPr w:rsidR="00C41B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04" w:rsidRDefault="00971304" w:rsidP="00CB6868">
      <w:pPr>
        <w:spacing w:after="0"/>
      </w:pPr>
      <w:r>
        <w:separator/>
      </w:r>
    </w:p>
  </w:endnote>
  <w:endnote w:type="continuationSeparator" w:id="0">
    <w:p w:rsidR="00971304" w:rsidRDefault="00971304" w:rsidP="00CB68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304" w:rsidRDefault="009713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304" w:rsidRDefault="009713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304" w:rsidRDefault="00971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04" w:rsidRDefault="00971304" w:rsidP="00CB6868">
      <w:pPr>
        <w:spacing w:after="0"/>
      </w:pPr>
      <w:r>
        <w:separator/>
      </w:r>
    </w:p>
  </w:footnote>
  <w:footnote w:type="continuationSeparator" w:id="0">
    <w:p w:rsidR="00971304" w:rsidRDefault="00971304" w:rsidP="00CB68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304" w:rsidRDefault="009713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304" w:rsidRDefault="009713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304" w:rsidRDefault="009713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5B6"/>
    <w:multiLevelType w:val="hybridMultilevel"/>
    <w:tmpl w:val="0FB866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E1646"/>
    <w:multiLevelType w:val="hybridMultilevel"/>
    <w:tmpl w:val="54EAF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1758B"/>
    <w:multiLevelType w:val="hybridMultilevel"/>
    <w:tmpl w:val="3B9C6318"/>
    <w:lvl w:ilvl="0" w:tplc="6EEA8F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95A5E"/>
    <w:multiLevelType w:val="hybridMultilevel"/>
    <w:tmpl w:val="11BE0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66C41"/>
    <w:multiLevelType w:val="hybridMultilevel"/>
    <w:tmpl w:val="B0F8A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6550F"/>
    <w:multiLevelType w:val="hybridMultilevel"/>
    <w:tmpl w:val="5EBA958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086E13"/>
    <w:multiLevelType w:val="hybridMultilevel"/>
    <w:tmpl w:val="363CF2A0"/>
    <w:lvl w:ilvl="0" w:tplc="85F0E76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84AFD"/>
    <w:multiLevelType w:val="hybridMultilevel"/>
    <w:tmpl w:val="426236CA"/>
    <w:lvl w:ilvl="0" w:tplc="6C50B9A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C7805"/>
    <w:multiLevelType w:val="hybridMultilevel"/>
    <w:tmpl w:val="FDBE21EC"/>
    <w:lvl w:ilvl="0" w:tplc="EBB633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1427B6"/>
    <w:multiLevelType w:val="hybridMultilevel"/>
    <w:tmpl w:val="D5A01D2A"/>
    <w:lvl w:ilvl="0" w:tplc="A4B0850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102093"/>
    <w:multiLevelType w:val="hybridMultilevel"/>
    <w:tmpl w:val="BDCAA456"/>
    <w:lvl w:ilvl="0" w:tplc="96C21E2E">
      <w:start w:val="1"/>
      <w:numFmt w:val="decimal"/>
      <w:lvlText w:val="%1."/>
      <w:lvlJc w:val="right"/>
      <w:pPr>
        <w:ind w:left="63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25E43"/>
    <w:multiLevelType w:val="hybridMultilevel"/>
    <w:tmpl w:val="960A70C2"/>
    <w:lvl w:ilvl="0" w:tplc="13BA4A6E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328A5F84">
      <w:start w:val="1"/>
      <w:numFmt w:val="lowerLetter"/>
      <w:lvlText w:val="(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15376"/>
    <w:multiLevelType w:val="hybridMultilevel"/>
    <w:tmpl w:val="C3D8D4FA"/>
    <w:lvl w:ilvl="0" w:tplc="1AFE079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2B6C7BE6"/>
    <w:multiLevelType w:val="hybridMultilevel"/>
    <w:tmpl w:val="3C224DF8"/>
    <w:lvl w:ilvl="0" w:tplc="6C50B9A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DF2482D"/>
    <w:multiLevelType w:val="multilevel"/>
    <w:tmpl w:val="6FF6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FA32B88"/>
    <w:multiLevelType w:val="hybridMultilevel"/>
    <w:tmpl w:val="91E0C2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FF623F"/>
    <w:multiLevelType w:val="hybridMultilevel"/>
    <w:tmpl w:val="B72451EE"/>
    <w:lvl w:ilvl="0" w:tplc="3CBC7492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4557BB"/>
    <w:multiLevelType w:val="hybridMultilevel"/>
    <w:tmpl w:val="798E9C50"/>
    <w:lvl w:ilvl="0" w:tplc="BFA81FB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1C926EA"/>
    <w:multiLevelType w:val="hybridMultilevel"/>
    <w:tmpl w:val="A07E7F54"/>
    <w:lvl w:ilvl="0" w:tplc="4EC8BFBE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65192"/>
    <w:multiLevelType w:val="hybridMultilevel"/>
    <w:tmpl w:val="B1DCF124"/>
    <w:lvl w:ilvl="0" w:tplc="F8C06726">
      <w:start w:val="1"/>
      <w:numFmt w:val="decimal"/>
      <w:lvlText w:val="%1.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B33B8"/>
    <w:multiLevelType w:val="hybridMultilevel"/>
    <w:tmpl w:val="2370D2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810EB9"/>
    <w:multiLevelType w:val="hybridMultilevel"/>
    <w:tmpl w:val="F44C87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3AF0A5D"/>
    <w:multiLevelType w:val="hybridMultilevel"/>
    <w:tmpl w:val="4F468436"/>
    <w:lvl w:ilvl="0" w:tplc="F88468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81E25A5"/>
    <w:multiLevelType w:val="hybridMultilevel"/>
    <w:tmpl w:val="D7AEE438"/>
    <w:lvl w:ilvl="0" w:tplc="83BC657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C40225A"/>
    <w:multiLevelType w:val="hybridMultilevel"/>
    <w:tmpl w:val="FB72D980"/>
    <w:lvl w:ilvl="0" w:tplc="328A5F84">
      <w:start w:val="1"/>
      <w:numFmt w:val="lowerLetter"/>
      <w:lvlText w:val="(%1)"/>
      <w:lvlJc w:val="left"/>
      <w:pPr>
        <w:ind w:left="1866" w:hanging="360"/>
      </w:pPr>
      <w:rPr>
        <w:rFonts w:ascii="Calibri" w:eastAsia="Times New Roman" w:hAnsi="Calibri" w:cs="Times New Roman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1B45D0D"/>
    <w:multiLevelType w:val="hybridMultilevel"/>
    <w:tmpl w:val="D74E4B50"/>
    <w:lvl w:ilvl="0" w:tplc="51D82C2A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4E13856"/>
    <w:multiLevelType w:val="hybridMultilevel"/>
    <w:tmpl w:val="A24A9A40"/>
    <w:lvl w:ilvl="0" w:tplc="8638882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59C2473"/>
    <w:multiLevelType w:val="hybridMultilevel"/>
    <w:tmpl w:val="8EB2B53A"/>
    <w:lvl w:ilvl="0" w:tplc="A5FE7B24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143967"/>
    <w:multiLevelType w:val="hybridMultilevel"/>
    <w:tmpl w:val="392E2484"/>
    <w:lvl w:ilvl="0" w:tplc="328A5F84">
      <w:start w:val="1"/>
      <w:numFmt w:val="lowerLetter"/>
      <w:lvlText w:val="(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FB3476"/>
    <w:multiLevelType w:val="hybridMultilevel"/>
    <w:tmpl w:val="F7200A78"/>
    <w:lvl w:ilvl="0" w:tplc="28F6C67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3B2E4C"/>
    <w:multiLevelType w:val="hybridMultilevel"/>
    <w:tmpl w:val="FB78D01A"/>
    <w:lvl w:ilvl="0" w:tplc="4C888E6A">
      <w:start w:val="1"/>
      <w:numFmt w:val="lowerRoman"/>
      <w:lvlText w:val="(%1)"/>
      <w:lvlJc w:val="left"/>
      <w:pPr>
        <w:ind w:left="178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8F62D8F"/>
    <w:multiLevelType w:val="hybridMultilevel"/>
    <w:tmpl w:val="B1DCF124"/>
    <w:lvl w:ilvl="0" w:tplc="F8C06726">
      <w:start w:val="1"/>
      <w:numFmt w:val="decimal"/>
      <w:lvlText w:val="%1.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56B92"/>
    <w:multiLevelType w:val="hybridMultilevel"/>
    <w:tmpl w:val="392E2484"/>
    <w:lvl w:ilvl="0" w:tplc="328A5F84">
      <w:start w:val="1"/>
      <w:numFmt w:val="lowerLetter"/>
      <w:lvlText w:val="(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D5350"/>
    <w:multiLevelType w:val="hybridMultilevel"/>
    <w:tmpl w:val="65CE2134"/>
    <w:lvl w:ilvl="0" w:tplc="9F2AB39E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81148F"/>
    <w:multiLevelType w:val="hybridMultilevel"/>
    <w:tmpl w:val="904A0026"/>
    <w:lvl w:ilvl="0" w:tplc="37FE764A">
      <w:start w:val="1"/>
      <w:numFmt w:val="lowerLetter"/>
      <w:lvlText w:val="%1)"/>
      <w:lvlJc w:val="left"/>
      <w:pPr>
        <w:ind w:left="1353" w:hanging="360"/>
      </w:pPr>
    </w:lvl>
    <w:lvl w:ilvl="1" w:tplc="0C090019">
      <w:start w:val="1"/>
      <w:numFmt w:val="lowerLetter"/>
      <w:lvlText w:val="%2."/>
      <w:lvlJc w:val="left"/>
      <w:pPr>
        <w:ind w:left="2073" w:hanging="360"/>
      </w:pPr>
    </w:lvl>
    <w:lvl w:ilvl="2" w:tplc="0C09001B">
      <w:start w:val="1"/>
      <w:numFmt w:val="lowerRoman"/>
      <w:lvlText w:val="%3."/>
      <w:lvlJc w:val="right"/>
      <w:pPr>
        <w:ind w:left="2793" w:hanging="180"/>
      </w:pPr>
    </w:lvl>
    <w:lvl w:ilvl="3" w:tplc="0C09000F">
      <w:start w:val="1"/>
      <w:numFmt w:val="decimal"/>
      <w:lvlText w:val="%4."/>
      <w:lvlJc w:val="left"/>
      <w:pPr>
        <w:ind w:left="3513" w:hanging="360"/>
      </w:pPr>
    </w:lvl>
    <w:lvl w:ilvl="4" w:tplc="0C090019">
      <w:start w:val="1"/>
      <w:numFmt w:val="lowerLetter"/>
      <w:lvlText w:val="%5."/>
      <w:lvlJc w:val="left"/>
      <w:pPr>
        <w:ind w:left="4233" w:hanging="360"/>
      </w:pPr>
    </w:lvl>
    <w:lvl w:ilvl="5" w:tplc="0C09001B">
      <w:start w:val="1"/>
      <w:numFmt w:val="lowerRoman"/>
      <w:lvlText w:val="%6."/>
      <w:lvlJc w:val="right"/>
      <w:pPr>
        <w:ind w:left="4953" w:hanging="180"/>
      </w:pPr>
    </w:lvl>
    <w:lvl w:ilvl="6" w:tplc="0C09000F">
      <w:start w:val="1"/>
      <w:numFmt w:val="decimal"/>
      <w:lvlText w:val="%7."/>
      <w:lvlJc w:val="left"/>
      <w:pPr>
        <w:ind w:left="5673" w:hanging="360"/>
      </w:pPr>
    </w:lvl>
    <w:lvl w:ilvl="7" w:tplc="0C090019">
      <w:start w:val="1"/>
      <w:numFmt w:val="lowerLetter"/>
      <w:lvlText w:val="%8."/>
      <w:lvlJc w:val="left"/>
      <w:pPr>
        <w:ind w:left="6393" w:hanging="360"/>
      </w:pPr>
    </w:lvl>
    <w:lvl w:ilvl="8" w:tplc="0C09001B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5CE4F2C"/>
    <w:multiLevelType w:val="hybridMultilevel"/>
    <w:tmpl w:val="D4FC57CC"/>
    <w:lvl w:ilvl="0" w:tplc="9D80E53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7974BC"/>
    <w:multiLevelType w:val="hybridMultilevel"/>
    <w:tmpl w:val="4FB2BEBE"/>
    <w:lvl w:ilvl="0" w:tplc="F3629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7902F5"/>
    <w:multiLevelType w:val="hybridMultilevel"/>
    <w:tmpl w:val="5992A2EA"/>
    <w:lvl w:ilvl="0" w:tplc="B678A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05BAE"/>
    <w:multiLevelType w:val="hybridMultilevel"/>
    <w:tmpl w:val="F7200A78"/>
    <w:lvl w:ilvl="0" w:tplc="28F6C67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A9277E1"/>
    <w:multiLevelType w:val="hybridMultilevel"/>
    <w:tmpl w:val="A95242FE"/>
    <w:lvl w:ilvl="0" w:tplc="C452FE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014CA"/>
    <w:multiLevelType w:val="hybridMultilevel"/>
    <w:tmpl w:val="CF86EB50"/>
    <w:lvl w:ilvl="0" w:tplc="B832C51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B5073B"/>
    <w:multiLevelType w:val="hybridMultilevel"/>
    <w:tmpl w:val="FFCA8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10"/>
  </w:num>
  <w:num w:numId="4">
    <w:abstractNumId w:val="18"/>
  </w:num>
  <w:num w:numId="5">
    <w:abstractNumId w:val="2"/>
  </w:num>
  <w:num w:numId="6">
    <w:abstractNumId w:val="39"/>
  </w:num>
  <w:num w:numId="7">
    <w:abstractNumId w:val="9"/>
  </w:num>
  <w:num w:numId="8">
    <w:abstractNumId w:val="40"/>
  </w:num>
  <w:num w:numId="9">
    <w:abstractNumId w:val="35"/>
  </w:num>
  <w:num w:numId="10">
    <w:abstractNumId w:val="3"/>
  </w:num>
  <w:num w:numId="11">
    <w:abstractNumId w:val="25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0"/>
  </w:num>
  <w:num w:numId="15">
    <w:abstractNumId w:val="34"/>
  </w:num>
  <w:num w:numId="16">
    <w:abstractNumId w:val="22"/>
  </w:num>
  <w:num w:numId="17">
    <w:abstractNumId w:val="38"/>
  </w:num>
  <w:num w:numId="18">
    <w:abstractNumId w:val="30"/>
  </w:num>
  <w:num w:numId="19">
    <w:abstractNumId w:val="29"/>
  </w:num>
  <w:num w:numId="20">
    <w:abstractNumId w:val="0"/>
  </w:num>
  <w:num w:numId="21">
    <w:abstractNumId w:val="11"/>
  </w:num>
  <w:num w:numId="22">
    <w:abstractNumId w:val="1"/>
  </w:num>
  <w:num w:numId="23">
    <w:abstractNumId w:val="4"/>
  </w:num>
  <w:num w:numId="24">
    <w:abstractNumId w:val="14"/>
  </w:num>
  <w:num w:numId="25">
    <w:abstractNumId w:val="1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7"/>
  </w:num>
  <w:num w:numId="31">
    <w:abstractNumId w:val="8"/>
  </w:num>
  <w:num w:numId="32">
    <w:abstractNumId w:val="11"/>
    <w:lvlOverride w:ilvl="0">
      <w:startOverride w:val="8"/>
    </w:lvlOverride>
  </w:num>
  <w:num w:numId="33">
    <w:abstractNumId w:val="11"/>
  </w:num>
  <w:num w:numId="34">
    <w:abstractNumId w:val="11"/>
    <w:lvlOverride w:ilvl="0">
      <w:startOverride w:val="5"/>
    </w:lvlOverride>
  </w:num>
  <w:num w:numId="35">
    <w:abstractNumId w:val="33"/>
  </w:num>
  <w:num w:numId="36">
    <w:abstractNumId w:val="16"/>
  </w:num>
  <w:num w:numId="37">
    <w:abstractNumId w:val="23"/>
  </w:num>
  <w:num w:numId="38">
    <w:abstractNumId w:val="17"/>
  </w:num>
  <w:num w:numId="39">
    <w:abstractNumId w:val="27"/>
  </w:num>
  <w:num w:numId="40">
    <w:abstractNumId w:val="26"/>
  </w:num>
  <w:num w:numId="41">
    <w:abstractNumId w:val="41"/>
  </w:num>
  <w:num w:numId="42">
    <w:abstractNumId w:val="5"/>
  </w:num>
  <w:num w:numId="43">
    <w:abstractNumId w:val="15"/>
  </w:num>
  <w:num w:numId="44">
    <w:abstractNumId w:val="21"/>
  </w:num>
  <w:num w:numId="45">
    <w:abstractNumId w:val="32"/>
  </w:num>
  <w:num w:numId="46">
    <w:abstractNumId w:val="24"/>
  </w:num>
  <w:num w:numId="47">
    <w:abstractNumId w:val="13"/>
  </w:num>
  <w:num w:numId="48">
    <w:abstractNumId w:val="7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1B"/>
    <w:rsid w:val="0000624D"/>
    <w:rsid w:val="00012943"/>
    <w:rsid w:val="00023FFE"/>
    <w:rsid w:val="00025672"/>
    <w:rsid w:val="00026D18"/>
    <w:rsid w:val="00035C15"/>
    <w:rsid w:val="000520AF"/>
    <w:rsid w:val="000534F0"/>
    <w:rsid w:val="00066FBF"/>
    <w:rsid w:val="00067AAF"/>
    <w:rsid w:val="00075BB3"/>
    <w:rsid w:val="00096050"/>
    <w:rsid w:val="0009781C"/>
    <w:rsid w:val="000A026E"/>
    <w:rsid w:val="000A1ABA"/>
    <w:rsid w:val="000A2B4D"/>
    <w:rsid w:val="000A66B6"/>
    <w:rsid w:val="000B14B4"/>
    <w:rsid w:val="000B517F"/>
    <w:rsid w:val="000C4651"/>
    <w:rsid w:val="000C5927"/>
    <w:rsid w:val="000C5992"/>
    <w:rsid w:val="000C6475"/>
    <w:rsid w:val="000C6D4C"/>
    <w:rsid w:val="000D19EB"/>
    <w:rsid w:val="000E0F75"/>
    <w:rsid w:val="000E2609"/>
    <w:rsid w:val="000E34DE"/>
    <w:rsid w:val="000F083B"/>
    <w:rsid w:val="000F4227"/>
    <w:rsid w:val="00115716"/>
    <w:rsid w:val="001235B9"/>
    <w:rsid w:val="00126CDB"/>
    <w:rsid w:val="00127BE9"/>
    <w:rsid w:val="00130850"/>
    <w:rsid w:val="001557B3"/>
    <w:rsid w:val="00161265"/>
    <w:rsid w:val="001614E3"/>
    <w:rsid w:val="00167D8D"/>
    <w:rsid w:val="00196527"/>
    <w:rsid w:val="001A0780"/>
    <w:rsid w:val="001A5C66"/>
    <w:rsid w:val="001B42D9"/>
    <w:rsid w:val="001C19C7"/>
    <w:rsid w:val="001C61D2"/>
    <w:rsid w:val="001D0744"/>
    <w:rsid w:val="001E4843"/>
    <w:rsid w:val="001F1A34"/>
    <w:rsid w:val="00203873"/>
    <w:rsid w:val="002043ED"/>
    <w:rsid w:val="002066B4"/>
    <w:rsid w:val="002069D3"/>
    <w:rsid w:val="0021167D"/>
    <w:rsid w:val="002157A9"/>
    <w:rsid w:val="0021711F"/>
    <w:rsid w:val="00217D43"/>
    <w:rsid w:val="00220AD7"/>
    <w:rsid w:val="00236D27"/>
    <w:rsid w:val="00237E66"/>
    <w:rsid w:val="002475CD"/>
    <w:rsid w:val="002547A9"/>
    <w:rsid w:val="00254847"/>
    <w:rsid w:val="00260761"/>
    <w:rsid w:val="00263EFE"/>
    <w:rsid w:val="002678B5"/>
    <w:rsid w:val="0029182E"/>
    <w:rsid w:val="0029259A"/>
    <w:rsid w:val="0029656A"/>
    <w:rsid w:val="002A50B5"/>
    <w:rsid w:val="002C19E2"/>
    <w:rsid w:val="002C3B77"/>
    <w:rsid w:val="002D604B"/>
    <w:rsid w:val="002E4556"/>
    <w:rsid w:val="002E49D5"/>
    <w:rsid w:val="002F2148"/>
    <w:rsid w:val="00304353"/>
    <w:rsid w:val="003127D3"/>
    <w:rsid w:val="00321595"/>
    <w:rsid w:val="0032198C"/>
    <w:rsid w:val="00330B5B"/>
    <w:rsid w:val="00333167"/>
    <w:rsid w:val="00333F94"/>
    <w:rsid w:val="003352DD"/>
    <w:rsid w:val="00336078"/>
    <w:rsid w:val="0035148E"/>
    <w:rsid w:val="0035207E"/>
    <w:rsid w:val="00357DD4"/>
    <w:rsid w:val="00376A66"/>
    <w:rsid w:val="00385D85"/>
    <w:rsid w:val="0038764A"/>
    <w:rsid w:val="003A50F1"/>
    <w:rsid w:val="003B56AB"/>
    <w:rsid w:val="003C53F6"/>
    <w:rsid w:val="003D0B4E"/>
    <w:rsid w:val="003D2C20"/>
    <w:rsid w:val="003D41B8"/>
    <w:rsid w:val="003D4A38"/>
    <w:rsid w:val="003D7B86"/>
    <w:rsid w:val="003E17D3"/>
    <w:rsid w:val="003E4F75"/>
    <w:rsid w:val="003F049C"/>
    <w:rsid w:val="003F2664"/>
    <w:rsid w:val="003F5914"/>
    <w:rsid w:val="00404036"/>
    <w:rsid w:val="00410BAE"/>
    <w:rsid w:val="00413BEF"/>
    <w:rsid w:val="004463AB"/>
    <w:rsid w:val="00467DD2"/>
    <w:rsid w:val="0047085D"/>
    <w:rsid w:val="004743FC"/>
    <w:rsid w:val="004752BB"/>
    <w:rsid w:val="00487482"/>
    <w:rsid w:val="00494ACF"/>
    <w:rsid w:val="00495F61"/>
    <w:rsid w:val="004A2A2A"/>
    <w:rsid w:val="004A3032"/>
    <w:rsid w:val="004A7F78"/>
    <w:rsid w:val="004B39ED"/>
    <w:rsid w:val="004B4721"/>
    <w:rsid w:val="004D2B2E"/>
    <w:rsid w:val="00502990"/>
    <w:rsid w:val="00513D60"/>
    <w:rsid w:val="00513ECA"/>
    <w:rsid w:val="0051595A"/>
    <w:rsid w:val="00523FE8"/>
    <w:rsid w:val="0052524C"/>
    <w:rsid w:val="0055326A"/>
    <w:rsid w:val="0056007D"/>
    <w:rsid w:val="00560827"/>
    <w:rsid w:val="00560B8B"/>
    <w:rsid w:val="00562499"/>
    <w:rsid w:val="00576930"/>
    <w:rsid w:val="00576C04"/>
    <w:rsid w:val="00583A7B"/>
    <w:rsid w:val="00586B3F"/>
    <w:rsid w:val="005A10DE"/>
    <w:rsid w:val="005A6D17"/>
    <w:rsid w:val="005B0D80"/>
    <w:rsid w:val="005D0689"/>
    <w:rsid w:val="005D163B"/>
    <w:rsid w:val="005D2C98"/>
    <w:rsid w:val="005F2F56"/>
    <w:rsid w:val="005F69AD"/>
    <w:rsid w:val="005F7414"/>
    <w:rsid w:val="005F7A6E"/>
    <w:rsid w:val="00602175"/>
    <w:rsid w:val="00616A1B"/>
    <w:rsid w:val="0062352B"/>
    <w:rsid w:val="00623EB3"/>
    <w:rsid w:val="00645F8E"/>
    <w:rsid w:val="00647A4D"/>
    <w:rsid w:val="006501CA"/>
    <w:rsid w:val="0066177D"/>
    <w:rsid w:val="00664C9C"/>
    <w:rsid w:val="00686CED"/>
    <w:rsid w:val="006872C0"/>
    <w:rsid w:val="00690262"/>
    <w:rsid w:val="00690A55"/>
    <w:rsid w:val="006A0BD1"/>
    <w:rsid w:val="006A1FB6"/>
    <w:rsid w:val="006B0FCA"/>
    <w:rsid w:val="006B2F05"/>
    <w:rsid w:val="006B488D"/>
    <w:rsid w:val="006C0B52"/>
    <w:rsid w:val="006C3651"/>
    <w:rsid w:val="006C369F"/>
    <w:rsid w:val="006F1A3C"/>
    <w:rsid w:val="006F41C9"/>
    <w:rsid w:val="00706B38"/>
    <w:rsid w:val="00721355"/>
    <w:rsid w:val="00721BF3"/>
    <w:rsid w:val="00727D58"/>
    <w:rsid w:val="00740BB4"/>
    <w:rsid w:val="00743E3F"/>
    <w:rsid w:val="00756A53"/>
    <w:rsid w:val="0077081A"/>
    <w:rsid w:val="0077321E"/>
    <w:rsid w:val="00776725"/>
    <w:rsid w:val="00776946"/>
    <w:rsid w:val="00776B1D"/>
    <w:rsid w:val="007A7D8A"/>
    <w:rsid w:val="007B0492"/>
    <w:rsid w:val="007B1798"/>
    <w:rsid w:val="007E5AAB"/>
    <w:rsid w:val="007E64D1"/>
    <w:rsid w:val="0080135A"/>
    <w:rsid w:val="00806AE5"/>
    <w:rsid w:val="0081015E"/>
    <w:rsid w:val="00810ECA"/>
    <w:rsid w:val="00820890"/>
    <w:rsid w:val="00827B6B"/>
    <w:rsid w:val="0083284F"/>
    <w:rsid w:val="00852C35"/>
    <w:rsid w:val="00864C35"/>
    <w:rsid w:val="008A3731"/>
    <w:rsid w:val="008B32BF"/>
    <w:rsid w:val="008B3427"/>
    <w:rsid w:val="008D22AF"/>
    <w:rsid w:val="008D6365"/>
    <w:rsid w:val="008E4CE1"/>
    <w:rsid w:val="008F0FD6"/>
    <w:rsid w:val="008F35D8"/>
    <w:rsid w:val="008F385F"/>
    <w:rsid w:val="00905929"/>
    <w:rsid w:val="00906356"/>
    <w:rsid w:val="0090704D"/>
    <w:rsid w:val="00911215"/>
    <w:rsid w:val="00925426"/>
    <w:rsid w:val="00926033"/>
    <w:rsid w:val="00933771"/>
    <w:rsid w:val="009407CD"/>
    <w:rsid w:val="009409B8"/>
    <w:rsid w:val="00952C26"/>
    <w:rsid w:val="009663AB"/>
    <w:rsid w:val="00967209"/>
    <w:rsid w:val="00971304"/>
    <w:rsid w:val="009805A5"/>
    <w:rsid w:val="009842FB"/>
    <w:rsid w:val="0099671F"/>
    <w:rsid w:val="009A3AD7"/>
    <w:rsid w:val="009A3DD4"/>
    <w:rsid w:val="009A6522"/>
    <w:rsid w:val="009A6C47"/>
    <w:rsid w:val="009A7337"/>
    <w:rsid w:val="009B5E35"/>
    <w:rsid w:val="009B7B10"/>
    <w:rsid w:val="009D4344"/>
    <w:rsid w:val="009F1592"/>
    <w:rsid w:val="00A01ADB"/>
    <w:rsid w:val="00A12025"/>
    <w:rsid w:val="00A16C18"/>
    <w:rsid w:val="00A42DAF"/>
    <w:rsid w:val="00A62E54"/>
    <w:rsid w:val="00A85C60"/>
    <w:rsid w:val="00AB0489"/>
    <w:rsid w:val="00AC1340"/>
    <w:rsid w:val="00AC4CCE"/>
    <w:rsid w:val="00AC509A"/>
    <w:rsid w:val="00AC64ED"/>
    <w:rsid w:val="00AC7FE8"/>
    <w:rsid w:val="00AE37B1"/>
    <w:rsid w:val="00AF344E"/>
    <w:rsid w:val="00B01036"/>
    <w:rsid w:val="00B0529E"/>
    <w:rsid w:val="00B065B8"/>
    <w:rsid w:val="00B0705C"/>
    <w:rsid w:val="00B10FE9"/>
    <w:rsid w:val="00B178FC"/>
    <w:rsid w:val="00B40466"/>
    <w:rsid w:val="00B42911"/>
    <w:rsid w:val="00B46E59"/>
    <w:rsid w:val="00B54DD2"/>
    <w:rsid w:val="00B5749F"/>
    <w:rsid w:val="00B60A34"/>
    <w:rsid w:val="00B61716"/>
    <w:rsid w:val="00B62647"/>
    <w:rsid w:val="00B634F1"/>
    <w:rsid w:val="00B976EC"/>
    <w:rsid w:val="00BA11D7"/>
    <w:rsid w:val="00BA29F4"/>
    <w:rsid w:val="00BB0E08"/>
    <w:rsid w:val="00BB5FF1"/>
    <w:rsid w:val="00BC0610"/>
    <w:rsid w:val="00BC0FB2"/>
    <w:rsid w:val="00BC2947"/>
    <w:rsid w:val="00BC411A"/>
    <w:rsid w:val="00BE74C4"/>
    <w:rsid w:val="00BF1E74"/>
    <w:rsid w:val="00C02DD5"/>
    <w:rsid w:val="00C12216"/>
    <w:rsid w:val="00C1738D"/>
    <w:rsid w:val="00C204DA"/>
    <w:rsid w:val="00C25A3A"/>
    <w:rsid w:val="00C31B5F"/>
    <w:rsid w:val="00C41BDC"/>
    <w:rsid w:val="00C577A2"/>
    <w:rsid w:val="00C73866"/>
    <w:rsid w:val="00C80C78"/>
    <w:rsid w:val="00C967CD"/>
    <w:rsid w:val="00CB0060"/>
    <w:rsid w:val="00CB3246"/>
    <w:rsid w:val="00CB3249"/>
    <w:rsid w:val="00CB3745"/>
    <w:rsid w:val="00CB37A3"/>
    <w:rsid w:val="00CB6510"/>
    <w:rsid w:val="00CB6868"/>
    <w:rsid w:val="00CC4FCC"/>
    <w:rsid w:val="00CC6D2C"/>
    <w:rsid w:val="00CD0E33"/>
    <w:rsid w:val="00CD3159"/>
    <w:rsid w:val="00CD68D3"/>
    <w:rsid w:val="00CE5C3E"/>
    <w:rsid w:val="00D049F9"/>
    <w:rsid w:val="00D07322"/>
    <w:rsid w:val="00D07E4B"/>
    <w:rsid w:val="00D10A2B"/>
    <w:rsid w:val="00D10B35"/>
    <w:rsid w:val="00D46CBE"/>
    <w:rsid w:val="00D515D1"/>
    <w:rsid w:val="00D61E09"/>
    <w:rsid w:val="00D767A9"/>
    <w:rsid w:val="00D80987"/>
    <w:rsid w:val="00DA09EE"/>
    <w:rsid w:val="00DB2324"/>
    <w:rsid w:val="00DB494A"/>
    <w:rsid w:val="00DB59CD"/>
    <w:rsid w:val="00DC26DF"/>
    <w:rsid w:val="00DC3240"/>
    <w:rsid w:val="00DD551D"/>
    <w:rsid w:val="00DD7D51"/>
    <w:rsid w:val="00DE1F61"/>
    <w:rsid w:val="00DE42D3"/>
    <w:rsid w:val="00DE59AE"/>
    <w:rsid w:val="00DE6D89"/>
    <w:rsid w:val="00DF5E4A"/>
    <w:rsid w:val="00E018C5"/>
    <w:rsid w:val="00E2451A"/>
    <w:rsid w:val="00E2558D"/>
    <w:rsid w:val="00E36F8B"/>
    <w:rsid w:val="00E40F8E"/>
    <w:rsid w:val="00E41C3B"/>
    <w:rsid w:val="00E4280D"/>
    <w:rsid w:val="00E5291A"/>
    <w:rsid w:val="00E548A6"/>
    <w:rsid w:val="00E6529C"/>
    <w:rsid w:val="00E73D0A"/>
    <w:rsid w:val="00E81595"/>
    <w:rsid w:val="00E81D4F"/>
    <w:rsid w:val="00E87A2F"/>
    <w:rsid w:val="00E97591"/>
    <w:rsid w:val="00EA2315"/>
    <w:rsid w:val="00EA2D9D"/>
    <w:rsid w:val="00EF0DD6"/>
    <w:rsid w:val="00EF1726"/>
    <w:rsid w:val="00F26929"/>
    <w:rsid w:val="00F26F1B"/>
    <w:rsid w:val="00F35640"/>
    <w:rsid w:val="00F356BD"/>
    <w:rsid w:val="00F61EB4"/>
    <w:rsid w:val="00F821A7"/>
    <w:rsid w:val="00F83F7E"/>
    <w:rsid w:val="00F917A1"/>
    <w:rsid w:val="00FA1DD7"/>
    <w:rsid w:val="00FB31AC"/>
    <w:rsid w:val="00FB4F50"/>
    <w:rsid w:val="00FB6DAF"/>
    <w:rsid w:val="00FC14DD"/>
    <w:rsid w:val="00FC67B7"/>
    <w:rsid w:val="00FD65B0"/>
    <w:rsid w:val="00FE2ACC"/>
    <w:rsid w:val="00FE3E5A"/>
    <w:rsid w:val="00FE6FB1"/>
    <w:rsid w:val="00FF402C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1" w:unhideWhenUsed="0" w:qFormat="1"/>
    <w:lsdException w:name="heading 4" w:uiPriority="4" w:qFormat="1"/>
    <w:lsdException w:name="heading 5" w:uiPriority="4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04"/>
    <w:pPr>
      <w:spacing w:after="240"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D80987"/>
    <w:pPr>
      <w:keepNext/>
      <w:keepLines/>
      <w:spacing w:before="30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B0529E"/>
    <w:pPr>
      <w:keepNext/>
      <w:keepLines/>
      <w:spacing w:before="240" w:after="18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B0529E"/>
    <w:pPr>
      <w:keepNext/>
      <w:keepLines/>
      <w:spacing w:before="240" w:after="12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2"/>
    <w:qFormat/>
    <w:rsid w:val="00B0529E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2"/>
    <w:qFormat/>
    <w:rsid w:val="00AC4CCE"/>
    <w:pPr>
      <w:keepNext/>
      <w:keepLines/>
      <w:spacing w:before="120" w:after="120"/>
      <w:outlineLvl w:val="4"/>
    </w:pPr>
    <w:rPr>
      <w:rFonts w:eastAsiaTheme="majorEastAsia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80987"/>
    <w:rPr>
      <w:rFonts w:ascii="Calibri" w:eastAsiaTheme="majorEastAsia" w:hAnsi="Calibr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0529E"/>
    <w:rPr>
      <w:rFonts w:ascii="Calibri" w:eastAsiaTheme="majorEastAsia" w:hAnsi="Calibri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2"/>
    <w:qFormat/>
    <w:rsid w:val="00DE6D89"/>
    <w:pPr>
      <w:spacing w:before="360"/>
      <w:contextualSpacing/>
      <w:jc w:val="right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DE6D89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3"/>
    <w:qFormat/>
    <w:rsid w:val="00DE6D89"/>
    <w:pPr>
      <w:numPr>
        <w:ilvl w:val="1"/>
      </w:numPr>
      <w:spacing w:before="120" w:after="120"/>
      <w:jc w:val="center"/>
    </w:pPr>
    <w:rPr>
      <w:rFonts w:eastAsiaTheme="majorEastAsia" w:cstheme="majorBidi"/>
      <w:b/>
      <w:iCs/>
      <w:spacing w:val="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sid w:val="00DE6D89"/>
    <w:rPr>
      <w:rFonts w:ascii="Calibri" w:eastAsiaTheme="majorEastAsia" w:hAnsi="Calibri" w:cstheme="majorBidi"/>
      <w:b/>
      <w:iCs/>
      <w:spacing w:val="5"/>
      <w:sz w:val="28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E4843"/>
    <w:pPr>
      <w:spacing w:before="120"/>
      <w:ind w:left="709" w:right="521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1E4843"/>
    <w:rPr>
      <w:rFonts w:ascii="Calibri" w:hAnsi="Calibri"/>
      <w:iCs/>
      <w:sz w:val="24"/>
    </w:rPr>
  </w:style>
  <w:style w:type="paragraph" w:styleId="ListParagraph">
    <w:name w:val="List Paragraph"/>
    <w:basedOn w:val="Normal"/>
    <w:uiPriority w:val="34"/>
    <w:qFormat/>
    <w:rsid w:val="006A0BD1"/>
    <w:pPr>
      <w:numPr>
        <w:numId w:val="4"/>
      </w:numPr>
      <w:tabs>
        <w:tab w:val="left" w:pos="567"/>
      </w:tabs>
      <w:spacing w:before="120" w:after="120"/>
      <w:ind w:left="0" w:firstLine="0"/>
      <w:contextualSpacing/>
    </w:pPr>
  </w:style>
  <w:style w:type="character" w:customStyle="1" w:styleId="Heading3Char">
    <w:name w:val="Heading 3 Char"/>
    <w:basedOn w:val="DefaultParagraphFont"/>
    <w:link w:val="Heading3"/>
    <w:uiPriority w:val="1"/>
    <w:rsid w:val="00B0529E"/>
    <w:rPr>
      <w:rFonts w:ascii="Calibri" w:eastAsiaTheme="majorEastAsia" w:hAnsi="Calibri" w:cstheme="majorBidi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80987"/>
    <w:rPr>
      <w:rFonts w:ascii="Calibri" w:eastAsiaTheme="majorEastAsia" w:hAnsi="Calibri" w:cstheme="majorBidi"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D80987"/>
    <w:rPr>
      <w:rFonts w:ascii="Calibri" w:eastAsiaTheme="majorEastAsia" w:hAnsi="Calibri" w:cstheme="majorBidi"/>
      <w:b/>
    </w:rPr>
  </w:style>
  <w:style w:type="paragraph" w:customStyle="1" w:styleId="Bullets">
    <w:name w:val="Bullets"/>
    <w:basedOn w:val="ListParagraph"/>
    <w:qFormat/>
    <w:rsid w:val="00DE6D89"/>
    <w:pPr>
      <w:numPr>
        <w:numId w:val="2"/>
      </w:numPr>
      <w:spacing w:after="0"/>
      <w:ind w:hanging="578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4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91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OAICtable">
    <w:name w:val="OAIC table"/>
    <w:basedOn w:val="TableNormal"/>
    <w:uiPriority w:val="99"/>
    <w:rsid w:val="00576C04"/>
    <w:pPr>
      <w:spacing w:before="120" w:after="12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108" w:type="dxa"/>
        <w:bottom w:w="85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rFonts w:ascii="Calibri" w:hAnsi="Calibr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Normal"/>
    <w:uiPriority w:val="2"/>
    <w:qFormat/>
    <w:rsid w:val="00263EFE"/>
    <w:pPr>
      <w:spacing w:before="60" w:after="120"/>
    </w:pPr>
  </w:style>
  <w:style w:type="paragraph" w:customStyle="1" w:styleId="NumberedNormal">
    <w:name w:val="Numbered Normal"/>
    <w:basedOn w:val="ListParagraph"/>
    <w:qFormat/>
    <w:rsid w:val="006A0BD1"/>
    <w:pPr>
      <w:spacing w:after="240"/>
      <w:contextualSpacing w:val="0"/>
    </w:pPr>
  </w:style>
  <w:style w:type="character" w:customStyle="1" w:styleId="charparttext">
    <w:name w:val="charparttext"/>
    <w:basedOn w:val="DefaultParagraphFont"/>
    <w:rsid w:val="00F26F1B"/>
  </w:style>
  <w:style w:type="character" w:styleId="CommentReference">
    <w:name w:val="annotation reference"/>
    <w:basedOn w:val="DefaultParagraphFont"/>
    <w:uiPriority w:val="99"/>
    <w:semiHidden/>
    <w:unhideWhenUsed/>
    <w:rsid w:val="00F26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6F1B"/>
    <w:rPr>
      <w:rFonts w:eastAsia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6F1B"/>
    <w:rPr>
      <w:rFonts w:ascii="Calibri" w:eastAsia="Times New Roman" w:hAnsi="Calibri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D51"/>
    <w:rPr>
      <w:rFonts w:eastAsia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D51"/>
    <w:rPr>
      <w:rFonts w:ascii="Calibri" w:eastAsia="Times New Roman" w:hAnsi="Calibri" w:cs="Times New Roman"/>
      <w:b/>
      <w:bCs/>
      <w:sz w:val="20"/>
      <w:szCs w:val="20"/>
      <w:lang w:eastAsia="en-AU"/>
    </w:rPr>
  </w:style>
  <w:style w:type="paragraph" w:customStyle="1" w:styleId="Bulletlist">
    <w:name w:val="Bullet list"/>
    <w:basedOn w:val="ListParagraph"/>
    <w:qFormat/>
    <w:rsid w:val="00CB6868"/>
    <w:pPr>
      <w:numPr>
        <w:numId w:val="8"/>
      </w:numPr>
      <w:tabs>
        <w:tab w:val="clear" w:pos="567"/>
      </w:tabs>
      <w:spacing w:before="0"/>
      <w:contextualSpacing w:val="0"/>
    </w:pPr>
    <w:rPr>
      <w:rFonts w:eastAsia="Times New Roman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6868"/>
    <w:pPr>
      <w:spacing w:after="0"/>
    </w:pPr>
    <w:rPr>
      <w:rFonts w:eastAsia="Times New Roman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868"/>
    <w:rPr>
      <w:rFonts w:ascii="Calibri" w:eastAsia="Times New Roman" w:hAnsi="Calibri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CB686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B6868"/>
    <w:rPr>
      <w:color w:val="0000FF" w:themeColor="hyperlink"/>
      <w:u w:val="single"/>
    </w:rPr>
  </w:style>
  <w:style w:type="paragraph" w:customStyle="1" w:styleId="Default">
    <w:name w:val="Default"/>
    <w:rsid w:val="00330B5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ndissubsection">
    <w:name w:val="ndissubsection"/>
    <w:basedOn w:val="Normal"/>
    <w:rsid w:val="0047085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A3DD4"/>
    <w:pPr>
      <w:tabs>
        <w:tab w:val="center" w:pos="4513"/>
        <w:tab w:val="right" w:pos="9026"/>
      </w:tabs>
      <w:spacing w:after="200" w:line="276" w:lineRule="auto"/>
    </w:pPr>
    <w:rPr>
      <w:rFonts w:eastAsia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A3DD4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3352DD"/>
    <w:pPr>
      <w:spacing w:after="0" w:line="240" w:lineRule="auto"/>
    </w:pPr>
    <w:rPr>
      <w:rFonts w:ascii="Calibri" w:hAnsi="Calibri"/>
      <w:sz w:val="24"/>
    </w:rPr>
  </w:style>
  <w:style w:type="paragraph" w:customStyle="1" w:styleId="BodyText1">
    <w:name w:val="Body Text1"/>
    <w:basedOn w:val="Normal"/>
    <w:qFormat/>
    <w:rsid w:val="00D10A2B"/>
    <w:rPr>
      <w:rFonts w:eastAsia="Times New Roman" w:cs="Times New Roman"/>
      <w:lang w:eastAsia="en-AU"/>
    </w:rPr>
  </w:style>
  <w:style w:type="paragraph" w:customStyle="1" w:styleId="Numberedrecommendations">
    <w:name w:val="Numbered recommendations"/>
    <w:basedOn w:val="Bulletlist"/>
    <w:uiPriority w:val="1"/>
    <w:qFormat/>
    <w:rsid w:val="00D10A2B"/>
    <w:pPr>
      <w:numPr>
        <w:numId w:val="0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196527"/>
    <w:pPr>
      <w:spacing w:line="24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96527"/>
    <w:rPr>
      <w:rFonts w:ascii="Arial" w:eastAsia="Times New Roman" w:hAnsi="Arial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488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488D"/>
    <w:rPr>
      <w:rFonts w:ascii="Calibri" w:hAnsi="Calibri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6D2C"/>
    <w:rPr>
      <w:color w:val="800080" w:themeColor="followedHyperlink"/>
      <w:u w:val="single"/>
    </w:rPr>
  </w:style>
  <w:style w:type="paragraph" w:customStyle="1" w:styleId="ActHead5">
    <w:name w:val="ActHead 5"/>
    <w:aliases w:val="s"/>
    <w:basedOn w:val="Normal"/>
    <w:next w:val="subsection"/>
    <w:qFormat/>
    <w:rsid w:val="00321595"/>
    <w:pPr>
      <w:keepNext/>
      <w:keepLines/>
      <w:spacing w:before="280" w:after="0"/>
      <w:ind w:left="1134" w:hanging="1134"/>
      <w:outlineLvl w:val="4"/>
    </w:pPr>
    <w:rPr>
      <w:rFonts w:ascii="Times New Roman" w:eastAsia="Times New Roman" w:hAnsi="Times New Roman" w:cs="Times New Roman"/>
      <w:b/>
      <w:kern w:val="28"/>
      <w:szCs w:val="20"/>
      <w:lang w:eastAsia="en-AU"/>
    </w:rPr>
  </w:style>
  <w:style w:type="paragraph" w:customStyle="1" w:styleId="subsection">
    <w:name w:val="subsection"/>
    <w:aliases w:val="ss"/>
    <w:basedOn w:val="Normal"/>
    <w:rsid w:val="00321595"/>
    <w:pPr>
      <w:tabs>
        <w:tab w:val="right" w:pos="1021"/>
      </w:tabs>
      <w:spacing w:before="180" w:after="0"/>
      <w:ind w:left="1134" w:hanging="1134"/>
    </w:pPr>
    <w:rPr>
      <w:rFonts w:ascii="Times New Roman" w:eastAsia="Times New Roman" w:hAnsi="Times New Roman" w:cs="Times New Roman"/>
      <w:sz w:val="22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1" w:unhideWhenUsed="0" w:qFormat="1"/>
    <w:lsdException w:name="heading 4" w:uiPriority="4" w:qFormat="1"/>
    <w:lsdException w:name="heading 5" w:uiPriority="4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04"/>
    <w:pPr>
      <w:spacing w:after="240"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D80987"/>
    <w:pPr>
      <w:keepNext/>
      <w:keepLines/>
      <w:spacing w:before="30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B0529E"/>
    <w:pPr>
      <w:keepNext/>
      <w:keepLines/>
      <w:spacing w:before="240" w:after="18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B0529E"/>
    <w:pPr>
      <w:keepNext/>
      <w:keepLines/>
      <w:spacing w:before="240" w:after="12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2"/>
    <w:qFormat/>
    <w:rsid w:val="00B0529E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2"/>
    <w:qFormat/>
    <w:rsid w:val="00AC4CCE"/>
    <w:pPr>
      <w:keepNext/>
      <w:keepLines/>
      <w:spacing w:before="120" w:after="120"/>
      <w:outlineLvl w:val="4"/>
    </w:pPr>
    <w:rPr>
      <w:rFonts w:eastAsiaTheme="majorEastAsia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80987"/>
    <w:rPr>
      <w:rFonts w:ascii="Calibri" w:eastAsiaTheme="majorEastAsia" w:hAnsi="Calibr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0529E"/>
    <w:rPr>
      <w:rFonts w:ascii="Calibri" w:eastAsiaTheme="majorEastAsia" w:hAnsi="Calibri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2"/>
    <w:qFormat/>
    <w:rsid w:val="00DE6D89"/>
    <w:pPr>
      <w:spacing w:before="360"/>
      <w:contextualSpacing/>
      <w:jc w:val="right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DE6D89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3"/>
    <w:qFormat/>
    <w:rsid w:val="00DE6D89"/>
    <w:pPr>
      <w:numPr>
        <w:ilvl w:val="1"/>
      </w:numPr>
      <w:spacing w:before="120" w:after="120"/>
      <w:jc w:val="center"/>
    </w:pPr>
    <w:rPr>
      <w:rFonts w:eastAsiaTheme="majorEastAsia" w:cstheme="majorBidi"/>
      <w:b/>
      <w:iCs/>
      <w:spacing w:val="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sid w:val="00DE6D89"/>
    <w:rPr>
      <w:rFonts w:ascii="Calibri" w:eastAsiaTheme="majorEastAsia" w:hAnsi="Calibri" w:cstheme="majorBidi"/>
      <w:b/>
      <w:iCs/>
      <w:spacing w:val="5"/>
      <w:sz w:val="28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E4843"/>
    <w:pPr>
      <w:spacing w:before="120"/>
      <w:ind w:left="709" w:right="521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1E4843"/>
    <w:rPr>
      <w:rFonts w:ascii="Calibri" w:hAnsi="Calibri"/>
      <w:iCs/>
      <w:sz w:val="24"/>
    </w:rPr>
  </w:style>
  <w:style w:type="paragraph" w:styleId="ListParagraph">
    <w:name w:val="List Paragraph"/>
    <w:basedOn w:val="Normal"/>
    <w:uiPriority w:val="34"/>
    <w:qFormat/>
    <w:rsid w:val="006A0BD1"/>
    <w:pPr>
      <w:numPr>
        <w:numId w:val="4"/>
      </w:numPr>
      <w:tabs>
        <w:tab w:val="left" w:pos="567"/>
      </w:tabs>
      <w:spacing w:before="120" w:after="120"/>
      <w:ind w:left="0" w:firstLine="0"/>
      <w:contextualSpacing/>
    </w:pPr>
  </w:style>
  <w:style w:type="character" w:customStyle="1" w:styleId="Heading3Char">
    <w:name w:val="Heading 3 Char"/>
    <w:basedOn w:val="DefaultParagraphFont"/>
    <w:link w:val="Heading3"/>
    <w:uiPriority w:val="1"/>
    <w:rsid w:val="00B0529E"/>
    <w:rPr>
      <w:rFonts w:ascii="Calibri" w:eastAsiaTheme="majorEastAsia" w:hAnsi="Calibri" w:cstheme="majorBidi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80987"/>
    <w:rPr>
      <w:rFonts w:ascii="Calibri" w:eastAsiaTheme="majorEastAsia" w:hAnsi="Calibri" w:cstheme="majorBidi"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D80987"/>
    <w:rPr>
      <w:rFonts w:ascii="Calibri" w:eastAsiaTheme="majorEastAsia" w:hAnsi="Calibri" w:cstheme="majorBidi"/>
      <w:b/>
    </w:rPr>
  </w:style>
  <w:style w:type="paragraph" w:customStyle="1" w:styleId="Bullets">
    <w:name w:val="Bullets"/>
    <w:basedOn w:val="ListParagraph"/>
    <w:qFormat/>
    <w:rsid w:val="00DE6D89"/>
    <w:pPr>
      <w:numPr>
        <w:numId w:val="2"/>
      </w:numPr>
      <w:spacing w:after="0"/>
      <w:ind w:hanging="578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4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91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OAICtable">
    <w:name w:val="OAIC table"/>
    <w:basedOn w:val="TableNormal"/>
    <w:uiPriority w:val="99"/>
    <w:rsid w:val="00576C04"/>
    <w:pPr>
      <w:spacing w:before="120" w:after="12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108" w:type="dxa"/>
        <w:bottom w:w="85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rFonts w:ascii="Calibri" w:hAnsi="Calibr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Normal"/>
    <w:uiPriority w:val="2"/>
    <w:qFormat/>
    <w:rsid w:val="00263EFE"/>
    <w:pPr>
      <w:spacing w:before="60" w:after="120"/>
    </w:pPr>
  </w:style>
  <w:style w:type="paragraph" w:customStyle="1" w:styleId="NumberedNormal">
    <w:name w:val="Numbered Normal"/>
    <w:basedOn w:val="ListParagraph"/>
    <w:qFormat/>
    <w:rsid w:val="006A0BD1"/>
    <w:pPr>
      <w:spacing w:after="240"/>
      <w:contextualSpacing w:val="0"/>
    </w:pPr>
  </w:style>
  <w:style w:type="character" w:customStyle="1" w:styleId="charparttext">
    <w:name w:val="charparttext"/>
    <w:basedOn w:val="DefaultParagraphFont"/>
    <w:rsid w:val="00F26F1B"/>
  </w:style>
  <w:style w:type="character" w:styleId="CommentReference">
    <w:name w:val="annotation reference"/>
    <w:basedOn w:val="DefaultParagraphFont"/>
    <w:uiPriority w:val="99"/>
    <w:semiHidden/>
    <w:unhideWhenUsed/>
    <w:rsid w:val="00F26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6F1B"/>
    <w:rPr>
      <w:rFonts w:eastAsia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6F1B"/>
    <w:rPr>
      <w:rFonts w:ascii="Calibri" w:eastAsia="Times New Roman" w:hAnsi="Calibri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D51"/>
    <w:rPr>
      <w:rFonts w:eastAsia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D51"/>
    <w:rPr>
      <w:rFonts w:ascii="Calibri" w:eastAsia="Times New Roman" w:hAnsi="Calibri" w:cs="Times New Roman"/>
      <w:b/>
      <w:bCs/>
      <w:sz w:val="20"/>
      <w:szCs w:val="20"/>
      <w:lang w:eastAsia="en-AU"/>
    </w:rPr>
  </w:style>
  <w:style w:type="paragraph" w:customStyle="1" w:styleId="Bulletlist">
    <w:name w:val="Bullet list"/>
    <w:basedOn w:val="ListParagraph"/>
    <w:qFormat/>
    <w:rsid w:val="00CB6868"/>
    <w:pPr>
      <w:numPr>
        <w:numId w:val="8"/>
      </w:numPr>
      <w:tabs>
        <w:tab w:val="clear" w:pos="567"/>
      </w:tabs>
      <w:spacing w:before="0"/>
      <w:contextualSpacing w:val="0"/>
    </w:pPr>
    <w:rPr>
      <w:rFonts w:eastAsia="Times New Roman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6868"/>
    <w:pPr>
      <w:spacing w:after="0"/>
    </w:pPr>
    <w:rPr>
      <w:rFonts w:eastAsia="Times New Roman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868"/>
    <w:rPr>
      <w:rFonts w:ascii="Calibri" w:eastAsia="Times New Roman" w:hAnsi="Calibri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CB686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B6868"/>
    <w:rPr>
      <w:color w:val="0000FF" w:themeColor="hyperlink"/>
      <w:u w:val="single"/>
    </w:rPr>
  </w:style>
  <w:style w:type="paragraph" w:customStyle="1" w:styleId="Default">
    <w:name w:val="Default"/>
    <w:rsid w:val="00330B5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ndissubsection">
    <w:name w:val="ndissubsection"/>
    <w:basedOn w:val="Normal"/>
    <w:rsid w:val="0047085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A3DD4"/>
    <w:pPr>
      <w:tabs>
        <w:tab w:val="center" w:pos="4513"/>
        <w:tab w:val="right" w:pos="9026"/>
      </w:tabs>
      <w:spacing w:after="200" w:line="276" w:lineRule="auto"/>
    </w:pPr>
    <w:rPr>
      <w:rFonts w:eastAsia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A3DD4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3352DD"/>
    <w:pPr>
      <w:spacing w:after="0" w:line="240" w:lineRule="auto"/>
    </w:pPr>
    <w:rPr>
      <w:rFonts w:ascii="Calibri" w:hAnsi="Calibri"/>
      <w:sz w:val="24"/>
    </w:rPr>
  </w:style>
  <w:style w:type="paragraph" w:customStyle="1" w:styleId="BodyText1">
    <w:name w:val="Body Text1"/>
    <w:basedOn w:val="Normal"/>
    <w:qFormat/>
    <w:rsid w:val="00D10A2B"/>
    <w:rPr>
      <w:rFonts w:eastAsia="Times New Roman" w:cs="Times New Roman"/>
      <w:lang w:eastAsia="en-AU"/>
    </w:rPr>
  </w:style>
  <w:style w:type="paragraph" w:customStyle="1" w:styleId="Numberedrecommendations">
    <w:name w:val="Numbered recommendations"/>
    <w:basedOn w:val="Bulletlist"/>
    <w:uiPriority w:val="1"/>
    <w:qFormat/>
    <w:rsid w:val="00D10A2B"/>
    <w:pPr>
      <w:numPr>
        <w:numId w:val="0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196527"/>
    <w:pPr>
      <w:spacing w:line="24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96527"/>
    <w:rPr>
      <w:rFonts w:ascii="Arial" w:eastAsia="Times New Roman" w:hAnsi="Arial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488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488D"/>
    <w:rPr>
      <w:rFonts w:ascii="Calibri" w:hAnsi="Calibri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6D2C"/>
    <w:rPr>
      <w:color w:val="800080" w:themeColor="followedHyperlink"/>
      <w:u w:val="single"/>
    </w:rPr>
  </w:style>
  <w:style w:type="paragraph" w:customStyle="1" w:styleId="ActHead5">
    <w:name w:val="ActHead 5"/>
    <w:aliases w:val="s"/>
    <w:basedOn w:val="Normal"/>
    <w:next w:val="subsection"/>
    <w:qFormat/>
    <w:rsid w:val="00321595"/>
    <w:pPr>
      <w:keepNext/>
      <w:keepLines/>
      <w:spacing w:before="280" w:after="0"/>
      <w:ind w:left="1134" w:hanging="1134"/>
      <w:outlineLvl w:val="4"/>
    </w:pPr>
    <w:rPr>
      <w:rFonts w:ascii="Times New Roman" w:eastAsia="Times New Roman" w:hAnsi="Times New Roman" w:cs="Times New Roman"/>
      <w:b/>
      <w:kern w:val="28"/>
      <w:szCs w:val="20"/>
      <w:lang w:eastAsia="en-AU"/>
    </w:rPr>
  </w:style>
  <w:style w:type="paragraph" w:customStyle="1" w:styleId="subsection">
    <w:name w:val="subsection"/>
    <w:aliases w:val="ss"/>
    <w:basedOn w:val="Normal"/>
    <w:rsid w:val="00321595"/>
    <w:pPr>
      <w:tabs>
        <w:tab w:val="right" w:pos="1021"/>
      </w:tabs>
      <w:spacing w:before="180" w:after="0"/>
      <w:ind w:left="1134" w:hanging="1134"/>
    </w:pPr>
    <w:rPr>
      <w:rFonts w:ascii="Times New Roman" w:eastAsia="Times New Roman" w:hAnsi="Times New Roman" w:cs="Times New Roman"/>
      <w:sz w:val="22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90900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3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1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46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66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3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5027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0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0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9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2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63814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53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8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59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47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56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40838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4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5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91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92938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0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46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7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C7BB-CB67-41A8-B23B-2164859D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2866</Characters>
  <Application>Microsoft Office Word</Application>
  <DocSecurity>0</DocSecurity>
  <Lines>73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(International Money Transfers) Temporary Public Interest Determination 2014 (No. 1)</vt:lpstr>
    </vt:vector>
  </TitlesOfParts>
  <Company>Office of the Australian Information Commissioner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(International Money Transfers) Temporary Public Interest Determination 2014 (No. 1)</dc:title>
  <dc:creator>Sarah Ghali</dc:creator>
  <cp:lastModifiedBy>Sarah Ghali</cp:lastModifiedBy>
  <cp:revision>2</cp:revision>
  <cp:lastPrinted>2015-03-15T20:43:00Z</cp:lastPrinted>
  <dcterms:created xsi:type="dcterms:W3CDTF">2015-03-15T21:37:00Z</dcterms:created>
  <dcterms:modified xsi:type="dcterms:W3CDTF">2015-03-15T21:37:00Z</dcterms:modified>
</cp:coreProperties>
</file>