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213B" w14:textId="77777777" w:rsidR="00731DC7" w:rsidRPr="0032491B" w:rsidRDefault="00731DC7" w:rsidP="00734777">
      <w:pPr>
        <w:jc w:val="center"/>
        <w:rPr>
          <w:rFonts w:ascii="Arial" w:hAnsi="Arial" w:cs="Arial"/>
          <w:b/>
          <w:sz w:val="20"/>
          <w:szCs w:val="20"/>
        </w:rPr>
      </w:pPr>
      <w:r w:rsidRPr="0032491B">
        <w:rPr>
          <w:rFonts w:ascii="Arial" w:hAnsi="Arial" w:cs="Arial"/>
          <w:b/>
          <w:sz w:val="20"/>
          <w:szCs w:val="20"/>
        </w:rPr>
        <w:t>EXPLANATORY STATEMENT</w:t>
      </w:r>
    </w:p>
    <w:p w14:paraId="4CCF8762" w14:textId="77777777" w:rsidR="00FA7830" w:rsidRPr="0032491B" w:rsidRDefault="00FA7830" w:rsidP="00734777">
      <w:pPr>
        <w:jc w:val="center"/>
        <w:rPr>
          <w:rFonts w:ascii="Arial" w:hAnsi="Arial" w:cs="Arial"/>
          <w:b/>
          <w:sz w:val="20"/>
          <w:szCs w:val="20"/>
        </w:rPr>
      </w:pPr>
    </w:p>
    <w:p w14:paraId="5089A839" w14:textId="77777777" w:rsidR="00731DC7" w:rsidRPr="0032491B" w:rsidRDefault="004A1E63" w:rsidP="00734777">
      <w:pPr>
        <w:jc w:val="center"/>
        <w:rPr>
          <w:rFonts w:ascii="Arial" w:hAnsi="Arial" w:cs="Arial"/>
          <w:b/>
          <w:i/>
          <w:sz w:val="20"/>
          <w:szCs w:val="20"/>
        </w:rPr>
      </w:pPr>
      <w:r w:rsidRPr="009508CC">
        <w:rPr>
          <w:rFonts w:ascii="Arial" w:hAnsi="Arial" w:cs="Arial"/>
          <w:i/>
          <w:sz w:val="22"/>
          <w:szCs w:val="22"/>
        </w:rPr>
        <w:t>Telecommunications (Section of the Telecommunications Industry – Portability Service Suppliers) Determination 2015</w:t>
      </w:r>
    </w:p>
    <w:p w14:paraId="4C076295" w14:textId="77777777" w:rsidR="00734777" w:rsidRPr="0032491B" w:rsidRDefault="00734777" w:rsidP="00731DC7">
      <w:pPr>
        <w:rPr>
          <w:rFonts w:ascii="Arial" w:hAnsi="Arial" w:cs="Arial"/>
          <w:sz w:val="20"/>
          <w:szCs w:val="20"/>
        </w:rPr>
      </w:pPr>
    </w:p>
    <w:p w14:paraId="525DB9BB" w14:textId="77777777" w:rsidR="008F73B4" w:rsidRPr="0032491B" w:rsidRDefault="008F73B4" w:rsidP="008F73B4">
      <w:pPr>
        <w:rPr>
          <w:rFonts w:ascii="Arial" w:hAnsi="Arial" w:cs="Arial"/>
          <w:b/>
          <w:sz w:val="20"/>
          <w:szCs w:val="20"/>
        </w:rPr>
      </w:pPr>
      <w:r w:rsidRPr="0032491B">
        <w:rPr>
          <w:rFonts w:ascii="Arial" w:hAnsi="Arial" w:cs="Arial"/>
          <w:b/>
          <w:sz w:val="20"/>
          <w:szCs w:val="20"/>
        </w:rPr>
        <w:t>Legislative Provisions</w:t>
      </w:r>
    </w:p>
    <w:p w14:paraId="70AB1F56" w14:textId="77777777" w:rsidR="00D639E4" w:rsidRDefault="00D639E4">
      <w:pPr>
        <w:pStyle w:val="ACMABodyText"/>
        <w:spacing w:before="0" w:after="0"/>
        <w:rPr>
          <w:rFonts w:ascii="Arial" w:hAnsi="Arial" w:cs="Arial"/>
          <w:sz w:val="20"/>
        </w:rPr>
      </w:pPr>
    </w:p>
    <w:p w14:paraId="6FDE0F5D" w14:textId="5DEC9804" w:rsidR="002C45D2" w:rsidRDefault="0039618A" w:rsidP="009350CF">
      <w:pPr>
        <w:pStyle w:val="indenta"/>
        <w:tabs>
          <w:tab w:val="left" w:pos="720"/>
        </w:tabs>
        <w:spacing w:before="0" w:line="280" w:lineRule="atLeast"/>
        <w:ind w:left="0" w:firstLine="0"/>
        <w:rPr>
          <w:rFonts w:ascii="Arial" w:hAnsi="Arial" w:cs="Arial"/>
          <w:sz w:val="20"/>
        </w:rPr>
      </w:pPr>
      <w:bookmarkStart w:id="0" w:name="_Toc488571218"/>
      <w:r>
        <w:rPr>
          <w:rStyle w:val="CharSectno"/>
          <w:rFonts w:ascii="Arial" w:hAnsi="Arial" w:cs="Arial"/>
          <w:sz w:val="20"/>
        </w:rPr>
        <w:t xml:space="preserve">Part 6 of the </w:t>
      </w:r>
      <w:r>
        <w:rPr>
          <w:rFonts w:ascii="Arial" w:hAnsi="Arial" w:cs="Arial"/>
          <w:i/>
          <w:sz w:val="20"/>
        </w:rPr>
        <w:t xml:space="preserve">Telecommunications Act 1997 </w:t>
      </w:r>
      <w:r>
        <w:rPr>
          <w:rFonts w:ascii="Arial" w:hAnsi="Arial" w:cs="Arial"/>
          <w:sz w:val="20"/>
        </w:rPr>
        <w:t xml:space="preserve">(the Act) provides that bodies representing sections of the telecommunications industry may develop industry codes, that the </w:t>
      </w:r>
      <w:r w:rsidR="002453AD">
        <w:rPr>
          <w:rFonts w:ascii="Arial" w:hAnsi="Arial" w:cs="Arial"/>
          <w:sz w:val="20"/>
        </w:rPr>
        <w:t>Australian Communications and Media Authority (</w:t>
      </w:r>
      <w:r>
        <w:rPr>
          <w:rFonts w:ascii="Arial" w:hAnsi="Arial" w:cs="Arial"/>
          <w:sz w:val="20"/>
        </w:rPr>
        <w:t>ACMA</w:t>
      </w:r>
      <w:r w:rsidR="002453AD">
        <w:rPr>
          <w:rFonts w:ascii="Arial" w:hAnsi="Arial" w:cs="Arial"/>
          <w:sz w:val="20"/>
        </w:rPr>
        <w:t>)</w:t>
      </w:r>
      <w:r>
        <w:rPr>
          <w:rFonts w:ascii="Arial" w:hAnsi="Arial" w:cs="Arial"/>
          <w:sz w:val="20"/>
        </w:rPr>
        <w:t xml:space="preserve"> may register these codes and that the ACMA may direct participants in </w:t>
      </w:r>
      <w:r w:rsidR="005800D8">
        <w:rPr>
          <w:rFonts w:ascii="Arial" w:hAnsi="Arial" w:cs="Arial"/>
          <w:sz w:val="20"/>
        </w:rPr>
        <w:t xml:space="preserve">sections of </w:t>
      </w:r>
      <w:r>
        <w:rPr>
          <w:rFonts w:ascii="Arial" w:hAnsi="Arial" w:cs="Arial"/>
          <w:sz w:val="20"/>
        </w:rPr>
        <w:t>the telecommunications industry to comply with such code</w:t>
      </w:r>
      <w:r w:rsidR="00577603">
        <w:rPr>
          <w:rFonts w:ascii="Arial" w:hAnsi="Arial" w:cs="Arial"/>
          <w:sz w:val="20"/>
        </w:rPr>
        <w:t>s</w:t>
      </w:r>
      <w:r>
        <w:rPr>
          <w:rFonts w:ascii="Arial" w:hAnsi="Arial" w:cs="Arial"/>
          <w:sz w:val="20"/>
        </w:rPr>
        <w:t>.</w:t>
      </w:r>
      <w:r>
        <w:rPr>
          <w:rStyle w:val="CharSectno"/>
          <w:rFonts w:ascii="Arial" w:hAnsi="Arial" w:cs="Arial"/>
          <w:sz w:val="20"/>
        </w:rPr>
        <w:t xml:space="preserve"> </w:t>
      </w:r>
      <w:r w:rsidR="00A95B8A" w:rsidRPr="0032491B">
        <w:rPr>
          <w:rStyle w:val="CharSectno"/>
          <w:rFonts w:ascii="Arial" w:hAnsi="Arial" w:cs="Arial"/>
          <w:sz w:val="20"/>
        </w:rPr>
        <w:t xml:space="preserve">Subsection </w:t>
      </w:r>
      <w:r w:rsidR="00D62A46">
        <w:rPr>
          <w:rStyle w:val="CharSectno"/>
          <w:rFonts w:ascii="Arial" w:hAnsi="Arial" w:cs="Arial"/>
          <w:sz w:val="20"/>
        </w:rPr>
        <w:t xml:space="preserve">110(3) </w:t>
      </w:r>
      <w:bookmarkEnd w:id="0"/>
      <w:r w:rsidR="00A95B8A" w:rsidRPr="0032491B">
        <w:rPr>
          <w:rFonts w:ascii="Arial" w:hAnsi="Arial" w:cs="Arial"/>
          <w:sz w:val="20"/>
        </w:rPr>
        <w:t>of the</w:t>
      </w:r>
      <w:r w:rsidR="00447491" w:rsidRPr="0032491B">
        <w:rPr>
          <w:rFonts w:ascii="Arial" w:hAnsi="Arial" w:cs="Arial"/>
          <w:sz w:val="20"/>
        </w:rPr>
        <w:t xml:space="preserve"> </w:t>
      </w:r>
      <w:r w:rsidR="00D62A46">
        <w:rPr>
          <w:rFonts w:ascii="Arial" w:hAnsi="Arial" w:cs="Arial"/>
          <w:sz w:val="20"/>
        </w:rPr>
        <w:t xml:space="preserve">Act </w:t>
      </w:r>
      <w:r w:rsidR="00A95B8A" w:rsidRPr="0032491B">
        <w:rPr>
          <w:rFonts w:ascii="Arial" w:hAnsi="Arial" w:cs="Arial"/>
          <w:sz w:val="20"/>
        </w:rPr>
        <w:t xml:space="preserve">provides that </w:t>
      </w:r>
      <w:r w:rsidR="008F73B4" w:rsidRPr="0032491B">
        <w:rPr>
          <w:rFonts w:ascii="Arial" w:hAnsi="Arial" w:cs="Arial"/>
          <w:sz w:val="20"/>
        </w:rPr>
        <w:t xml:space="preserve">the </w:t>
      </w:r>
      <w:r w:rsidR="00A95B8A" w:rsidRPr="0032491B">
        <w:rPr>
          <w:rFonts w:ascii="Arial" w:hAnsi="Arial" w:cs="Arial"/>
          <w:sz w:val="20"/>
        </w:rPr>
        <w:t xml:space="preserve">ACMA may, by written instrument, make determinations </w:t>
      </w:r>
      <w:r w:rsidR="00F36A82">
        <w:rPr>
          <w:rFonts w:ascii="Arial" w:hAnsi="Arial" w:cs="Arial"/>
          <w:sz w:val="20"/>
        </w:rPr>
        <w:t xml:space="preserve">that persons </w:t>
      </w:r>
      <w:r w:rsidR="00D62A46">
        <w:rPr>
          <w:rFonts w:ascii="Arial" w:hAnsi="Arial" w:cs="Arial"/>
          <w:sz w:val="20"/>
        </w:rPr>
        <w:t xml:space="preserve">carrying </w:t>
      </w:r>
      <w:r w:rsidR="00F36A82">
        <w:rPr>
          <w:rFonts w:ascii="Arial" w:hAnsi="Arial" w:cs="Arial"/>
          <w:sz w:val="20"/>
        </w:rPr>
        <w:t xml:space="preserve">on </w:t>
      </w:r>
      <w:r w:rsidR="00D62A46">
        <w:rPr>
          <w:rFonts w:ascii="Arial" w:hAnsi="Arial" w:cs="Arial"/>
          <w:sz w:val="20"/>
        </w:rPr>
        <w:t xml:space="preserve">specified kinds of telecommunications activities constitute a section of the telecommunications industry. Section 109 of the Act identifies those activities that are telecommunications activities. </w:t>
      </w:r>
      <w:r w:rsidR="002453AD">
        <w:rPr>
          <w:rFonts w:ascii="Arial" w:hAnsi="Arial" w:cs="Arial"/>
          <w:sz w:val="20"/>
        </w:rPr>
        <w:t xml:space="preserve">Paragraph </w:t>
      </w:r>
      <w:r w:rsidR="002C45D2">
        <w:rPr>
          <w:rFonts w:ascii="Arial" w:hAnsi="Arial" w:cs="Arial"/>
          <w:sz w:val="20"/>
        </w:rPr>
        <w:t xml:space="preserve">109 (c) identifies </w:t>
      </w:r>
    </w:p>
    <w:p w14:paraId="35005CFF" w14:textId="77777777" w:rsidR="002C45D2" w:rsidRPr="002C45D2" w:rsidRDefault="002C45D2" w:rsidP="002C45D2">
      <w:pPr>
        <w:pStyle w:val="indenta"/>
        <w:tabs>
          <w:tab w:val="left" w:pos="720"/>
        </w:tabs>
        <w:spacing w:before="0" w:line="280" w:lineRule="atLeast"/>
        <w:ind w:left="720" w:firstLine="0"/>
        <w:rPr>
          <w:rFonts w:ascii="Arial" w:hAnsi="Arial" w:cs="Arial"/>
          <w:i/>
          <w:sz w:val="20"/>
        </w:rPr>
      </w:pPr>
      <w:r w:rsidRPr="002C45D2">
        <w:rPr>
          <w:rFonts w:ascii="Arial" w:hAnsi="Arial" w:cs="Arial"/>
          <w:i/>
          <w:sz w:val="20"/>
        </w:rPr>
        <w:t xml:space="preserve">supplying goods or services for use in connection with the supply of a listed carriage service </w:t>
      </w:r>
    </w:p>
    <w:p w14:paraId="69FC6000" w14:textId="28A4EC86" w:rsidR="00A95B8A" w:rsidRPr="0032491B" w:rsidRDefault="002C45D2" w:rsidP="002C45D2">
      <w:pPr>
        <w:pStyle w:val="indenta"/>
        <w:tabs>
          <w:tab w:val="left" w:pos="720"/>
        </w:tabs>
        <w:spacing w:before="0" w:line="280" w:lineRule="atLeast"/>
        <w:ind w:left="0" w:firstLine="0"/>
        <w:rPr>
          <w:rFonts w:ascii="Arial" w:hAnsi="Arial" w:cs="Arial"/>
          <w:sz w:val="20"/>
        </w:rPr>
      </w:pPr>
      <w:r>
        <w:rPr>
          <w:rFonts w:ascii="Arial" w:hAnsi="Arial" w:cs="Arial"/>
          <w:sz w:val="20"/>
        </w:rPr>
        <w:t>as a telecommunications activity. Portability service suppliers provide services for use in connection with porting numbers and enabling calls to ported numbers.</w:t>
      </w:r>
      <w:r w:rsidR="00577603">
        <w:rPr>
          <w:rFonts w:ascii="Arial" w:hAnsi="Arial" w:cs="Arial"/>
          <w:sz w:val="20"/>
        </w:rPr>
        <w:t xml:space="preserve"> The</w:t>
      </w:r>
      <w:r>
        <w:rPr>
          <w:rFonts w:ascii="Arial" w:hAnsi="Arial" w:cs="Arial"/>
          <w:sz w:val="20"/>
        </w:rPr>
        <w:t xml:space="preserve"> </w:t>
      </w:r>
      <w:r w:rsidR="0034670C" w:rsidRPr="0034670C">
        <w:rPr>
          <w:rFonts w:ascii="Arial" w:hAnsi="Arial" w:cs="Arial"/>
          <w:i/>
          <w:sz w:val="20"/>
        </w:rPr>
        <w:t>Telecommunications (Section of the Telecommunications Industry – Portability Service Suppliers) Determination 2015</w:t>
      </w:r>
      <w:r w:rsidRPr="002C45D2">
        <w:rPr>
          <w:rFonts w:ascii="Arial" w:hAnsi="Arial" w:cs="Arial"/>
          <w:i/>
          <w:sz w:val="20"/>
        </w:rPr>
        <w:t xml:space="preserve"> </w:t>
      </w:r>
      <w:r w:rsidR="00577603" w:rsidRPr="00577603">
        <w:rPr>
          <w:rFonts w:ascii="Arial" w:hAnsi="Arial" w:cs="Arial"/>
          <w:sz w:val="20"/>
        </w:rPr>
        <w:t>(the Determination)</w:t>
      </w:r>
      <w:r w:rsidR="00577603">
        <w:rPr>
          <w:rFonts w:ascii="Arial" w:hAnsi="Arial" w:cs="Arial"/>
          <w:i/>
          <w:sz w:val="20"/>
        </w:rPr>
        <w:t xml:space="preserve"> </w:t>
      </w:r>
      <w:r w:rsidR="00577603">
        <w:rPr>
          <w:rFonts w:ascii="Arial" w:hAnsi="Arial" w:cs="Arial"/>
          <w:sz w:val="20"/>
        </w:rPr>
        <w:t xml:space="preserve">identifies </w:t>
      </w:r>
      <w:r>
        <w:rPr>
          <w:rFonts w:ascii="Arial" w:hAnsi="Arial" w:cs="Arial"/>
          <w:sz w:val="20"/>
        </w:rPr>
        <w:t xml:space="preserve">portability services suppliers as part of the telecommunications industry. </w:t>
      </w:r>
    </w:p>
    <w:p w14:paraId="11FBD724" w14:textId="77777777" w:rsidR="00A95B8A" w:rsidRPr="0032491B" w:rsidRDefault="00A95B8A" w:rsidP="009350CF">
      <w:pPr>
        <w:pStyle w:val="indenta"/>
        <w:tabs>
          <w:tab w:val="left" w:pos="720"/>
        </w:tabs>
        <w:spacing w:before="0" w:line="280" w:lineRule="atLeast"/>
        <w:ind w:left="0" w:firstLine="0"/>
        <w:rPr>
          <w:rFonts w:ascii="Arial" w:hAnsi="Arial" w:cs="Arial"/>
          <w:sz w:val="20"/>
        </w:rPr>
      </w:pPr>
    </w:p>
    <w:p w14:paraId="05792C37" w14:textId="0A85CE60" w:rsidR="00A95B8A" w:rsidRDefault="001F73C2" w:rsidP="009350CF">
      <w:pPr>
        <w:pStyle w:val="indenta"/>
        <w:tabs>
          <w:tab w:val="left" w:pos="720"/>
        </w:tabs>
        <w:spacing w:before="0" w:line="280" w:lineRule="atLeast"/>
        <w:ind w:left="0" w:firstLine="0"/>
        <w:rPr>
          <w:rFonts w:ascii="Arial" w:hAnsi="Arial" w:cs="Arial"/>
          <w:i/>
          <w:color w:val="000000"/>
          <w:sz w:val="20"/>
        </w:rPr>
      </w:pPr>
      <w:r w:rsidRPr="0032491B">
        <w:rPr>
          <w:rFonts w:ascii="Arial" w:hAnsi="Arial" w:cs="Arial"/>
          <w:sz w:val="20"/>
        </w:rPr>
        <w:t xml:space="preserve">The </w:t>
      </w:r>
      <w:r w:rsidR="00442160" w:rsidRPr="0032491B">
        <w:rPr>
          <w:rFonts w:ascii="Arial" w:hAnsi="Arial" w:cs="Arial"/>
          <w:sz w:val="20"/>
        </w:rPr>
        <w:t>D</w:t>
      </w:r>
      <w:r w:rsidR="00A95B8A" w:rsidRPr="0032491B">
        <w:rPr>
          <w:rFonts w:ascii="Arial" w:hAnsi="Arial" w:cs="Arial"/>
          <w:sz w:val="20"/>
        </w:rPr>
        <w:t xml:space="preserve">etermination </w:t>
      </w:r>
      <w:r w:rsidRPr="0032491B">
        <w:rPr>
          <w:rFonts w:ascii="Arial" w:hAnsi="Arial" w:cs="Arial"/>
          <w:sz w:val="20"/>
        </w:rPr>
        <w:t xml:space="preserve">is a </w:t>
      </w:r>
      <w:r w:rsidR="00A95B8A" w:rsidRPr="0032491B">
        <w:rPr>
          <w:rFonts w:ascii="Arial" w:hAnsi="Arial" w:cs="Arial"/>
          <w:sz w:val="20"/>
        </w:rPr>
        <w:t xml:space="preserve">legislative instrument for the </w:t>
      </w:r>
      <w:r w:rsidR="00A95B8A" w:rsidRPr="0032491B">
        <w:rPr>
          <w:rFonts w:ascii="Arial" w:hAnsi="Arial" w:cs="Arial"/>
          <w:color w:val="000000"/>
          <w:sz w:val="20"/>
        </w:rPr>
        <w:t xml:space="preserve">purposes of the </w:t>
      </w:r>
      <w:r w:rsidR="00A95B8A" w:rsidRPr="0032491B">
        <w:rPr>
          <w:rFonts w:ascii="Arial" w:hAnsi="Arial" w:cs="Arial"/>
          <w:i/>
          <w:color w:val="000000"/>
          <w:sz w:val="20"/>
        </w:rPr>
        <w:t>Legislative Instruments Act 2003</w:t>
      </w:r>
      <w:r w:rsidR="002453AD">
        <w:rPr>
          <w:rFonts w:ascii="Arial" w:hAnsi="Arial" w:cs="Arial"/>
          <w:i/>
          <w:color w:val="000000"/>
          <w:sz w:val="20"/>
        </w:rPr>
        <w:t xml:space="preserve"> </w:t>
      </w:r>
      <w:r w:rsidR="002453AD" w:rsidRPr="00FC7DE6">
        <w:rPr>
          <w:rFonts w:ascii="Arial" w:hAnsi="Arial" w:cs="Arial"/>
          <w:color w:val="000000"/>
          <w:sz w:val="20"/>
        </w:rPr>
        <w:t>(LIA)</w:t>
      </w:r>
      <w:r w:rsidR="00A95B8A" w:rsidRPr="0032491B">
        <w:rPr>
          <w:rFonts w:ascii="Arial" w:hAnsi="Arial" w:cs="Arial"/>
          <w:i/>
          <w:color w:val="000000"/>
          <w:sz w:val="20"/>
        </w:rPr>
        <w:t xml:space="preserve">. </w:t>
      </w:r>
    </w:p>
    <w:p w14:paraId="7A54FC74" w14:textId="77777777" w:rsidR="002453AD" w:rsidRDefault="002453AD" w:rsidP="009350CF">
      <w:pPr>
        <w:pStyle w:val="indenta"/>
        <w:tabs>
          <w:tab w:val="left" w:pos="720"/>
        </w:tabs>
        <w:spacing w:before="0" w:line="280" w:lineRule="atLeast"/>
        <w:ind w:left="0" w:firstLine="0"/>
        <w:rPr>
          <w:rFonts w:ascii="Arial" w:hAnsi="Arial" w:cs="Arial"/>
          <w:i/>
          <w:color w:val="000000"/>
          <w:sz w:val="20"/>
        </w:rPr>
      </w:pPr>
    </w:p>
    <w:p w14:paraId="6A16E746" w14:textId="707D066A" w:rsidR="002453AD" w:rsidRPr="00FC7DE6" w:rsidRDefault="002453AD" w:rsidP="009350CF">
      <w:pPr>
        <w:pStyle w:val="indenta"/>
        <w:tabs>
          <w:tab w:val="left" w:pos="720"/>
        </w:tabs>
        <w:spacing w:before="0" w:line="280" w:lineRule="atLeast"/>
        <w:ind w:left="0" w:firstLine="0"/>
        <w:rPr>
          <w:rFonts w:ascii="Arial" w:hAnsi="Arial" w:cs="Arial"/>
          <w:sz w:val="20"/>
        </w:rPr>
      </w:pPr>
      <w:r w:rsidRPr="00FC7DE6">
        <w:rPr>
          <w:rFonts w:ascii="Arial" w:hAnsi="Arial" w:cs="Arial"/>
          <w:color w:val="000000" w:themeColor="text1"/>
          <w:sz w:val="20"/>
        </w:rPr>
        <w:t xml:space="preserve">Subsection 33(3) of the </w:t>
      </w:r>
      <w:r w:rsidRPr="00FC7DE6">
        <w:rPr>
          <w:rFonts w:ascii="Arial" w:hAnsi="Arial" w:cs="Arial"/>
          <w:i/>
          <w:color w:val="000000" w:themeColor="text1"/>
          <w:sz w:val="20"/>
        </w:rPr>
        <w:t>Acts Interpretation Act 1901</w:t>
      </w:r>
      <w:r w:rsidRPr="00FC7DE6">
        <w:rPr>
          <w:rFonts w:ascii="Arial" w:hAnsi="Arial" w:cs="Arial"/>
          <w:color w:val="000000" w:themeColor="text1"/>
          <w:sz w:val="20"/>
        </w:rPr>
        <w:t xml:space="preserve"> provides that where an Act confers a power to make a legislative instrument, the power shall be construed to include a power exercisable in the like manner and subject to the like conditions (if any) to repeal, rescind, revoke, amend or vary any such instrument.  </w:t>
      </w:r>
      <w:r>
        <w:rPr>
          <w:rFonts w:ascii="Arial" w:hAnsi="Arial" w:cs="Arial"/>
          <w:color w:val="000000" w:themeColor="text1"/>
          <w:sz w:val="20"/>
        </w:rPr>
        <w:t xml:space="preserve">The Determination is made under subsection 110(3) of the Act and revokes the </w:t>
      </w:r>
      <w:r w:rsidRPr="00425ABF">
        <w:rPr>
          <w:rFonts w:ascii="Arial" w:hAnsi="Arial" w:cs="Arial"/>
          <w:i/>
          <w:sz w:val="20"/>
        </w:rPr>
        <w:t>Telecommunications (Section of Telecommunications Industry) Determination 2001</w:t>
      </w:r>
      <w:r>
        <w:rPr>
          <w:rFonts w:ascii="Arial" w:hAnsi="Arial" w:cs="Arial"/>
          <w:sz w:val="20"/>
        </w:rPr>
        <w:t xml:space="preserve"> (the 2001 Determination) (see section 7 of the Determination).</w:t>
      </w:r>
    </w:p>
    <w:p w14:paraId="14A1ECEF" w14:textId="77777777" w:rsidR="00734777" w:rsidRPr="0032491B" w:rsidRDefault="00734777" w:rsidP="009350CF">
      <w:pPr>
        <w:spacing w:line="280" w:lineRule="atLeast"/>
        <w:rPr>
          <w:rFonts w:ascii="Arial" w:hAnsi="Arial" w:cs="Arial"/>
          <w:b/>
          <w:sz w:val="20"/>
          <w:szCs w:val="20"/>
        </w:rPr>
      </w:pPr>
    </w:p>
    <w:p w14:paraId="230B5415" w14:textId="77777777" w:rsidR="00731DC7" w:rsidRPr="0032491B" w:rsidRDefault="00731DC7" w:rsidP="00731DC7">
      <w:pPr>
        <w:rPr>
          <w:rFonts w:ascii="Arial" w:hAnsi="Arial" w:cs="Arial"/>
          <w:b/>
          <w:sz w:val="20"/>
          <w:szCs w:val="20"/>
        </w:rPr>
      </w:pPr>
      <w:r w:rsidRPr="0032491B">
        <w:rPr>
          <w:rFonts w:ascii="Arial" w:hAnsi="Arial" w:cs="Arial"/>
          <w:b/>
          <w:sz w:val="20"/>
          <w:szCs w:val="20"/>
        </w:rPr>
        <w:t>Background</w:t>
      </w:r>
    </w:p>
    <w:p w14:paraId="04A57982" w14:textId="77777777" w:rsidR="00754269" w:rsidRPr="0032491B" w:rsidRDefault="00754269" w:rsidP="00754269">
      <w:pPr>
        <w:pStyle w:val="ACMABodyText"/>
        <w:spacing w:before="0" w:after="0" w:line="240" w:lineRule="auto"/>
        <w:jc w:val="both"/>
        <w:rPr>
          <w:rFonts w:ascii="Arial" w:hAnsi="Arial" w:cs="Arial"/>
          <w:sz w:val="20"/>
        </w:rPr>
      </w:pPr>
    </w:p>
    <w:p w14:paraId="5B331577" w14:textId="0A7F31C0" w:rsidR="00425ABF" w:rsidRPr="0039618A" w:rsidRDefault="0039618A" w:rsidP="0039618A">
      <w:pPr>
        <w:spacing w:line="280" w:lineRule="atLeast"/>
        <w:rPr>
          <w:rFonts w:ascii="Arial" w:hAnsi="Arial" w:cs="Arial"/>
          <w:sz w:val="20"/>
          <w:szCs w:val="20"/>
        </w:rPr>
      </w:pPr>
      <w:r>
        <w:rPr>
          <w:rFonts w:ascii="Arial" w:hAnsi="Arial" w:cs="Arial"/>
          <w:sz w:val="20"/>
          <w:szCs w:val="20"/>
        </w:rPr>
        <w:t xml:space="preserve">The portability of service numbers such as </w:t>
      </w:r>
      <w:r w:rsidR="00F36A82">
        <w:rPr>
          <w:rFonts w:ascii="Arial" w:hAnsi="Arial" w:cs="Arial"/>
          <w:sz w:val="20"/>
          <w:szCs w:val="20"/>
        </w:rPr>
        <w:t xml:space="preserve">geographic </w:t>
      </w:r>
      <w:r>
        <w:rPr>
          <w:rFonts w:ascii="Arial" w:hAnsi="Arial" w:cs="Arial"/>
          <w:sz w:val="20"/>
          <w:szCs w:val="20"/>
        </w:rPr>
        <w:t xml:space="preserve">numbers, mobile service numbers and free and local rate call numbers is a requirement under the </w:t>
      </w:r>
      <w:r w:rsidRPr="0039618A">
        <w:rPr>
          <w:rFonts w:ascii="Arial" w:hAnsi="Arial" w:cs="Arial"/>
          <w:i/>
          <w:sz w:val="20"/>
          <w:szCs w:val="20"/>
        </w:rPr>
        <w:t>Telecommunications Numbering Plan 1997</w:t>
      </w:r>
      <w:r>
        <w:rPr>
          <w:rFonts w:ascii="Arial" w:hAnsi="Arial" w:cs="Arial"/>
          <w:i/>
          <w:sz w:val="20"/>
          <w:szCs w:val="20"/>
        </w:rPr>
        <w:t xml:space="preserve">. </w:t>
      </w:r>
      <w:r>
        <w:rPr>
          <w:rFonts w:ascii="Arial" w:hAnsi="Arial" w:cs="Arial"/>
          <w:sz w:val="20"/>
          <w:szCs w:val="20"/>
        </w:rPr>
        <w:t xml:space="preserve">Porting numbers </w:t>
      </w:r>
      <w:r w:rsidR="00946709">
        <w:rPr>
          <w:rFonts w:ascii="Arial" w:hAnsi="Arial" w:cs="Arial"/>
          <w:sz w:val="20"/>
          <w:szCs w:val="20"/>
        </w:rPr>
        <w:t>requires a flow of messages between carriage services providers and routing calls to ported numbers requires providing information on ported numbers to carriage service providers that may route calls. Some entities provide such port administration services and information services to some carriage service providers.</w:t>
      </w:r>
      <w:r w:rsidR="00425ABF">
        <w:rPr>
          <w:rFonts w:ascii="Arial" w:hAnsi="Arial" w:cs="Arial"/>
          <w:sz w:val="20"/>
          <w:szCs w:val="20"/>
        </w:rPr>
        <w:t xml:space="preserve"> The </w:t>
      </w:r>
      <w:r w:rsidR="00425ABF" w:rsidRPr="00425ABF">
        <w:rPr>
          <w:rFonts w:ascii="Arial" w:hAnsi="Arial" w:cs="Arial"/>
          <w:i/>
          <w:sz w:val="20"/>
          <w:szCs w:val="20"/>
        </w:rPr>
        <w:t>Telecommunications (Section of Telecommunications Industry) Determination 2001</w:t>
      </w:r>
      <w:r w:rsidR="00425ABF">
        <w:rPr>
          <w:rFonts w:ascii="Arial" w:hAnsi="Arial" w:cs="Arial"/>
          <w:sz w:val="20"/>
          <w:szCs w:val="20"/>
        </w:rPr>
        <w:t xml:space="preserve"> determined that </w:t>
      </w:r>
      <w:r w:rsidR="00577603">
        <w:rPr>
          <w:rFonts w:ascii="Arial" w:hAnsi="Arial" w:cs="Arial"/>
          <w:sz w:val="20"/>
          <w:szCs w:val="20"/>
        </w:rPr>
        <w:t xml:space="preserve">entities that provide these services were </w:t>
      </w:r>
      <w:r w:rsidR="00425ABF">
        <w:rPr>
          <w:rFonts w:ascii="Arial" w:hAnsi="Arial" w:cs="Arial"/>
          <w:sz w:val="20"/>
          <w:szCs w:val="20"/>
        </w:rPr>
        <w:t xml:space="preserve">part of the telecommunications industry. </w:t>
      </w:r>
      <w:r w:rsidR="00577603">
        <w:rPr>
          <w:rFonts w:ascii="Arial" w:hAnsi="Arial" w:cs="Arial"/>
          <w:sz w:val="20"/>
          <w:szCs w:val="20"/>
        </w:rPr>
        <w:t xml:space="preserve">As the </w:t>
      </w:r>
      <w:r w:rsidR="00425ABF">
        <w:rPr>
          <w:rFonts w:ascii="Arial" w:hAnsi="Arial" w:cs="Arial"/>
          <w:sz w:val="20"/>
          <w:szCs w:val="20"/>
        </w:rPr>
        <w:t>2001 determination is due to sunset</w:t>
      </w:r>
      <w:r w:rsidR="00577603">
        <w:rPr>
          <w:rFonts w:ascii="Arial" w:hAnsi="Arial" w:cs="Arial"/>
          <w:sz w:val="20"/>
          <w:szCs w:val="20"/>
        </w:rPr>
        <w:t>,</w:t>
      </w:r>
      <w:r w:rsidR="00425ABF">
        <w:rPr>
          <w:rFonts w:ascii="Arial" w:hAnsi="Arial" w:cs="Arial"/>
          <w:sz w:val="20"/>
          <w:szCs w:val="20"/>
        </w:rPr>
        <w:t xml:space="preserve"> the </w:t>
      </w:r>
      <w:r w:rsidR="002453AD">
        <w:rPr>
          <w:rFonts w:ascii="Arial" w:hAnsi="Arial" w:cs="Arial"/>
          <w:sz w:val="20"/>
          <w:szCs w:val="20"/>
        </w:rPr>
        <w:t>Determination has been made to preserve its effect</w:t>
      </w:r>
      <w:r w:rsidR="00425ABF">
        <w:rPr>
          <w:rFonts w:ascii="Arial" w:hAnsi="Arial" w:cs="Arial"/>
          <w:sz w:val="20"/>
          <w:szCs w:val="20"/>
        </w:rPr>
        <w:t xml:space="preserve">. </w:t>
      </w:r>
    </w:p>
    <w:p w14:paraId="51CB5AA2" w14:textId="77777777" w:rsidR="00174DDA" w:rsidRPr="0032491B" w:rsidRDefault="00174DDA" w:rsidP="0039618A">
      <w:pPr>
        <w:spacing w:line="280" w:lineRule="atLeast"/>
        <w:rPr>
          <w:rFonts w:ascii="Arial" w:eastAsia="Calibri" w:hAnsi="Arial" w:cs="Arial"/>
          <w:sz w:val="20"/>
          <w:szCs w:val="20"/>
        </w:rPr>
      </w:pPr>
    </w:p>
    <w:p w14:paraId="75CECD11" w14:textId="77777777" w:rsidR="00852DEA" w:rsidRDefault="00852DEA" w:rsidP="00852DEA">
      <w:pPr>
        <w:pStyle w:val="BodyText"/>
        <w:spacing w:after="0" w:line="280" w:lineRule="atLeast"/>
        <w:rPr>
          <w:rFonts w:ascii="Arial" w:hAnsi="Arial" w:cs="Arial"/>
          <w:b/>
          <w:sz w:val="20"/>
          <w:szCs w:val="20"/>
        </w:rPr>
      </w:pPr>
      <w:r w:rsidRPr="0032491B">
        <w:rPr>
          <w:rFonts w:ascii="Arial" w:hAnsi="Arial" w:cs="Arial"/>
          <w:b/>
          <w:sz w:val="20"/>
          <w:szCs w:val="20"/>
        </w:rPr>
        <w:t>Consultation</w:t>
      </w:r>
    </w:p>
    <w:p w14:paraId="199E0DD9" w14:textId="77777777" w:rsidR="00852DEA" w:rsidRPr="0032491B" w:rsidRDefault="00852DEA" w:rsidP="00852DEA">
      <w:pPr>
        <w:pStyle w:val="BodyText"/>
        <w:spacing w:after="0" w:line="280" w:lineRule="atLeast"/>
        <w:rPr>
          <w:rFonts w:ascii="Arial" w:hAnsi="Arial" w:cs="Arial"/>
          <w:b/>
          <w:sz w:val="20"/>
          <w:szCs w:val="20"/>
        </w:rPr>
      </w:pPr>
    </w:p>
    <w:p w14:paraId="6D25E5E6" w14:textId="77777777" w:rsidR="00852DEA" w:rsidRPr="00852DEA" w:rsidRDefault="00852DEA" w:rsidP="00852DEA">
      <w:pPr>
        <w:suppressAutoHyphens/>
        <w:spacing w:line="280" w:lineRule="atLeast"/>
        <w:ind w:right="-57"/>
        <w:rPr>
          <w:rFonts w:ascii="Arial" w:hAnsi="Arial" w:cs="Arial"/>
          <w:snapToGrid w:val="0"/>
          <w:sz w:val="20"/>
          <w:szCs w:val="20"/>
          <w:lang w:eastAsia="en-US"/>
        </w:rPr>
      </w:pPr>
      <w:r w:rsidRPr="00852DEA">
        <w:rPr>
          <w:rFonts w:ascii="Arial" w:hAnsi="Arial" w:cs="Arial"/>
          <w:snapToGrid w:val="0"/>
          <w:sz w:val="20"/>
          <w:szCs w:val="20"/>
          <w:lang w:eastAsia="en-US"/>
        </w:rPr>
        <w:t xml:space="preserve">The ACMA has consulted with industry stakeholders and the general public on the making of the Determination.  Section 17 of the LIA requires that, before making a legislative instrument, </w:t>
      </w:r>
      <w:r w:rsidRPr="00852DEA">
        <w:rPr>
          <w:rFonts w:ascii="Arial" w:hAnsi="Arial" w:cs="Arial"/>
          <w:snapToGrid w:val="0"/>
          <w:sz w:val="20"/>
          <w:szCs w:val="20"/>
          <w:lang w:eastAsia="en-US"/>
        </w:rPr>
        <w:lastRenderedPageBreak/>
        <w:t>the ACMA must be satisfied that any consultation it considers to be appropriate and that is reasonably practicable to undertake has been undertaken.</w:t>
      </w:r>
    </w:p>
    <w:p w14:paraId="61F1AD53" w14:textId="77777777" w:rsidR="00852DEA" w:rsidRPr="00852DEA" w:rsidRDefault="00852DEA" w:rsidP="00852DEA">
      <w:pPr>
        <w:suppressAutoHyphens/>
        <w:spacing w:line="280" w:lineRule="atLeast"/>
        <w:ind w:right="-57"/>
        <w:rPr>
          <w:rFonts w:ascii="Arial" w:hAnsi="Arial" w:cs="Arial"/>
          <w:snapToGrid w:val="0"/>
          <w:sz w:val="20"/>
          <w:szCs w:val="20"/>
          <w:lang w:eastAsia="en-US"/>
        </w:rPr>
      </w:pPr>
    </w:p>
    <w:p w14:paraId="0F934443" w14:textId="120BE4EF" w:rsidR="00852DEA" w:rsidRPr="00852DEA" w:rsidRDefault="00852DEA" w:rsidP="00852DEA">
      <w:pPr>
        <w:suppressAutoHyphens/>
        <w:spacing w:line="280" w:lineRule="atLeast"/>
        <w:ind w:right="-57"/>
        <w:rPr>
          <w:rFonts w:ascii="Arial" w:hAnsi="Arial" w:cs="Arial"/>
          <w:snapToGrid w:val="0"/>
          <w:sz w:val="20"/>
          <w:szCs w:val="20"/>
          <w:lang w:eastAsia="en-US"/>
        </w:rPr>
      </w:pPr>
      <w:r w:rsidRPr="00852DEA">
        <w:rPr>
          <w:rFonts w:ascii="Arial" w:hAnsi="Arial" w:cs="Arial"/>
          <w:snapToGrid w:val="0"/>
          <w:sz w:val="20"/>
          <w:szCs w:val="20"/>
          <w:lang w:eastAsia="en-US"/>
        </w:rPr>
        <w:t xml:space="preserve">On 1 December 2014, the ACMA released the Determination in draft form for public consultation together with a discussion paper. </w:t>
      </w:r>
    </w:p>
    <w:p w14:paraId="30D1A5B5" w14:textId="6D5A4F4E" w:rsidR="00852DEA" w:rsidRPr="00852DEA" w:rsidRDefault="00852DEA" w:rsidP="00852DEA">
      <w:pPr>
        <w:suppressAutoHyphens/>
        <w:spacing w:line="280" w:lineRule="atLeast"/>
        <w:ind w:right="-57"/>
        <w:rPr>
          <w:rFonts w:ascii="Arial" w:hAnsi="Arial" w:cs="Arial"/>
          <w:sz w:val="20"/>
        </w:rPr>
      </w:pPr>
      <w:r>
        <w:rPr>
          <w:rFonts w:ascii="Arial" w:hAnsi="Arial" w:cs="Arial"/>
          <w:snapToGrid w:val="0"/>
          <w:sz w:val="20"/>
          <w:szCs w:val="20"/>
          <w:lang w:val="en-US" w:eastAsia="en-US"/>
        </w:rPr>
        <w:t xml:space="preserve"> </w:t>
      </w:r>
      <w:r w:rsidRPr="0032491B">
        <w:rPr>
          <w:rFonts w:ascii="Arial" w:hAnsi="Arial" w:cs="Arial"/>
          <w:snapToGrid w:val="0"/>
          <w:sz w:val="20"/>
          <w:szCs w:val="20"/>
          <w:lang w:val="en-US" w:eastAsia="en-US"/>
        </w:rPr>
        <w:t xml:space="preserve"> </w:t>
      </w:r>
      <w:r>
        <w:rPr>
          <w:rFonts w:ascii="Arial" w:hAnsi="Arial" w:cs="Arial"/>
          <w:snapToGrid w:val="0"/>
          <w:sz w:val="20"/>
          <w:szCs w:val="20"/>
          <w:lang w:val="en-US" w:eastAsia="en-US"/>
        </w:rPr>
        <w:t xml:space="preserve"> </w:t>
      </w:r>
    </w:p>
    <w:p w14:paraId="0160E1FB" w14:textId="325320AE" w:rsidR="00554311" w:rsidRPr="0032491B" w:rsidRDefault="00554311" w:rsidP="0032491B">
      <w:pPr>
        <w:pStyle w:val="BodyText"/>
        <w:keepNext/>
        <w:spacing w:after="0" w:line="280" w:lineRule="atLeast"/>
        <w:rPr>
          <w:rFonts w:ascii="Arial" w:hAnsi="Arial" w:cs="Arial"/>
          <w:b/>
          <w:bCs/>
          <w:sz w:val="20"/>
          <w:szCs w:val="20"/>
        </w:rPr>
      </w:pPr>
      <w:r w:rsidRPr="0032491B">
        <w:rPr>
          <w:rFonts w:ascii="Arial" w:hAnsi="Arial" w:cs="Arial"/>
          <w:b/>
          <w:bCs/>
          <w:sz w:val="20"/>
          <w:szCs w:val="20"/>
        </w:rPr>
        <w:t xml:space="preserve">Regulation Impact </w:t>
      </w:r>
    </w:p>
    <w:p w14:paraId="7CCA0796" w14:textId="77777777" w:rsidR="00554311" w:rsidRPr="0032491B" w:rsidRDefault="00554311" w:rsidP="0045636B">
      <w:pPr>
        <w:keepNext/>
        <w:spacing w:line="280" w:lineRule="atLeast"/>
        <w:rPr>
          <w:rFonts w:ascii="Arial" w:hAnsi="Arial" w:cs="Arial"/>
          <w:sz w:val="20"/>
          <w:szCs w:val="20"/>
        </w:rPr>
      </w:pPr>
    </w:p>
    <w:p w14:paraId="6D92088A" w14:textId="345862FD" w:rsidR="00F07BB1" w:rsidRPr="0032491B" w:rsidRDefault="00F07BB1" w:rsidP="009350CF">
      <w:pPr>
        <w:spacing w:line="280" w:lineRule="atLeast"/>
        <w:rPr>
          <w:rFonts w:ascii="Arial" w:hAnsi="Arial" w:cs="Arial"/>
          <w:sz w:val="20"/>
          <w:szCs w:val="20"/>
        </w:rPr>
      </w:pPr>
      <w:r w:rsidRPr="0032491B">
        <w:rPr>
          <w:rFonts w:ascii="Arial" w:hAnsi="Arial" w:cs="Arial"/>
          <w:sz w:val="20"/>
          <w:szCs w:val="20"/>
        </w:rPr>
        <w:t xml:space="preserve">The Office of Best Practice Regulation (OBPR) </w:t>
      </w:r>
      <w:r w:rsidR="00852DEA" w:rsidRPr="00852DEA">
        <w:rPr>
          <w:rFonts w:ascii="Arial" w:hAnsi="Arial" w:cs="Arial"/>
          <w:sz w:val="20"/>
          <w:szCs w:val="20"/>
        </w:rPr>
        <w:t>has considered the matter and formed an opinion that the impact of the Determination is minor or machinery in nature and, on that basis, a Regulatory Impact Statement is not required.</w:t>
      </w:r>
      <w:r w:rsidR="00B038DB">
        <w:rPr>
          <w:rFonts w:ascii="Arial" w:hAnsi="Arial" w:cs="Arial"/>
          <w:sz w:val="20"/>
          <w:szCs w:val="20"/>
        </w:rPr>
        <w:t xml:space="preserve"> </w:t>
      </w:r>
      <w:r w:rsidR="00577603">
        <w:rPr>
          <w:rFonts w:ascii="Arial" w:hAnsi="Arial" w:cs="Arial"/>
          <w:sz w:val="20"/>
          <w:szCs w:val="20"/>
        </w:rPr>
        <w:t xml:space="preserve">The </w:t>
      </w:r>
      <w:r w:rsidRPr="0032491B">
        <w:rPr>
          <w:rFonts w:ascii="Arial" w:hAnsi="Arial" w:cs="Arial"/>
          <w:sz w:val="20"/>
          <w:szCs w:val="20"/>
        </w:rPr>
        <w:t>OBPR reference number</w:t>
      </w:r>
      <w:r w:rsidR="002A5749" w:rsidRPr="0032491B">
        <w:rPr>
          <w:rFonts w:ascii="Arial" w:hAnsi="Arial" w:cs="Arial"/>
          <w:sz w:val="20"/>
          <w:szCs w:val="20"/>
        </w:rPr>
        <w:t xml:space="preserve">s </w:t>
      </w:r>
      <w:r w:rsidR="00425ABF">
        <w:rPr>
          <w:rFonts w:ascii="Arial" w:hAnsi="Arial" w:cs="Arial"/>
          <w:sz w:val="20"/>
          <w:szCs w:val="20"/>
        </w:rPr>
        <w:t>is</w:t>
      </w:r>
      <w:r w:rsidR="002A5749" w:rsidRPr="0032491B">
        <w:rPr>
          <w:rFonts w:ascii="Arial" w:hAnsi="Arial" w:cs="Arial"/>
          <w:sz w:val="20"/>
          <w:szCs w:val="20"/>
        </w:rPr>
        <w:t xml:space="preserve"> ID </w:t>
      </w:r>
      <w:r w:rsidR="00425ABF" w:rsidRPr="00425ABF">
        <w:rPr>
          <w:rFonts w:ascii="Arial" w:hAnsi="Arial" w:cs="Arial"/>
          <w:sz w:val="20"/>
          <w:szCs w:val="20"/>
        </w:rPr>
        <w:t>17630</w:t>
      </w:r>
      <w:r w:rsidRPr="0032491B">
        <w:rPr>
          <w:rFonts w:ascii="Arial" w:hAnsi="Arial" w:cs="Arial"/>
          <w:sz w:val="20"/>
          <w:szCs w:val="20"/>
        </w:rPr>
        <w:t xml:space="preserve">.  </w:t>
      </w:r>
    </w:p>
    <w:p w14:paraId="2C5A2214" w14:textId="77777777" w:rsidR="00852DEA" w:rsidRDefault="00852DEA" w:rsidP="00852DEA">
      <w:pPr>
        <w:pStyle w:val="ACMABodyText"/>
        <w:spacing w:after="0"/>
        <w:rPr>
          <w:rFonts w:ascii="Arial" w:hAnsi="Arial" w:cs="Arial"/>
          <w:b/>
          <w:sz w:val="20"/>
        </w:rPr>
      </w:pPr>
    </w:p>
    <w:p w14:paraId="0A2D18D1" w14:textId="77777777" w:rsidR="00852DEA" w:rsidRPr="00852DEA" w:rsidRDefault="00852DEA" w:rsidP="00852DEA">
      <w:pPr>
        <w:pStyle w:val="ACMABodyText"/>
        <w:spacing w:after="0"/>
        <w:rPr>
          <w:rFonts w:ascii="Arial" w:hAnsi="Arial" w:cs="Arial"/>
          <w:b/>
          <w:sz w:val="20"/>
        </w:rPr>
      </w:pPr>
      <w:r w:rsidRPr="00852DEA">
        <w:rPr>
          <w:rFonts w:ascii="Arial" w:hAnsi="Arial" w:cs="Arial"/>
          <w:b/>
          <w:sz w:val="20"/>
        </w:rPr>
        <w:t>Notes on instrument</w:t>
      </w:r>
    </w:p>
    <w:p w14:paraId="7F1DC3EB" w14:textId="77777777" w:rsidR="00852DEA" w:rsidRPr="00852DEA" w:rsidRDefault="00852DEA" w:rsidP="00852DEA">
      <w:pPr>
        <w:pStyle w:val="ACMABodyText"/>
        <w:spacing w:after="0"/>
        <w:rPr>
          <w:rFonts w:ascii="Arial" w:hAnsi="Arial" w:cs="Arial"/>
          <w:sz w:val="20"/>
        </w:rPr>
      </w:pPr>
      <w:r w:rsidRPr="00852DEA">
        <w:rPr>
          <w:rFonts w:ascii="Arial" w:hAnsi="Arial" w:cs="Arial"/>
          <w:sz w:val="20"/>
        </w:rPr>
        <w:t>The provisions of the D</w:t>
      </w:r>
      <w:bookmarkStart w:id="1" w:name="_GoBack"/>
      <w:bookmarkEnd w:id="1"/>
      <w:r w:rsidRPr="00852DEA">
        <w:rPr>
          <w:rFonts w:ascii="Arial" w:hAnsi="Arial" w:cs="Arial"/>
          <w:sz w:val="20"/>
        </w:rPr>
        <w:t>etermination are described in Attachment 1.</w:t>
      </w:r>
    </w:p>
    <w:p w14:paraId="7A3D757E" w14:textId="77777777" w:rsidR="00852DEA" w:rsidRDefault="00852DEA" w:rsidP="00852DEA">
      <w:pPr>
        <w:pStyle w:val="ACMABodyText"/>
        <w:spacing w:after="0"/>
        <w:rPr>
          <w:rFonts w:ascii="Arial" w:hAnsi="Arial" w:cs="Arial"/>
          <w:b/>
          <w:sz w:val="20"/>
        </w:rPr>
      </w:pPr>
    </w:p>
    <w:p w14:paraId="33F1FED7" w14:textId="77777777" w:rsidR="00852DEA" w:rsidRPr="00852DEA" w:rsidRDefault="00852DEA" w:rsidP="00852DEA">
      <w:pPr>
        <w:pStyle w:val="ACMABodyText"/>
        <w:spacing w:after="0"/>
        <w:rPr>
          <w:rFonts w:ascii="Arial" w:hAnsi="Arial" w:cs="Arial"/>
          <w:b/>
          <w:sz w:val="20"/>
        </w:rPr>
      </w:pPr>
      <w:r w:rsidRPr="00852DEA">
        <w:rPr>
          <w:rFonts w:ascii="Arial" w:hAnsi="Arial" w:cs="Arial"/>
          <w:b/>
          <w:sz w:val="20"/>
        </w:rPr>
        <w:t>Statement of compatibility with human rights</w:t>
      </w:r>
    </w:p>
    <w:p w14:paraId="609297A2" w14:textId="11DA53D2" w:rsidR="005C151C" w:rsidRPr="0032491B" w:rsidRDefault="00852DEA" w:rsidP="00852DEA">
      <w:pPr>
        <w:pStyle w:val="ACMABodyText"/>
        <w:rPr>
          <w:rFonts w:ascii="Arial" w:hAnsi="Arial" w:cs="Arial"/>
          <w:sz w:val="20"/>
        </w:rPr>
      </w:pPr>
      <w:r w:rsidRPr="00852DEA">
        <w:rPr>
          <w:rFonts w:ascii="Arial" w:hAnsi="Arial" w:cs="Arial"/>
          <w:sz w:val="20"/>
        </w:rPr>
        <w:t xml:space="preserve">A Statement of Compatibility with Human Rights has been prepared in accordance with Part 3 of the </w:t>
      </w:r>
      <w:r w:rsidRPr="00852DEA">
        <w:rPr>
          <w:rFonts w:ascii="Arial" w:hAnsi="Arial" w:cs="Arial"/>
          <w:i/>
          <w:sz w:val="20"/>
        </w:rPr>
        <w:t xml:space="preserve">Human Rights (Parliamentary Scrutiny) Act 2011 </w:t>
      </w:r>
      <w:r w:rsidRPr="00852DEA">
        <w:rPr>
          <w:rFonts w:ascii="Arial" w:hAnsi="Arial" w:cs="Arial"/>
          <w:sz w:val="20"/>
        </w:rPr>
        <w:t xml:space="preserve">and is set out in Attachment 2. </w:t>
      </w:r>
      <w:bookmarkStart w:id="2" w:name="OLE_LINK1"/>
      <w:bookmarkStart w:id="3" w:name="OLE_LINK2"/>
    </w:p>
    <w:p w14:paraId="72D0165D" w14:textId="77777777" w:rsidR="006603E8" w:rsidRPr="0032491B" w:rsidRDefault="006603E8" w:rsidP="00DF3723">
      <w:pPr>
        <w:rPr>
          <w:rFonts w:ascii="Arial" w:hAnsi="Arial" w:cs="Arial"/>
          <w:sz w:val="20"/>
          <w:szCs w:val="20"/>
        </w:rPr>
      </w:pPr>
    </w:p>
    <w:p w14:paraId="65E7B5FB" w14:textId="77777777" w:rsidR="00997745" w:rsidRDefault="00997745">
      <w:pPr>
        <w:rPr>
          <w:rFonts w:ascii="Arial" w:hAnsi="Arial" w:cs="Arial"/>
          <w:b/>
          <w:sz w:val="20"/>
          <w:szCs w:val="20"/>
          <w:lang w:val="en-US"/>
        </w:rPr>
      </w:pPr>
    </w:p>
    <w:p w14:paraId="63B45241" w14:textId="77777777" w:rsidR="00FF4229" w:rsidRPr="0032491B" w:rsidRDefault="00FF4229" w:rsidP="00FF4229">
      <w:pPr>
        <w:pStyle w:val="ACMABodyText"/>
        <w:spacing w:before="0" w:after="0"/>
        <w:rPr>
          <w:rFonts w:ascii="Arial" w:hAnsi="Arial" w:cs="Arial"/>
          <w:b/>
          <w:snapToGrid/>
          <w:sz w:val="20"/>
          <w:lang w:val="en-US"/>
        </w:rPr>
      </w:pPr>
    </w:p>
    <w:p w14:paraId="4B942B63" w14:textId="77777777" w:rsidR="00C87366" w:rsidRPr="00487008" w:rsidRDefault="00C87366">
      <w:pPr>
        <w:rPr>
          <w:rFonts w:ascii="Arial" w:hAnsi="Arial" w:cs="Arial"/>
          <w:sz w:val="20"/>
          <w:szCs w:val="20"/>
        </w:rPr>
      </w:pPr>
      <w:r w:rsidRPr="00487008">
        <w:rPr>
          <w:rFonts w:ascii="Arial" w:hAnsi="Arial" w:cs="Arial"/>
          <w:sz w:val="20"/>
          <w:szCs w:val="20"/>
        </w:rPr>
        <w:br w:type="page"/>
      </w:r>
    </w:p>
    <w:p w14:paraId="0E51437E" w14:textId="77777777" w:rsidR="00554311" w:rsidRPr="00487008" w:rsidRDefault="00C55C35" w:rsidP="00C55C35">
      <w:pPr>
        <w:jc w:val="right"/>
        <w:rPr>
          <w:rFonts w:ascii="Arial" w:hAnsi="Arial" w:cs="Arial"/>
          <w:b/>
          <w:sz w:val="20"/>
          <w:szCs w:val="20"/>
        </w:rPr>
      </w:pPr>
      <w:r w:rsidRPr="00487008">
        <w:rPr>
          <w:rFonts w:ascii="Arial" w:hAnsi="Arial" w:cs="Arial"/>
          <w:b/>
          <w:sz w:val="20"/>
          <w:szCs w:val="20"/>
        </w:rPr>
        <w:lastRenderedPageBreak/>
        <w:t>Attachment 1</w:t>
      </w:r>
    </w:p>
    <w:bookmarkEnd w:id="2"/>
    <w:bookmarkEnd w:id="3"/>
    <w:p w14:paraId="5E96FA09" w14:textId="77777777" w:rsidR="00734777" w:rsidRPr="00487008" w:rsidRDefault="00734777" w:rsidP="00734777">
      <w:pPr>
        <w:jc w:val="right"/>
        <w:rPr>
          <w:rFonts w:ascii="Arial" w:hAnsi="Arial" w:cs="Arial"/>
          <w:sz w:val="20"/>
          <w:szCs w:val="20"/>
        </w:rPr>
      </w:pPr>
    </w:p>
    <w:p w14:paraId="61030D20" w14:textId="77777777" w:rsidR="00731DC7" w:rsidRPr="00487008" w:rsidRDefault="00731DC7" w:rsidP="00DF3723">
      <w:pPr>
        <w:jc w:val="center"/>
        <w:rPr>
          <w:rFonts w:ascii="Arial" w:hAnsi="Arial" w:cs="Arial"/>
          <w:b/>
          <w:sz w:val="20"/>
          <w:szCs w:val="20"/>
        </w:rPr>
      </w:pPr>
      <w:r w:rsidRPr="00487008">
        <w:rPr>
          <w:rFonts w:ascii="Arial" w:hAnsi="Arial" w:cs="Arial"/>
          <w:b/>
          <w:sz w:val="20"/>
          <w:szCs w:val="20"/>
        </w:rPr>
        <w:t>NOTES ON SECTIONS</w:t>
      </w:r>
    </w:p>
    <w:p w14:paraId="4D1B6701" w14:textId="77777777" w:rsidR="00734777" w:rsidRPr="00487008" w:rsidRDefault="00734777" w:rsidP="00731DC7">
      <w:pPr>
        <w:rPr>
          <w:rFonts w:ascii="Arial" w:hAnsi="Arial" w:cs="Arial"/>
          <w:sz w:val="20"/>
          <w:szCs w:val="20"/>
        </w:rPr>
      </w:pPr>
    </w:p>
    <w:p w14:paraId="2F4B7E29" w14:textId="77777777" w:rsidR="00731DC7" w:rsidRPr="00487008" w:rsidRDefault="00731DC7" w:rsidP="00731DC7">
      <w:pPr>
        <w:rPr>
          <w:rFonts w:ascii="Arial" w:hAnsi="Arial" w:cs="Arial"/>
          <w:b/>
          <w:sz w:val="20"/>
          <w:szCs w:val="20"/>
        </w:rPr>
      </w:pPr>
      <w:r w:rsidRPr="00487008">
        <w:rPr>
          <w:rFonts w:ascii="Arial" w:hAnsi="Arial" w:cs="Arial"/>
          <w:b/>
          <w:sz w:val="20"/>
          <w:szCs w:val="20"/>
        </w:rPr>
        <w:t xml:space="preserve">Section 1 - Name of </w:t>
      </w:r>
      <w:r w:rsidR="003E2585" w:rsidRPr="00487008">
        <w:rPr>
          <w:rFonts w:ascii="Arial" w:hAnsi="Arial" w:cs="Arial"/>
          <w:b/>
          <w:sz w:val="20"/>
          <w:szCs w:val="20"/>
        </w:rPr>
        <w:t>D</w:t>
      </w:r>
      <w:r w:rsidRPr="00487008">
        <w:rPr>
          <w:rFonts w:ascii="Arial" w:hAnsi="Arial" w:cs="Arial"/>
          <w:b/>
          <w:sz w:val="20"/>
          <w:szCs w:val="20"/>
        </w:rPr>
        <w:t>etermination</w:t>
      </w:r>
    </w:p>
    <w:p w14:paraId="7E33BAD7" w14:textId="77777777" w:rsidR="00734777" w:rsidRPr="00487008" w:rsidRDefault="00734777" w:rsidP="00731DC7">
      <w:pPr>
        <w:rPr>
          <w:rFonts w:ascii="Arial" w:hAnsi="Arial" w:cs="Arial"/>
          <w:b/>
          <w:sz w:val="20"/>
          <w:szCs w:val="20"/>
        </w:rPr>
      </w:pPr>
    </w:p>
    <w:p w14:paraId="2193C30B" w14:textId="77777777" w:rsidR="00731DC7" w:rsidRPr="002453AD" w:rsidRDefault="00DF3723" w:rsidP="00731DC7">
      <w:pPr>
        <w:rPr>
          <w:rFonts w:ascii="Arial" w:hAnsi="Arial" w:cs="Arial"/>
          <w:sz w:val="20"/>
          <w:szCs w:val="20"/>
        </w:rPr>
      </w:pPr>
      <w:r w:rsidRPr="00487008">
        <w:rPr>
          <w:rFonts w:ascii="Arial" w:hAnsi="Arial" w:cs="Arial"/>
          <w:sz w:val="20"/>
          <w:szCs w:val="20"/>
        </w:rPr>
        <w:t xml:space="preserve">Section </w:t>
      </w:r>
      <w:r w:rsidRPr="00487008">
        <w:rPr>
          <w:rFonts w:ascii="Arial" w:hAnsi="Arial" w:cs="Arial"/>
          <w:sz w:val="20"/>
          <w:szCs w:val="20"/>
          <w:lang w:val="en-US"/>
        </w:rPr>
        <w:t xml:space="preserve">1 provides for the citation of the </w:t>
      </w:r>
      <w:r w:rsidRPr="002453AD">
        <w:rPr>
          <w:rFonts w:ascii="Arial" w:hAnsi="Arial" w:cs="Arial"/>
          <w:sz w:val="20"/>
          <w:szCs w:val="20"/>
          <w:lang w:val="en-US"/>
        </w:rPr>
        <w:t xml:space="preserve">Determination as </w:t>
      </w:r>
      <w:r w:rsidR="008D1425" w:rsidRPr="002453AD">
        <w:rPr>
          <w:rFonts w:ascii="Arial" w:hAnsi="Arial" w:cs="Arial"/>
          <w:sz w:val="20"/>
          <w:szCs w:val="20"/>
          <w:lang w:val="en-US"/>
        </w:rPr>
        <w:t>the</w:t>
      </w:r>
      <w:r w:rsidR="00DF0F38" w:rsidRPr="002453AD">
        <w:rPr>
          <w:rFonts w:ascii="Arial" w:hAnsi="Arial" w:cs="Arial"/>
          <w:sz w:val="20"/>
          <w:szCs w:val="20"/>
          <w:lang w:val="en-US"/>
        </w:rPr>
        <w:t xml:space="preserve"> </w:t>
      </w:r>
      <w:r w:rsidR="007E19DB" w:rsidRPr="00FC7DE6">
        <w:rPr>
          <w:rFonts w:ascii="Arial" w:hAnsi="Arial" w:cs="Arial"/>
          <w:i/>
          <w:sz w:val="20"/>
          <w:szCs w:val="20"/>
        </w:rPr>
        <w:t>Telecommunications (Section of the Telecommunications Industry – Portability Service Suppliers) Determination 2015.</w:t>
      </w:r>
    </w:p>
    <w:p w14:paraId="3CAE3711" w14:textId="77777777" w:rsidR="00734777" w:rsidRPr="00487008" w:rsidRDefault="00734777" w:rsidP="00731DC7">
      <w:pPr>
        <w:rPr>
          <w:rFonts w:ascii="Arial" w:hAnsi="Arial" w:cs="Arial"/>
          <w:sz w:val="20"/>
          <w:szCs w:val="20"/>
        </w:rPr>
      </w:pPr>
    </w:p>
    <w:p w14:paraId="02835841" w14:textId="77777777" w:rsidR="00731DC7" w:rsidRPr="00487008" w:rsidRDefault="00731DC7" w:rsidP="00731DC7">
      <w:pPr>
        <w:rPr>
          <w:rFonts w:ascii="Arial" w:hAnsi="Arial" w:cs="Arial"/>
          <w:b/>
          <w:sz w:val="20"/>
          <w:szCs w:val="20"/>
        </w:rPr>
      </w:pPr>
      <w:r w:rsidRPr="00487008">
        <w:rPr>
          <w:rFonts w:ascii="Arial" w:hAnsi="Arial" w:cs="Arial"/>
          <w:b/>
          <w:sz w:val="20"/>
          <w:szCs w:val="20"/>
        </w:rPr>
        <w:t>Section 2 - Commencement</w:t>
      </w:r>
    </w:p>
    <w:p w14:paraId="03DD5743" w14:textId="77777777" w:rsidR="00A91242" w:rsidRPr="00487008" w:rsidRDefault="00A91242">
      <w:pPr>
        <w:rPr>
          <w:rFonts w:ascii="Arial" w:hAnsi="Arial" w:cs="Arial"/>
          <w:sz w:val="20"/>
          <w:szCs w:val="20"/>
        </w:rPr>
      </w:pPr>
    </w:p>
    <w:p w14:paraId="5D6947CF" w14:textId="2846F801" w:rsidR="00183989" w:rsidRPr="00487008" w:rsidRDefault="00BA50C5" w:rsidP="00487008">
      <w:pPr>
        <w:rPr>
          <w:rFonts w:ascii="Arial" w:hAnsi="Arial" w:cs="Arial"/>
          <w:sz w:val="20"/>
          <w:szCs w:val="20"/>
        </w:rPr>
      </w:pPr>
      <w:r w:rsidRPr="00487008">
        <w:rPr>
          <w:rFonts w:ascii="Arial" w:hAnsi="Arial" w:cs="Arial"/>
          <w:sz w:val="20"/>
          <w:szCs w:val="20"/>
        </w:rPr>
        <w:t xml:space="preserve">Section 2 provides that </w:t>
      </w:r>
      <w:r w:rsidR="00EF5570">
        <w:rPr>
          <w:rFonts w:ascii="Arial" w:hAnsi="Arial" w:cs="Arial"/>
          <w:sz w:val="20"/>
          <w:szCs w:val="20"/>
        </w:rPr>
        <w:t xml:space="preserve">the Determination </w:t>
      </w:r>
      <w:r w:rsidRPr="00487008">
        <w:rPr>
          <w:rFonts w:ascii="Arial" w:hAnsi="Arial" w:cs="Arial"/>
          <w:sz w:val="20"/>
          <w:szCs w:val="20"/>
        </w:rPr>
        <w:t xml:space="preserve">will commence on </w:t>
      </w:r>
      <w:r w:rsidR="00183989" w:rsidRPr="00487008">
        <w:rPr>
          <w:rFonts w:ascii="Arial" w:hAnsi="Arial" w:cs="Arial"/>
          <w:sz w:val="20"/>
          <w:szCs w:val="20"/>
        </w:rPr>
        <w:t>the day after it is registered</w:t>
      </w:r>
      <w:r w:rsidR="00852DEA" w:rsidRPr="00852DEA">
        <w:rPr>
          <w:rFonts w:ascii="Arial" w:eastAsia="Calibri" w:hAnsi="Arial" w:cs="Arial"/>
          <w:sz w:val="22"/>
          <w:szCs w:val="22"/>
          <w:lang w:eastAsia="en-US"/>
        </w:rPr>
        <w:t xml:space="preserve"> </w:t>
      </w:r>
      <w:r w:rsidR="00852DEA" w:rsidRPr="00852DEA">
        <w:rPr>
          <w:rFonts w:ascii="Arial" w:hAnsi="Arial" w:cs="Arial"/>
          <w:sz w:val="20"/>
          <w:szCs w:val="20"/>
        </w:rPr>
        <w:t>on the Federal Register of Legislative Instruments</w:t>
      </w:r>
      <w:r w:rsidRPr="00487008">
        <w:rPr>
          <w:rFonts w:ascii="Arial" w:hAnsi="Arial" w:cs="Arial"/>
          <w:sz w:val="20"/>
          <w:szCs w:val="20"/>
        </w:rPr>
        <w:t xml:space="preserve">. </w:t>
      </w:r>
    </w:p>
    <w:p w14:paraId="2AF4AFF3" w14:textId="77777777" w:rsidR="00183989" w:rsidRPr="00487008" w:rsidRDefault="00183989" w:rsidP="00731DC7">
      <w:pPr>
        <w:rPr>
          <w:rFonts w:ascii="Arial" w:hAnsi="Arial" w:cs="Arial"/>
          <w:sz w:val="20"/>
          <w:szCs w:val="20"/>
          <w:lang w:val="en-US"/>
        </w:rPr>
      </w:pPr>
    </w:p>
    <w:p w14:paraId="080ECD14" w14:textId="77777777" w:rsidR="00731DC7" w:rsidRPr="00487008" w:rsidRDefault="003872CB" w:rsidP="00984FE3">
      <w:pPr>
        <w:ind w:left="1134" w:hanging="1134"/>
        <w:rPr>
          <w:rFonts w:ascii="Arial" w:hAnsi="Arial" w:cs="Arial"/>
          <w:b/>
          <w:i/>
          <w:sz w:val="20"/>
          <w:szCs w:val="20"/>
        </w:rPr>
      </w:pPr>
      <w:r w:rsidRPr="00487008">
        <w:rPr>
          <w:rFonts w:ascii="Arial" w:hAnsi="Arial" w:cs="Arial"/>
          <w:b/>
          <w:sz w:val="20"/>
          <w:szCs w:val="20"/>
        </w:rPr>
        <w:t xml:space="preserve">Section 3 </w:t>
      </w:r>
      <w:r w:rsidR="00984FE3" w:rsidRPr="00487008">
        <w:rPr>
          <w:rFonts w:ascii="Arial" w:hAnsi="Arial" w:cs="Arial"/>
          <w:b/>
          <w:sz w:val="20"/>
          <w:szCs w:val="20"/>
        </w:rPr>
        <w:t>–</w:t>
      </w:r>
      <w:r w:rsidRPr="00487008">
        <w:rPr>
          <w:rFonts w:ascii="Arial" w:hAnsi="Arial" w:cs="Arial"/>
          <w:b/>
          <w:sz w:val="20"/>
          <w:szCs w:val="20"/>
        </w:rPr>
        <w:t xml:space="preserve"> </w:t>
      </w:r>
      <w:r w:rsidR="00E73E6C">
        <w:rPr>
          <w:rFonts w:ascii="Arial" w:hAnsi="Arial" w:cs="Arial"/>
          <w:b/>
          <w:sz w:val="20"/>
          <w:szCs w:val="20"/>
        </w:rPr>
        <w:t>Definitions</w:t>
      </w:r>
    </w:p>
    <w:p w14:paraId="3ADE3CE7" w14:textId="77777777" w:rsidR="00734777" w:rsidRPr="00487008" w:rsidRDefault="00734777" w:rsidP="00731DC7">
      <w:pPr>
        <w:rPr>
          <w:rFonts w:ascii="Arial" w:hAnsi="Arial" w:cs="Arial"/>
          <w:sz w:val="20"/>
          <w:szCs w:val="20"/>
        </w:rPr>
      </w:pPr>
    </w:p>
    <w:p w14:paraId="7AD32C14" w14:textId="76C81617" w:rsidR="00E73E6C" w:rsidRDefault="00986CA0" w:rsidP="00731DC7">
      <w:pPr>
        <w:rPr>
          <w:rFonts w:ascii="Arial" w:hAnsi="Arial" w:cs="Arial"/>
          <w:sz w:val="20"/>
          <w:szCs w:val="20"/>
          <w:lang w:val="en-US"/>
        </w:rPr>
      </w:pPr>
      <w:r w:rsidRPr="00487008">
        <w:rPr>
          <w:rFonts w:ascii="Arial" w:hAnsi="Arial" w:cs="Arial"/>
          <w:sz w:val="20"/>
          <w:szCs w:val="20"/>
          <w:lang w:val="en-US"/>
        </w:rPr>
        <w:t xml:space="preserve">Section 3 </w:t>
      </w:r>
      <w:r w:rsidR="00FD5F32" w:rsidRPr="00487008">
        <w:rPr>
          <w:rFonts w:ascii="Arial" w:hAnsi="Arial" w:cs="Arial"/>
          <w:sz w:val="20"/>
          <w:szCs w:val="20"/>
          <w:lang w:val="en-US"/>
        </w:rPr>
        <w:t xml:space="preserve">provides </w:t>
      </w:r>
      <w:r w:rsidR="00E73E6C">
        <w:rPr>
          <w:rFonts w:ascii="Arial" w:hAnsi="Arial" w:cs="Arial"/>
          <w:sz w:val="20"/>
          <w:szCs w:val="20"/>
          <w:lang w:val="en-US"/>
        </w:rPr>
        <w:t xml:space="preserve">definitions used in the </w:t>
      </w:r>
      <w:r w:rsidR="002453AD">
        <w:rPr>
          <w:rFonts w:ascii="Arial" w:hAnsi="Arial" w:cs="Arial"/>
          <w:sz w:val="20"/>
          <w:szCs w:val="20"/>
          <w:lang w:val="en-US"/>
        </w:rPr>
        <w:t>Determination</w:t>
      </w:r>
      <w:r w:rsidR="00E73E6C">
        <w:rPr>
          <w:rFonts w:ascii="Arial" w:hAnsi="Arial" w:cs="Arial"/>
          <w:sz w:val="20"/>
          <w:szCs w:val="20"/>
          <w:lang w:val="en-US"/>
        </w:rPr>
        <w:t xml:space="preserve">. It confirms that the </w:t>
      </w:r>
      <w:r w:rsidR="002453AD">
        <w:rPr>
          <w:rFonts w:ascii="Arial" w:hAnsi="Arial" w:cs="Arial"/>
          <w:sz w:val="20"/>
          <w:szCs w:val="20"/>
          <w:lang w:val="en-US"/>
        </w:rPr>
        <w:t xml:space="preserve">Determination </w:t>
      </w:r>
      <w:r w:rsidR="00E73E6C">
        <w:rPr>
          <w:rFonts w:ascii="Arial" w:hAnsi="Arial" w:cs="Arial"/>
          <w:sz w:val="20"/>
          <w:szCs w:val="20"/>
          <w:lang w:val="en-US"/>
        </w:rPr>
        <w:t xml:space="preserve">is made under the </w:t>
      </w:r>
      <w:r w:rsidR="00E73E6C">
        <w:rPr>
          <w:rFonts w:ascii="Arial" w:hAnsi="Arial" w:cs="Arial"/>
          <w:i/>
          <w:sz w:val="20"/>
          <w:szCs w:val="20"/>
          <w:lang w:val="en-US"/>
        </w:rPr>
        <w:t xml:space="preserve">Telecommunications Act 1997, </w:t>
      </w:r>
      <w:r w:rsidR="00E73E6C">
        <w:rPr>
          <w:rFonts w:ascii="Arial" w:hAnsi="Arial" w:cs="Arial"/>
          <w:sz w:val="20"/>
          <w:szCs w:val="20"/>
          <w:lang w:val="en-US"/>
        </w:rPr>
        <w:t xml:space="preserve">and that Number Portability is to have the same meaning as given in the </w:t>
      </w:r>
      <w:r w:rsidR="00E73E6C" w:rsidRPr="00E73E6C">
        <w:rPr>
          <w:rFonts w:ascii="Arial" w:hAnsi="Arial" w:cs="Arial"/>
          <w:i/>
          <w:sz w:val="20"/>
          <w:szCs w:val="20"/>
          <w:lang w:val="en-US"/>
        </w:rPr>
        <w:t>Telecommunications Numbering Plan 1997</w:t>
      </w:r>
      <w:r w:rsidR="00E73E6C">
        <w:rPr>
          <w:rFonts w:ascii="Arial" w:hAnsi="Arial" w:cs="Arial"/>
          <w:i/>
          <w:sz w:val="20"/>
          <w:szCs w:val="20"/>
          <w:lang w:val="en-US"/>
        </w:rPr>
        <w:t xml:space="preserve"> </w:t>
      </w:r>
      <w:r w:rsidR="00E73E6C">
        <w:rPr>
          <w:rFonts w:ascii="Arial" w:hAnsi="Arial" w:cs="Arial"/>
          <w:sz w:val="20"/>
          <w:szCs w:val="20"/>
          <w:lang w:val="en-US"/>
        </w:rPr>
        <w:t>or successor documents.</w:t>
      </w:r>
    </w:p>
    <w:p w14:paraId="124EE405" w14:textId="77777777" w:rsidR="00E73E6C" w:rsidRDefault="00E73E6C" w:rsidP="00731DC7">
      <w:pPr>
        <w:rPr>
          <w:rFonts w:ascii="Arial" w:hAnsi="Arial" w:cs="Arial"/>
          <w:sz w:val="20"/>
          <w:szCs w:val="20"/>
          <w:lang w:val="en-US"/>
        </w:rPr>
      </w:pPr>
    </w:p>
    <w:p w14:paraId="778E44E4" w14:textId="75045AFA" w:rsidR="00E73E6C" w:rsidRDefault="00E73E6C" w:rsidP="00731DC7">
      <w:pPr>
        <w:rPr>
          <w:rFonts w:ascii="Arial" w:hAnsi="Arial" w:cs="Arial"/>
          <w:sz w:val="20"/>
          <w:szCs w:val="20"/>
          <w:lang w:val="en-US"/>
        </w:rPr>
      </w:pPr>
      <w:r>
        <w:rPr>
          <w:rFonts w:ascii="Arial" w:hAnsi="Arial" w:cs="Arial"/>
          <w:sz w:val="20"/>
          <w:szCs w:val="20"/>
          <w:lang w:val="en-US"/>
        </w:rPr>
        <w:t>Portability services are defined as</w:t>
      </w:r>
      <w:r w:rsidR="002453AD">
        <w:rPr>
          <w:rFonts w:ascii="Arial" w:hAnsi="Arial" w:cs="Arial"/>
          <w:sz w:val="20"/>
          <w:szCs w:val="20"/>
          <w:lang w:val="en-US"/>
        </w:rPr>
        <w:t>:</w:t>
      </w:r>
    </w:p>
    <w:p w14:paraId="27F5DE0F" w14:textId="77777777" w:rsidR="00E73E6C" w:rsidRPr="00862B51" w:rsidRDefault="00E73E6C" w:rsidP="00E73E6C">
      <w:pPr>
        <w:pStyle w:val="definition"/>
        <w:numPr>
          <w:ilvl w:val="0"/>
          <w:numId w:val="14"/>
        </w:numPr>
        <w:rPr>
          <w:rFonts w:ascii="Arial" w:hAnsi="Arial" w:cs="Arial"/>
          <w:sz w:val="20"/>
        </w:rPr>
      </w:pPr>
      <w:r w:rsidRPr="00862B51">
        <w:rPr>
          <w:rFonts w:ascii="Arial" w:hAnsi="Arial" w:cs="Arial"/>
          <w:sz w:val="20"/>
        </w:rPr>
        <w:t xml:space="preserve">port administration services; </w:t>
      </w:r>
    </w:p>
    <w:p w14:paraId="1E54A969" w14:textId="77777777" w:rsidR="00E73E6C" w:rsidRPr="00862B51" w:rsidRDefault="00E73E6C" w:rsidP="00E73E6C">
      <w:pPr>
        <w:pStyle w:val="definition"/>
        <w:numPr>
          <w:ilvl w:val="0"/>
          <w:numId w:val="14"/>
        </w:numPr>
        <w:rPr>
          <w:rFonts w:ascii="Arial" w:hAnsi="Arial" w:cs="Arial"/>
          <w:sz w:val="20"/>
        </w:rPr>
      </w:pPr>
      <w:r w:rsidRPr="00862B51">
        <w:rPr>
          <w:rFonts w:ascii="Arial" w:hAnsi="Arial" w:cs="Arial"/>
          <w:sz w:val="20"/>
        </w:rPr>
        <w:t xml:space="preserve">ported number register database maintenance or provision; and </w:t>
      </w:r>
    </w:p>
    <w:p w14:paraId="30F3F152" w14:textId="77777777" w:rsidR="00E73E6C" w:rsidRPr="00862B51" w:rsidRDefault="00E73E6C" w:rsidP="00862B51">
      <w:pPr>
        <w:pStyle w:val="ListParagraph"/>
        <w:numPr>
          <w:ilvl w:val="0"/>
          <w:numId w:val="14"/>
        </w:numPr>
        <w:rPr>
          <w:rFonts w:ascii="Arial" w:hAnsi="Arial" w:cs="Arial"/>
          <w:szCs w:val="20"/>
          <w:lang w:val="en-US"/>
        </w:rPr>
      </w:pPr>
      <w:r w:rsidRPr="00862B51">
        <w:rPr>
          <w:rFonts w:ascii="Arial" w:hAnsi="Arial" w:cs="Arial"/>
          <w:szCs w:val="20"/>
        </w:rPr>
        <w:t>the provision of network information services, or intelligent network database services, for call routing</w:t>
      </w:r>
    </w:p>
    <w:p w14:paraId="197D97E8" w14:textId="77777777" w:rsidR="00862B51" w:rsidRDefault="00E73E6C" w:rsidP="00731DC7">
      <w:pPr>
        <w:rPr>
          <w:rFonts w:ascii="Arial" w:hAnsi="Arial" w:cs="Arial"/>
          <w:sz w:val="20"/>
          <w:szCs w:val="20"/>
          <w:lang w:val="en-US"/>
        </w:rPr>
      </w:pPr>
      <w:r>
        <w:rPr>
          <w:rFonts w:ascii="Arial" w:hAnsi="Arial" w:cs="Arial"/>
          <w:sz w:val="20"/>
          <w:szCs w:val="20"/>
          <w:lang w:val="en-US"/>
        </w:rPr>
        <w:t xml:space="preserve"> </w:t>
      </w:r>
    </w:p>
    <w:p w14:paraId="02394CD7" w14:textId="77777777" w:rsidR="00E73E6C" w:rsidRDefault="00862B51" w:rsidP="00731DC7">
      <w:pPr>
        <w:rPr>
          <w:rFonts w:ascii="Arial" w:hAnsi="Arial" w:cs="Arial"/>
          <w:sz w:val="20"/>
          <w:szCs w:val="20"/>
          <w:lang w:val="en-US"/>
        </w:rPr>
      </w:pPr>
      <w:r>
        <w:rPr>
          <w:rFonts w:ascii="Arial" w:hAnsi="Arial" w:cs="Arial"/>
          <w:sz w:val="20"/>
          <w:szCs w:val="20"/>
          <w:lang w:val="en-US"/>
        </w:rPr>
        <w:t xml:space="preserve">when </w:t>
      </w:r>
      <w:r w:rsidR="00E73E6C">
        <w:rPr>
          <w:rFonts w:ascii="Arial" w:hAnsi="Arial" w:cs="Arial"/>
          <w:sz w:val="20"/>
          <w:szCs w:val="20"/>
          <w:lang w:val="en-US"/>
        </w:rPr>
        <w:t xml:space="preserve">provided </w:t>
      </w:r>
      <w:r>
        <w:rPr>
          <w:rFonts w:ascii="Arial" w:hAnsi="Arial" w:cs="Arial"/>
          <w:sz w:val="20"/>
          <w:szCs w:val="20"/>
          <w:lang w:val="en-US"/>
        </w:rPr>
        <w:t xml:space="preserve">to carriers or carriage services providers </w:t>
      </w:r>
      <w:r w:rsidR="00E73E6C">
        <w:rPr>
          <w:rFonts w:ascii="Arial" w:hAnsi="Arial" w:cs="Arial"/>
          <w:sz w:val="20"/>
          <w:szCs w:val="20"/>
          <w:lang w:val="en-US"/>
        </w:rPr>
        <w:t xml:space="preserve">in relation to the provision and operation of number portability. </w:t>
      </w:r>
    </w:p>
    <w:p w14:paraId="6B45985D" w14:textId="77777777" w:rsidR="00862B51" w:rsidRDefault="00862B51" w:rsidP="00731DC7">
      <w:pPr>
        <w:rPr>
          <w:rFonts w:ascii="Arial" w:hAnsi="Arial" w:cs="Arial"/>
          <w:sz w:val="20"/>
          <w:szCs w:val="20"/>
          <w:lang w:val="en-US"/>
        </w:rPr>
      </w:pPr>
    </w:p>
    <w:p w14:paraId="67F313D5" w14:textId="77777777" w:rsidR="00862B51" w:rsidRPr="00487008" w:rsidRDefault="00862B51" w:rsidP="00862B51">
      <w:pPr>
        <w:ind w:left="1134" w:hanging="1134"/>
        <w:rPr>
          <w:rFonts w:ascii="Arial" w:hAnsi="Arial" w:cs="Arial"/>
          <w:b/>
          <w:i/>
          <w:sz w:val="20"/>
          <w:szCs w:val="20"/>
        </w:rPr>
      </w:pPr>
      <w:r w:rsidRPr="00487008">
        <w:rPr>
          <w:rFonts w:ascii="Arial" w:hAnsi="Arial" w:cs="Arial"/>
          <w:b/>
          <w:sz w:val="20"/>
          <w:szCs w:val="20"/>
        </w:rPr>
        <w:t xml:space="preserve">Section </w:t>
      </w:r>
      <w:r>
        <w:rPr>
          <w:rFonts w:ascii="Arial" w:hAnsi="Arial" w:cs="Arial"/>
          <w:b/>
          <w:sz w:val="20"/>
          <w:szCs w:val="20"/>
        </w:rPr>
        <w:t>4</w:t>
      </w:r>
      <w:r w:rsidRPr="00487008">
        <w:rPr>
          <w:rFonts w:ascii="Arial" w:hAnsi="Arial" w:cs="Arial"/>
          <w:b/>
          <w:sz w:val="20"/>
          <w:szCs w:val="20"/>
        </w:rPr>
        <w:t xml:space="preserve"> – </w:t>
      </w:r>
      <w:r>
        <w:rPr>
          <w:rFonts w:ascii="Arial" w:hAnsi="Arial" w:cs="Arial"/>
          <w:b/>
          <w:sz w:val="20"/>
          <w:szCs w:val="20"/>
        </w:rPr>
        <w:t>Application</w:t>
      </w:r>
    </w:p>
    <w:p w14:paraId="734CC072" w14:textId="77777777" w:rsidR="00862B51" w:rsidRPr="00487008" w:rsidRDefault="00862B51" w:rsidP="00862B51">
      <w:pPr>
        <w:rPr>
          <w:rFonts w:ascii="Arial" w:hAnsi="Arial" w:cs="Arial"/>
          <w:sz w:val="20"/>
          <w:szCs w:val="20"/>
        </w:rPr>
      </w:pPr>
    </w:p>
    <w:p w14:paraId="627FCF19" w14:textId="3DBA5486" w:rsidR="00862B51" w:rsidRDefault="00862B51" w:rsidP="00862B51">
      <w:pPr>
        <w:rPr>
          <w:rFonts w:ascii="Arial" w:hAnsi="Arial" w:cs="Arial"/>
          <w:sz w:val="20"/>
          <w:szCs w:val="20"/>
          <w:lang w:val="en-US"/>
        </w:rPr>
      </w:pPr>
      <w:r w:rsidRPr="00487008">
        <w:rPr>
          <w:rFonts w:ascii="Arial" w:hAnsi="Arial" w:cs="Arial"/>
          <w:sz w:val="20"/>
          <w:szCs w:val="20"/>
          <w:lang w:val="en-US"/>
        </w:rPr>
        <w:t xml:space="preserve">Section </w:t>
      </w:r>
      <w:r>
        <w:rPr>
          <w:rFonts w:ascii="Arial" w:hAnsi="Arial" w:cs="Arial"/>
          <w:sz w:val="20"/>
          <w:szCs w:val="20"/>
          <w:lang w:val="en-US"/>
        </w:rPr>
        <w:t>4</w:t>
      </w:r>
      <w:r w:rsidRPr="00487008">
        <w:rPr>
          <w:rFonts w:ascii="Arial" w:hAnsi="Arial" w:cs="Arial"/>
          <w:sz w:val="20"/>
          <w:szCs w:val="20"/>
          <w:lang w:val="en-US"/>
        </w:rPr>
        <w:t xml:space="preserve"> </w:t>
      </w:r>
      <w:r>
        <w:rPr>
          <w:rFonts w:ascii="Arial" w:hAnsi="Arial" w:cs="Arial"/>
          <w:sz w:val="20"/>
          <w:szCs w:val="20"/>
          <w:lang w:val="en-US"/>
        </w:rPr>
        <w:t xml:space="preserve">provides that this Determination </w:t>
      </w:r>
      <w:r w:rsidR="00577603">
        <w:rPr>
          <w:rFonts w:ascii="Arial" w:hAnsi="Arial" w:cs="Arial"/>
          <w:sz w:val="20"/>
          <w:szCs w:val="20"/>
          <w:lang w:val="en-US"/>
        </w:rPr>
        <w:t xml:space="preserve">applies </w:t>
      </w:r>
      <w:r>
        <w:rPr>
          <w:rFonts w:ascii="Arial" w:hAnsi="Arial" w:cs="Arial"/>
          <w:sz w:val="20"/>
          <w:szCs w:val="20"/>
          <w:lang w:val="en-US"/>
        </w:rPr>
        <w:t xml:space="preserve">to persons providing </w:t>
      </w:r>
      <w:r w:rsidR="002453AD">
        <w:rPr>
          <w:rFonts w:ascii="Arial" w:hAnsi="Arial" w:cs="Arial"/>
          <w:sz w:val="20"/>
          <w:szCs w:val="20"/>
          <w:lang w:val="en-US"/>
        </w:rPr>
        <w:t>p</w:t>
      </w:r>
      <w:r>
        <w:rPr>
          <w:rFonts w:ascii="Arial" w:hAnsi="Arial" w:cs="Arial"/>
          <w:sz w:val="20"/>
          <w:szCs w:val="20"/>
          <w:lang w:val="en-US"/>
        </w:rPr>
        <w:t xml:space="preserve">ortability </w:t>
      </w:r>
      <w:r w:rsidR="002453AD">
        <w:rPr>
          <w:rFonts w:ascii="Arial" w:hAnsi="Arial" w:cs="Arial"/>
          <w:sz w:val="20"/>
          <w:szCs w:val="20"/>
          <w:lang w:val="en-US"/>
        </w:rPr>
        <w:t>s</w:t>
      </w:r>
      <w:r>
        <w:rPr>
          <w:rFonts w:ascii="Arial" w:hAnsi="Arial" w:cs="Arial"/>
          <w:sz w:val="20"/>
          <w:szCs w:val="20"/>
          <w:lang w:val="en-US"/>
        </w:rPr>
        <w:t xml:space="preserve">ervices. </w:t>
      </w:r>
    </w:p>
    <w:p w14:paraId="5C38CB52" w14:textId="77777777" w:rsidR="00862B51" w:rsidRDefault="00862B51" w:rsidP="00862B51">
      <w:pPr>
        <w:rPr>
          <w:rFonts w:ascii="Arial" w:hAnsi="Arial" w:cs="Arial"/>
          <w:sz w:val="20"/>
          <w:szCs w:val="20"/>
          <w:lang w:val="en-US"/>
        </w:rPr>
      </w:pPr>
    </w:p>
    <w:p w14:paraId="09DCEF72" w14:textId="77777777" w:rsidR="00862B51" w:rsidRPr="00487008" w:rsidRDefault="00862B51" w:rsidP="00862B51">
      <w:pPr>
        <w:ind w:left="1134" w:hanging="1134"/>
        <w:rPr>
          <w:rFonts w:ascii="Arial" w:hAnsi="Arial" w:cs="Arial"/>
          <w:b/>
          <w:i/>
          <w:sz w:val="20"/>
          <w:szCs w:val="20"/>
        </w:rPr>
      </w:pPr>
      <w:r>
        <w:rPr>
          <w:rFonts w:ascii="Arial" w:hAnsi="Arial" w:cs="Arial"/>
          <w:b/>
          <w:sz w:val="20"/>
          <w:szCs w:val="20"/>
        </w:rPr>
        <w:t>Section 5</w:t>
      </w:r>
      <w:r w:rsidRPr="00487008">
        <w:rPr>
          <w:rFonts w:ascii="Arial" w:hAnsi="Arial" w:cs="Arial"/>
          <w:b/>
          <w:sz w:val="20"/>
          <w:szCs w:val="20"/>
        </w:rPr>
        <w:t xml:space="preserve"> – </w:t>
      </w:r>
      <w:r>
        <w:rPr>
          <w:rFonts w:ascii="Arial" w:hAnsi="Arial" w:cs="Arial"/>
          <w:b/>
          <w:sz w:val="20"/>
          <w:szCs w:val="20"/>
        </w:rPr>
        <w:t>Specification of Telecommunications Activity</w:t>
      </w:r>
    </w:p>
    <w:p w14:paraId="7BDA960B" w14:textId="77777777" w:rsidR="00862B51" w:rsidRPr="00487008" w:rsidRDefault="00862B51" w:rsidP="00862B51">
      <w:pPr>
        <w:rPr>
          <w:rFonts w:ascii="Arial" w:hAnsi="Arial" w:cs="Arial"/>
          <w:sz w:val="20"/>
          <w:szCs w:val="20"/>
        </w:rPr>
      </w:pPr>
    </w:p>
    <w:p w14:paraId="0BBB1597" w14:textId="30496FF9" w:rsidR="00862B51" w:rsidRDefault="00862B51" w:rsidP="00862B51">
      <w:pPr>
        <w:rPr>
          <w:rFonts w:ascii="Arial" w:hAnsi="Arial" w:cs="Arial"/>
          <w:sz w:val="20"/>
          <w:szCs w:val="20"/>
          <w:lang w:val="en-US"/>
        </w:rPr>
      </w:pPr>
      <w:r w:rsidRPr="00487008">
        <w:rPr>
          <w:rFonts w:ascii="Arial" w:hAnsi="Arial" w:cs="Arial"/>
          <w:sz w:val="20"/>
          <w:szCs w:val="20"/>
          <w:lang w:val="en-US"/>
        </w:rPr>
        <w:t xml:space="preserve">Section </w:t>
      </w:r>
      <w:r>
        <w:rPr>
          <w:rFonts w:ascii="Arial" w:hAnsi="Arial" w:cs="Arial"/>
          <w:sz w:val="20"/>
          <w:szCs w:val="20"/>
          <w:lang w:val="en-US"/>
        </w:rPr>
        <w:t>5</w:t>
      </w:r>
      <w:r w:rsidRPr="00487008">
        <w:rPr>
          <w:rFonts w:ascii="Arial" w:hAnsi="Arial" w:cs="Arial"/>
          <w:sz w:val="20"/>
          <w:szCs w:val="20"/>
          <w:lang w:val="en-US"/>
        </w:rPr>
        <w:t xml:space="preserve"> provides </w:t>
      </w:r>
      <w:r w:rsidR="00577603">
        <w:rPr>
          <w:rFonts w:ascii="Arial" w:hAnsi="Arial" w:cs="Arial"/>
          <w:sz w:val="20"/>
          <w:szCs w:val="20"/>
          <w:lang w:val="en-US"/>
        </w:rPr>
        <w:t xml:space="preserve">that </w:t>
      </w:r>
      <w:r>
        <w:rPr>
          <w:rFonts w:ascii="Arial" w:hAnsi="Arial" w:cs="Arial"/>
          <w:sz w:val="20"/>
          <w:szCs w:val="20"/>
          <w:lang w:val="en-US"/>
        </w:rPr>
        <w:t>the telecommunications activity covered by th</w:t>
      </w:r>
      <w:r w:rsidR="002453AD">
        <w:rPr>
          <w:rFonts w:ascii="Arial" w:hAnsi="Arial" w:cs="Arial"/>
          <w:sz w:val="20"/>
          <w:szCs w:val="20"/>
          <w:lang w:val="en-US"/>
        </w:rPr>
        <w:t>e</w:t>
      </w:r>
      <w:r>
        <w:rPr>
          <w:rFonts w:ascii="Arial" w:hAnsi="Arial" w:cs="Arial"/>
          <w:sz w:val="20"/>
          <w:szCs w:val="20"/>
          <w:lang w:val="en-US"/>
        </w:rPr>
        <w:t xml:space="preserve"> Determination is the supply of </w:t>
      </w:r>
      <w:r w:rsidR="002453AD">
        <w:rPr>
          <w:rFonts w:ascii="Arial" w:hAnsi="Arial" w:cs="Arial"/>
          <w:sz w:val="20"/>
          <w:szCs w:val="20"/>
          <w:lang w:val="en-US"/>
        </w:rPr>
        <w:t>p</w:t>
      </w:r>
      <w:r>
        <w:rPr>
          <w:rFonts w:ascii="Arial" w:hAnsi="Arial" w:cs="Arial"/>
          <w:sz w:val="20"/>
          <w:szCs w:val="20"/>
          <w:lang w:val="en-US"/>
        </w:rPr>
        <w:t xml:space="preserve">ortability </w:t>
      </w:r>
      <w:r w:rsidR="002453AD">
        <w:rPr>
          <w:rFonts w:ascii="Arial" w:hAnsi="Arial" w:cs="Arial"/>
          <w:sz w:val="20"/>
          <w:szCs w:val="20"/>
          <w:lang w:val="en-US"/>
        </w:rPr>
        <w:t>s</w:t>
      </w:r>
      <w:r>
        <w:rPr>
          <w:rFonts w:ascii="Arial" w:hAnsi="Arial" w:cs="Arial"/>
          <w:sz w:val="20"/>
          <w:szCs w:val="20"/>
          <w:lang w:val="en-US"/>
        </w:rPr>
        <w:t xml:space="preserve">ervices. </w:t>
      </w:r>
    </w:p>
    <w:p w14:paraId="2338036B" w14:textId="77777777" w:rsidR="00862B51" w:rsidRDefault="00862B51" w:rsidP="00862B51">
      <w:pPr>
        <w:rPr>
          <w:rFonts w:ascii="Arial" w:hAnsi="Arial" w:cs="Arial"/>
          <w:sz w:val="20"/>
          <w:szCs w:val="20"/>
          <w:lang w:val="en-US"/>
        </w:rPr>
      </w:pPr>
    </w:p>
    <w:p w14:paraId="36E7F73D" w14:textId="4CA45AD5" w:rsidR="00862B51" w:rsidRPr="00487008" w:rsidRDefault="00862B51" w:rsidP="00862B51">
      <w:pPr>
        <w:ind w:left="1134" w:hanging="1134"/>
        <w:rPr>
          <w:rFonts w:ascii="Arial" w:hAnsi="Arial" w:cs="Arial"/>
          <w:b/>
          <w:i/>
          <w:sz w:val="20"/>
          <w:szCs w:val="20"/>
        </w:rPr>
      </w:pPr>
      <w:r w:rsidRPr="00487008">
        <w:rPr>
          <w:rFonts w:ascii="Arial" w:hAnsi="Arial" w:cs="Arial"/>
          <w:b/>
          <w:sz w:val="20"/>
          <w:szCs w:val="20"/>
        </w:rPr>
        <w:t xml:space="preserve">Section </w:t>
      </w:r>
      <w:r>
        <w:rPr>
          <w:rFonts w:ascii="Arial" w:hAnsi="Arial" w:cs="Arial"/>
          <w:b/>
          <w:sz w:val="20"/>
          <w:szCs w:val="20"/>
        </w:rPr>
        <w:t>6</w:t>
      </w:r>
      <w:r w:rsidRPr="00487008">
        <w:rPr>
          <w:rFonts w:ascii="Arial" w:hAnsi="Arial" w:cs="Arial"/>
          <w:b/>
          <w:sz w:val="20"/>
          <w:szCs w:val="20"/>
        </w:rPr>
        <w:t xml:space="preserve"> – </w:t>
      </w:r>
      <w:r>
        <w:rPr>
          <w:rFonts w:ascii="Arial" w:hAnsi="Arial" w:cs="Arial"/>
          <w:b/>
          <w:sz w:val="20"/>
          <w:szCs w:val="20"/>
        </w:rPr>
        <w:t>Section of Telecommunications Industry</w:t>
      </w:r>
    </w:p>
    <w:p w14:paraId="7C04B10E" w14:textId="77777777" w:rsidR="00862B51" w:rsidRPr="00487008" w:rsidRDefault="00862B51" w:rsidP="00862B51">
      <w:pPr>
        <w:rPr>
          <w:rFonts w:ascii="Arial" w:hAnsi="Arial" w:cs="Arial"/>
          <w:sz w:val="20"/>
          <w:szCs w:val="20"/>
        </w:rPr>
      </w:pPr>
    </w:p>
    <w:p w14:paraId="5B095461" w14:textId="0C596E64" w:rsidR="00862B51" w:rsidRDefault="00862B51" w:rsidP="00862B51">
      <w:pPr>
        <w:rPr>
          <w:rFonts w:ascii="Arial" w:hAnsi="Arial" w:cs="Arial"/>
          <w:sz w:val="20"/>
          <w:szCs w:val="20"/>
          <w:lang w:val="en-US"/>
        </w:rPr>
      </w:pPr>
      <w:r w:rsidRPr="00487008">
        <w:rPr>
          <w:rFonts w:ascii="Arial" w:hAnsi="Arial" w:cs="Arial"/>
          <w:sz w:val="20"/>
          <w:szCs w:val="20"/>
          <w:lang w:val="en-US"/>
        </w:rPr>
        <w:t xml:space="preserve">Section </w:t>
      </w:r>
      <w:r w:rsidR="00D449C5">
        <w:rPr>
          <w:rFonts w:ascii="Arial" w:hAnsi="Arial" w:cs="Arial"/>
          <w:sz w:val="20"/>
          <w:szCs w:val="20"/>
          <w:lang w:val="en-US"/>
        </w:rPr>
        <w:t xml:space="preserve">6 </w:t>
      </w:r>
      <w:r w:rsidRPr="00487008">
        <w:rPr>
          <w:rFonts w:ascii="Arial" w:hAnsi="Arial" w:cs="Arial"/>
          <w:sz w:val="20"/>
          <w:szCs w:val="20"/>
          <w:lang w:val="en-US"/>
        </w:rPr>
        <w:t xml:space="preserve">provides </w:t>
      </w:r>
      <w:r w:rsidR="00D449C5">
        <w:rPr>
          <w:rFonts w:ascii="Arial" w:hAnsi="Arial" w:cs="Arial"/>
          <w:sz w:val="20"/>
          <w:szCs w:val="20"/>
          <w:lang w:val="en-US"/>
        </w:rPr>
        <w:t xml:space="preserve">that persons engaging in the activity defined in </w:t>
      </w:r>
      <w:r w:rsidR="002453AD">
        <w:rPr>
          <w:rFonts w:ascii="Arial" w:hAnsi="Arial" w:cs="Arial"/>
          <w:sz w:val="20"/>
          <w:szCs w:val="20"/>
          <w:lang w:val="en-US"/>
        </w:rPr>
        <w:t>s</w:t>
      </w:r>
      <w:r w:rsidR="00D449C5">
        <w:rPr>
          <w:rFonts w:ascii="Arial" w:hAnsi="Arial" w:cs="Arial"/>
          <w:sz w:val="20"/>
          <w:szCs w:val="20"/>
          <w:lang w:val="en-US"/>
        </w:rPr>
        <w:t>ection 5 are a section of the telecommunications industry to be identified as Portability Service Suppliers.</w:t>
      </w:r>
    </w:p>
    <w:p w14:paraId="0FF6F577" w14:textId="77777777" w:rsidR="00862B51" w:rsidRDefault="00862B51" w:rsidP="00862B51">
      <w:pPr>
        <w:rPr>
          <w:rFonts w:ascii="Arial" w:hAnsi="Arial" w:cs="Arial"/>
          <w:sz w:val="20"/>
          <w:szCs w:val="20"/>
          <w:lang w:val="en-US"/>
        </w:rPr>
      </w:pPr>
    </w:p>
    <w:p w14:paraId="1033A31C" w14:textId="4B9A6648" w:rsidR="00D449C5" w:rsidRPr="00D449C5" w:rsidRDefault="00862B51" w:rsidP="00D449C5">
      <w:pPr>
        <w:autoSpaceDE w:val="0"/>
        <w:autoSpaceDN w:val="0"/>
        <w:adjustRightInd w:val="0"/>
        <w:rPr>
          <w:rFonts w:ascii="Arial" w:hAnsi="Arial" w:cs="Arial"/>
          <w:sz w:val="20"/>
          <w:szCs w:val="20"/>
        </w:rPr>
      </w:pPr>
      <w:r w:rsidRPr="00487008">
        <w:rPr>
          <w:rFonts w:ascii="Arial" w:hAnsi="Arial" w:cs="Arial"/>
          <w:b/>
          <w:sz w:val="20"/>
          <w:szCs w:val="20"/>
        </w:rPr>
        <w:t xml:space="preserve">Section </w:t>
      </w:r>
      <w:r w:rsidR="00D449C5">
        <w:rPr>
          <w:rFonts w:ascii="Arial" w:hAnsi="Arial" w:cs="Arial"/>
          <w:b/>
          <w:sz w:val="20"/>
          <w:szCs w:val="20"/>
        </w:rPr>
        <w:t>7</w:t>
      </w:r>
      <w:r w:rsidRPr="00487008">
        <w:rPr>
          <w:rFonts w:ascii="Arial" w:hAnsi="Arial" w:cs="Arial"/>
          <w:b/>
          <w:sz w:val="20"/>
          <w:szCs w:val="20"/>
        </w:rPr>
        <w:t xml:space="preserve"> – </w:t>
      </w:r>
      <w:r w:rsidR="00D449C5">
        <w:rPr>
          <w:rFonts w:ascii="Arial" w:hAnsi="Arial" w:cs="Arial"/>
          <w:b/>
          <w:sz w:val="20"/>
          <w:szCs w:val="20"/>
        </w:rPr>
        <w:t xml:space="preserve">Revocation of </w:t>
      </w:r>
      <w:r w:rsidR="002453AD">
        <w:rPr>
          <w:rFonts w:ascii="Arial" w:hAnsi="Arial" w:cs="Arial"/>
          <w:b/>
          <w:sz w:val="20"/>
          <w:szCs w:val="20"/>
        </w:rPr>
        <w:t xml:space="preserve">the </w:t>
      </w:r>
      <w:r w:rsidR="00D449C5" w:rsidRPr="00D449C5">
        <w:rPr>
          <w:rFonts w:ascii="Arial" w:hAnsi="Arial" w:cs="Arial"/>
          <w:b/>
          <w:i/>
          <w:iCs/>
          <w:sz w:val="20"/>
          <w:szCs w:val="20"/>
        </w:rPr>
        <w:t>Telecommunications (Section of Telecommunications Industry) Determination 2001</w:t>
      </w:r>
    </w:p>
    <w:p w14:paraId="28052A96" w14:textId="77777777" w:rsidR="00862B51" w:rsidRPr="00487008" w:rsidRDefault="00862B51" w:rsidP="00862B51">
      <w:pPr>
        <w:rPr>
          <w:rFonts w:ascii="Arial" w:hAnsi="Arial" w:cs="Arial"/>
          <w:sz w:val="20"/>
          <w:szCs w:val="20"/>
        </w:rPr>
      </w:pPr>
    </w:p>
    <w:p w14:paraId="693F85EB" w14:textId="7D52BA75" w:rsidR="00862B51" w:rsidRPr="00D449C5" w:rsidRDefault="00862B51" w:rsidP="00D449C5">
      <w:pPr>
        <w:autoSpaceDE w:val="0"/>
        <w:autoSpaceDN w:val="0"/>
        <w:adjustRightInd w:val="0"/>
        <w:rPr>
          <w:rFonts w:ascii="Arial" w:hAnsi="Arial" w:cs="Arial"/>
          <w:sz w:val="20"/>
          <w:szCs w:val="20"/>
        </w:rPr>
      </w:pPr>
      <w:r w:rsidRPr="00487008">
        <w:rPr>
          <w:rFonts w:ascii="Arial" w:hAnsi="Arial" w:cs="Arial"/>
          <w:sz w:val="20"/>
          <w:szCs w:val="20"/>
          <w:lang w:val="en-US"/>
        </w:rPr>
        <w:t xml:space="preserve">Section </w:t>
      </w:r>
      <w:r w:rsidR="00D449C5">
        <w:rPr>
          <w:rFonts w:ascii="Arial" w:hAnsi="Arial" w:cs="Arial"/>
          <w:sz w:val="20"/>
          <w:szCs w:val="20"/>
          <w:lang w:val="en-US"/>
        </w:rPr>
        <w:t xml:space="preserve">7 revokes </w:t>
      </w:r>
      <w:r w:rsidR="002453AD">
        <w:rPr>
          <w:rFonts w:ascii="Arial" w:hAnsi="Arial" w:cs="Arial"/>
          <w:sz w:val="20"/>
          <w:szCs w:val="20"/>
          <w:lang w:val="en-US"/>
        </w:rPr>
        <w:t xml:space="preserve">the </w:t>
      </w:r>
      <w:r w:rsidR="00D449C5" w:rsidRPr="00D449C5">
        <w:rPr>
          <w:rFonts w:ascii="Arial" w:hAnsi="Arial" w:cs="Arial"/>
          <w:i/>
          <w:iCs/>
          <w:sz w:val="20"/>
          <w:szCs w:val="20"/>
        </w:rPr>
        <w:t>Telecommunications (Section of Telecommunications Industry) Determination 2001</w:t>
      </w:r>
      <w:r w:rsidR="00D449C5">
        <w:rPr>
          <w:rFonts w:ascii="Arial" w:hAnsi="Arial" w:cs="Arial"/>
          <w:sz w:val="20"/>
          <w:szCs w:val="20"/>
        </w:rPr>
        <w:t>.</w:t>
      </w:r>
    </w:p>
    <w:p w14:paraId="450188E0" w14:textId="77777777" w:rsidR="00862B51" w:rsidRDefault="00862B51" w:rsidP="00731DC7">
      <w:pPr>
        <w:rPr>
          <w:rFonts w:ascii="Arial" w:hAnsi="Arial" w:cs="Arial"/>
          <w:sz w:val="20"/>
          <w:szCs w:val="20"/>
          <w:lang w:val="en-US"/>
        </w:rPr>
      </w:pPr>
    </w:p>
    <w:p w14:paraId="72A74670" w14:textId="77777777" w:rsidR="00852DEA" w:rsidRDefault="00852DEA" w:rsidP="00731DC7">
      <w:pPr>
        <w:rPr>
          <w:rFonts w:ascii="Arial" w:hAnsi="Arial" w:cs="Arial"/>
          <w:sz w:val="20"/>
          <w:szCs w:val="20"/>
          <w:lang w:val="en-US"/>
        </w:rPr>
      </w:pPr>
    </w:p>
    <w:p w14:paraId="16462A01" w14:textId="1CC630D2" w:rsidR="00852DEA" w:rsidRDefault="00852DEA">
      <w:pPr>
        <w:rPr>
          <w:rFonts w:ascii="Arial" w:hAnsi="Arial" w:cs="Arial"/>
          <w:sz w:val="20"/>
          <w:szCs w:val="20"/>
          <w:lang w:val="en-US"/>
        </w:rPr>
      </w:pPr>
      <w:r>
        <w:rPr>
          <w:rFonts w:ascii="Arial" w:hAnsi="Arial" w:cs="Arial"/>
          <w:sz w:val="20"/>
          <w:szCs w:val="20"/>
          <w:lang w:val="en-US"/>
        </w:rPr>
        <w:br w:type="page"/>
      </w:r>
    </w:p>
    <w:p w14:paraId="53B4F24E" w14:textId="7F3A4A33" w:rsidR="00852DEA" w:rsidRDefault="00852DEA" w:rsidP="00852DEA">
      <w:pPr>
        <w:pStyle w:val="BodyText"/>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Attachment 2</w:t>
      </w:r>
    </w:p>
    <w:p w14:paraId="731CBFB6" w14:textId="77777777" w:rsidR="00852DEA" w:rsidRPr="00315FDD" w:rsidRDefault="00852DEA" w:rsidP="00852DEA">
      <w:pPr>
        <w:pStyle w:val="BodyText"/>
        <w:rPr>
          <w:rFonts w:ascii="Arial" w:hAnsi="Arial" w:cs="Arial"/>
          <w:b/>
          <w:sz w:val="20"/>
          <w:szCs w:val="20"/>
        </w:rPr>
      </w:pPr>
      <w:r w:rsidRPr="00487008">
        <w:rPr>
          <w:rFonts w:ascii="Arial" w:hAnsi="Arial" w:cs="Arial"/>
          <w:b/>
          <w:sz w:val="20"/>
          <w:szCs w:val="20"/>
        </w:rPr>
        <w:t>Statement of Compatibility with Human Rights</w:t>
      </w:r>
    </w:p>
    <w:p w14:paraId="30F3B084" w14:textId="17A7BDE7" w:rsidR="00852DEA" w:rsidRDefault="00852DEA" w:rsidP="00852DEA">
      <w:pPr>
        <w:pStyle w:val="ACMABodyText"/>
        <w:spacing w:before="0" w:after="0"/>
        <w:rPr>
          <w:rFonts w:ascii="Arial" w:hAnsi="Arial" w:cs="Arial"/>
          <w:sz w:val="20"/>
        </w:rPr>
      </w:pPr>
      <w:r>
        <w:rPr>
          <w:rFonts w:ascii="Arial" w:hAnsi="Arial" w:cs="Arial"/>
          <w:sz w:val="20"/>
        </w:rPr>
        <w:t>P</w:t>
      </w:r>
      <w:r w:rsidRPr="00487008">
        <w:rPr>
          <w:rFonts w:ascii="Arial" w:hAnsi="Arial" w:cs="Arial"/>
          <w:sz w:val="20"/>
        </w:rPr>
        <w:t xml:space="preserve">repared in accordance with Part 3 of the </w:t>
      </w:r>
      <w:r w:rsidRPr="00487008">
        <w:rPr>
          <w:rFonts w:ascii="Arial" w:hAnsi="Arial" w:cs="Arial"/>
          <w:i/>
          <w:sz w:val="20"/>
        </w:rPr>
        <w:t>Human Rights (Parliamentary Scrutiny) Act 2011</w:t>
      </w:r>
      <w:r w:rsidRPr="00487008">
        <w:rPr>
          <w:rFonts w:ascii="Arial" w:hAnsi="Arial" w:cs="Arial"/>
          <w:sz w:val="20"/>
        </w:rPr>
        <w:t>.</w:t>
      </w:r>
    </w:p>
    <w:p w14:paraId="0FC77420" w14:textId="77777777" w:rsidR="00852DEA" w:rsidRDefault="00852DEA" w:rsidP="00852DEA">
      <w:pPr>
        <w:pStyle w:val="ACMABodyText"/>
        <w:spacing w:before="0" w:after="0"/>
        <w:rPr>
          <w:rFonts w:ascii="Arial" w:hAnsi="Arial" w:cs="Arial"/>
          <w:sz w:val="20"/>
        </w:rPr>
      </w:pPr>
    </w:p>
    <w:p w14:paraId="71BE9DA1" w14:textId="77777777" w:rsidR="00852DEA" w:rsidRPr="00315FDD" w:rsidRDefault="00852DEA" w:rsidP="00852DEA">
      <w:pPr>
        <w:pStyle w:val="ACMABodyText"/>
        <w:spacing w:before="0" w:after="0"/>
        <w:rPr>
          <w:rFonts w:ascii="Arial" w:hAnsi="Arial" w:cs="Arial"/>
          <w:b/>
          <w:sz w:val="20"/>
        </w:rPr>
      </w:pPr>
      <w:r w:rsidRPr="00315FDD">
        <w:rPr>
          <w:rFonts w:ascii="Arial" w:hAnsi="Arial" w:cs="Arial"/>
          <w:b/>
          <w:sz w:val="20"/>
        </w:rPr>
        <w:t>Telecommunications (Section of the Telecommunications Industry – Portability Service Suppliers) Determination 2015</w:t>
      </w:r>
    </w:p>
    <w:p w14:paraId="38B2178F" w14:textId="77777777" w:rsidR="00852DEA" w:rsidRDefault="00852DEA" w:rsidP="00852DEA">
      <w:pPr>
        <w:pStyle w:val="ACMABodyText"/>
        <w:spacing w:before="0" w:after="0"/>
        <w:rPr>
          <w:rFonts w:ascii="Arial" w:hAnsi="Arial" w:cs="Arial"/>
          <w:sz w:val="20"/>
        </w:rPr>
      </w:pPr>
    </w:p>
    <w:p w14:paraId="233E9C59" w14:textId="73C55CCF" w:rsidR="00852DEA" w:rsidRPr="00315FDD" w:rsidRDefault="00852DEA" w:rsidP="00852DEA">
      <w:pPr>
        <w:spacing w:line="280" w:lineRule="atLeast"/>
        <w:jc w:val="both"/>
        <w:rPr>
          <w:rFonts w:ascii="Arial" w:hAnsi="Arial" w:cs="Arial"/>
          <w:sz w:val="20"/>
          <w:szCs w:val="20"/>
        </w:rPr>
      </w:pPr>
      <w:r w:rsidRPr="00315FDD">
        <w:rPr>
          <w:rFonts w:ascii="Arial" w:hAnsi="Arial" w:cs="Arial"/>
          <w:sz w:val="20"/>
          <w:szCs w:val="20"/>
        </w:rPr>
        <w:t xml:space="preserve">This </w:t>
      </w:r>
      <w:r w:rsidR="002453AD">
        <w:rPr>
          <w:rFonts w:ascii="Arial" w:hAnsi="Arial" w:cs="Arial"/>
          <w:sz w:val="20"/>
          <w:szCs w:val="20"/>
        </w:rPr>
        <w:t>l</w:t>
      </w:r>
      <w:r w:rsidRPr="00315FDD">
        <w:rPr>
          <w:rFonts w:ascii="Arial" w:hAnsi="Arial" w:cs="Arial"/>
          <w:sz w:val="20"/>
          <w:szCs w:val="20"/>
        </w:rPr>
        <w:t xml:space="preserve">egislative </w:t>
      </w:r>
      <w:r w:rsidR="002453AD">
        <w:rPr>
          <w:rFonts w:ascii="Arial" w:hAnsi="Arial" w:cs="Arial"/>
          <w:sz w:val="20"/>
          <w:szCs w:val="20"/>
        </w:rPr>
        <w:t>i</w:t>
      </w:r>
      <w:r w:rsidRPr="00315FDD">
        <w:rPr>
          <w:rFonts w:ascii="Arial" w:hAnsi="Arial" w:cs="Arial"/>
          <w:sz w:val="20"/>
          <w:szCs w:val="20"/>
        </w:rPr>
        <w:t xml:space="preserve">nstrument is compatible with the human rights and freedoms recognised or declared in the international instruments listed in section 3 of the </w:t>
      </w:r>
      <w:r w:rsidRPr="00FC7DE6">
        <w:rPr>
          <w:rFonts w:ascii="Arial" w:hAnsi="Arial" w:cs="Arial"/>
          <w:i/>
          <w:sz w:val="20"/>
          <w:szCs w:val="20"/>
        </w:rPr>
        <w:t>Human Rights (Parliamentary Scrutiny) Act 2011</w:t>
      </w:r>
      <w:r w:rsidRPr="00315FDD">
        <w:rPr>
          <w:rFonts w:ascii="Arial" w:hAnsi="Arial" w:cs="Arial"/>
          <w:sz w:val="20"/>
          <w:szCs w:val="20"/>
        </w:rPr>
        <w:t>.</w:t>
      </w:r>
    </w:p>
    <w:p w14:paraId="3400BC2D" w14:textId="77777777" w:rsidR="00852DEA" w:rsidRPr="00487008" w:rsidRDefault="00852DEA" w:rsidP="00852DEA">
      <w:pPr>
        <w:pStyle w:val="ACMABodyText"/>
        <w:spacing w:before="0" w:after="0"/>
        <w:rPr>
          <w:rFonts w:ascii="Arial" w:hAnsi="Arial" w:cs="Arial"/>
          <w:sz w:val="20"/>
        </w:rPr>
      </w:pPr>
    </w:p>
    <w:p w14:paraId="1B3FECE2" w14:textId="75867957" w:rsidR="00852DEA" w:rsidRPr="00315FDD" w:rsidRDefault="00852DEA" w:rsidP="00852DEA">
      <w:pPr>
        <w:pStyle w:val="ACMABodyText"/>
        <w:spacing w:before="0" w:after="0"/>
        <w:rPr>
          <w:rFonts w:ascii="Arial" w:hAnsi="Arial" w:cs="Arial"/>
          <w:b/>
          <w:sz w:val="20"/>
        </w:rPr>
      </w:pPr>
      <w:r w:rsidRPr="00315FDD">
        <w:rPr>
          <w:rFonts w:ascii="Arial" w:hAnsi="Arial" w:cs="Arial"/>
          <w:b/>
          <w:sz w:val="20"/>
        </w:rPr>
        <w:t xml:space="preserve">Overview of the </w:t>
      </w:r>
      <w:r w:rsidR="002453AD">
        <w:rPr>
          <w:rFonts w:ascii="Arial" w:hAnsi="Arial" w:cs="Arial"/>
          <w:b/>
          <w:sz w:val="20"/>
        </w:rPr>
        <w:t>L</w:t>
      </w:r>
      <w:r w:rsidRPr="00315FDD">
        <w:rPr>
          <w:rFonts w:ascii="Arial" w:hAnsi="Arial" w:cs="Arial"/>
          <w:b/>
          <w:sz w:val="20"/>
        </w:rPr>
        <w:t>egislative Instrument</w:t>
      </w:r>
    </w:p>
    <w:p w14:paraId="7E6F481B" w14:textId="77777777" w:rsidR="00852DEA" w:rsidRDefault="00852DEA" w:rsidP="00852DEA">
      <w:pPr>
        <w:pStyle w:val="ACMABodyText"/>
        <w:spacing w:before="0" w:after="0"/>
        <w:rPr>
          <w:rFonts w:ascii="Arial" w:hAnsi="Arial" w:cs="Arial"/>
          <w:sz w:val="20"/>
        </w:rPr>
      </w:pPr>
    </w:p>
    <w:p w14:paraId="0E2E21E2" w14:textId="77777777" w:rsidR="00852DEA" w:rsidRPr="00487008" w:rsidRDefault="00852DEA" w:rsidP="00852DEA">
      <w:pPr>
        <w:pStyle w:val="ACMABodyText"/>
        <w:spacing w:before="0" w:after="0"/>
        <w:rPr>
          <w:rFonts w:ascii="Arial" w:hAnsi="Arial" w:cs="Arial"/>
          <w:sz w:val="20"/>
        </w:rPr>
      </w:pPr>
      <w:r w:rsidRPr="00487008">
        <w:rPr>
          <w:rFonts w:ascii="Arial" w:hAnsi="Arial" w:cs="Arial"/>
          <w:sz w:val="20"/>
        </w:rPr>
        <w:t>The Determination </w:t>
      </w:r>
      <w:r>
        <w:rPr>
          <w:rFonts w:ascii="Arial" w:hAnsi="Arial" w:cs="Arial"/>
          <w:sz w:val="20"/>
        </w:rPr>
        <w:t xml:space="preserve">recognises portability service suppliers as participants in the telecommunications industry, allowing them to participate in codes processes under Part 6 of the </w:t>
      </w:r>
      <w:r>
        <w:rPr>
          <w:rFonts w:ascii="Arial" w:hAnsi="Arial" w:cs="Arial"/>
          <w:i/>
          <w:sz w:val="20"/>
        </w:rPr>
        <w:t>Telecommunications Act 1997</w:t>
      </w:r>
      <w:r w:rsidRPr="00487008">
        <w:rPr>
          <w:rFonts w:ascii="Arial" w:hAnsi="Arial" w:cs="Arial"/>
          <w:sz w:val="20"/>
        </w:rPr>
        <w:t xml:space="preserve">.  </w:t>
      </w:r>
    </w:p>
    <w:p w14:paraId="1AD68823" w14:textId="77777777" w:rsidR="00852DEA" w:rsidRPr="00487008" w:rsidRDefault="00852DEA" w:rsidP="00852DEA">
      <w:pPr>
        <w:pStyle w:val="ACMABodyText"/>
        <w:spacing w:before="0" w:after="0"/>
        <w:rPr>
          <w:rFonts w:ascii="Arial" w:hAnsi="Arial" w:cs="Arial"/>
          <w:sz w:val="20"/>
        </w:rPr>
      </w:pPr>
    </w:p>
    <w:p w14:paraId="33316090" w14:textId="77777777" w:rsidR="00852DEA" w:rsidRPr="00315FDD" w:rsidRDefault="00852DEA" w:rsidP="00852DEA">
      <w:pPr>
        <w:pStyle w:val="ACMABodyText"/>
        <w:spacing w:before="0" w:after="0"/>
        <w:rPr>
          <w:rFonts w:ascii="Arial" w:hAnsi="Arial" w:cs="Arial"/>
          <w:b/>
          <w:sz w:val="20"/>
        </w:rPr>
      </w:pPr>
      <w:r w:rsidRPr="00315FDD">
        <w:rPr>
          <w:rFonts w:ascii="Arial" w:hAnsi="Arial" w:cs="Arial"/>
          <w:b/>
          <w:sz w:val="20"/>
        </w:rPr>
        <w:t>Human rights implications</w:t>
      </w:r>
    </w:p>
    <w:p w14:paraId="0852307C" w14:textId="26205A1A" w:rsidR="00852DEA" w:rsidRPr="00315FDD" w:rsidRDefault="00852DEA" w:rsidP="00852DEA">
      <w:pPr>
        <w:pStyle w:val="ACMABodyText"/>
        <w:spacing w:before="0" w:after="0"/>
        <w:rPr>
          <w:rFonts w:ascii="Arial" w:hAnsi="Arial" w:cs="Arial"/>
          <w:sz w:val="20"/>
        </w:rPr>
      </w:pPr>
      <w:r w:rsidRPr="00315FDD">
        <w:rPr>
          <w:rFonts w:ascii="Arial" w:hAnsi="Arial" w:cs="Arial"/>
          <w:sz w:val="20"/>
        </w:rPr>
        <w:t xml:space="preserve">This </w:t>
      </w:r>
      <w:r w:rsidR="002453AD">
        <w:rPr>
          <w:rFonts w:ascii="Arial" w:hAnsi="Arial" w:cs="Arial"/>
          <w:sz w:val="20"/>
        </w:rPr>
        <w:t>l</w:t>
      </w:r>
      <w:r w:rsidRPr="00315FDD">
        <w:rPr>
          <w:rFonts w:ascii="Arial" w:hAnsi="Arial" w:cs="Arial"/>
          <w:sz w:val="20"/>
        </w:rPr>
        <w:t xml:space="preserve">egislative </w:t>
      </w:r>
      <w:r w:rsidR="002453AD">
        <w:rPr>
          <w:rFonts w:ascii="Arial" w:hAnsi="Arial" w:cs="Arial"/>
          <w:sz w:val="20"/>
        </w:rPr>
        <w:t>i</w:t>
      </w:r>
      <w:r w:rsidRPr="00315FDD">
        <w:rPr>
          <w:rFonts w:ascii="Arial" w:hAnsi="Arial" w:cs="Arial"/>
          <w:sz w:val="20"/>
        </w:rPr>
        <w:t>nstrument does not engage any of the applicable rights or freedoms.</w:t>
      </w:r>
    </w:p>
    <w:p w14:paraId="541AB30D" w14:textId="77777777" w:rsidR="00852DEA" w:rsidRDefault="00852DEA" w:rsidP="00852DEA">
      <w:pPr>
        <w:pStyle w:val="ACMABodyText"/>
        <w:spacing w:before="0" w:after="0"/>
        <w:rPr>
          <w:rFonts w:ascii="Arial" w:hAnsi="Arial" w:cs="Arial"/>
          <w:b/>
          <w:sz w:val="20"/>
        </w:rPr>
      </w:pPr>
    </w:p>
    <w:p w14:paraId="1F53E7CB" w14:textId="77777777" w:rsidR="00852DEA" w:rsidRPr="00315FDD" w:rsidRDefault="00852DEA" w:rsidP="00852DEA">
      <w:pPr>
        <w:pStyle w:val="ACMABodyText"/>
        <w:spacing w:before="0" w:after="0"/>
        <w:rPr>
          <w:rFonts w:ascii="Arial" w:hAnsi="Arial" w:cs="Arial"/>
          <w:b/>
          <w:sz w:val="20"/>
        </w:rPr>
      </w:pPr>
      <w:r w:rsidRPr="00315FDD">
        <w:rPr>
          <w:rFonts w:ascii="Arial" w:hAnsi="Arial" w:cs="Arial"/>
          <w:b/>
          <w:sz w:val="20"/>
        </w:rPr>
        <w:t>Conclusion</w:t>
      </w:r>
    </w:p>
    <w:p w14:paraId="70F02A10" w14:textId="63433BFE" w:rsidR="00852DEA" w:rsidRPr="00315FDD" w:rsidRDefault="00852DEA" w:rsidP="00852DEA">
      <w:pPr>
        <w:pStyle w:val="ACMABodyText"/>
        <w:spacing w:before="0" w:after="0"/>
        <w:rPr>
          <w:rFonts w:ascii="Arial" w:hAnsi="Arial" w:cs="Arial"/>
          <w:sz w:val="20"/>
        </w:rPr>
      </w:pPr>
      <w:r w:rsidRPr="00315FDD">
        <w:rPr>
          <w:rFonts w:ascii="Arial" w:hAnsi="Arial" w:cs="Arial"/>
          <w:sz w:val="20"/>
        </w:rPr>
        <w:t xml:space="preserve">This </w:t>
      </w:r>
      <w:r w:rsidR="002453AD">
        <w:rPr>
          <w:rFonts w:ascii="Arial" w:hAnsi="Arial" w:cs="Arial"/>
          <w:sz w:val="20"/>
        </w:rPr>
        <w:t>l</w:t>
      </w:r>
      <w:r w:rsidRPr="00315FDD">
        <w:rPr>
          <w:rFonts w:ascii="Arial" w:hAnsi="Arial" w:cs="Arial"/>
          <w:sz w:val="20"/>
        </w:rPr>
        <w:t xml:space="preserve">egislative </w:t>
      </w:r>
      <w:r w:rsidR="002453AD">
        <w:rPr>
          <w:rFonts w:ascii="Arial" w:hAnsi="Arial" w:cs="Arial"/>
          <w:sz w:val="20"/>
        </w:rPr>
        <w:t>i</w:t>
      </w:r>
      <w:r w:rsidRPr="00315FDD">
        <w:rPr>
          <w:rFonts w:ascii="Arial" w:hAnsi="Arial" w:cs="Arial"/>
          <w:sz w:val="20"/>
        </w:rPr>
        <w:t>nstrument is compatible with human rights as it does not raise any human rights issues.</w:t>
      </w:r>
    </w:p>
    <w:p w14:paraId="7A4BB490" w14:textId="77777777" w:rsidR="00852DEA" w:rsidRDefault="00852DEA" w:rsidP="00731DC7">
      <w:pPr>
        <w:rPr>
          <w:rFonts w:ascii="Arial" w:hAnsi="Arial" w:cs="Arial"/>
          <w:sz w:val="20"/>
          <w:szCs w:val="20"/>
          <w:lang w:val="en-US"/>
        </w:rPr>
      </w:pPr>
    </w:p>
    <w:p w14:paraId="66ECC08E" w14:textId="77777777" w:rsidR="00E73E6C" w:rsidRDefault="00E73E6C" w:rsidP="00731DC7">
      <w:pPr>
        <w:rPr>
          <w:rFonts w:ascii="Arial" w:hAnsi="Arial" w:cs="Arial"/>
          <w:sz w:val="20"/>
          <w:szCs w:val="20"/>
          <w:lang w:val="en-US"/>
        </w:rPr>
      </w:pPr>
    </w:p>
    <w:p w14:paraId="23A3F6DB" w14:textId="77777777" w:rsidR="00731DC7" w:rsidRPr="00487008" w:rsidRDefault="00731DC7" w:rsidP="00487008">
      <w:pPr>
        <w:jc w:val="right"/>
        <w:rPr>
          <w:rFonts w:ascii="Arial" w:hAnsi="Arial" w:cs="Arial"/>
          <w:sz w:val="20"/>
          <w:szCs w:val="20"/>
        </w:rPr>
      </w:pPr>
    </w:p>
    <w:sectPr w:rsidR="00731DC7" w:rsidRPr="00487008" w:rsidSect="00603D9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C0089" w14:textId="77777777" w:rsidR="00241C94" w:rsidRDefault="00241C94">
      <w:r>
        <w:separator/>
      </w:r>
    </w:p>
  </w:endnote>
  <w:endnote w:type="continuationSeparator" w:id="0">
    <w:p w14:paraId="01F510EB" w14:textId="77777777" w:rsidR="00241C94" w:rsidRDefault="0024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022B" w14:textId="77777777" w:rsidR="00D639E4" w:rsidRDefault="00D639E4" w:rsidP="00BC1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90683" w14:textId="77777777" w:rsidR="00D639E4" w:rsidRDefault="00D639E4" w:rsidP="00C80F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BEFF" w14:textId="77777777" w:rsidR="00D639E4" w:rsidRDefault="00D639E4" w:rsidP="00BC1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9B1">
      <w:rPr>
        <w:rStyle w:val="PageNumber"/>
        <w:noProof/>
      </w:rPr>
      <w:t>3</w:t>
    </w:r>
    <w:r>
      <w:rPr>
        <w:rStyle w:val="PageNumber"/>
      </w:rPr>
      <w:fldChar w:fldCharType="end"/>
    </w:r>
  </w:p>
  <w:p w14:paraId="33ECE9BF" w14:textId="77777777" w:rsidR="00D639E4" w:rsidRDefault="00D639E4" w:rsidP="00C80F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A9E7" w14:textId="77777777" w:rsidR="00241C94" w:rsidRDefault="00241C94">
      <w:r>
        <w:separator/>
      </w:r>
    </w:p>
  </w:footnote>
  <w:footnote w:type="continuationSeparator" w:id="0">
    <w:p w14:paraId="5AACF44D" w14:textId="77777777" w:rsidR="00241C94" w:rsidRDefault="00241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90661C8"/>
    <w:multiLevelType w:val="hybridMultilevel"/>
    <w:tmpl w:val="EAFC49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92B5AA0"/>
    <w:multiLevelType w:val="hybridMultilevel"/>
    <w:tmpl w:val="E8688F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2EF1908"/>
    <w:multiLevelType w:val="hybridMultilevel"/>
    <w:tmpl w:val="D54C724C"/>
    <w:lvl w:ilvl="0" w:tplc="604CD0CE">
      <w:start w:val="1"/>
      <w:numFmt w:val="bullet"/>
      <w:lvlText w:val=""/>
      <w:lvlJc w:val="left"/>
      <w:pPr>
        <w:ind w:left="3573" w:hanging="360"/>
      </w:pPr>
      <w:rPr>
        <w:rFonts w:ascii="Symbol" w:hAnsi="Symbol" w:hint="default"/>
      </w:rPr>
    </w:lvl>
    <w:lvl w:ilvl="1" w:tplc="0C090003" w:tentative="1">
      <w:start w:val="1"/>
      <w:numFmt w:val="bullet"/>
      <w:lvlText w:val="o"/>
      <w:lvlJc w:val="left"/>
      <w:pPr>
        <w:ind w:left="4293" w:hanging="360"/>
      </w:pPr>
      <w:rPr>
        <w:rFonts w:ascii="Courier New" w:hAnsi="Courier New" w:cs="Courier New" w:hint="default"/>
      </w:rPr>
    </w:lvl>
    <w:lvl w:ilvl="2" w:tplc="0C090005" w:tentative="1">
      <w:start w:val="1"/>
      <w:numFmt w:val="bullet"/>
      <w:lvlText w:val=""/>
      <w:lvlJc w:val="left"/>
      <w:pPr>
        <w:ind w:left="5013" w:hanging="360"/>
      </w:pPr>
      <w:rPr>
        <w:rFonts w:ascii="Wingdings" w:hAnsi="Wingdings" w:hint="default"/>
      </w:rPr>
    </w:lvl>
    <w:lvl w:ilvl="3" w:tplc="0C090001" w:tentative="1">
      <w:start w:val="1"/>
      <w:numFmt w:val="bullet"/>
      <w:lvlText w:val=""/>
      <w:lvlJc w:val="left"/>
      <w:pPr>
        <w:ind w:left="5733" w:hanging="360"/>
      </w:pPr>
      <w:rPr>
        <w:rFonts w:ascii="Symbol" w:hAnsi="Symbol" w:hint="default"/>
      </w:rPr>
    </w:lvl>
    <w:lvl w:ilvl="4" w:tplc="0C090003" w:tentative="1">
      <w:start w:val="1"/>
      <w:numFmt w:val="bullet"/>
      <w:lvlText w:val="o"/>
      <w:lvlJc w:val="left"/>
      <w:pPr>
        <w:ind w:left="6453" w:hanging="360"/>
      </w:pPr>
      <w:rPr>
        <w:rFonts w:ascii="Courier New" w:hAnsi="Courier New" w:cs="Courier New" w:hint="default"/>
      </w:rPr>
    </w:lvl>
    <w:lvl w:ilvl="5" w:tplc="0C090005" w:tentative="1">
      <w:start w:val="1"/>
      <w:numFmt w:val="bullet"/>
      <w:lvlText w:val=""/>
      <w:lvlJc w:val="left"/>
      <w:pPr>
        <w:ind w:left="7173" w:hanging="360"/>
      </w:pPr>
      <w:rPr>
        <w:rFonts w:ascii="Wingdings" w:hAnsi="Wingdings" w:hint="default"/>
      </w:rPr>
    </w:lvl>
    <w:lvl w:ilvl="6" w:tplc="0C090001" w:tentative="1">
      <w:start w:val="1"/>
      <w:numFmt w:val="bullet"/>
      <w:lvlText w:val=""/>
      <w:lvlJc w:val="left"/>
      <w:pPr>
        <w:ind w:left="7893" w:hanging="360"/>
      </w:pPr>
      <w:rPr>
        <w:rFonts w:ascii="Symbol" w:hAnsi="Symbol" w:hint="default"/>
      </w:rPr>
    </w:lvl>
    <w:lvl w:ilvl="7" w:tplc="0C090003" w:tentative="1">
      <w:start w:val="1"/>
      <w:numFmt w:val="bullet"/>
      <w:lvlText w:val="o"/>
      <w:lvlJc w:val="left"/>
      <w:pPr>
        <w:ind w:left="8613" w:hanging="360"/>
      </w:pPr>
      <w:rPr>
        <w:rFonts w:ascii="Courier New" w:hAnsi="Courier New" w:cs="Courier New" w:hint="default"/>
      </w:rPr>
    </w:lvl>
    <w:lvl w:ilvl="8" w:tplc="0C090005" w:tentative="1">
      <w:start w:val="1"/>
      <w:numFmt w:val="bullet"/>
      <w:lvlText w:val=""/>
      <w:lvlJc w:val="left"/>
      <w:pPr>
        <w:ind w:left="9333" w:hanging="360"/>
      </w:pPr>
      <w:rPr>
        <w:rFonts w:ascii="Wingdings" w:hAnsi="Wingdings" w:hint="default"/>
      </w:rPr>
    </w:lvl>
  </w:abstractNum>
  <w:abstractNum w:abstractNumId="3">
    <w:nsid w:val="14193C3D"/>
    <w:multiLevelType w:val="hybridMultilevel"/>
    <w:tmpl w:val="7A58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A37EED"/>
    <w:multiLevelType w:val="hybridMultilevel"/>
    <w:tmpl w:val="4E4AF0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30E02C4F"/>
    <w:multiLevelType w:val="hybridMultilevel"/>
    <w:tmpl w:val="1C6A4EA0"/>
    <w:lvl w:ilvl="0" w:tplc="0C090017">
      <w:start w:val="1"/>
      <w:numFmt w:val="lowerLetter"/>
      <w:lvlText w:val="%1)"/>
      <w:lvlJc w:val="left"/>
      <w:pPr>
        <w:tabs>
          <w:tab w:val="num" w:pos="3252"/>
        </w:tabs>
        <w:ind w:left="3252" w:hanging="360"/>
      </w:pPr>
      <w:rPr>
        <w:rFonts w:hint="default"/>
      </w:rPr>
    </w:lvl>
    <w:lvl w:ilvl="1" w:tplc="EA64821C">
      <w:start w:val="1"/>
      <w:numFmt w:val="bullet"/>
      <w:lvlText w:val=""/>
      <w:lvlJc w:val="left"/>
      <w:pPr>
        <w:tabs>
          <w:tab w:val="num" w:pos="3972"/>
        </w:tabs>
        <w:ind w:left="3972" w:hanging="360"/>
      </w:pPr>
      <w:rPr>
        <w:rFonts w:ascii="Symbol" w:hAnsi="Symbol" w:cs="Symbol" w:hint="default"/>
        <w:color w:val="auto"/>
        <w:sz w:val="22"/>
        <w:szCs w:val="22"/>
      </w:rPr>
    </w:lvl>
    <w:lvl w:ilvl="2" w:tplc="0409001B">
      <w:start w:val="1"/>
      <w:numFmt w:val="lowerRoman"/>
      <w:lvlText w:val="%3."/>
      <w:lvlJc w:val="right"/>
      <w:pPr>
        <w:tabs>
          <w:tab w:val="num" w:pos="4692"/>
        </w:tabs>
        <w:ind w:left="4692" w:hanging="180"/>
      </w:pPr>
    </w:lvl>
    <w:lvl w:ilvl="3" w:tplc="0409000F">
      <w:start w:val="1"/>
      <w:numFmt w:val="decimal"/>
      <w:lvlText w:val="%4."/>
      <w:lvlJc w:val="left"/>
      <w:pPr>
        <w:tabs>
          <w:tab w:val="num" w:pos="5412"/>
        </w:tabs>
        <w:ind w:left="5412" w:hanging="360"/>
      </w:pPr>
    </w:lvl>
    <w:lvl w:ilvl="4" w:tplc="04090019">
      <w:start w:val="1"/>
      <w:numFmt w:val="lowerLetter"/>
      <w:lvlText w:val="%5."/>
      <w:lvlJc w:val="left"/>
      <w:pPr>
        <w:tabs>
          <w:tab w:val="num" w:pos="6132"/>
        </w:tabs>
        <w:ind w:left="6132" w:hanging="360"/>
      </w:pPr>
    </w:lvl>
    <w:lvl w:ilvl="5" w:tplc="0409001B">
      <w:start w:val="1"/>
      <w:numFmt w:val="lowerRoman"/>
      <w:lvlText w:val="%6."/>
      <w:lvlJc w:val="right"/>
      <w:pPr>
        <w:tabs>
          <w:tab w:val="num" w:pos="6852"/>
        </w:tabs>
        <w:ind w:left="6852" w:hanging="180"/>
      </w:pPr>
    </w:lvl>
    <w:lvl w:ilvl="6" w:tplc="0409000F">
      <w:start w:val="1"/>
      <w:numFmt w:val="decimal"/>
      <w:lvlText w:val="%7."/>
      <w:lvlJc w:val="left"/>
      <w:pPr>
        <w:tabs>
          <w:tab w:val="num" w:pos="7572"/>
        </w:tabs>
        <w:ind w:left="7572" w:hanging="360"/>
      </w:pPr>
    </w:lvl>
    <w:lvl w:ilvl="7" w:tplc="04090019">
      <w:start w:val="1"/>
      <w:numFmt w:val="lowerLetter"/>
      <w:lvlText w:val="%8."/>
      <w:lvlJc w:val="left"/>
      <w:pPr>
        <w:tabs>
          <w:tab w:val="num" w:pos="8292"/>
        </w:tabs>
        <w:ind w:left="8292" w:hanging="360"/>
      </w:pPr>
    </w:lvl>
    <w:lvl w:ilvl="8" w:tplc="0409001B">
      <w:start w:val="1"/>
      <w:numFmt w:val="lowerRoman"/>
      <w:lvlText w:val="%9."/>
      <w:lvlJc w:val="right"/>
      <w:pPr>
        <w:tabs>
          <w:tab w:val="num" w:pos="9012"/>
        </w:tabs>
        <w:ind w:left="9012" w:hanging="180"/>
      </w:pPr>
    </w:lvl>
  </w:abstractNum>
  <w:abstractNum w:abstractNumId="6">
    <w:nsid w:val="3A0B7ECF"/>
    <w:multiLevelType w:val="hybridMultilevel"/>
    <w:tmpl w:val="D3B8F8D6"/>
    <w:lvl w:ilvl="0" w:tplc="08447B60">
      <w:start w:val="1"/>
      <w:numFmt w:val="lowerLetter"/>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477C172E"/>
    <w:multiLevelType w:val="hybridMultilevel"/>
    <w:tmpl w:val="EA0EC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9121235"/>
    <w:multiLevelType w:val="hybridMultilevel"/>
    <w:tmpl w:val="60DEB932"/>
    <w:lvl w:ilvl="0" w:tplc="0C090001">
      <w:start w:val="1"/>
      <w:numFmt w:val="bullet"/>
      <w:lvlText w:val=""/>
      <w:lvlJc w:val="left"/>
      <w:pPr>
        <w:tabs>
          <w:tab w:val="num" w:pos="1800"/>
        </w:tabs>
        <w:ind w:left="1800" w:hanging="360"/>
      </w:pPr>
      <w:rPr>
        <w:rFonts w:ascii="Symbol" w:hAnsi="Symbol" w:hint="default"/>
      </w:rPr>
    </w:lvl>
    <w:lvl w:ilvl="1" w:tplc="EA64821C">
      <w:start w:val="1"/>
      <w:numFmt w:val="bullet"/>
      <w:lvlText w:val=""/>
      <w:lvlJc w:val="left"/>
      <w:pPr>
        <w:tabs>
          <w:tab w:val="num" w:pos="2520"/>
        </w:tabs>
        <w:ind w:left="2520" w:hanging="360"/>
      </w:pPr>
      <w:rPr>
        <w:rFonts w:ascii="Symbol" w:hAnsi="Symbol" w:cs="Symbol" w:hint="default"/>
        <w:color w:val="auto"/>
        <w:sz w:val="22"/>
        <w:szCs w:val="22"/>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6C11227E"/>
    <w:multiLevelType w:val="hybridMultilevel"/>
    <w:tmpl w:val="4CF491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1D2450C"/>
    <w:multiLevelType w:val="hybridMultilevel"/>
    <w:tmpl w:val="350ECEFE"/>
    <w:lvl w:ilvl="0" w:tplc="D7186CD2">
      <w:start w:val="1"/>
      <w:numFmt w:val="lowerRoman"/>
      <w:lvlText w:val="(%1)"/>
      <w:lvlJc w:val="left"/>
      <w:pPr>
        <w:ind w:left="1684" w:hanging="72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1">
    <w:nsid w:val="71D715D8"/>
    <w:multiLevelType w:val="hybridMultilevel"/>
    <w:tmpl w:val="E21CE7A6"/>
    <w:lvl w:ilvl="0" w:tplc="53CACB0E">
      <w:start w:val="1"/>
      <w:numFmt w:val="decimal"/>
      <w:lvlText w:val="%1."/>
      <w:lvlJc w:val="left"/>
      <w:pPr>
        <w:ind w:left="1353" w:hanging="360"/>
      </w:pPr>
      <w:rPr>
        <w:b w:val="0"/>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7F8037BB"/>
    <w:multiLevelType w:val="hybridMultilevel"/>
    <w:tmpl w:val="FDDEEE7E"/>
    <w:lvl w:ilvl="0" w:tplc="481AA3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3"/>
  </w:num>
  <w:num w:numId="9">
    <w:abstractNumId w:val="1"/>
  </w:num>
  <w:num w:numId="10">
    <w:abstractNumId w:val="8"/>
  </w:num>
  <w:num w:numId="11">
    <w:abstractNumId w:val="11"/>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C7"/>
    <w:rsid w:val="0002033E"/>
    <w:rsid w:val="00027F49"/>
    <w:rsid w:val="00065182"/>
    <w:rsid w:val="00082E3D"/>
    <w:rsid w:val="00096504"/>
    <w:rsid w:val="000A0F73"/>
    <w:rsid w:val="000A5577"/>
    <w:rsid w:val="000A6764"/>
    <w:rsid w:val="000B6847"/>
    <w:rsid w:val="000B7F58"/>
    <w:rsid w:val="000C2745"/>
    <w:rsid w:val="000D2050"/>
    <w:rsid w:val="000D2A13"/>
    <w:rsid w:val="000D49FF"/>
    <w:rsid w:val="000E6329"/>
    <w:rsid w:val="000F58B0"/>
    <w:rsid w:val="00135B57"/>
    <w:rsid w:val="00150471"/>
    <w:rsid w:val="0015538D"/>
    <w:rsid w:val="00174DDA"/>
    <w:rsid w:val="00175404"/>
    <w:rsid w:val="00183989"/>
    <w:rsid w:val="00183AE4"/>
    <w:rsid w:val="0018491D"/>
    <w:rsid w:val="0018661A"/>
    <w:rsid w:val="0019757C"/>
    <w:rsid w:val="001B2351"/>
    <w:rsid w:val="001B27D8"/>
    <w:rsid w:val="001C0E4E"/>
    <w:rsid w:val="001C1B46"/>
    <w:rsid w:val="001D1545"/>
    <w:rsid w:val="001D18DD"/>
    <w:rsid w:val="001D7632"/>
    <w:rsid w:val="001E516C"/>
    <w:rsid w:val="001F3110"/>
    <w:rsid w:val="001F6254"/>
    <w:rsid w:val="001F6BEE"/>
    <w:rsid w:val="001F73C2"/>
    <w:rsid w:val="00213608"/>
    <w:rsid w:val="0021648D"/>
    <w:rsid w:val="0022194F"/>
    <w:rsid w:val="00231F4C"/>
    <w:rsid w:val="00237BA0"/>
    <w:rsid w:val="00241C94"/>
    <w:rsid w:val="002453AD"/>
    <w:rsid w:val="0024662D"/>
    <w:rsid w:val="00256B11"/>
    <w:rsid w:val="00256DB4"/>
    <w:rsid w:val="00262A04"/>
    <w:rsid w:val="00262AB7"/>
    <w:rsid w:val="00272BF2"/>
    <w:rsid w:val="00285E12"/>
    <w:rsid w:val="002940E8"/>
    <w:rsid w:val="00295C06"/>
    <w:rsid w:val="002A21DD"/>
    <w:rsid w:val="002A5749"/>
    <w:rsid w:val="002B53A0"/>
    <w:rsid w:val="002C45D2"/>
    <w:rsid w:val="002C59F2"/>
    <w:rsid w:val="002E5D43"/>
    <w:rsid w:val="002E71A6"/>
    <w:rsid w:val="00313321"/>
    <w:rsid w:val="003143B2"/>
    <w:rsid w:val="00315FDD"/>
    <w:rsid w:val="0032491B"/>
    <w:rsid w:val="00327CF4"/>
    <w:rsid w:val="00335F52"/>
    <w:rsid w:val="00342595"/>
    <w:rsid w:val="0034670C"/>
    <w:rsid w:val="00347367"/>
    <w:rsid w:val="0036140B"/>
    <w:rsid w:val="003848CD"/>
    <w:rsid w:val="003872CB"/>
    <w:rsid w:val="003909C9"/>
    <w:rsid w:val="00391528"/>
    <w:rsid w:val="0039618A"/>
    <w:rsid w:val="003979F5"/>
    <w:rsid w:val="003A0633"/>
    <w:rsid w:val="003A1382"/>
    <w:rsid w:val="003A4234"/>
    <w:rsid w:val="003D08D8"/>
    <w:rsid w:val="003D1EF7"/>
    <w:rsid w:val="003E0EE4"/>
    <w:rsid w:val="003E2585"/>
    <w:rsid w:val="003E55C0"/>
    <w:rsid w:val="003F0D05"/>
    <w:rsid w:val="00405C3D"/>
    <w:rsid w:val="00411066"/>
    <w:rsid w:val="00425ABF"/>
    <w:rsid w:val="00427649"/>
    <w:rsid w:val="00435365"/>
    <w:rsid w:val="00442160"/>
    <w:rsid w:val="00445F7C"/>
    <w:rsid w:val="00447491"/>
    <w:rsid w:val="00452952"/>
    <w:rsid w:val="0045636B"/>
    <w:rsid w:val="004620E8"/>
    <w:rsid w:val="00464945"/>
    <w:rsid w:val="00471901"/>
    <w:rsid w:val="00481DC7"/>
    <w:rsid w:val="00487008"/>
    <w:rsid w:val="00493430"/>
    <w:rsid w:val="004A1E63"/>
    <w:rsid w:val="004B4566"/>
    <w:rsid w:val="004B63BC"/>
    <w:rsid w:val="004B7370"/>
    <w:rsid w:val="004C0473"/>
    <w:rsid w:val="004D370C"/>
    <w:rsid w:val="004D42AE"/>
    <w:rsid w:val="004D74E2"/>
    <w:rsid w:val="004E238C"/>
    <w:rsid w:val="004F1265"/>
    <w:rsid w:val="005118BE"/>
    <w:rsid w:val="00515755"/>
    <w:rsid w:val="00526207"/>
    <w:rsid w:val="00535915"/>
    <w:rsid w:val="00535F7A"/>
    <w:rsid w:val="0054528C"/>
    <w:rsid w:val="00554311"/>
    <w:rsid w:val="00554785"/>
    <w:rsid w:val="00566F64"/>
    <w:rsid w:val="0057700C"/>
    <w:rsid w:val="00577603"/>
    <w:rsid w:val="005800D8"/>
    <w:rsid w:val="005947FA"/>
    <w:rsid w:val="005973E1"/>
    <w:rsid w:val="005A2D54"/>
    <w:rsid w:val="005A4519"/>
    <w:rsid w:val="005A6770"/>
    <w:rsid w:val="005B53B0"/>
    <w:rsid w:val="005C151C"/>
    <w:rsid w:val="005D0C73"/>
    <w:rsid w:val="005D0F4D"/>
    <w:rsid w:val="005D49EA"/>
    <w:rsid w:val="005E0CD3"/>
    <w:rsid w:val="005E2645"/>
    <w:rsid w:val="005E53AD"/>
    <w:rsid w:val="005F1B5C"/>
    <w:rsid w:val="00603D91"/>
    <w:rsid w:val="00607F92"/>
    <w:rsid w:val="0062316D"/>
    <w:rsid w:val="0062367A"/>
    <w:rsid w:val="00624943"/>
    <w:rsid w:val="00641154"/>
    <w:rsid w:val="00651E04"/>
    <w:rsid w:val="00655F6E"/>
    <w:rsid w:val="006603E8"/>
    <w:rsid w:val="00660A1A"/>
    <w:rsid w:val="00662E9A"/>
    <w:rsid w:val="00687E77"/>
    <w:rsid w:val="0069585B"/>
    <w:rsid w:val="006A4BB0"/>
    <w:rsid w:val="006B4FB6"/>
    <w:rsid w:val="006B5E01"/>
    <w:rsid w:val="006B62B0"/>
    <w:rsid w:val="006C0307"/>
    <w:rsid w:val="006D6C55"/>
    <w:rsid w:val="006E09B1"/>
    <w:rsid w:val="006E7822"/>
    <w:rsid w:val="006F10F6"/>
    <w:rsid w:val="006F78F2"/>
    <w:rsid w:val="007030FA"/>
    <w:rsid w:val="0070430F"/>
    <w:rsid w:val="00707362"/>
    <w:rsid w:val="00716CD4"/>
    <w:rsid w:val="00720E5F"/>
    <w:rsid w:val="00721422"/>
    <w:rsid w:val="00723846"/>
    <w:rsid w:val="00731DC7"/>
    <w:rsid w:val="00734777"/>
    <w:rsid w:val="00754269"/>
    <w:rsid w:val="0075573E"/>
    <w:rsid w:val="007561C0"/>
    <w:rsid w:val="00772891"/>
    <w:rsid w:val="0077714D"/>
    <w:rsid w:val="007822F9"/>
    <w:rsid w:val="007834BC"/>
    <w:rsid w:val="00783E3E"/>
    <w:rsid w:val="007905D2"/>
    <w:rsid w:val="0079089A"/>
    <w:rsid w:val="00790B30"/>
    <w:rsid w:val="007A3A70"/>
    <w:rsid w:val="007A6658"/>
    <w:rsid w:val="007B3492"/>
    <w:rsid w:val="007E19DB"/>
    <w:rsid w:val="00804264"/>
    <w:rsid w:val="0081267E"/>
    <w:rsid w:val="00852DEA"/>
    <w:rsid w:val="00862B51"/>
    <w:rsid w:val="00866FBB"/>
    <w:rsid w:val="00870922"/>
    <w:rsid w:val="0087604A"/>
    <w:rsid w:val="00887F77"/>
    <w:rsid w:val="0089487C"/>
    <w:rsid w:val="008A045F"/>
    <w:rsid w:val="008A63AD"/>
    <w:rsid w:val="008B05F0"/>
    <w:rsid w:val="008B41C5"/>
    <w:rsid w:val="008B6CA6"/>
    <w:rsid w:val="008D1425"/>
    <w:rsid w:val="008D48B4"/>
    <w:rsid w:val="008D7312"/>
    <w:rsid w:val="008E0064"/>
    <w:rsid w:val="008F18C7"/>
    <w:rsid w:val="008F73B4"/>
    <w:rsid w:val="0090187D"/>
    <w:rsid w:val="009077A1"/>
    <w:rsid w:val="009154F6"/>
    <w:rsid w:val="009350CF"/>
    <w:rsid w:val="00936408"/>
    <w:rsid w:val="00937757"/>
    <w:rsid w:val="00946709"/>
    <w:rsid w:val="00950FF6"/>
    <w:rsid w:val="009515AF"/>
    <w:rsid w:val="009533FF"/>
    <w:rsid w:val="00955C03"/>
    <w:rsid w:val="009643C4"/>
    <w:rsid w:val="0096484F"/>
    <w:rsid w:val="00964DE2"/>
    <w:rsid w:val="00967640"/>
    <w:rsid w:val="0097408E"/>
    <w:rsid w:val="00984FE3"/>
    <w:rsid w:val="00985FF2"/>
    <w:rsid w:val="00986CA0"/>
    <w:rsid w:val="009915E5"/>
    <w:rsid w:val="00991F57"/>
    <w:rsid w:val="00997745"/>
    <w:rsid w:val="009B3401"/>
    <w:rsid w:val="009C70F2"/>
    <w:rsid w:val="009C74AC"/>
    <w:rsid w:val="009D1091"/>
    <w:rsid w:val="009D2265"/>
    <w:rsid w:val="009E3C0C"/>
    <w:rsid w:val="00A14664"/>
    <w:rsid w:val="00A1530D"/>
    <w:rsid w:val="00A228E6"/>
    <w:rsid w:val="00A303F6"/>
    <w:rsid w:val="00A420E5"/>
    <w:rsid w:val="00A45AF2"/>
    <w:rsid w:val="00A613A0"/>
    <w:rsid w:val="00A63713"/>
    <w:rsid w:val="00A91242"/>
    <w:rsid w:val="00A91481"/>
    <w:rsid w:val="00A94F01"/>
    <w:rsid w:val="00A95B8A"/>
    <w:rsid w:val="00A9768E"/>
    <w:rsid w:val="00AA2355"/>
    <w:rsid w:val="00AA57F0"/>
    <w:rsid w:val="00AE053A"/>
    <w:rsid w:val="00AE2673"/>
    <w:rsid w:val="00AE3EBC"/>
    <w:rsid w:val="00AF2A1E"/>
    <w:rsid w:val="00B038DB"/>
    <w:rsid w:val="00B128D2"/>
    <w:rsid w:val="00B328F3"/>
    <w:rsid w:val="00B40276"/>
    <w:rsid w:val="00B40331"/>
    <w:rsid w:val="00B41453"/>
    <w:rsid w:val="00B6019A"/>
    <w:rsid w:val="00B63888"/>
    <w:rsid w:val="00B64C4B"/>
    <w:rsid w:val="00B74B2B"/>
    <w:rsid w:val="00B860B5"/>
    <w:rsid w:val="00B92B29"/>
    <w:rsid w:val="00B93A86"/>
    <w:rsid w:val="00BA2DED"/>
    <w:rsid w:val="00BA50C5"/>
    <w:rsid w:val="00BA6034"/>
    <w:rsid w:val="00BB217F"/>
    <w:rsid w:val="00BC1DD0"/>
    <w:rsid w:val="00BC52AA"/>
    <w:rsid w:val="00BE6210"/>
    <w:rsid w:val="00C03DE2"/>
    <w:rsid w:val="00C10E58"/>
    <w:rsid w:val="00C31089"/>
    <w:rsid w:val="00C423D9"/>
    <w:rsid w:val="00C46458"/>
    <w:rsid w:val="00C52070"/>
    <w:rsid w:val="00C55C35"/>
    <w:rsid w:val="00C57FC4"/>
    <w:rsid w:val="00C612B6"/>
    <w:rsid w:val="00C80FB4"/>
    <w:rsid w:val="00C87366"/>
    <w:rsid w:val="00C92768"/>
    <w:rsid w:val="00C95949"/>
    <w:rsid w:val="00CA6C31"/>
    <w:rsid w:val="00CC5EE4"/>
    <w:rsid w:val="00CD01AD"/>
    <w:rsid w:val="00CF2B6D"/>
    <w:rsid w:val="00CF6536"/>
    <w:rsid w:val="00D05CAD"/>
    <w:rsid w:val="00D17E2C"/>
    <w:rsid w:val="00D2232D"/>
    <w:rsid w:val="00D35684"/>
    <w:rsid w:val="00D37CC5"/>
    <w:rsid w:val="00D449C5"/>
    <w:rsid w:val="00D5552A"/>
    <w:rsid w:val="00D62A46"/>
    <w:rsid w:val="00D639E4"/>
    <w:rsid w:val="00DA2FFD"/>
    <w:rsid w:val="00DA3342"/>
    <w:rsid w:val="00DB1D7F"/>
    <w:rsid w:val="00DC2F2C"/>
    <w:rsid w:val="00DD2EBA"/>
    <w:rsid w:val="00DF0F38"/>
    <w:rsid w:val="00DF1A10"/>
    <w:rsid w:val="00DF3723"/>
    <w:rsid w:val="00DF5880"/>
    <w:rsid w:val="00E02549"/>
    <w:rsid w:val="00E73E6C"/>
    <w:rsid w:val="00E92937"/>
    <w:rsid w:val="00E951D3"/>
    <w:rsid w:val="00E97E52"/>
    <w:rsid w:val="00EA01EA"/>
    <w:rsid w:val="00EB2751"/>
    <w:rsid w:val="00EE25FD"/>
    <w:rsid w:val="00EF3250"/>
    <w:rsid w:val="00EF5570"/>
    <w:rsid w:val="00F00339"/>
    <w:rsid w:val="00F07BB1"/>
    <w:rsid w:val="00F17A57"/>
    <w:rsid w:val="00F2337A"/>
    <w:rsid w:val="00F270CF"/>
    <w:rsid w:val="00F34E3E"/>
    <w:rsid w:val="00F36A82"/>
    <w:rsid w:val="00F375E4"/>
    <w:rsid w:val="00F561A1"/>
    <w:rsid w:val="00F6103B"/>
    <w:rsid w:val="00F64177"/>
    <w:rsid w:val="00F66821"/>
    <w:rsid w:val="00F74FFC"/>
    <w:rsid w:val="00F755A4"/>
    <w:rsid w:val="00FA4E28"/>
    <w:rsid w:val="00FA7830"/>
    <w:rsid w:val="00FB4DBF"/>
    <w:rsid w:val="00FC7DE6"/>
    <w:rsid w:val="00FD5F32"/>
    <w:rsid w:val="00FE1FD3"/>
    <w:rsid w:val="00FF422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187F02"/>
  <w15:docId w15:val="{01A2309F-D0B1-4D60-9B27-8DFCD359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3430"/>
    <w:rPr>
      <w:rFonts w:ascii="Tahoma" w:hAnsi="Tahoma" w:cs="Tahoma"/>
      <w:sz w:val="16"/>
      <w:szCs w:val="16"/>
    </w:rPr>
  </w:style>
  <w:style w:type="paragraph" w:customStyle="1" w:styleId="indenta">
    <w:name w:val="indent(a)"/>
    <w:aliases w:val="a"/>
    <w:basedOn w:val="Normal"/>
    <w:rsid w:val="00A95B8A"/>
    <w:pPr>
      <w:tabs>
        <w:tab w:val="right" w:pos="1531"/>
      </w:tabs>
      <w:spacing w:before="40" w:line="260" w:lineRule="atLeast"/>
      <w:ind w:left="1644" w:hanging="1644"/>
    </w:pPr>
    <w:rPr>
      <w:rFonts w:ascii="Times" w:hAnsi="Times"/>
      <w:sz w:val="22"/>
      <w:szCs w:val="20"/>
      <w:lang w:eastAsia="en-US"/>
    </w:rPr>
  </w:style>
  <w:style w:type="character" w:customStyle="1" w:styleId="CharSectno">
    <w:name w:val="CharSectno"/>
    <w:basedOn w:val="DefaultParagraphFont"/>
    <w:rsid w:val="00A95B8A"/>
  </w:style>
  <w:style w:type="paragraph" w:styleId="BodyText">
    <w:name w:val="Body Text"/>
    <w:basedOn w:val="Normal"/>
    <w:rsid w:val="000D2050"/>
    <w:pPr>
      <w:autoSpaceDE w:val="0"/>
      <w:autoSpaceDN w:val="0"/>
      <w:spacing w:after="120"/>
      <w:jc w:val="both"/>
    </w:pPr>
    <w:rPr>
      <w:sz w:val="26"/>
      <w:szCs w:val="26"/>
    </w:rPr>
  </w:style>
  <w:style w:type="character" w:styleId="CommentReference">
    <w:name w:val="annotation reference"/>
    <w:basedOn w:val="DefaultParagraphFont"/>
    <w:uiPriority w:val="99"/>
    <w:semiHidden/>
    <w:rsid w:val="00447491"/>
    <w:rPr>
      <w:sz w:val="16"/>
      <w:szCs w:val="16"/>
    </w:rPr>
  </w:style>
  <w:style w:type="paragraph" w:styleId="CommentText">
    <w:name w:val="annotation text"/>
    <w:basedOn w:val="Normal"/>
    <w:link w:val="CommentTextChar"/>
    <w:uiPriority w:val="99"/>
    <w:semiHidden/>
    <w:rsid w:val="00447491"/>
    <w:rPr>
      <w:sz w:val="20"/>
      <w:szCs w:val="20"/>
    </w:rPr>
  </w:style>
  <w:style w:type="paragraph" w:styleId="CommentSubject">
    <w:name w:val="annotation subject"/>
    <w:basedOn w:val="CommentText"/>
    <w:next w:val="CommentText"/>
    <w:link w:val="CommentSubjectChar"/>
    <w:uiPriority w:val="99"/>
    <w:semiHidden/>
    <w:rsid w:val="00447491"/>
    <w:rPr>
      <w:b/>
      <w:bCs/>
    </w:rPr>
  </w:style>
  <w:style w:type="paragraph" w:customStyle="1" w:styleId="ACMABodyText">
    <w:name w:val="ACMA Body Text"/>
    <w:link w:val="ACMABodyTextChar"/>
    <w:rsid w:val="00D5552A"/>
    <w:pPr>
      <w:suppressAutoHyphens/>
      <w:spacing w:before="80" w:after="120" w:line="280" w:lineRule="atLeast"/>
    </w:pPr>
    <w:rPr>
      <w:snapToGrid w:val="0"/>
      <w:sz w:val="24"/>
      <w:lang w:eastAsia="en-US"/>
    </w:rPr>
  </w:style>
  <w:style w:type="character" w:customStyle="1" w:styleId="ACMABodyTextChar">
    <w:name w:val="ACMA Body Text Char"/>
    <w:basedOn w:val="DefaultParagraphFont"/>
    <w:link w:val="ACMABodyText"/>
    <w:rsid w:val="00D5552A"/>
    <w:rPr>
      <w:snapToGrid w:val="0"/>
      <w:sz w:val="24"/>
      <w:lang w:val="en-AU" w:eastAsia="en-US" w:bidi="ar-SA"/>
    </w:rPr>
  </w:style>
  <w:style w:type="paragraph" w:customStyle="1" w:styleId="ACMAHeading3">
    <w:name w:val="ACMA Heading 3"/>
    <w:next w:val="ACMABodyText"/>
    <w:link w:val="ACMAHeading3Char"/>
    <w:rsid w:val="00554311"/>
    <w:pPr>
      <w:keepNext/>
      <w:suppressAutoHyphens/>
      <w:spacing w:before="240"/>
      <w:outlineLvl w:val="3"/>
    </w:pPr>
    <w:rPr>
      <w:rFonts w:ascii="Arial" w:hAnsi="Arial"/>
      <w:b/>
      <w:sz w:val="24"/>
      <w:lang w:val="en-US" w:eastAsia="en-US"/>
    </w:rPr>
  </w:style>
  <w:style w:type="character" w:customStyle="1" w:styleId="ACMAHeading3Char">
    <w:name w:val="ACMA Heading 3 Char"/>
    <w:basedOn w:val="DefaultParagraphFont"/>
    <w:link w:val="ACMAHeading3"/>
    <w:rsid w:val="00554311"/>
    <w:rPr>
      <w:rFonts w:ascii="Arial" w:hAnsi="Arial"/>
      <w:b/>
      <w:sz w:val="24"/>
      <w:lang w:val="en-US" w:eastAsia="en-US" w:bidi="ar-SA"/>
    </w:rPr>
  </w:style>
  <w:style w:type="paragraph" w:customStyle="1" w:styleId="R1">
    <w:name w:val="R1"/>
    <w:aliases w:val="1. or 1.(1)"/>
    <w:basedOn w:val="Normal"/>
    <w:next w:val="Normal"/>
    <w:rsid w:val="00986CA0"/>
    <w:pPr>
      <w:keepLines/>
      <w:tabs>
        <w:tab w:val="right" w:pos="794"/>
      </w:tabs>
      <w:spacing w:before="120" w:line="260" w:lineRule="exact"/>
      <w:ind w:left="964" w:hanging="964"/>
      <w:jc w:val="both"/>
    </w:pPr>
  </w:style>
  <w:style w:type="paragraph" w:customStyle="1" w:styleId="P1">
    <w:name w:val="P1"/>
    <w:aliases w:val="(a)"/>
    <w:basedOn w:val="Normal"/>
    <w:rsid w:val="00B860B5"/>
    <w:pPr>
      <w:tabs>
        <w:tab w:val="right" w:pos="1191"/>
      </w:tabs>
      <w:spacing w:before="60" w:line="260" w:lineRule="exact"/>
      <w:ind w:left="1418" w:hanging="1418"/>
      <w:jc w:val="both"/>
    </w:pPr>
  </w:style>
  <w:style w:type="paragraph" w:customStyle="1" w:styleId="ZR2">
    <w:name w:val="ZR2"/>
    <w:basedOn w:val="Normal"/>
    <w:rsid w:val="00B860B5"/>
    <w:pPr>
      <w:keepNext/>
      <w:keepLines/>
      <w:tabs>
        <w:tab w:val="right" w:pos="794"/>
      </w:tabs>
      <w:spacing w:before="180" w:line="260" w:lineRule="exact"/>
      <w:ind w:left="964" w:hanging="964"/>
      <w:jc w:val="both"/>
    </w:pPr>
  </w:style>
  <w:style w:type="paragraph" w:customStyle="1" w:styleId="P2">
    <w:name w:val="P2"/>
    <w:aliases w:val="(i)"/>
    <w:basedOn w:val="Normal"/>
    <w:rsid w:val="00B860B5"/>
    <w:pPr>
      <w:tabs>
        <w:tab w:val="right" w:pos="1758"/>
        <w:tab w:val="left" w:pos="2155"/>
      </w:tabs>
      <w:spacing w:before="60" w:line="260" w:lineRule="exact"/>
      <w:ind w:left="1985" w:hanging="1985"/>
      <w:jc w:val="both"/>
    </w:pPr>
  </w:style>
  <w:style w:type="paragraph" w:customStyle="1" w:styleId="ZP1">
    <w:name w:val="ZP1"/>
    <w:basedOn w:val="P1"/>
    <w:rsid w:val="00B860B5"/>
    <w:pPr>
      <w:keepNext/>
    </w:pPr>
  </w:style>
  <w:style w:type="paragraph" w:customStyle="1" w:styleId="ZR1">
    <w:name w:val="ZR1"/>
    <w:basedOn w:val="R1"/>
    <w:rsid w:val="00B860B5"/>
    <w:pPr>
      <w:keepNext/>
    </w:pPr>
  </w:style>
  <w:style w:type="paragraph" w:customStyle="1" w:styleId="TableText">
    <w:name w:val="TableText"/>
    <w:basedOn w:val="Normal"/>
    <w:rsid w:val="00C80FB4"/>
    <w:pPr>
      <w:spacing w:before="60" w:after="60" w:line="240" w:lineRule="exact"/>
    </w:pPr>
    <w:rPr>
      <w:sz w:val="22"/>
    </w:rPr>
  </w:style>
  <w:style w:type="paragraph" w:styleId="Footer">
    <w:name w:val="footer"/>
    <w:basedOn w:val="Normal"/>
    <w:link w:val="FooterChar"/>
    <w:uiPriority w:val="99"/>
    <w:rsid w:val="00C80FB4"/>
    <w:pPr>
      <w:tabs>
        <w:tab w:val="center" w:pos="4153"/>
        <w:tab w:val="right" w:pos="8306"/>
      </w:tabs>
    </w:pPr>
  </w:style>
  <w:style w:type="character" w:styleId="PageNumber">
    <w:name w:val="page number"/>
    <w:basedOn w:val="DefaultParagraphFont"/>
    <w:rsid w:val="00C80FB4"/>
  </w:style>
  <w:style w:type="paragraph" w:customStyle="1" w:styleId="Zdefinition">
    <w:name w:val="Zdefinition"/>
    <w:basedOn w:val="Normal"/>
    <w:rsid w:val="004D42AE"/>
    <w:pPr>
      <w:keepNext/>
      <w:spacing w:before="80" w:line="260" w:lineRule="exact"/>
      <w:ind w:left="964"/>
      <w:jc w:val="both"/>
    </w:pPr>
  </w:style>
  <w:style w:type="character" w:customStyle="1" w:styleId="ACMABodyTextCharChar">
    <w:name w:val="ACMA Body Text Char Char"/>
    <w:basedOn w:val="DefaultParagraphFont"/>
    <w:rsid w:val="002A21DD"/>
    <w:rPr>
      <w:snapToGrid w:val="0"/>
      <w:sz w:val="24"/>
      <w:lang w:val="en-AU" w:eastAsia="en-US" w:bidi="ar-SA"/>
    </w:rPr>
  </w:style>
  <w:style w:type="character" w:styleId="Hyperlink">
    <w:name w:val="Hyperlink"/>
    <w:basedOn w:val="DefaultParagraphFont"/>
    <w:uiPriority w:val="99"/>
    <w:unhideWhenUsed/>
    <w:rsid w:val="003848CD"/>
    <w:rPr>
      <w:color w:val="0000FF"/>
      <w:u w:val="single"/>
    </w:rPr>
  </w:style>
  <w:style w:type="paragraph" w:customStyle="1" w:styleId="A2">
    <w:name w:val="A2"/>
    <w:aliases w:val="1.1 amendment,Instruction amendment"/>
    <w:basedOn w:val="Normal"/>
    <w:next w:val="Normal"/>
    <w:rsid w:val="00183989"/>
    <w:pPr>
      <w:tabs>
        <w:tab w:val="right" w:pos="794"/>
      </w:tabs>
      <w:spacing w:before="120" w:line="260" w:lineRule="exact"/>
      <w:ind w:left="964" w:hanging="964"/>
      <w:jc w:val="both"/>
    </w:pPr>
  </w:style>
  <w:style w:type="paragraph" w:styleId="Header">
    <w:name w:val="header"/>
    <w:basedOn w:val="Normal"/>
    <w:link w:val="HeaderChar"/>
    <w:uiPriority w:val="99"/>
    <w:unhideWhenUsed/>
    <w:rsid w:val="005E0CD3"/>
    <w:pPr>
      <w:tabs>
        <w:tab w:val="center" w:pos="4513"/>
        <w:tab w:val="right" w:pos="9026"/>
      </w:tabs>
    </w:pPr>
  </w:style>
  <w:style w:type="character" w:customStyle="1" w:styleId="HeaderChar">
    <w:name w:val="Header Char"/>
    <w:basedOn w:val="DefaultParagraphFont"/>
    <w:link w:val="Header"/>
    <w:uiPriority w:val="99"/>
    <w:rsid w:val="005E0CD3"/>
    <w:rPr>
      <w:sz w:val="24"/>
      <w:szCs w:val="24"/>
    </w:rPr>
  </w:style>
  <w:style w:type="character" w:customStyle="1" w:styleId="FooterChar">
    <w:name w:val="Footer Char"/>
    <w:basedOn w:val="DefaultParagraphFont"/>
    <w:link w:val="Footer"/>
    <w:uiPriority w:val="99"/>
    <w:rsid w:val="006C0307"/>
    <w:rPr>
      <w:sz w:val="24"/>
      <w:szCs w:val="24"/>
    </w:rPr>
  </w:style>
  <w:style w:type="character" w:customStyle="1" w:styleId="BalloonTextChar">
    <w:name w:val="Balloon Text Char"/>
    <w:basedOn w:val="DefaultParagraphFont"/>
    <w:link w:val="BalloonText"/>
    <w:uiPriority w:val="99"/>
    <w:semiHidden/>
    <w:rsid w:val="006C0307"/>
    <w:rPr>
      <w:rFonts w:ascii="Tahoma" w:hAnsi="Tahoma" w:cs="Tahoma"/>
      <w:sz w:val="16"/>
      <w:szCs w:val="16"/>
    </w:rPr>
  </w:style>
  <w:style w:type="character" w:customStyle="1" w:styleId="CommentTextChar">
    <w:name w:val="Comment Text Char"/>
    <w:basedOn w:val="DefaultParagraphFont"/>
    <w:link w:val="CommentText"/>
    <w:uiPriority w:val="99"/>
    <w:semiHidden/>
    <w:rsid w:val="006C0307"/>
  </w:style>
  <w:style w:type="character" w:customStyle="1" w:styleId="CommentSubjectChar">
    <w:name w:val="Comment Subject Char"/>
    <w:basedOn w:val="CommentTextChar"/>
    <w:link w:val="CommentSubject"/>
    <w:uiPriority w:val="99"/>
    <w:semiHidden/>
    <w:rsid w:val="006C0307"/>
    <w:rPr>
      <w:b/>
      <w:bCs/>
    </w:rPr>
  </w:style>
  <w:style w:type="paragraph" w:styleId="Revision">
    <w:name w:val="Revision"/>
    <w:hidden/>
    <w:uiPriority w:val="99"/>
    <w:semiHidden/>
    <w:rsid w:val="006C03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C0307"/>
    <w:pPr>
      <w:spacing w:line="240" w:lineRule="atLeast"/>
      <w:ind w:left="720"/>
      <w:contextualSpacing/>
    </w:pPr>
    <w:rPr>
      <w:rFonts w:ascii="HelveticaNeueLT Std Lt" w:hAnsi="HelveticaNeueLT Std Lt"/>
      <w:sz w:val="20"/>
    </w:rPr>
  </w:style>
  <w:style w:type="paragraph" w:styleId="FootnoteText">
    <w:name w:val="footnote text"/>
    <w:basedOn w:val="Normal"/>
    <w:link w:val="FootnoteTextChar"/>
    <w:uiPriority w:val="99"/>
    <w:semiHidden/>
    <w:unhideWhenUsed/>
    <w:rsid w:val="006C030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C030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C0307"/>
    <w:rPr>
      <w:vertAlign w:val="superscript"/>
    </w:rPr>
  </w:style>
  <w:style w:type="paragraph" w:customStyle="1" w:styleId="definition">
    <w:name w:val="definition"/>
    <w:basedOn w:val="Normal"/>
    <w:rsid w:val="00E73E6C"/>
    <w:pPr>
      <w:spacing w:before="80" w:line="260" w:lineRule="exact"/>
      <w:ind w:left="96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8114">
      <w:bodyDiv w:val="1"/>
      <w:marLeft w:val="0"/>
      <w:marRight w:val="0"/>
      <w:marTop w:val="0"/>
      <w:marBottom w:val="0"/>
      <w:divBdr>
        <w:top w:val="none" w:sz="0" w:space="0" w:color="auto"/>
        <w:left w:val="none" w:sz="0" w:space="0" w:color="auto"/>
        <w:bottom w:val="none" w:sz="0" w:space="0" w:color="auto"/>
        <w:right w:val="none" w:sz="0" w:space="0" w:color="auto"/>
      </w:divBdr>
    </w:div>
    <w:div w:id="1643583590">
      <w:bodyDiv w:val="1"/>
      <w:marLeft w:val="0"/>
      <w:marRight w:val="0"/>
      <w:marTop w:val="0"/>
      <w:marBottom w:val="0"/>
      <w:divBdr>
        <w:top w:val="none" w:sz="0" w:space="0" w:color="auto"/>
        <w:left w:val="none" w:sz="0" w:space="0" w:color="auto"/>
        <w:bottom w:val="none" w:sz="0" w:space="0" w:color="auto"/>
        <w:right w:val="none" w:sz="0" w:space="0" w:color="auto"/>
      </w:divBdr>
    </w:div>
    <w:div w:id="1784881802">
      <w:bodyDiv w:val="1"/>
      <w:marLeft w:val="0"/>
      <w:marRight w:val="0"/>
      <w:marTop w:val="0"/>
      <w:marBottom w:val="0"/>
      <w:divBdr>
        <w:top w:val="none" w:sz="0" w:space="0" w:color="auto"/>
        <w:left w:val="none" w:sz="0" w:space="0" w:color="auto"/>
        <w:bottom w:val="none" w:sz="0" w:space="0" w:color="auto"/>
        <w:right w:val="none" w:sz="0" w:space="0" w:color="auto"/>
      </w:divBdr>
      <w:divsChild>
        <w:div w:id="1886604673">
          <w:marLeft w:val="0"/>
          <w:marRight w:val="0"/>
          <w:marTop w:val="0"/>
          <w:marBottom w:val="0"/>
          <w:divBdr>
            <w:top w:val="none" w:sz="0" w:space="0" w:color="auto"/>
            <w:left w:val="none" w:sz="0" w:space="0" w:color="auto"/>
            <w:bottom w:val="none" w:sz="0" w:space="0" w:color="auto"/>
            <w:right w:val="none" w:sz="0" w:space="0" w:color="auto"/>
          </w:divBdr>
          <w:divsChild>
            <w:div w:id="705561586">
              <w:marLeft w:val="0"/>
              <w:marRight w:val="0"/>
              <w:marTop w:val="0"/>
              <w:marBottom w:val="0"/>
              <w:divBdr>
                <w:top w:val="none" w:sz="0" w:space="0" w:color="auto"/>
                <w:left w:val="none" w:sz="0" w:space="0" w:color="auto"/>
                <w:bottom w:val="none" w:sz="0" w:space="0" w:color="auto"/>
                <w:right w:val="none" w:sz="0" w:space="0" w:color="auto"/>
              </w:divBdr>
              <w:divsChild>
                <w:div w:id="979843107">
                  <w:marLeft w:val="0"/>
                  <w:marRight w:val="0"/>
                  <w:marTop w:val="0"/>
                  <w:marBottom w:val="0"/>
                  <w:divBdr>
                    <w:top w:val="none" w:sz="0" w:space="0" w:color="auto"/>
                    <w:left w:val="none" w:sz="0" w:space="0" w:color="auto"/>
                    <w:bottom w:val="none" w:sz="0" w:space="0" w:color="auto"/>
                    <w:right w:val="none" w:sz="0" w:space="0" w:color="auto"/>
                  </w:divBdr>
                  <w:divsChild>
                    <w:div w:id="483665684">
                      <w:marLeft w:val="0"/>
                      <w:marRight w:val="0"/>
                      <w:marTop w:val="0"/>
                      <w:marBottom w:val="0"/>
                      <w:divBdr>
                        <w:top w:val="none" w:sz="0" w:space="0" w:color="auto"/>
                        <w:left w:val="none" w:sz="0" w:space="0" w:color="auto"/>
                        <w:bottom w:val="none" w:sz="0" w:space="0" w:color="auto"/>
                        <w:right w:val="none" w:sz="0" w:space="0" w:color="auto"/>
                      </w:divBdr>
                      <w:divsChild>
                        <w:div w:id="12346245">
                          <w:marLeft w:val="0"/>
                          <w:marRight w:val="0"/>
                          <w:marTop w:val="0"/>
                          <w:marBottom w:val="0"/>
                          <w:divBdr>
                            <w:top w:val="single" w:sz="6" w:space="0" w:color="828282"/>
                            <w:left w:val="single" w:sz="6" w:space="0" w:color="828282"/>
                            <w:bottom w:val="single" w:sz="6" w:space="0" w:color="828282"/>
                            <w:right w:val="single" w:sz="6" w:space="0" w:color="828282"/>
                          </w:divBdr>
                          <w:divsChild>
                            <w:div w:id="639698954">
                              <w:marLeft w:val="0"/>
                              <w:marRight w:val="0"/>
                              <w:marTop w:val="0"/>
                              <w:marBottom w:val="0"/>
                              <w:divBdr>
                                <w:top w:val="none" w:sz="0" w:space="0" w:color="auto"/>
                                <w:left w:val="none" w:sz="0" w:space="0" w:color="auto"/>
                                <w:bottom w:val="none" w:sz="0" w:space="0" w:color="auto"/>
                                <w:right w:val="none" w:sz="0" w:space="0" w:color="auto"/>
                              </w:divBdr>
                              <w:divsChild>
                                <w:div w:id="781418482">
                                  <w:marLeft w:val="0"/>
                                  <w:marRight w:val="0"/>
                                  <w:marTop w:val="0"/>
                                  <w:marBottom w:val="0"/>
                                  <w:divBdr>
                                    <w:top w:val="none" w:sz="0" w:space="0" w:color="auto"/>
                                    <w:left w:val="none" w:sz="0" w:space="0" w:color="auto"/>
                                    <w:bottom w:val="none" w:sz="0" w:space="0" w:color="auto"/>
                                    <w:right w:val="none" w:sz="0" w:space="0" w:color="auto"/>
                                  </w:divBdr>
                                  <w:divsChild>
                                    <w:div w:id="104229001">
                                      <w:marLeft w:val="0"/>
                                      <w:marRight w:val="0"/>
                                      <w:marTop w:val="0"/>
                                      <w:marBottom w:val="0"/>
                                      <w:divBdr>
                                        <w:top w:val="none" w:sz="0" w:space="0" w:color="auto"/>
                                        <w:left w:val="none" w:sz="0" w:space="0" w:color="auto"/>
                                        <w:bottom w:val="none" w:sz="0" w:space="0" w:color="auto"/>
                                        <w:right w:val="none" w:sz="0" w:space="0" w:color="auto"/>
                                      </w:divBdr>
                                      <w:divsChild>
                                        <w:div w:id="1353803503">
                                          <w:marLeft w:val="0"/>
                                          <w:marRight w:val="0"/>
                                          <w:marTop w:val="0"/>
                                          <w:marBottom w:val="0"/>
                                          <w:divBdr>
                                            <w:top w:val="none" w:sz="0" w:space="0" w:color="auto"/>
                                            <w:left w:val="none" w:sz="0" w:space="0" w:color="auto"/>
                                            <w:bottom w:val="none" w:sz="0" w:space="0" w:color="auto"/>
                                            <w:right w:val="none" w:sz="0" w:space="0" w:color="auto"/>
                                          </w:divBdr>
                                          <w:divsChild>
                                            <w:div w:id="2013877096">
                                              <w:marLeft w:val="0"/>
                                              <w:marRight w:val="0"/>
                                              <w:marTop w:val="0"/>
                                              <w:marBottom w:val="0"/>
                                              <w:divBdr>
                                                <w:top w:val="none" w:sz="0" w:space="0" w:color="auto"/>
                                                <w:left w:val="none" w:sz="0" w:space="0" w:color="auto"/>
                                                <w:bottom w:val="none" w:sz="0" w:space="0" w:color="auto"/>
                                                <w:right w:val="none" w:sz="0" w:space="0" w:color="auto"/>
                                              </w:divBdr>
                                              <w:divsChild>
                                                <w:div w:id="1837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KNAH4PPFC442-3114-186</_dlc_DocId>
    <_dlc_DocIdUrl xmlns="6db8f3c6-01a1-4322-b043-a3b2a190f7a8">
      <Url>http://collaboration/organisation/Auth/Chair/Auth/_layouts/DocIdRedir.aspx?ID=KNAH4PPFC442-3114-186</Url>
      <Description>KNAH4PPFC442-3114-186</Description>
    </_dlc_DocIdUrl>
    <Record_x0020_Number xmlns="83630db1-6fc2-4dfd-b3fe-d61d34e1440c">ER2014/086961</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3.xml><?xml version="1.0" encoding="utf-8"?>
<?mso-contentType ?>
<SharedContentType xmlns="Microsoft.SharePoint.Taxonomy.ContentTypeSync" SourceId="c033047a-93aa-421b-8aef-52cbfb63cf36" ContentTypeId="0x01010070E27D6A746B5B48ADF22C2128054D55" PreviousValue="false"/>
</file>

<file path=customXml/item4.xml><?xml version="1.0" encoding="utf-8"?>
<ct:contentTypeSchema xmlns:ct="http://schemas.microsoft.com/office/2006/metadata/contentType" xmlns:ma="http://schemas.microsoft.com/office/2006/metadata/properties/metaAttributes" ct:_="" ma:_="" ma:contentTypeName="Record" ma:contentTypeID="0x01010070E27D6A746B5B48ADF22C2128054D5500EE817EA22CCD994CB2E127746CF12863" ma:contentTypeVersion="40" ma:contentTypeDescription="A document enhanced so that it is automatically captured by RecordPoint." ma:contentTypeScope="" ma:versionID="e4b41f60994b85d41917cbc701e8f128">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9deb499b43edd75fe619984536fd035"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68CD5-F9E7-4B6A-A994-5A91D4DC9041}">
  <ds:schemaRefs>
    <ds:schemaRef ds:uri="http://schemas.microsoft.com/sharepoint/events"/>
  </ds:schemaRefs>
</ds:datastoreItem>
</file>

<file path=customXml/itemProps2.xml><?xml version="1.0" encoding="utf-8"?>
<ds:datastoreItem xmlns:ds="http://schemas.openxmlformats.org/officeDocument/2006/customXml" ds:itemID="{96CA3F08-B6DE-4156-8E1A-360344FBA506}">
  <ds:schemaRefs>
    <ds:schemaRef ds:uri="5e268b55-9e20-462b-aba6-694451a37717"/>
    <ds:schemaRef ds:uri="http://schemas.microsoft.com/office/2006/documentManagement/types"/>
    <ds:schemaRef ds:uri="http://purl.org/dc/elements/1.1/"/>
    <ds:schemaRef ds:uri="6db8f3c6-01a1-4322-b043-a3b2a190f7a8"/>
    <ds:schemaRef ds:uri="83630db1-6fc2-4dfd-b3fe-d61d34e1440c"/>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purl.org/dc/dcmitype/"/>
  </ds:schemaRefs>
</ds:datastoreItem>
</file>

<file path=customXml/itemProps3.xml><?xml version="1.0" encoding="utf-8"?>
<ds:datastoreItem xmlns:ds="http://schemas.openxmlformats.org/officeDocument/2006/customXml" ds:itemID="{E400F5F0-5CEE-4C70-B67A-5EA67AA33CB5}">
  <ds:schemaRefs>
    <ds:schemaRef ds:uri="Microsoft.SharePoint.Taxonomy.ContentTypeSync"/>
  </ds:schemaRefs>
</ds:datastoreItem>
</file>

<file path=customXml/itemProps4.xml><?xml version="1.0" encoding="utf-8"?>
<ds:datastoreItem xmlns:ds="http://schemas.openxmlformats.org/officeDocument/2006/customXml" ds:itemID="{BCCFE7E5-5ED5-460F-A5E4-3DE2AE07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13BE86-5BAA-4350-A844-4F10CBDBF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Communications and Media Authority</Company>
  <LinksUpToDate>false</LinksUpToDate>
  <CharactersWithSpaces>6713</CharactersWithSpaces>
  <SharedDoc>false</SharedDoc>
  <HLinks>
    <vt:vector size="6" baseType="variant">
      <vt:variant>
        <vt:i4>8192070</vt:i4>
      </vt:variant>
      <vt:variant>
        <vt:i4>0</vt:i4>
      </vt:variant>
      <vt:variant>
        <vt:i4>0</vt:i4>
      </vt:variant>
      <vt:variant>
        <vt:i4>5</vt:i4>
      </vt:variant>
      <vt:variant>
        <vt:lpwstr>http://www.acma.gov.au/WEB/STANDARD/pc=PC_312211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crobert</dc:creator>
  <cp:lastModifiedBy>Carmel Roberts</cp:lastModifiedBy>
  <cp:revision>2</cp:revision>
  <cp:lastPrinted>2015-02-11T23:24:00Z</cp:lastPrinted>
  <dcterms:created xsi:type="dcterms:W3CDTF">2015-03-05T23:30:00Z</dcterms:created>
  <dcterms:modified xsi:type="dcterms:W3CDTF">2015-03-05T23:30:00Z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099bc41c-6752-4be5-85a7-9ce91ad0387a</vt:lpwstr>
  </property>
  <property fmtid="{D5CDD505-2E9C-101B-9397-08002B2CF9AE}" pid="3" name="ContentTypeId">
    <vt:lpwstr>0x01010070E27D6A746B5B48ADF22C2128054D5500EE817EA22CCD994CB2E127746CF12863</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{f1c3c3d6-c421-46f6-a621-f79f6b29635f}</vt:lpwstr>
  </property>
  <property fmtid="{D5CDD505-2E9C-101B-9397-08002B2CF9AE}" pid="7" name="RecordPoint_ActiveItemMoved">
    <vt:lpwstr/>
  </property>
  <property fmtid="{D5CDD505-2E9C-101B-9397-08002B2CF9AE}" pid="8" name="RecordPoint_SubmissionCompleted">
    <vt:lpwstr/>
  </property>
  <property fmtid="{D5CDD505-2E9C-101B-9397-08002B2CF9AE}" pid="9" name="RecordPoint_ActiveItemUniqueId">
    <vt:lpwstr>{099bc41c-6752-4be5-85a7-9ce91ad0387a}</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