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C83BA" w14:textId="77777777" w:rsidR="00BF443A" w:rsidRPr="004C22C6" w:rsidRDefault="00BF443A" w:rsidP="00ED21FC">
      <w:pPr>
        <w:pStyle w:val="Heading2"/>
        <w:jc w:val="center"/>
        <w:rPr>
          <w:rStyle w:val="IntenseEmphasis"/>
          <w:color w:val="auto"/>
          <w:sz w:val="22"/>
          <w:szCs w:val="22"/>
        </w:rPr>
      </w:pPr>
      <w:bookmarkStart w:id="0" w:name="_Toc411585166"/>
      <w:bookmarkStart w:id="1" w:name="_Toc411610271"/>
      <w:bookmarkStart w:id="2" w:name="_Toc411610333"/>
      <w:bookmarkStart w:id="3" w:name="_Toc412042084"/>
      <w:bookmarkStart w:id="4" w:name="_Toc412042120"/>
      <w:r w:rsidRPr="004C22C6">
        <w:rPr>
          <w:rStyle w:val="IntenseEmphasis"/>
          <w:color w:val="auto"/>
          <w:sz w:val="22"/>
          <w:szCs w:val="22"/>
        </w:rPr>
        <w:t>Carbon Credits (Carbon Farming Initiative) Rule 2015</w:t>
      </w:r>
      <w:bookmarkEnd w:id="0"/>
      <w:bookmarkEnd w:id="1"/>
      <w:bookmarkEnd w:id="2"/>
      <w:bookmarkEnd w:id="3"/>
      <w:bookmarkEnd w:id="4"/>
    </w:p>
    <w:p w14:paraId="5846502F" w14:textId="7FFE3614" w:rsidR="00BF443A" w:rsidRPr="004C22C6" w:rsidRDefault="00BF443A" w:rsidP="00BF443A">
      <w:pPr>
        <w:pStyle w:val="Heading2"/>
        <w:jc w:val="center"/>
        <w:rPr>
          <w:b w:val="0"/>
          <w:color w:val="auto"/>
          <w:sz w:val="22"/>
          <w:szCs w:val="22"/>
        </w:rPr>
      </w:pPr>
      <w:bookmarkStart w:id="5" w:name="_Toc411585167"/>
      <w:bookmarkStart w:id="6" w:name="_Toc411610272"/>
      <w:bookmarkStart w:id="7" w:name="_Toc411610334"/>
      <w:bookmarkStart w:id="8" w:name="_Toc412042085"/>
      <w:bookmarkStart w:id="9" w:name="_Toc412042121"/>
      <w:r w:rsidRPr="004C22C6">
        <w:rPr>
          <w:b w:val="0"/>
          <w:color w:val="auto"/>
          <w:sz w:val="22"/>
          <w:szCs w:val="22"/>
        </w:rPr>
        <w:t>Subsection 75(4)</w:t>
      </w:r>
      <w:bookmarkEnd w:id="5"/>
      <w:bookmarkEnd w:id="6"/>
      <w:bookmarkEnd w:id="7"/>
      <w:bookmarkEnd w:id="8"/>
      <w:bookmarkEnd w:id="9"/>
    </w:p>
    <w:p w14:paraId="1C7EFE35" w14:textId="09855701" w:rsidR="00BF443A" w:rsidRPr="004C22C6" w:rsidRDefault="009464E2" w:rsidP="00BF443A">
      <w:pPr>
        <w:pStyle w:val="Heading1"/>
        <w:jc w:val="center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Carbon Credits (Carbon Farming Initiative) (Audit Thresholds) Instrument 2015</w:t>
      </w:r>
    </w:p>
    <w:p w14:paraId="4EEAF6A5" w14:textId="29596088" w:rsidR="00522BAF" w:rsidRDefault="001B3525">
      <w:r>
        <w:t xml:space="preserve">The Clean Energy Regulator makes this instrument </w:t>
      </w:r>
      <w:r w:rsidR="00D30FD5">
        <w:t>under</w:t>
      </w:r>
      <w:r>
        <w:t xml:space="preserve"> subsection 75(4) of the </w:t>
      </w:r>
      <w:r w:rsidRPr="001B3525">
        <w:rPr>
          <w:i/>
        </w:rPr>
        <w:t>Carbon Credits (Carbon Farming Initiative) Rule 2015</w:t>
      </w:r>
      <w:r>
        <w:t xml:space="preserve">. </w:t>
      </w:r>
    </w:p>
    <w:p w14:paraId="2704E50B" w14:textId="22A4D7C1" w:rsidR="001B3525" w:rsidRDefault="001B3525">
      <w:r>
        <w:t xml:space="preserve">The Seal of the Clean Energy Regulator was affixed the </w:t>
      </w:r>
      <w:r w:rsidR="007E5FFE">
        <w:t>10th</w:t>
      </w:r>
      <w:r>
        <w:t xml:space="preserve"> day of </w:t>
      </w:r>
      <w:r w:rsidR="007E5FFE">
        <w:t>March</w:t>
      </w:r>
      <w:r>
        <w:t xml:space="preserve"> 2015 in the presence of:</w:t>
      </w:r>
    </w:p>
    <w:p w14:paraId="01D3AD51" w14:textId="15CA09EF" w:rsidR="001B3525" w:rsidRDefault="001B3525">
      <w:bookmarkStart w:id="10" w:name="_GoBack"/>
      <w:bookmarkEnd w:id="10"/>
    </w:p>
    <w:p w14:paraId="30ACB97E" w14:textId="0C5E3954" w:rsidR="001B3525" w:rsidRDefault="001B3525"/>
    <w:p w14:paraId="6D54F209" w14:textId="77777777" w:rsidR="001B3525" w:rsidRDefault="001B3525"/>
    <w:p w14:paraId="6ED63D40" w14:textId="63C52968" w:rsidR="001B3525" w:rsidRDefault="001B3525" w:rsidP="001B3525">
      <w:pPr>
        <w:spacing w:after="0"/>
      </w:pPr>
      <w:r>
        <w:t>……………………………………………</w:t>
      </w:r>
      <w:r w:rsidR="00567A65"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14:paraId="2BF8B55D" w14:textId="77777777" w:rsidR="001B3525" w:rsidRDefault="001B3525" w:rsidP="001B3525">
      <w:pPr>
        <w:spacing w:after="0"/>
      </w:pPr>
      <w:r>
        <w:t>Signature of Chair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Member</w:t>
      </w:r>
    </w:p>
    <w:p w14:paraId="7F528706" w14:textId="77777777" w:rsidR="001B3525" w:rsidRDefault="001B3525" w:rsidP="001B3525">
      <w:pPr>
        <w:spacing w:after="0"/>
      </w:pPr>
    </w:p>
    <w:p w14:paraId="1E27A9C0" w14:textId="50CC3920" w:rsidR="001B3525" w:rsidRDefault="001B3525" w:rsidP="00A65165">
      <w:pPr>
        <w:spacing w:after="0"/>
      </w:pPr>
      <w:r>
        <w:t>Chloe Munro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5165">
        <w:t>Anne T. Brown</w:t>
      </w:r>
    </w:p>
    <w:p w14:paraId="72A7E6FD" w14:textId="77777777" w:rsidR="001B3525" w:rsidRDefault="001B3525">
      <w:r>
        <w:br w:type="page"/>
      </w:r>
    </w:p>
    <w:p w14:paraId="2E55799D" w14:textId="75760E65" w:rsidR="004B5580" w:rsidRPr="00D30FD5" w:rsidRDefault="004B5580" w:rsidP="008E5BF9">
      <w:pPr>
        <w:pStyle w:val="ListParagraph"/>
        <w:numPr>
          <w:ilvl w:val="0"/>
          <w:numId w:val="2"/>
        </w:numPr>
        <w:ind w:left="426" w:hanging="426"/>
      </w:pPr>
      <w:bookmarkStart w:id="11" w:name="_Toc412042124"/>
      <w:r w:rsidRPr="008E5BF9">
        <w:rPr>
          <w:b/>
        </w:rPr>
        <w:lastRenderedPageBreak/>
        <w:t xml:space="preserve">Name </w:t>
      </w:r>
    </w:p>
    <w:p w14:paraId="20273FB3" w14:textId="7E9BB2C7" w:rsidR="004B5580" w:rsidRDefault="004B5580" w:rsidP="008E5BF9">
      <w:pPr>
        <w:pStyle w:val="ListParagraph"/>
        <w:ind w:left="426"/>
      </w:pPr>
      <w:r>
        <w:t xml:space="preserve">This is the </w:t>
      </w:r>
      <w:r w:rsidR="009464E2">
        <w:rPr>
          <w:i/>
        </w:rPr>
        <w:t xml:space="preserve">Carbon Credits (Carbon Farming Initiative) </w:t>
      </w:r>
      <w:r w:rsidR="00044B06">
        <w:rPr>
          <w:i/>
        </w:rPr>
        <w:t>(</w:t>
      </w:r>
      <w:r>
        <w:rPr>
          <w:i/>
        </w:rPr>
        <w:t>Audit Thresholds</w:t>
      </w:r>
      <w:r w:rsidR="00044B06">
        <w:rPr>
          <w:i/>
        </w:rPr>
        <w:t>)</w:t>
      </w:r>
      <w:r>
        <w:rPr>
          <w:i/>
        </w:rPr>
        <w:t xml:space="preserve"> Instrument</w:t>
      </w:r>
      <w:r w:rsidR="009464E2">
        <w:rPr>
          <w:i/>
        </w:rPr>
        <w:t xml:space="preserve"> 2015</w:t>
      </w:r>
      <w:r>
        <w:t>.</w:t>
      </w:r>
    </w:p>
    <w:p w14:paraId="1CC36A54" w14:textId="77777777" w:rsidR="002D39F0" w:rsidRDefault="002D39F0" w:rsidP="008E5BF9">
      <w:pPr>
        <w:pStyle w:val="ListParagraph"/>
        <w:ind w:left="426"/>
      </w:pPr>
    </w:p>
    <w:p w14:paraId="296C2CF5" w14:textId="77777777" w:rsidR="004B5580" w:rsidRPr="00D30FD5" w:rsidRDefault="004B5580" w:rsidP="008E5BF9">
      <w:pPr>
        <w:pStyle w:val="ListParagraph"/>
        <w:numPr>
          <w:ilvl w:val="0"/>
          <w:numId w:val="2"/>
        </w:numPr>
        <w:ind w:left="426" w:hanging="426"/>
      </w:pPr>
      <w:r w:rsidRPr="008E5BF9">
        <w:rPr>
          <w:b/>
        </w:rPr>
        <w:t>Commencement</w:t>
      </w:r>
    </w:p>
    <w:p w14:paraId="0CD99914" w14:textId="3753A919" w:rsidR="004B5580" w:rsidRDefault="004B5580" w:rsidP="008E5BF9">
      <w:pPr>
        <w:pStyle w:val="ListParagraph"/>
        <w:ind w:left="426"/>
      </w:pPr>
      <w:r>
        <w:t xml:space="preserve">This </w:t>
      </w:r>
      <w:r w:rsidR="00522BAF">
        <w:t>i</w:t>
      </w:r>
      <w:r>
        <w:t>nstrument commences on the day after it is registered.</w:t>
      </w:r>
    </w:p>
    <w:p w14:paraId="12D23D68" w14:textId="77777777" w:rsidR="00971C42" w:rsidRDefault="00971C42" w:rsidP="008E5BF9">
      <w:pPr>
        <w:pStyle w:val="ListParagraph"/>
        <w:ind w:left="426"/>
      </w:pPr>
    </w:p>
    <w:p w14:paraId="268A678B" w14:textId="75271E9C" w:rsidR="00704759" w:rsidRPr="00D30FD5" w:rsidRDefault="00704759" w:rsidP="008E5BF9">
      <w:pPr>
        <w:pStyle w:val="ListParagraph"/>
        <w:numPr>
          <w:ilvl w:val="0"/>
          <w:numId w:val="2"/>
        </w:numPr>
        <w:ind w:left="426" w:hanging="426"/>
      </w:pPr>
      <w:r w:rsidRPr="008E5BF9">
        <w:rPr>
          <w:b/>
        </w:rPr>
        <w:t xml:space="preserve">Definitions </w:t>
      </w:r>
    </w:p>
    <w:p w14:paraId="26B31225" w14:textId="1D1A2A32" w:rsidR="00704759" w:rsidRDefault="00704759" w:rsidP="008E5BF9">
      <w:pPr>
        <w:pStyle w:val="ListParagraph"/>
        <w:ind w:left="426"/>
      </w:pPr>
      <w:r>
        <w:t xml:space="preserve">In this </w:t>
      </w:r>
      <w:r w:rsidR="004B5580">
        <w:t>i</w:t>
      </w:r>
      <w:r>
        <w:t>nstrument:</w:t>
      </w:r>
    </w:p>
    <w:p w14:paraId="2CEA39E5" w14:textId="3A7F5E29" w:rsidR="00704759" w:rsidRDefault="00704759" w:rsidP="008E5BF9">
      <w:pPr>
        <w:ind w:left="426"/>
      </w:pPr>
      <w:r w:rsidRPr="00704759">
        <w:rPr>
          <w:b/>
          <w:i/>
        </w:rPr>
        <w:t>New project</w:t>
      </w:r>
      <w:r>
        <w:t xml:space="preserve"> means a</w:t>
      </w:r>
      <w:r w:rsidR="002B27BC">
        <w:t>n eligible offsets</w:t>
      </w:r>
      <w:r>
        <w:t xml:space="preserve"> project </w:t>
      </w:r>
      <w:r w:rsidR="007A4539">
        <w:t>other than</w:t>
      </w:r>
      <w:r>
        <w:t xml:space="preserve"> a transitioning project</w:t>
      </w:r>
      <w:r w:rsidR="002B27BC">
        <w:t xml:space="preserve"> </w:t>
      </w:r>
      <w:r w:rsidR="007A4539">
        <w:t>which</w:t>
      </w:r>
      <w:r w:rsidR="002B27BC">
        <w:t xml:space="preserve"> is not required to have an initial audit.</w:t>
      </w:r>
    </w:p>
    <w:p w14:paraId="30BBD6D1" w14:textId="65DD738B" w:rsidR="00704759" w:rsidRPr="00704759" w:rsidRDefault="00704759" w:rsidP="008E5BF9">
      <w:pPr>
        <w:ind w:firstLine="426"/>
      </w:pPr>
      <w:proofErr w:type="gramStart"/>
      <w:r>
        <w:rPr>
          <w:b/>
          <w:i/>
        </w:rPr>
        <w:t>tCO</w:t>
      </w:r>
      <w:r w:rsidRPr="00704759">
        <w:rPr>
          <w:b/>
          <w:i/>
          <w:vertAlign w:val="subscript"/>
        </w:rPr>
        <w:t>2</w:t>
      </w:r>
      <w:r>
        <w:rPr>
          <w:b/>
          <w:i/>
        </w:rPr>
        <w:t>-e</w:t>
      </w:r>
      <w:proofErr w:type="gramEnd"/>
      <w:r>
        <w:t xml:space="preserve"> means ton</w:t>
      </w:r>
      <w:r w:rsidR="00F17A04">
        <w:t>nes of carbon dioxide equivalen</w:t>
      </w:r>
      <w:r w:rsidR="004B5580">
        <w:t>t.</w:t>
      </w:r>
    </w:p>
    <w:p w14:paraId="1FE07A9B" w14:textId="390EA414" w:rsidR="001B3525" w:rsidRPr="00D30FD5" w:rsidRDefault="001B3525" w:rsidP="008E5BF9">
      <w:pPr>
        <w:pStyle w:val="ListParagraph"/>
        <w:numPr>
          <w:ilvl w:val="0"/>
          <w:numId w:val="2"/>
        </w:numPr>
        <w:ind w:left="426" w:hanging="426"/>
      </w:pPr>
      <w:r w:rsidRPr="008E5BF9">
        <w:rPr>
          <w:b/>
        </w:rPr>
        <w:t>Audit thresholds</w:t>
      </w:r>
      <w:bookmarkEnd w:id="11"/>
    </w:p>
    <w:p w14:paraId="01CC52D2" w14:textId="16147277" w:rsidR="004B5580" w:rsidRPr="004B5580" w:rsidRDefault="00BF0F44" w:rsidP="008E5BF9">
      <w:pPr>
        <w:pStyle w:val="ListParagraph"/>
        <w:ind w:left="426"/>
      </w:pPr>
      <w:r>
        <w:t>The audit thresholds for</w:t>
      </w:r>
      <w:r w:rsidR="004D7C23">
        <w:t xml:space="preserve"> eligible offsets</w:t>
      </w:r>
      <w:r w:rsidR="00522BAF">
        <w:t xml:space="preserve"> projects are as follows</w:t>
      </w:r>
      <w:r>
        <w:t>:</w:t>
      </w:r>
    </w:p>
    <w:tbl>
      <w:tblPr>
        <w:tblStyle w:val="TableGrid1"/>
        <w:tblW w:w="3986" w:type="pct"/>
        <w:shd w:val="clear" w:color="auto" w:fill="FFFFFF" w:themeFill="background1"/>
        <w:tblLook w:val="0080" w:firstRow="0" w:lastRow="0" w:firstColumn="1" w:lastColumn="0" w:noHBand="0" w:noVBand="0"/>
      </w:tblPr>
      <w:tblGrid>
        <w:gridCol w:w="3400"/>
        <w:gridCol w:w="3968"/>
      </w:tblGrid>
      <w:tr w:rsidR="008E5BF9" w:rsidRPr="000709A6" w14:paraId="126668E5" w14:textId="77777777" w:rsidTr="008E5BF9">
        <w:tc>
          <w:tcPr>
            <w:tcW w:w="2307" w:type="pct"/>
            <w:shd w:val="clear" w:color="auto" w:fill="FFFFFF" w:themeFill="background1"/>
          </w:tcPr>
          <w:p w14:paraId="781E16EB" w14:textId="77777777" w:rsidR="008E5BF9" w:rsidRPr="008E5BF9" w:rsidRDefault="008E5BF9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8E5BF9">
              <w:rPr>
                <w:rFonts w:asciiTheme="minorHAnsi" w:hAnsiTheme="minorHAnsi"/>
                <w:b/>
                <w:sz w:val="22"/>
              </w:rPr>
              <w:t>Annual average abatement amount</w:t>
            </w:r>
          </w:p>
        </w:tc>
        <w:tc>
          <w:tcPr>
            <w:tcW w:w="2693" w:type="pct"/>
            <w:shd w:val="clear" w:color="auto" w:fill="FFFFFF" w:themeFill="background1"/>
          </w:tcPr>
          <w:p w14:paraId="35622D08" w14:textId="77777777" w:rsidR="008E5BF9" w:rsidRPr="008E5BF9" w:rsidRDefault="008E5BF9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8E5BF9">
              <w:rPr>
                <w:rFonts w:asciiTheme="minorHAnsi" w:hAnsiTheme="minorHAnsi"/>
                <w:b/>
                <w:sz w:val="22"/>
              </w:rPr>
              <w:t xml:space="preserve">Audit threshold </w:t>
            </w:r>
          </w:p>
        </w:tc>
      </w:tr>
      <w:tr w:rsidR="008E5BF9" w:rsidRPr="000709A6" w14:paraId="6EA36DFF" w14:textId="77777777" w:rsidTr="008E5BF9">
        <w:tc>
          <w:tcPr>
            <w:tcW w:w="2307" w:type="pct"/>
            <w:shd w:val="clear" w:color="auto" w:fill="FFFFFF" w:themeFill="background1"/>
          </w:tcPr>
          <w:p w14:paraId="1D66D240" w14:textId="77777777" w:rsidR="008E5BF9" w:rsidRPr="008E5BF9" w:rsidRDefault="008E5BF9" w:rsidP="001B3525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8E5BF9">
              <w:rPr>
                <w:rFonts w:asciiTheme="minorHAnsi" w:hAnsiTheme="minorHAnsi"/>
                <w:sz w:val="22"/>
              </w:rPr>
              <w:t>50 000 tCO</w:t>
            </w:r>
            <w:r w:rsidRPr="008E5BF9">
              <w:rPr>
                <w:rFonts w:asciiTheme="minorHAnsi" w:hAnsiTheme="minorHAnsi"/>
                <w:sz w:val="22"/>
                <w:vertAlign w:val="subscript"/>
              </w:rPr>
              <w:t>2</w:t>
            </w:r>
            <w:r w:rsidRPr="008E5BF9">
              <w:rPr>
                <w:rFonts w:asciiTheme="minorHAnsi" w:hAnsiTheme="minorHAnsi"/>
                <w:sz w:val="22"/>
              </w:rPr>
              <w:t xml:space="preserve">-e or less </w:t>
            </w:r>
          </w:p>
        </w:tc>
        <w:tc>
          <w:tcPr>
            <w:tcW w:w="2693" w:type="pct"/>
            <w:shd w:val="clear" w:color="auto" w:fill="FFFFFF" w:themeFill="background1"/>
          </w:tcPr>
          <w:p w14:paraId="0C9C98ED" w14:textId="77777777" w:rsidR="008E5BF9" w:rsidRPr="008E5BF9" w:rsidRDefault="008E5BF9" w:rsidP="001B3525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8E5BF9">
              <w:rPr>
                <w:rFonts w:asciiTheme="minorHAnsi" w:hAnsiTheme="minorHAnsi"/>
                <w:sz w:val="22"/>
              </w:rPr>
              <w:t>Threshold A (small)</w:t>
            </w:r>
          </w:p>
        </w:tc>
      </w:tr>
      <w:tr w:rsidR="008E5BF9" w:rsidRPr="000709A6" w14:paraId="1C9B49DB" w14:textId="77777777" w:rsidTr="008E5BF9">
        <w:tc>
          <w:tcPr>
            <w:tcW w:w="2307" w:type="pct"/>
            <w:shd w:val="clear" w:color="auto" w:fill="FFFFFF" w:themeFill="background1"/>
          </w:tcPr>
          <w:p w14:paraId="6F6CFEA9" w14:textId="74C6E874" w:rsidR="008E5BF9" w:rsidRPr="008E5BF9" w:rsidRDefault="008E5BF9" w:rsidP="001B3525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8E5BF9">
              <w:rPr>
                <w:rFonts w:asciiTheme="minorHAnsi" w:hAnsiTheme="minorHAnsi"/>
                <w:sz w:val="22"/>
              </w:rPr>
              <w:t>50 001 to 150 000 tCO</w:t>
            </w:r>
            <w:r w:rsidRPr="008E5BF9">
              <w:rPr>
                <w:rFonts w:asciiTheme="minorHAnsi" w:hAnsiTheme="minorHAnsi"/>
                <w:sz w:val="22"/>
                <w:vertAlign w:val="subscript"/>
              </w:rPr>
              <w:t>2</w:t>
            </w:r>
            <w:r w:rsidRPr="008E5BF9">
              <w:rPr>
                <w:rFonts w:asciiTheme="minorHAnsi" w:hAnsiTheme="minorHAnsi"/>
                <w:sz w:val="22"/>
              </w:rPr>
              <w:t xml:space="preserve">-e </w:t>
            </w:r>
          </w:p>
        </w:tc>
        <w:tc>
          <w:tcPr>
            <w:tcW w:w="2693" w:type="pct"/>
            <w:shd w:val="clear" w:color="auto" w:fill="FFFFFF" w:themeFill="background1"/>
          </w:tcPr>
          <w:p w14:paraId="43728D15" w14:textId="77777777" w:rsidR="008E5BF9" w:rsidRPr="008E5BF9" w:rsidRDefault="008E5BF9" w:rsidP="001B3525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8E5BF9">
              <w:rPr>
                <w:rFonts w:asciiTheme="minorHAnsi" w:hAnsiTheme="minorHAnsi"/>
                <w:sz w:val="22"/>
              </w:rPr>
              <w:t>Threshold B (medium)</w:t>
            </w:r>
          </w:p>
        </w:tc>
      </w:tr>
      <w:tr w:rsidR="008E5BF9" w:rsidRPr="000709A6" w14:paraId="7B88DE45" w14:textId="77777777" w:rsidTr="008E5BF9">
        <w:tc>
          <w:tcPr>
            <w:tcW w:w="2307" w:type="pct"/>
            <w:shd w:val="clear" w:color="auto" w:fill="FFFFFF" w:themeFill="background1"/>
          </w:tcPr>
          <w:p w14:paraId="4DBC71BA" w14:textId="77777777" w:rsidR="008E5BF9" w:rsidRPr="008E5BF9" w:rsidRDefault="008E5BF9" w:rsidP="001B3525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8E5BF9">
              <w:rPr>
                <w:rFonts w:asciiTheme="minorHAnsi" w:hAnsiTheme="minorHAnsi"/>
                <w:sz w:val="22"/>
              </w:rPr>
              <w:t>More than 150 000 tCO</w:t>
            </w:r>
            <w:r w:rsidRPr="008E5BF9">
              <w:rPr>
                <w:rFonts w:asciiTheme="minorHAnsi" w:hAnsiTheme="minorHAnsi"/>
                <w:sz w:val="22"/>
                <w:vertAlign w:val="subscript"/>
              </w:rPr>
              <w:t>2</w:t>
            </w:r>
            <w:r w:rsidRPr="008E5BF9">
              <w:rPr>
                <w:rFonts w:asciiTheme="minorHAnsi" w:hAnsiTheme="minorHAnsi"/>
                <w:sz w:val="22"/>
              </w:rPr>
              <w:t xml:space="preserve">-e </w:t>
            </w:r>
          </w:p>
        </w:tc>
        <w:tc>
          <w:tcPr>
            <w:tcW w:w="2693" w:type="pct"/>
            <w:shd w:val="clear" w:color="auto" w:fill="FFFFFF" w:themeFill="background1"/>
          </w:tcPr>
          <w:p w14:paraId="5163C4FC" w14:textId="77777777" w:rsidR="008E5BF9" w:rsidRPr="008E5BF9" w:rsidRDefault="008E5BF9" w:rsidP="001B3525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8E5BF9">
              <w:rPr>
                <w:rFonts w:asciiTheme="minorHAnsi" w:hAnsiTheme="minorHAnsi"/>
                <w:sz w:val="22"/>
              </w:rPr>
              <w:t>Threshold C (large)</w:t>
            </w:r>
          </w:p>
        </w:tc>
      </w:tr>
    </w:tbl>
    <w:p w14:paraId="4CC3FE64" w14:textId="77777777" w:rsidR="001B3525" w:rsidRPr="001B3525" w:rsidRDefault="001B3525" w:rsidP="008E5BF9">
      <w:pPr>
        <w:spacing w:after="60"/>
      </w:pPr>
    </w:p>
    <w:p w14:paraId="16032FCD" w14:textId="700C6BAF" w:rsidR="001B3525" w:rsidRPr="00D30FD5" w:rsidRDefault="001B3525" w:rsidP="008E5BF9">
      <w:pPr>
        <w:pStyle w:val="ListParagraph"/>
        <w:numPr>
          <w:ilvl w:val="0"/>
          <w:numId w:val="2"/>
        </w:numPr>
        <w:ind w:left="426" w:hanging="426"/>
      </w:pPr>
      <w:bookmarkStart w:id="12" w:name="_Toc412042125"/>
      <w:r w:rsidRPr="008E5BF9">
        <w:rPr>
          <w:b/>
        </w:rPr>
        <w:t>Number of subsequent audits</w:t>
      </w:r>
      <w:bookmarkEnd w:id="12"/>
    </w:p>
    <w:p w14:paraId="134D8D6A" w14:textId="278C1A0D" w:rsidR="008E3065" w:rsidRPr="008E3065" w:rsidRDefault="008E3065" w:rsidP="008E5BF9">
      <w:pPr>
        <w:pStyle w:val="ListParagraph"/>
        <w:ind w:left="426"/>
      </w:pPr>
      <w:r>
        <w:t xml:space="preserve">The number of subsequent audits required for </w:t>
      </w:r>
      <w:r w:rsidR="004D7C23">
        <w:t xml:space="preserve">eligible offsets </w:t>
      </w:r>
      <w:r w:rsidR="008A154C">
        <w:t>project</w:t>
      </w:r>
      <w:r w:rsidR="00E61F52">
        <w:t>s</w:t>
      </w:r>
      <w:r>
        <w:t xml:space="preserve"> </w:t>
      </w:r>
      <w:r w:rsidR="00E61F52">
        <w:t>that meet</w:t>
      </w:r>
      <w:r w:rsidR="00A867F1">
        <w:t xml:space="preserve"> </w:t>
      </w:r>
      <w:r w:rsidR="008A154C">
        <w:t xml:space="preserve">an </w:t>
      </w:r>
      <w:r>
        <w:t xml:space="preserve">audit threshold </w:t>
      </w:r>
      <w:r w:rsidR="004D7C23">
        <w:t xml:space="preserve">set out </w:t>
      </w:r>
      <w:r w:rsidR="00AA478A">
        <w:t>in Column </w:t>
      </w:r>
      <w:r w:rsidR="000709A6">
        <w:t xml:space="preserve">I </w:t>
      </w:r>
      <w:r w:rsidR="00D562ED">
        <w:t xml:space="preserve">of the </w:t>
      </w:r>
      <w:r w:rsidR="009464E2">
        <w:t xml:space="preserve">following </w:t>
      </w:r>
      <w:r w:rsidR="00D562ED">
        <w:t xml:space="preserve">table </w:t>
      </w:r>
      <w:r w:rsidR="00A867F1">
        <w:t>is</w:t>
      </w:r>
      <w:r w:rsidR="00E61F52">
        <w:t xml:space="preserve"> the number set out adjacent to that audit threshold in Column II or Column III, as applicable</w:t>
      </w:r>
      <w:r w:rsidR="009464E2">
        <w:t>, of the following table</w:t>
      </w:r>
      <w:r w:rsidR="0057560B">
        <w:t>.</w:t>
      </w:r>
    </w:p>
    <w:tbl>
      <w:tblPr>
        <w:tblStyle w:val="TableGrid1"/>
        <w:tblW w:w="5000" w:type="pct"/>
        <w:tblLook w:val="0080" w:firstRow="0" w:lastRow="0" w:firstColumn="1" w:lastColumn="0" w:noHBand="0" w:noVBand="0"/>
      </w:tblPr>
      <w:tblGrid>
        <w:gridCol w:w="3082"/>
        <w:gridCol w:w="3081"/>
        <w:gridCol w:w="3079"/>
      </w:tblGrid>
      <w:tr w:rsidR="00E61F52" w:rsidRPr="000709A6" w14:paraId="2FCF164D" w14:textId="77777777" w:rsidTr="00522BAF">
        <w:tc>
          <w:tcPr>
            <w:tcW w:w="1667" w:type="pct"/>
            <w:shd w:val="clear" w:color="auto" w:fill="auto"/>
          </w:tcPr>
          <w:p w14:paraId="2136C8FE" w14:textId="77777777" w:rsidR="00E61F52" w:rsidRPr="008E5BF9" w:rsidRDefault="00E61F52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8E5BF9">
              <w:rPr>
                <w:rFonts w:asciiTheme="minorHAnsi" w:hAnsiTheme="minorHAnsi"/>
                <w:b/>
                <w:sz w:val="22"/>
              </w:rPr>
              <w:t>Column I</w:t>
            </w:r>
          </w:p>
        </w:tc>
        <w:tc>
          <w:tcPr>
            <w:tcW w:w="1667" w:type="pct"/>
            <w:shd w:val="clear" w:color="auto" w:fill="auto"/>
          </w:tcPr>
          <w:p w14:paraId="4DC97590" w14:textId="77777777" w:rsidR="00E61F52" w:rsidRPr="008E5BF9" w:rsidDel="00D61C80" w:rsidRDefault="00E61F52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8E5BF9">
              <w:rPr>
                <w:rFonts w:asciiTheme="minorHAnsi" w:hAnsiTheme="minorHAnsi"/>
                <w:b/>
                <w:sz w:val="22"/>
              </w:rPr>
              <w:t>Column II</w:t>
            </w:r>
          </w:p>
        </w:tc>
        <w:tc>
          <w:tcPr>
            <w:tcW w:w="1666" w:type="pct"/>
            <w:shd w:val="clear" w:color="auto" w:fill="auto"/>
          </w:tcPr>
          <w:p w14:paraId="44B0057B" w14:textId="77777777" w:rsidR="00E61F52" w:rsidRPr="008E5BF9" w:rsidRDefault="00E61F52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8E5BF9">
              <w:rPr>
                <w:rFonts w:asciiTheme="minorHAnsi" w:hAnsiTheme="minorHAnsi"/>
                <w:b/>
                <w:sz w:val="22"/>
              </w:rPr>
              <w:t>Column III</w:t>
            </w:r>
          </w:p>
        </w:tc>
      </w:tr>
      <w:tr w:rsidR="001B3525" w:rsidRPr="000709A6" w14:paraId="6268E23A" w14:textId="77777777" w:rsidTr="001B3525">
        <w:tc>
          <w:tcPr>
            <w:tcW w:w="1667" w:type="pct"/>
            <w:shd w:val="clear" w:color="auto" w:fill="auto"/>
          </w:tcPr>
          <w:p w14:paraId="369760EA" w14:textId="77777777" w:rsidR="001B3525" w:rsidRPr="008E5BF9" w:rsidRDefault="00A867F1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8E5BF9">
              <w:rPr>
                <w:rFonts w:asciiTheme="minorHAnsi" w:hAnsiTheme="minorHAnsi"/>
                <w:b/>
                <w:sz w:val="22"/>
              </w:rPr>
              <w:t xml:space="preserve">Audit threshold </w:t>
            </w:r>
          </w:p>
        </w:tc>
        <w:tc>
          <w:tcPr>
            <w:tcW w:w="1667" w:type="pct"/>
            <w:shd w:val="clear" w:color="auto" w:fill="auto"/>
          </w:tcPr>
          <w:p w14:paraId="686DBBC9" w14:textId="44D039C4" w:rsidR="001B3525" w:rsidRPr="008E5BF9" w:rsidRDefault="001B3525" w:rsidP="002B27BC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8E5BF9">
              <w:rPr>
                <w:rFonts w:asciiTheme="minorHAnsi" w:hAnsiTheme="minorHAnsi"/>
                <w:b/>
                <w:sz w:val="22"/>
              </w:rPr>
              <w:t xml:space="preserve">New </w:t>
            </w:r>
            <w:r w:rsidR="002B27BC">
              <w:rPr>
                <w:rFonts w:asciiTheme="minorHAnsi" w:hAnsiTheme="minorHAnsi"/>
                <w:b/>
                <w:sz w:val="22"/>
              </w:rPr>
              <w:t>p</w:t>
            </w:r>
            <w:r w:rsidRPr="008E5BF9">
              <w:rPr>
                <w:rFonts w:asciiTheme="minorHAnsi" w:hAnsiTheme="minorHAnsi"/>
                <w:b/>
                <w:sz w:val="22"/>
              </w:rPr>
              <w:t xml:space="preserve">rojects </w:t>
            </w:r>
          </w:p>
        </w:tc>
        <w:tc>
          <w:tcPr>
            <w:tcW w:w="1666" w:type="pct"/>
            <w:shd w:val="clear" w:color="auto" w:fill="auto"/>
          </w:tcPr>
          <w:p w14:paraId="54C9F27F" w14:textId="77777777" w:rsidR="001B3525" w:rsidRPr="008E5BF9" w:rsidRDefault="001B3525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8E5BF9">
              <w:rPr>
                <w:rFonts w:asciiTheme="minorHAnsi" w:hAnsiTheme="minorHAnsi"/>
                <w:b/>
                <w:sz w:val="22"/>
              </w:rPr>
              <w:t>Transitioning projects</w:t>
            </w:r>
            <w:r w:rsidR="00D61C80" w:rsidRPr="008E5BF9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8E3065" w:rsidRPr="008E5BF9">
              <w:rPr>
                <w:rFonts w:asciiTheme="minorHAnsi" w:hAnsiTheme="minorHAnsi"/>
                <w:b/>
                <w:sz w:val="22"/>
              </w:rPr>
              <w:t xml:space="preserve">that </w:t>
            </w:r>
            <w:r w:rsidR="00E61F52" w:rsidRPr="008E5BF9">
              <w:rPr>
                <w:rFonts w:asciiTheme="minorHAnsi" w:hAnsiTheme="minorHAnsi"/>
                <w:b/>
                <w:sz w:val="22"/>
              </w:rPr>
              <w:t>are</w:t>
            </w:r>
            <w:r w:rsidR="008E3065" w:rsidRPr="008E5BF9">
              <w:rPr>
                <w:rFonts w:asciiTheme="minorHAnsi" w:hAnsiTheme="minorHAnsi"/>
                <w:b/>
                <w:sz w:val="22"/>
              </w:rPr>
              <w:t xml:space="preserve"> not required to have an initial audit</w:t>
            </w:r>
          </w:p>
        </w:tc>
      </w:tr>
      <w:tr w:rsidR="001B3525" w:rsidRPr="000709A6" w14:paraId="3ECE4877" w14:textId="77777777" w:rsidTr="001B3525">
        <w:tc>
          <w:tcPr>
            <w:tcW w:w="1667" w:type="pct"/>
            <w:shd w:val="clear" w:color="auto" w:fill="auto"/>
          </w:tcPr>
          <w:p w14:paraId="6CBBC114" w14:textId="0344F444" w:rsidR="001B3525" w:rsidRPr="008E5BF9" w:rsidRDefault="00A867F1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8E5BF9">
              <w:rPr>
                <w:rFonts w:asciiTheme="minorHAnsi" w:hAnsiTheme="minorHAnsi"/>
                <w:sz w:val="22"/>
              </w:rPr>
              <w:t xml:space="preserve">Threshold </w:t>
            </w:r>
            <w:r w:rsidR="001B3525" w:rsidRPr="008E5BF9">
              <w:rPr>
                <w:rFonts w:asciiTheme="minorHAnsi" w:hAnsiTheme="minorHAnsi"/>
                <w:sz w:val="22"/>
              </w:rPr>
              <w:t>A (small)</w:t>
            </w:r>
          </w:p>
        </w:tc>
        <w:tc>
          <w:tcPr>
            <w:tcW w:w="1667" w:type="pct"/>
            <w:shd w:val="clear" w:color="auto" w:fill="auto"/>
          </w:tcPr>
          <w:p w14:paraId="79EB1FB0" w14:textId="77777777" w:rsidR="001B3525" w:rsidRPr="008E5BF9" w:rsidRDefault="001B3525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8E5BF9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1666" w:type="pct"/>
            <w:shd w:val="clear" w:color="auto" w:fill="auto"/>
          </w:tcPr>
          <w:p w14:paraId="4C2B93B4" w14:textId="77777777" w:rsidR="001B3525" w:rsidRPr="008E5BF9" w:rsidRDefault="001B3525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8E5BF9">
              <w:rPr>
                <w:rFonts w:asciiTheme="minorHAnsi" w:hAnsiTheme="minorHAnsi"/>
                <w:sz w:val="22"/>
              </w:rPr>
              <w:t>3</w:t>
            </w:r>
          </w:p>
        </w:tc>
      </w:tr>
      <w:tr w:rsidR="001B3525" w:rsidRPr="000709A6" w14:paraId="385F6DFA" w14:textId="77777777" w:rsidTr="001B3525">
        <w:tc>
          <w:tcPr>
            <w:tcW w:w="1667" w:type="pct"/>
            <w:shd w:val="clear" w:color="auto" w:fill="auto"/>
          </w:tcPr>
          <w:p w14:paraId="0ABEE289" w14:textId="075B82F0" w:rsidR="001B3525" w:rsidRPr="008E5BF9" w:rsidRDefault="00A867F1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8E5BF9">
              <w:rPr>
                <w:rFonts w:asciiTheme="minorHAnsi" w:hAnsiTheme="minorHAnsi"/>
                <w:sz w:val="22"/>
              </w:rPr>
              <w:t xml:space="preserve">Threshold </w:t>
            </w:r>
            <w:r w:rsidR="001B3525" w:rsidRPr="008E5BF9">
              <w:rPr>
                <w:rFonts w:asciiTheme="minorHAnsi" w:hAnsiTheme="minorHAnsi"/>
                <w:sz w:val="22"/>
              </w:rPr>
              <w:t>B (medium)</w:t>
            </w:r>
          </w:p>
        </w:tc>
        <w:tc>
          <w:tcPr>
            <w:tcW w:w="1667" w:type="pct"/>
            <w:shd w:val="clear" w:color="auto" w:fill="auto"/>
          </w:tcPr>
          <w:p w14:paraId="58056B6C" w14:textId="77777777" w:rsidR="001B3525" w:rsidRPr="008E5BF9" w:rsidRDefault="001B3525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8E5BF9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1666" w:type="pct"/>
            <w:shd w:val="clear" w:color="auto" w:fill="auto"/>
          </w:tcPr>
          <w:p w14:paraId="62F6FD47" w14:textId="77777777" w:rsidR="001B3525" w:rsidRPr="008E5BF9" w:rsidRDefault="001B3525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8E5BF9">
              <w:rPr>
                <w:rFonts w:asciiTheme="minorHAnsi" w:hAnsiTheme="minorHAnsi"/>
                <w:sz w:val="22"/>
              </w:rPr>
              <w:t>4</w:t>
            </w:r>
          </w:p>
        </w:tc>
      </w:tr>
      <w:tr w:rsidR="001B3525" w:rsidRPr="000709A6" w14:paraId="6754B91D" w14:textId="77777777" w:rsidTr="001B3525">
        <w:tc>
          <w:tcPr>
            <w:tcW w:w="1667" w:type="pct"/>
            <w:shd w:val="clear" w:color="auto" w:fill="auto"/>
          </w:tcPr>
          <w:p w14:paraId="400AD9DA" w14:textId="5CBAE770" w:rsidR="001B3525" w:rsidRPr="008E5BF9" w:rsidRDefault="00A867F1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8E5BF9">
              <w:rPr>
                <w:rFonts w:asciiTheme="minorHAnsi" w:hAnsiTheme="minorHAnsi"/>
                <w:sz w:val="22"/>
              </w:rPr>
              <w:t xml:space="preserve">Threshold </w:t>
            </w:r>
            <w:r w:rsidR="001B3525" w:rsidRPr="008E5BF9">
              <w:rPr>
                <w:rFonts w:asciiTheme="minorHAnsi" w:hAnsiTheme="minorHAnsi"/>
                <w:sz w:val="22"/>
              </w:rPr>
              <w:t>C (large)</w:t>
            </w:r>
          </w:p>
        </w:tc>
        <w:tc>
          <w:tcPr>
            <w:tcW w:w="1667" w:type="pct"/>
            <w:shd w:val="clear" w:color="auto" w:fill="auto"/>
          </w:tcPr>
          <w:p w14:paraId="7B54455A" w14:textId="77777777" w:rsidR="001B3525" w:rsidRPr="008E5BF9" w:rsidRDefault="001B3525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8E5BF9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1666" w:type="pct"/>
            <w:shd w:val="clear" w:color="auto" w:fill="auto"/>
          </w:tcPr>
          <w:p w14:paraId="6AF580A2" w14:textId="77777777" w:rsidR="001B3525" w:rsidRPr="008E5BF9" w:rsidRDefault="001B3525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Theme="minorHAnsi" w:hAnsiTheme="minorHAnsi"/>
                <w:sz w:val="22"/>
                <w:szCs w:val="22"/>
              </w:rPr>
            </w:pPr>
            <w:r w:rsidRPr="008E5BF9">
              <w:rPr>
                <w:rFonts w:asciiTheme="minorHAnsi" w:hAnsiTheme="minorHAnsi"/>
                <w:sz w:val="22"/>
              </w:rPr>
              <w:t>6</w:t>
            </w:r>
          </w:p>
        </w:tc>
      </w:tr>
    </w:tbl>
    <w:p w14:paraId="384E8DE3" w14:textId="77777777" w:rsidR="001B3525" w:rsidRPr="001B3525" w:rsidRDefault="001B3525" w:rsidP="008E5BF9">
      <w:pPr>
        <w:spacing w:after="60"/>
      </w:pPr>
    </w:p>
    <w:p w14:paraId="38A61D13" w14:textId="434535AB" w:rsidR="001B3525" w:rsidRPr="00D30FD5" w:rsidRDefault="001B3525" w:rsidP="008E5BF9">
      <w:pPr>
        <w:pStyle w:val="ListParagraph"/>
        <w:numPr>
          <w:ilvl w:val="0"/>
          <w:numId w:val="2"/>
        </w:numPr>
        <w:spacing w:after="0"/>
        <w:ind w:left="425" w:hanging="425"/>
      </w:pPr>
      <w:bookmarkStart w:id="13" w:name="_Toc412042127"/>
      <w:r w:rsidRPr="008E5BF9">
        <w:rPr>
          <w:b/>
        </w:rPr>
        <w:t xml:space="preserve">Trigger audit threshold </w:t>
      </w:r>
      <w:bookmarkEnd w:id="13"/>
    </w:p>
    <w:p w14:paraId="57B6330C" w14:textId="5128C0A7" w:rsidR="001B3525" w:rsidRPr="001B3525" w:rsidRDefault="00D61C80" w:rsidP="001B3525">
      <w:r>
        <w:t>T</w:t>
      </w:r>
      <w:r w:rsidR="001B3525" w:rsidRPr="001B3525">
        <w:t xml:space="preserve">he trigger audit threshold </w:t>
      </w:r>
      <w:r w:rsidR="008A154C">
        <w:t>for</w:t>
      </w:r>
      <w:r w:rsidR="0057560B">
        <w:t xml:space="preserve"> </w:t>
      </w:r>
      <w:r w:rsidR="004F0FC8">
        <w:t xml:space="preserve">eligible offsets </w:t>
      </w:r>
      <w:r w:rsidR="008A154C">
        <w:t xml:space="preserve">projects </w:t>
      </w:r>
      <w:r w:rsidR="004F0FC8">
        <w:t>is 100 </w:t>
      </w:r>
      <w:r w:rsidR="001B3525" w:rsidRPr="001B3525">
        <w:t>000 tCO</w:t>
      </w:r>
      <w:r w:rsidR="001B3525" w:rsidRPr="001B3525">
        <w:rPr>
          <w:vertAlign w:val="subscript"/>
        </w:rPr>
        <w:t>2</w:t>
      </w:r>
      <w:r w:rsidR="001B3525" w:rsidRPr="001B3525">
        <w:t>-e.</w:t>
      </w:r>
    </w:p>
    <w:p w14:paraId="03D148B3" w14:textId="77777777" w:rsidR="001B3525" w:rsidRDefault="001B3525"/>
    <w:sectPr w:rsidR="001B3525" w:rsidSect="00CE5556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41B27" w14:textId="77777777" w:rsidR="00924279" w:rsidRDefault="00924279" w:rsidP="00196C2E">
      <w:pPr>
        <w:spacing w:after="0" w:line="240" w:lineRule="auto"/>
      </w:pPr>
      <w:r>
        <w:separator/>
      </w:r>
    </w:p>
  </w:endnote>
  <w:endnote w:type="continuationSeparator" w:id="0">
    <w:p w14:paraId="28B997E9" w14:textId="77777777" w:rsidR="00924279" w:rsidRDefault="00924279" w:rsidP="0019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30430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7B8684B" w14:textId="77777777" w:rsidR="009464E2" w:rsidRDefault="009464E2" w:rsidP="00196C2E">
            <w:pPr>
              <w:pStyle w:val="Footer"/>
              <w:jc w:val="center"/>
            </w:pPr>
            <w:r>
              <w:t xml:space="preserve">Page </w:t>
            </w:r>
            <w:r w:rsidRPr="006719B7">
              <w:rPr>
                <w:bCs/>
                <w:sz w:val="24"/>
                <w:szCs w:val="24"/>
              </w:rPr>
              <w:fldChar w:fldCharType="begin"/>
            </w:r>
            <w:r w:rsidRPr="006719B7">
              <w:rPr>
                <w:bCs/>
              </w:rPr>
              <w:instrText xml:space="preserve"> PAGE </w:instrText>
            </w:r>
            <w:r w:rsidRPr="006719B7">
              <w:rPr>
                <w:bCs/>
                <w:sz w:val="24"/>
                <w:szCs w:val="24"/>
              </w:rPr>
              <w:fldChar w:fldCharType="separate"/>
            </w:r>
            <w:r w:rsidR="0031048E">
              <w:rPr>
                <w:bCs/>
                <w:noProof/>
              </w:rPr>
              <w:t>2</w:t>
            </w:r>
            <w:r w:rsidRPr="006719B7">
              <w:rPr>
                <w:bCs/>
                <w:sz w:val="24"/>
                <w:szCs w:val="24"/>
              </w:rPr>
              <w:fldChar w:fldCharType="end"/>
            </w:r>
            <w:r w:rsidRPr="006719B7">
              <w:t xml:space="preserve"> of </w:t>
            </w:r>
            <w:r w:rsidRPr="006719B7">
              <w:rPr>
                <w:bCs/>
                <w:sz w:val="24"/>
                <w:szCs w:val="24"/>
              </w:rPr>
              <w:fldChar w:fldCharType="begin"/>
            </w:r>
            <w:r w:rsidRPr="006719B7">
              <w:rPr>
                <w:bCs/>
              </w:rPr>
              <w:instrText xml:space="preserve"> NUMPAGES  </w:instrText>
            </w:r>
            <w:r w:rsidRPr="006719B7">
              <w:rPr>
                <w:bCs/>
                <w:sz w:val="24"/>
                <w:szCs w:val="24"/>
              </w:rPr>
              <w:fldChar w:fldCharType="separate"/>
            </w:r>
            <w:r w:rsidR="0031048E">
              <w:rPr>
                <w:bCs/>
                <w:noProof/>
              </w:rPr>
              <w:t>2</w:t>
            </w:r>
            <w:r w:rsidRPr="006719B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85E442" w14:textId="77777777" w:rsidR="009464E2" w:rsidRDefault="009464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8031E" w14:textId="77777777" w:rsidR="00924279" w:rsidRDefault="00924279" w:rsidP="00196C2E">
      <w:pPr>
        <w:spacing w:after="0" w:line="240" w:lineRule="auto"/>
      </w:pPr>
      <w:r>
        <w:separator/>
      </w:r>
    </w:p>
  </w:footnote>
  <w:footnote w:type="continuationSeparator" w:id="0">
    <w:p w14:paraId="6D4C63BF" w14:textId="77777777" w:rsidR="00924279" w:rsidRDefault="00924279" w:rsidP="00196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32108" w14:textId="77777777" w:rsidR="009464E2" w:rsidRDefault="009464E2" w:rsidP="0074337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87D9A" w14:textId="2A6A182D" w:rsidR="009464E2" w:rsidRDefault="00163521" w:rsidP="00CE5556">
    <w:pPr>
      <w:pStyle w:val="Header"/>
      <w:jc w:val="center"/>
    </w:pPr>
    <w:r>
      <w:rPr>
        <w:noProof/>
        <w:lang w:eastAsia="en-AU"/>
      </w:rPr>
      <w:drawing>
        <wp:inline distT="0" distB="0" distL="0" distR="0" wp14:anchorId="7A10AAD5" wp14:editId="12CBAAF4">
          <wp:extent cx="1562735" cy="946150"/>
          <wp:effectExtent l="0" t="0" r="0" b="6350"/>
          <wp:docPr id="1" name="Picture 1" descr="C:\Users\CER1270\AppData\Local\Microsoft\Windows\Temporary Internet Files\Content.Outlook\QNJM3GF7\CER_gov_crest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1270\AppData\Local\Microsoft\Windows\Temporary Internet Files\Content.Outlook\QNJM3GF7\CER_gov_crest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E6E5F"/>
    <w:multiLevelType w:val="hybridMultilevel"/>
    <w:tmpl w:val="E39459F8"/>
    <w:lvl w:ilvl="0" w:tplc="45FE8F22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12AFB"/>
    <w:multiLevelType w:val="hybridMultilevel"/>
    <w:tmpl w:val="22F44F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markup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3A"/>
    <w:rsid w:val="00044B06"/>
    <w:rsid w:val="000709A6"/>
    <w:rsid w:val="00163521"/>
    <w:rsid w:val="00196C2E"/>
    <w:rsid w:val="001B3525"/>
    <w:rsid w:val="00241226"/>
    <w:rsid w:val="002876BA"/>
    <w:rsid w:val="002B27BC"/>
    <w:rsid w:val="002B6335"/>
    <w:rsid w:val="002D39F0"/>
    <w:rsid w:val="002F1058"/>
    <w:rsid w:val="0031048E"/>
    <w:rsid w:val="003317C4"/>
    <w:rsid w:val="00385418"/>
    <w:rsid w:val="00497FC5"/>
    <w:rsid w:val="004B5580"/>
    <w:rsid w:val="004C22C6"/>
    <w:rsid w:val="004D7C23"/>
    <w:rsid w:val="004F0FC8"/>
    <w:rsid w:val="00522BAF"/>
    <w:rsid w:val="00542EB4"/>
    <w:rsid w:val="00567A65"/>
    <w:rsid w:val="0057560B"/>
    <w:rsid w:val="005F7B1B"/>
    <w:rsid w:val="006719B7"/>
    <w:rsid w:val="00704759"/>
    <w:rsid w:val="00710A22"/>
    <w:rsid w:val="0073641C"/>
    <w:rsid w:val="007432D1"/>
    <w:rsid w:val="0074337B"/>
    <w:rsid w:val="007A4539"/>
    <w:rsid w:val="007C1961"/>
    <w:rsid w:val="007E5FFE"/>
    <w:rsid w:val="00815DE4"/>
    <w:rsid w:val="008A154C"/>
    <w:rsid w:val="008E3065"/>
    <w:rsid w:val="008E5BF9"/>
    <w:rsid w:val="009177B7"/>
    <w:rsid w:val="00924279"/>
    <w:rsid w:val="00942BBB"/>
    <w:rsid w:val="009464E2"/>
    <w:rsid w:val="00971C42"/>
    <w:rsid w:val="0098155F"/>
    <w:rsid w:val="00984983"/>
    <w:rsid w:val="00A044FE"/>
    <w:rsid w:val="00A65165"/>
    <w:rsid w:val="00A867F1"/>
    <w:rsid w:val="00AA2D21"/>
    <w:rsid w:val="00AA478A"/>
    <w:rsid w:val="00AC12DF"/>
    <w:rsid w:val="00AE5221"/>
    <w:rsid w:val="00B266AF"/>
    <w:rsid w:val="00B74CE5"/>
    <w:rsid w:val="00B91D62"/>
    <w:rsid w:val="00BB4FCB"/>
    <w:rsid w:val="00BF0F44"/>
    <w:rsid w:val="00BF443A"/>
    <w:rsid w:val="00CE5556"/>
    <w:rsid w:val="00D12538"/>
    <w:rsid w:val="00D30FD5"/>
    <w:rsid w:val="00D562ED"/>
    <w:rsid w:val="00D61C80"/>
    <w:rsid w:val="00DE4C43"/>
    <w:rsid w:val="00E536CB"/>
    <w:rsid w:val="00E61F52"/>
    <w:rsid w:val="00ED21FC"/>
    <w:rsid w:val="00EE7344"/>
    <w:rsid w:val="00F17A04"/>
    <w:rsid w:val="00FE3CC5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C76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CER Heading 1"/>
    <w:next w:val="Heading2"/>
    <w:link w:val="Heading1Char"/>
    <w:uiPriority w:val="2"/>
    <w:qFormat/>
    <w:rsid w:val="00BF443A"/>
    <w:pPr>
      <w:keepNext/>
      <w:spacing w:before="280" w:line="240" w:lineRule="auto"/>
      <w:outlineLvl w:val="0"/>
    </w:pPr>
    <w:rPr>
      <w:rFonts w:eastAsia="Times New Roman" w:cstheme="minorHAnsi"/>
      <w:b/>
      <w:bCs/>
      <w:color w:val="005874"/>
      <w:kern w:val="32"/>
      <w:sz w:val="40"/>
      <w:szCs w:val="24"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BF443A"/>
    <w:pPr>
      <w:keepNext/>
      <w:keepLines/>
      <w:spacing w:before="280" w:line="240" w:lineRule="auto"/>
      <w:outlineLvl w:val="1"/>
    </w:pPr>
    <w:rPr>
      <w:rFonts w:eastAsia="Times New Roman" w:cstheme="minorHAnsi"/>
      <w:b/>
      <w:bCs/>
      <w:color w:val="005874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1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BF443A"/>
    <w:rPr>
      <w:rFonts w:eastAsia="Times New Roman" w:cstheme="minorHAnsi"/>
      <w:b/>
      <w:bCs/>
      <w:color w:val="005874"/>
      <w:kern w:val="32"/>
      <w:sz w:val="40"/>
      <w:szCs w:val="24"/>
    </w:rPr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BF443A"/>
    <w:rPr>
      <w:rFonts w:eastAsia="Times New Roman" w:cstheme="minorHAnsi"/>
      <w:b/>
      <w:bCs/>
      <w:color w:val="005874"/>
      <w:sz w:val="30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B3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">
    <w:name w:val="Numbered List"/>
    <w:basedOn w:val="Normal"/>
    <w:rsid w:val="001B3525"/>
    <w:pPr>
      <w:numPr>
        <w:numId w:val="1"/>
      </w:numPr>
      <w:spacing w:after="120" w:line="240" w:lineRule="exact"/>
    </w:pPr>
    <w:rPr>
      <w:rFonts w:ascii="Arial" w:eastAsia="Calibri" w:hAnsi="Arial" w:cs="Times New Roman"/>
      <w:sz w:val="21"/>
    </w:rPr>
  </w:style>
  <w:style w:type="table" w:styleId="TableGrid">
    <w:name w:val="Table Grid"/>
    <w:basedOn w:val="TableNormal"/>
    <w:uiPriority w:val="59"/>
    <w:rsid w:val="001B3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ED21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ED21FC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196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C2E"/>
  </w:style>
  <w:style w:type="paragraph" w:styleId="Footer">
    <w:name w:val="footer"/>
    <w:basedOn w:val="Normal"/>
    <w:link w:val="FooterChar"/>
    <w:uiPriority w:val="99"/>
    <w:unhideWhenUsed/>
    <w:rsid w:val="00196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C2E"/>
  </w:style>
  <w:style w:type="paragraph" w:styleId="BalloonText">
    <w:name w:val="Balloon Text"/>
    <w:basedOn w:val="Normal"/>
    <w:link w:val="BalloonTextChar"/>
    <w:uiPriority w:val="99"/>
    <w:semiHidden/>
    <w:unhideWhenUsed/>
    <w:rsid w:val="0074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3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5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0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F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F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0F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CER Heading 1"/>
    <w:next w:val="Heading2"/>
    <w:link w:val="Heading1Char"/>
    <w:uiPriority w:val="2"/>
    <w:qFormat/>
    <w:rsid w:val="00BF443A"/>
    <w:pPr>
      <w:keepNext/>
      <w:spacing w:before="280" w:line="240" w:lineRule="auto"/>
      <w:outlineLvl w:val="0"/>
    </w:pPr>
    <w:rPr>
      <w:rFonts w:eastAsia="Times New Roman" w:cstheme="minorHAnsi"/>
      <w:b/>
      <w:bCs/>
      <w:color w:val="005874"/>
      <w:kern w:val="32"/>
      <w:sz w:val="40"/>
      <w:szCs w:val="24"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BF443A"/>
    <w:pPr>
      <w:keepNext/>
      <w:keepLines/>
      <w:spacing w:before="280" w:line="240" w:lineRule="auto"/>
      <w:outlineLvl w:val="1"/>
    </w:pPr>
    <w:rPr>
      <w:rFonts w:eastAsia="Times New Roman" w:cstheme="minorHAnsi"/>
      <w:b/>
      <w:bCs/>
      <w:color w:val="005874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1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BF443A"/>
    <w:rPr>
      <w:rFonts w:eastAsia="Times New Roman" w:cstheme="minorHAnsi"/>
      <w:b/>
      <w:bCs/>
      <w:color w:val="005874"/>
      <w:kern w:val="32"/>
      <w:sz w:val="40"/>
      <w:szCs w:val="24"/>
    </w:rPr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BF443A"/>
    <w:rPr>
      <w:rFonts w:eastAsia="Times New Roman" w:cstheme="minorHAnsi"/>
      <w:b/>
      <w:bCs/>
      <w:color w:val="005874"/>
      <w:sz w:val="30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B3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">
    <w:name w:val="Numbered List"/>
    <w:basedOn w:val="Normal"/>
    <w:rsid w:val="001B3525"/>
    <w:pPr>
      <w:numPr>
        <w:numId w:val="1"/>
      </w:numPr>
      <w:spacing w:after="120" w:line="240" w:lineRule="exact"/>
    </w:pPr>
    <w:rPr>
      <w:rFonts w:ascii="Arial" w:eastAsia="Calibri" w:hAnsi="Arial" w:cs="Times New Roman"/>
      <w:sz w:val="21"/>
    </w:rPr>
  </w:style>
  <w:style w:type="table" w:styleId="TableGrid">
    <w:name w:val="Table Grid"/>
    <w:basedOn w:val="TableNormal"/>
    <w:uiPriority w:val="59"/>
    <w:rsid w:val="001B3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ED21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ED21FC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196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C2E"/>
  </w:style>
  <w:style w:type="paragraph" w:styleId="Footer">
    <w:name w:val="footer"/>
    <w:basedOn w:val="Normal"/>
    <w:link w:val="FooterChar"/>
    <w:uiPriority w:val="99"/>
    <w:unhideWhenUsed/>
    <w:rsid w:val="00196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C2E"/>
  </w:style>
  <w:style w:type="paragraph" w:styleId="BalloonText">
    <w:name w:val="Balloon Text"/>
    <w:basedOn w:val="Normal"/>
    <w:link w:val="BalloonTextChar"/>
    <w:uiPriority w:val="99"/>
    <w:semiHidden/>
    <w:unhideWhenUsed/>
    <w:rsid w:val="0074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3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5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0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F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F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0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ference Material" ma:contentTypeID="0x010100F203831B4234A245839C3A791275192F1C009A51F5E0097F6248B46A17182863CEB0" ma:contentTypeVersion="0" ma:contentTypeDescription="This is a Reference Material Content Type." ma:contentTypeScope="" ma:versionID="bc29aff088303b2bd081ba35e1ef4c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0EAAD-2F6D-4BD8-9E79-07A0C86E9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389CF-4A96-4E41-88E5-28A590F6D6F1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B746BDC-D444-44EC-810A-3EC7E0EE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Najjar, Karen</dc:creator>
  <cp:lastModifiedBy>Lilley, Ben</cp:lastModifiedBy>
  <cp:revision>8</cp:revision>
  <cp:lastPrinted>2015-03-04T23:13:00Z</cp:lastPrinted>
  <dcterms:created xsi:type="dcterms:W3CDTF">2015-03-11T03:54:00Z</dcterms:created>
  <dcterms:modified xsi:type="dcterms:W3CDTF">2015-03-11T03:56:00Z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0x010100F203831B4234A245839C3A791275192F1C009A51F5E0097F6248B46A17182863CEB0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{1b8f0867-fd14-435b-b9bb-f1034028fa73}</vt:lpwstr>
  </property>
  <property fmtid="{D5CDD505-2E9C-101B-9397-08002B2CF9AE}" pid="5" name="RecordPoint_ActiveItemListId">
    <vt:lpwstr>{c29a8b74-34a5-4201-ae31-f6d82a90d57e}</vt:lpwstr>
  </property>
  <property fmtid="{D5CDD505-2E9C-101B-9397-08002B2CF9AE}" pid="6" name="RecordPoint_ActiveItemUniqueId">
    <vt:lpwstr>{ca912d25-6625-43b6-88f8-00cd73d4b067}</vt:lpwstr>
  </property>
  <property fmtid="{D5CDD505-2E9C-101B-9397-08002B2CF9AE}" pid="7" name="RecordPoint_ActiveItemWebId">
    <vt:lpwstr>{1be8217a-a5e2-41c3-9d97-b9daca195a02}</vt:lpwstr>
  </property>
  <property fmtid="{D5CDD505-2E9C-101B-9397-08002B2CF9AE}" pid="8" name="RecordPoint_SubmissionCompleted">
    <vt:lpwstr>2015-03-11T14:57:01.4267494+11:00</vt:lpwstr>
  </property>
  <property fmtid="{D5CDD505-2E9C-101B-9397-08002B2CF9AE}" pid="9" name="RecordPoint_RecordNumberSubmitted">
    <vt:lpwstr>R0000000663</vt:lpwstr>
  </property>
  <property fmtid="{D5CDD505-2E9C-101B-9397-08002B2CF9AE}" pid="10" name="RecordPoint_SubmissionDate">
    <vt:lpwstr/>
  </property>
  <property fmtid="{D5CDD505-2E9C-101B-9397-08002B2CF9AE}" pid="11" name="RecordPoint_ActiveItemMoved">
    <vt:lpwstr/>
  </property>
  <property fmtid="{D5CDD505-2E9C-101B-9397-08002B2CF9AE}" pid="12" name="RecordPoint_RecordFormat">
    <vt:lpwstr/>
  </property>
  <property fmtid="{D5CDD505-2E9C-101B-9397-08002B2CF9AE}" pid="13" name="IconOverlay">
    <vt:lpwstr/>
  </property>
</Properties>
</file>