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1" w:rsidRDefault="00E5029D" w:rsidP="00EF6A0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Australian Securi</w:t>
      </w:r>
      <w:r w:rsidR="00EF6A07">
        <w:rPr>
          <w:rFonts w:ascii="Times New Roman" w:hAnsi="Times New Roman"/>
          <w:b/>
          <w:bCs/>
          <w:color w:val="000000" w:themeColor="text1"/>
          <w:sz w:val="24"/>
          <w:szCs w:val="24"/>
        </w:rPr>
        <w:t>ties and Investments Commission</w:t>
      </w:r>
    </w:p>
    <w:p w:rsidR="00E5029D" w:rsidRPr="00592AC2" w:rsidRDefault="00E5029D" w:rsidP="009A3CE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Corporations Act 2001</w:t>
      </w:r>
      <w:r w:rsidR="009A3CE9">
        <w:rPr>
          <w:rFonts w:ascii="Times New Roman" w:hAnsi="Times New Roman"/>
          <w:b/>
          <w:bCs/>
          <w:color w:val="000000" w:themeColor="text1"/>
          <w:sz w:val="24"/>
          <w:szCs w:val="24"/>
        </w:rPr>
        <w:t>—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Paragraphs 601QA(1)(a), </w:t>
      </w:r>
      <w:r w:rsidR="001B53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601QA(1)(b), </w:t>
      </w:r>
      <w:r w:rsidR="00776D3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926A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(2)(</w:t>
      </w:r>
      <w:r w:rsidR="00776D3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), 992B(1)(</w:t>
      </w:r>
      <w:r w:rsidR="00DD026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53797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, 1020F(1)(a)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and </w:t>
      </w:r>
      <w:r w:rsidR="00776D3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1020F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(1)(</w:t>
      </w:r>
      <w:r w:rsidR="00537979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="009A3CE9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>—Exemption</w:t>
      </w:r>
      <w:r w:rsidR="00EA37E1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and </w:t>
      </w:r>
      <w:r w:rsidR="00EF6A07">
        <w:rPr>
          <w:rFonts w:ascii="Times New Roman" w:hAnsi="Times New Roman"/>
          <w:b/>
          <w:bCs/>
          <w:color w:val="000000" w:themeColor="text1"/>
          <w:sz w:val="24"/>
          <w:szCs w:val="24"/>
        </w:rPr>
        <w:t>declaration</w:t>
      </w:r>
    </w:p>
    <w:p w:rsidR="00E5029D" w:rsidRPr="00592AC2" w:rsidRDefault="00E5029D" w:rsidP="00277FA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EF6A07" w:rsidRDefault="00E5029D" w:rsidP="00277FA4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Enabling legislation </w:t>
      </w:r>
    </w:p>
    <w:p w:rsidR="00E5029D" w:rsidRPr="00592AC2" w:rsidRDefault="00E5029D" w:rsidP="00277FA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0C684D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The Australian Securities and Investments Commission </w:t>
      </w:r>
      <w:r w:rsidR="00C16750" w:rsidRPr="00592A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16750"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ASIC</w:t>
      </w:r>
      <w:r w:rsidR="00C16750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makes this instrument under paragraphs 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601QA(1)(a), </w:t>
      </w:r>
      <w:r w:rsidR="001B53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601QA(1)(b), </w:t>
      </w:r>
      <w:r w:rsidR="005532CF" w:rsidRPr="00592AC2">
        <w:rPr>
          <w:rFonts w:ascii="Times New Roman" w:hAnsi="Times New Roman"/>
          <w:bCs/>
          <w:color w:val="000000" w:themeColor="text1"/>
          <w:sz w:val="24"/>
          <w:szCs w:val="24"/>
        </w:rPr>
        <w:t>926A(2)(a)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>, 992B(1)(</w:t>
      </w:r>
      <w:r w:rsidR="00DD0269" w:rsidRPr="00592AC2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37979" w:rsidRPr="00592AC2">
        <w:rPr>
          <w:rFonts w:ascii="Times New Roman" w:hAnsi="Times New Roman"/>
          <w:bCs/>
          <w:color w:val="000000" w:themeColor="text1"/>
          <w:sz w:val="24"/>
          <w:szCs w:val="24"/>
        </w:rPr>
        <w:t>, 1020F(1)(a)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</w:t>
      </w:r>
      <w:r w:rsidR="00917D28" w:rsidRPr="00592AC2">
        <w:rPr>
          <w:rFonts w:ascii="Times New Roman" w:hAnsi="Times New Roman"/>
          <w:bCs/>
          <w:color w:val="000000" w:themeColor="text1"/>
          <w:sz w:val="24"/>
          <w:szCs w:val="24"/>
        </w:rPr>
        <w:t>1020F(1)(c)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of the </w:t>
      </w:r>
      <w:r w:rsidRPr="00592AC2">
        <w:rPr>
          <w:rFonts w:ascii="Times New Roman" w:hAnsi="Times New Roman"/>
          <w:bCs/>
          <w:i/>
          <w:color w:val="000000" w:themeColor="text1"/>
          <w:sz w:val="24"/>
          <w:szCs w:val="24"/>
        </w:rPr>
        <w:t>Corporations Act</w:t>
      </w:r>
      <w:r w:rsidR="00C16750" w:rsidRPr="00592AC2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2001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(the </w:t>
      </w:r>
      <w:r w:rsidRPr="00592AC2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Act</w:t>
      </w: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:rsidR="00E5029D" w:rsidRPr="00592AC2" w:rsidRDefault="00E5029D" w:rsidP="000C684D">
      <w:pPr>
        <w:pStyle w:val="ListParagraph"/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Title</w:t>
      </w:r>
    </w:p>
    <w:p w:rsidR="00E5029D" w:rsidRPr="00592AC2" w:rsidRDefault="00E5029D" w:rsidP="000C684D">
      <w:pPr>
        <w:pStyle w:val="ListParagraph"/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F05F0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This instrument is ASIC Class Order [CO </w:t>
      </w:r>
      <w:r w:rsidR="00D85A19" w:rsidRPr="00D85A19">
        <w:rPr>
          <w:rFonts w:ascii="Times New Roman" w:hAnsi="Times New Roman"/>
          <w:color w:val="000000" w:themeColor="text1"/>
          <w:sz w:val="24"/>
          <w:szCs w:val="24"/>
        </w:rPr>
        <w:t>15/52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:rsidR="00E5029D" w:rsidRPr="00592AC2" w:rsidRDefault="00E5029D" w:rsidP="000C684D">
      <w:pPr>
        <w:pStyle w:val="ListParagraph"/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Commencement</w:t>
      </w:r>
    </w:p>
    <w:p w:rsidR="00E5029D" w:rsidRPr="00592AC2" w:rsidRDefault="00E5029D" w:rsidP="000C684D">
      <w:pPr>
        <w:pStyle w:val="ListParagraph"/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93C64" w:rsidRPr="00F05F0A" w:rsidRDefault="00E5029D" w:rsidP="00BA5BF6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BA5BF6">
        <w:rPr>
          <w:rFonts w:ascii="Times New Roman" w:hAnsi="Times New Roman"/>
          <w:color w:val="000000" w:themeColor="text1"/>
          <w:sz w:val="24"/>
          <w:szCs w:val="24"/>
        </w:rPr>
        <w:t xml:space="preserve">This instrument commences on </w:t>
      </w:r>
      <w:r w:rsidRPr="00F05F0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46B05" w:rsidRPr="00F05F0A">
        <w:rPr>
          <w:rFonts w:ascii="Times New Roman" w:hAnsi="Times New Roman"/>
          <w:color w:val="000000" w:themeColor="text1"/>
          <w:sz w:val="24"/>
          <w:szCs w:val="24"/>
        </w:rPr>
        <w:t xml:space="preserve">day after </w:t>
      </w:r>
      <w:r w:rsidRPr="00F05F0A">
        <w:rPr>
          <w:rFonts w:ascii="Times New Roman" w:hAnsi="Times New Roman"/>
          <w:color w:val="000000" w:themeColor="text1"/>
          <w:sz w:val="24"/>
          <w:szCs w:val="24"/>
        </w:rPr>
        <w:t xml:space="preserve">it is registered under the </w:t>
      </w:r>
      <w:r w:rsidRPr="00F05F0A">
        <w:rPr>
          <w:rFonts w:ascii="Times New Roman" w:hAnsi="Times New Roman"/>
          <w:i/>
          <w:color w:val="000000" w:themeColor="text1"/>
          <w:sz w:val="24"/>
          <w:szCs w:val="24"/>
        </w:rPr>
        <w:t>Legislative Instruments Act 2003</w:t>
      </w:r>
      <w:r w:rsidR="00BA5BF6" w:rsidRPr="00F05F0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5029D" w:rsidRPr="00592AC2" w:rsidRDefault="00E5029D">
      <w:pPr>
        <w:pStyle w:val="ListParagraph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F05F0A">
      <w:pPr>
        <w:pStyle w:val="ListParagraph"/>
        <w:tabs>
          <w:tab w:val="left" w:pos="993"/>
        </w:tabs>
        <w:spacing w:after="0" w:line="240" w:lineRule="auto"/>
        <w:ind w:left="1418" w:hanging="709"/>
        <w:rPr>
          <w:rFonts w:ascii="Times New Roman" w:hAnsi="Times New Roman"/>
          <w:color w:val="000000" w:themeColor="text1"/>
          <w:sz w:val="18"/>
          <w:szCs w:val="18"/>
        </w:rPr>
      </w:pPr>
      <w:r w:rsidRPr="00592AC2">
        <w:rPr>
          <w:rFonts w:ascii="Times New Roman" w:hAnsi="Times New Roman"/>
          <w:color w:val="000000" w:themeColor="text1"/>
          <w:sz w:val="18"/>
          <w:szCs w:val="18"/>
        </w:rPr>
        <w:t xml:space="preserve">Note: </w:t>
      </w:r>
      <w:r w:rsidRPr="00592AC2">
        <w:rPr>
          <w:rFonts w:ascii="Times New Roman" w:hAnsi="Times New Roman"/>
          <w:color w:val="000000" w:themeColor="text1"/>
          <w:sz w:val="18"/>
          <w:szCs w:val="18"/>
        </w:rPr>
        <w:tab/>
        <w:t>An instrument is registered when it is recorded on the Federal Register of Legislative Instruments (</w:t>
      </w:r>
      <w:r w:rsidRPr="00592AC2">
        <w:rPr>
          <w:rFonts w:ascii="Times New Roman" w:hAnsi="Times New Roman"/>
          <w:b/>
          <w:i/>
          <w:color w:val="000000" w:themeColor="text1"/>
          <w:sz w:val="18"/>
          <w:szCs w:val="18"/>
        </w:rPr>
        <w:t>FRLI</w:t>
      </w:r>
      <w:r w:rsidRPr="00592AC2">
        <w:rPr>
          <w:rFonts w:ascii="Times New Roman" w:hAnsi="Times New Roman"/>
          <w:color w:val="000000" w:themeColor="text1"/>
          <w:sz w:val="18"/>
          <w:szCs w:val="18"/>
        </w:rPr>
        <w:t xml:space="preserve">) in electronic form: see </w:t>
      </w:r>
      <w:r w:rsidRPr="00F05F0A">
        <w:rPr>
          <w:rFonts w:ascii="Times New Roman" w:hAnsi="Times New Roman"/>
          <w:i/>
          <w:color w:val="000000" w:themeColor="text1"/>
          <w:sz w:val="18"/>
          <w:szCs w:val="18"/>
        </w:rPr>
        <w:t>Legislative Instruments Act 2003</w:t>
      </w:r>
      <w:r w:rsidRPr="00592AC2">
        <w:rPr>
          <w:rFonts w:ascii="Times New Roman" w:hAnsi="Times New Roman"/>
          <w:color w:val="000000" w:themeColor="text1"/>
          <w:sz w:val="18"/>
          <w:szCs w:val="18"/>
        </w:rPr>
        <w:t xml:space="preserve">, section 4 (definition of </w:t>
      </w:r>
      <w:r w:rsidRPr="00F05F0A">
        <w:rPr>
          <w:rFonts w:ascii="Times New Roman" w:hAnsi="Times New Roman"/>
          <w:b/>
          <w:i/>
          <w:color w:val="000000" w:themeColor="text1"/>
          <w:sz w:val="18"/>
          <w:szCs w:val="18"/>
        </w:rPr>
        <w:t>register</w:t>
      </w:r>
      <w:r w:rsidRPr="00592AC2">
        <w:rPr>
          <w:rFonts w:ascii="Times New Roman" w:hAnsi="Times New Roman"/>
          <w:color w:val="000000" w:themeColor="text1"/>
          <w:sz w:val="18"/>
          <w:szCs w:val="18"/>
        </w:rPr>
        <w:t xml:space="preserve">). The FRLI may be accessed at </w:t>
      </w:r>
      <w:hyperlink r:id="rId9" w:history="1">
        <w:r w:rsidRPr="00592AC2">
          <w:rPr>
            <w:rStyle w:val="Hyperlink"/>
            <w:rFonts w:ascii="Times New Roman" w:hAnsi="Times New Roman"/>
            <w:color w:val="000000" w:themeColor="text1"/>
            <w:sz w:val="18"/>
            <w:szCs w:val="18"/>
          </w:rPr>
          <w:t>http://www.frli.gov.au/</w:t>
        </w:r>
      </w:hyperlink>
      <w:r w:rsidRPr="00592AC2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E5029D" w:rsidRPr="00592AC2" w:rsidRDefault="00E5029D" w:rsidP="007136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EF6A07" w:rsidRDefault="00EF6A07" w:rsidP="00E93BE9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Exemption—</w:t>
      </w:r>
      <w:r w:rsidR="00E5029D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Registration of a managed investment </w:t>
      </w:r>
      <w:r w:rsidR="00945B6B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scheme</w:t>
      </w:r>
      <w:r w:rsidR="00E5029D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, holding an Australian financial services licence and </w:t>
      </w:r>
      <w:r w:rsidR="00325338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financial p</w:t>
      </w:r>
      <w:r w:rsidR="00E5029D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roduct </w:t>
      </w:r>
      <w:r w:rsidR="00325338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d</w:t>
      </w:r>
      <w:r w:rsidR="00E5029D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isclosure</w:t>
      </w:r>
    </w:p>
    <w:p w:rsidR="00E5029D" w:rsidRPr="00592AC2" w:rsidRDefault="00E5029D" w:rsidP="007136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94DC2" w:rsidRPr="001839F2" w:rsidRDefault="009901BE" w:rsidP="001839F2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584C16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="00CF78B4">
        <w:rPr>
          <w:rFonts w:ascii="Times New Roman" w:hAnsi="Times New Roman"/>
          <w:color w:val="000000" w:themeColor="text1"/>
          <w:sz w:val="24"/>
          <w:szCs w:val="24"/>
        </w:rPr>
        <w:t xml:space="preserve">and a Manager </w:t>
      </w:r>
      <w:r w:rsidR="00584C16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of a 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961B7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do not have to</w:t>
      </w:r>
      <w:r w:rsidR="00C32F6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comply with</w:t>
      </w:r>
      <w:r w:rsidR="00822EAC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94DC2" w:rsidRPr="00035F18" w:rsidRDefault="00423182" w:rsidP="001839F2">
      <w:pPr>
        <w:pStyle w:val="Style1"/>
      </w:pPr>
      <w:r>
        <w:t>(a)</w:t>
      </w:r>
      <w:r>
        <w:tab/>
      </w:r>
      <w:r w:rsidR="00C32F65" w:rsidRPr="00592AC2">
        <w:t xml:space="preserve">subsection 911A(1) of the Act for the provision of a financial service in </w:t>
      </w:r>
      <w:r w:rsidR="00C32F65" w:rsidRPr="00035F18">
        <w:t>relation</w:t>
      </w:r>
      <w:r w:rsidR="00C32F65" w:rsidRPr="00592AC2">
        <w:t xml:space="preserve"> to an interest </w:t>
      </w:r>
      <w:r w:rsidR="0098503F" w:rsidRPr="00592AC2">
        <w:t xml:space="preserve">in </w:t>
      </w:r>
      <w:r w:rsidR="00584C16" w:rsidRPr="00592AC2">
        <w:t xml:space="preserve">the </w:t>
      </w:r>
      <w:r w:rsidR="00945B6B" w:rsidRPr="00592AC2">
        <w:t>scheme</w:t>
      </w:r>
      <w:r w:rsidR="00822EAC" w:rsidRPr="00592AC2">
        <w:t>; and</w:t>
      </w:r>
    </w:p>
    <w:p w:rsidR="00494DC2" w:rsidRPr="00035F18" w:rsidRDefault="00423182" w:rsidP="001839F2">
      <w:pPr>
        <w:pStyle w:val="Style1"/>
      </w:pPr>
      <w:r>
        <w:t>(b)</w:t>
      </w:r>
      <w:r>
        <w:tab/>
      </w:r>
      <w:r w:rsidR="00B4050F" w:rsidRPr="00592AC2">
        <w:t>sub</w:t>
      </w:r>
      <w:r w:rsidR="00DB437D" w:rsidRPr="00592AC2">
        <w:t>section 601ED</w:t>
      </w:r>
      <w:r w:rsidR="005C08EB" w:rsidRPr="00592AC2">
        <w:t>(5)</w:t>
      </w:r>
      <w:r w:rsidR="00494DC2" w:rsidRPr="00592AC2">
        <w:t xml:space="preserve"> of the Act</w:t>
      </w:r>
      <w:r w:rsidR="00BC035C" w:rsidRPr="00592AC2">
        <w:t xml:space="preserve"> in relation to</w:t>
      </w:r>
      <w:r w:rsidR="00C32F65" w:rsidRPr="00592AC2">
        <w:t xml:space="preserve"> the </w:t>
      </w:r>
      <w:r w:rsidR="00152108" w:rsidRPr="00592AC2">
        <w:t xml:space="preserve">operation of the </w:t>
      </w:r>
      <w:r w:rsidR="00945B6B" w:rsidRPr="00592AC2">
        <w:t>scheme</w:t>
      </w:r>
      <w:r w:rsidR="00980BCF" w:rsidRPr="00592AC2">
        <w:t>;</w:t>
      </w:r>
      <w:r w:rsidR="00822EAC" w:rsidRPr="00592AC2">
        <w:t xml:space="preserve"> and</w:t>
      </w:r>
    </w:p>
    <w:p w:rsidR="00956EF4" w:rsidRPr="00035F18" w:rsidRDefault="00423182" w:rsidP="001839F2">
      <w:pPr>
        <w:pStyle w:val="Style1"/>
      </w:pPr>
      <w:r>
        <w:t>(c)</w:t>
      </w:r>
      <w:r>
        <w:tab/>
      </w:r>
      <w:r w:rsidR="00494DC2" w:rsidRPr="00592AC2">
        <w:t>Part 7.9 of the Act</w:t>
      </w:r>
      <w:r w:rsidR="00176503" w:rsidRPr="00592AC2">
        <w:t>,</w:t>
      </w:r>
      <w:r w:rsidR="00DB437D" w:rsidRPr="00592AC2">
        <w:t xml:space="preserve"> other than section 1018A</w:t>
      </w:r>
      <w:r w:rsidR="00176503" w:rsidRPr="00592AC2">
        <w:t>,</w:t>
      </w:r>
      <w:r w:rsidR="007F5EDF" w:rsidRPr="00592AC2">
        <w:t xml:space="preserve"> </w:t>
      </w:r>
      <w:r w:rsidR="00BC035C" w:rsidRPr="00592AC2">
        <w:t xml:space="preserve">in relation to </w:t>
      </w:r>
      <w:r w:rsidR="004E2C74" w:rsidRPr="00592AC2">
        <w:t xml:space="preserve">a financial product that is </w:t>
      </w:r>
      <w:r w:rsidR="00BC035C" w:rsidRPr="00592AC2">
        <w:t>an interest in</w:t>
      </w:r>
      <w:r w:rsidR="005C08EB" w:rsidRPr="00592AC2">
        <w:t xml:space="preserve"> the </w:t>
      </w:r>
      <w:r w:rsidR="00945B6B" w:rsidRPr="00592AC2">
        <w:t>scheme</w:t>
      </w:r>
      <w:r w:rsidR="008D03C5" w:rsidRPr="00592AC2">
        <w:t>.</w:t>
      </w:r>
      <w:r w:rsidR="00E11BBF" w:rsidRPr="00592AC2">
        <w:t xml:space="preserve"> </w:t>
      </w:r>
    </w:p>
    <w:p w:rsidR="005E0398" w:rsidRDefault="005E0398" w:rsidP="00D15AF8">
      <w:pPr>
        <w:pStyle w:val="ListParagraph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59F" w:rsidRPr="00592AC2" w:rsidRDefault="004F159F" w:rsidP="00D15AF8">
      <w:pPr>
        <w:pStyle w:val="ListParagraph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i/>
          <w:color w:val="000000" w:themeColor="text1"/>
          <w:sz w:val="24"/>
          <w:szCs w:val="24"/>
        </w:rPr>
        <w:t>Where the exemption applies</w:t>
      </w:r>
    </w:p>
    <w:p w:rsidR="004F159F" w:rsidRPr="00592AC2" w:rsidRDefault="004F159F" w:rsidP="00D15AF8">
      <w:pPr>
        <w:pStyle w:val="ListParagraph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5E25" w:rsidRPr="001839F2" w:rsidRDefault="004D098B" w:rsidP="001839F2">
      <w:pPr>
        <w:pStyle w:val="ListParagraph"/>
        <w:numPr>
          <w:ilvl w:val="0"/>
          <w:numId w:val="1"/>
        </w:numPr>
        <w:spacing w:after="0"/>
        <w:ind w:hanging="7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The exemption</w:t>
      </w:r>
      <w:r w:rsidR="00C13D6B" w:rsidRPr="00592AC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in paragraph 4 only appl</w:t>
      </w:r>
      <w:r w:rsidR="00AA7F4D" w:rsidRPr="00592AC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EA37E1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5F1">
        <w:rPr>
          <w:rFonts w:ascii="Times New Roman" w:hAnsi="Times New Roman"/>
          <w:color w:val="000000" w:themeColor="text1"/>
          <w:sz w:val="24"/>
          <w:szCs w:val="24"/>
        </w:rPr>
        <w:t xml:space="preserve">to a Promoter </w:t>
      </w:r>
      <w:r w:rsidR="005E2F8F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relation to a 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5E2F8F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if</w:t>
      </w:r>
      <w:r w:rsidR="00F77F5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the Promoter</w:t>
      </w:r>
      <w:r w:rsidR="00FA5E25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A5F27" w:rsidRPr="00035F18" w:rsidRDefault="00FA5E25" w:rsidP="001839F2">
      <w:pPr>
        <w:pStyle w:val="Style1"/>
      </w:pPr>
      <w:r w:rsidRPr="00592AC2">
        <w:t>(a)</w:t>
      </w:r>
      <w:r w:rsidR="00F77F57" w:rsidRPr="00592AC2">
        <w:t xml:space="preserve"> </w:t>
      </w:r>
      <w:r w:rsidRPr="00592AC2">
        <w:tab/>
      </w:r>
      <w:r w:rsidR="00F77F57" w:rsidRPr="00592AC2">
        <w:t>ha</w:t>
      </w:r>
      <w:r w:rsidR="00D31F27" w:rsidRPr="00592AC2">
        <w:t xml:space="preserve">s </w:t>
      </w:r>
      <w:r w:rsidR="00F77F57" w:rsidRPr="00592AC2">
        <w:t>not raised more than</w:t>
      </w:r>
      <w:r w:rsidR="00EB2634" w:rsidRPr="00592AC2">
        <w:t xml:space="preserve"> </w:t>
      </w:r>
      <w:r w:rsidR="00D97B46" w:rsidRPr="00592AC2">
        <w:t>$150,000 fro</w:t>
      </w:r>
      <w:r w:rsidR="005E2F8F" w:rsidRPr="00592AC2">
        <w:t>m member</w:t>
      </w:r>
      <w:r w:rsidR="00171428" w:rsidRPr="00592AC2">
        <w:t>s</w:t>
      </w:r>
      <w:r w:rsidR="005E2F8F" w:rsidRPr="00592AC2">
        <w:t xml:space="preserve"> of the </w:t>
      </w:r>
      <w:r w:rsidR="00945B6B" w:rsidRPr="00592AC2">
        <w:t>scheme</w:t>
      </w:r>
      <w:r w:rsidR="005E2F8F" w:rsidRPr="00592AC2">
        <w:t>;</w:t>
      </w:r>
      <w:r w:rsidR="00F77F57" w:rsidRPr="00592AC2">
        <w:t xml:space="preserve"> and</w:t>
      </w:r>
    </w:p>
    <w:p w:rsidR="00C64B90" w:rsidRPr="00592AC2" w:rsidRDefault="00257DA0" w:rsidP="001839F2">
      <w:pPr>
        <w:pStyle w:val="Style1"/>
      </w:pPr>
      <w:r w:rsidRPr="00592AC2">
        <w:t>(b)</w:t>
      </w:r>
      <w:r w:rsidRPr="00592AC2">
        <w:tab/>
        <w:t>ha</w:t>
      </w:r>
      <w:r w:rsidR="00D31F27" w:rsidRPr="00592AC2">
        <w:t xml:space="preserve">s </w:t>
      </w:r>
      <w:r w:rsidRPr="00592AC2">
        <w:t xml:space="preserve">not raised more than </w:t>
      </w:r>
      <w:r w:rsidR="00686DA9" w:rsidRPr="00592AC2">
        <w:t xml:space="preserve">$2 million </w:t>
      </w:r>
      <w:r w:rsidR="001C5AE7" w:rsidRPr="00592AC2">
        <w:t>within any</w:t>
      </w:r>
      <w:r w:rsidR="000E1593" w:rsidRPr="00592AC2">
        <w:t xml:space="preserve"> 12 month</w:t>
      </w:r>
      <w:r w:rsidR="002623E4" w:rsidRPr="00592AC2">
        <w:t xml:space="preserve"> period</w:t>
      </w:r>
      <w:r w:rsidR="000E1593" w:rsidRPr="00592AC2">
        <w:t xml:space="preserve"> </w:t>
      </w:r>
      <w:r w:rsidR="00867D2C" w:rsidRPr="00592AC2">
        <w:t>from members</w:t>
      </w:r>
      <w:r w:rsidR="000E1593" w:rsidRPr="00592AC2">
        <w:t xml:space="preserve"> of</w:t>
      </w:r>
      <w:r w:rsidR="00867D2C" w:rsidRPr="00592AC2">
        <w:t xml:space="preserve"> </w:t>
      </w:r>
      <w:r w:rsidR="00F7689F" w:rsidRPr="00592AC2">
        <w:t xml:space="preserve">greyhound </w:t>
      </w:r>
      <w:r w:rsidR="00945B6B" w:rsidRPr="00592AC2">
        <w:t>scheme</w:t>
      </w:r>
      <w:r w:rsidR="007F1AF5" w:rsidRPr="00592AC2">
        <w:t>s</w:t>
      </w:r>
      <w:r w:rsidR="00F96DA1" w:rsidRPr="00592AC2">
        <w:t xml:space="preserve"> </w:t>
      </w:r>
      <w:r w:rsidR="00E7362C" w:rsidRPr="00592AC2">
        <w:t>in relation to which</w:t>
      </w:r>
      <w:r w:rsidR="00476F89" w:rsidRPr="00592AC2">
        <w:t xml:space="preserve"> </w:t>
      </w:r>
      <w:r w:rsidR="00D55920" w:rsidRPr="00592AC2">
        <w:t xml:space="preserve">schemes </w:t>
      </w:r>
      <w:r w:rsidR="00476F89" w:rsidRPr="00592AC2">
        <w:t>the Promoter</w:t>
      </w:r>
      <w:r w:rsidR="006245F1">
        <w:t>:</w:t>
      </w:r>
      <w:r w:rsidR="00DE522A">
        <w:t xml:space="preserve"> </w:t>
      </w:r>
    </w:p>
    <w:p w:rsidR="00C64B90" w:rsidRPr="00592AC2" w:rsidRDefault="00C64B90" w:rsidP="001839F2">
      <w:pPr>
        <w:pStyle w:val="Style2"/>
      </w:pPr>
      <w:r w:rsidRPr="00592AC2">
        <w:t>(i)</w:t>
      </w:r>
      <w:r w:rsidRPr="00592AC2">
        <w:tab/>
        <w:t xml:space="preserve">has </w:t>
      </w:r>
      <w:r w:rsidR="00A62855" w:rsidRPr="00592AC2">
        <w:t xml:space="preserve">relied on </w:t>
      </w:r>
      <w:r w:rsidR="00867D2C" w:rsidRPr="00592AC2">
        <w:t xml:space="preserve">any of </w:t>
      </w:r>
      <w:r w:rsidR="00A62855" w:rsidRPr="00592AC2">
        <w:t xml:space="preserve">the </w:t>
      </w:r>
      <w:r w:rsidR="00E7362C" w:rsidRPr="00592AC2">
        <w:t xml:space="preserve">exemptions in paragraph </w:t>
      </w:r>
      <w:r w:rsidR="00373836" w:rsidRPr="00592AC2">
        <w:t>4</w:t>
      </w:r>
      <w:r w:rsidRPr="00592AC2">
        <w:t>;</w:t>
      </w:r>
      <w:r w:rsidR="00B73233" w:rsidRPr="00592AC2">
        <w:t xml:space="preserve"> or </w:t>
      </w:r>
    </w:p>
    <w:p w:rsidR="00C82018" w:rsidRPr="00035F18" w:rsidRDefault="00C64B90" w:rsidP="001839F2">
      <w:pPr>
        <w:pStyle w:val="Style2"/>
      </w:pPr>
      <w:r w:rsidRPr="00592AC2">
        <w:lastRenderedPageBreak/>
        <w:t>(ii)</w:t>
      </w:r>
      <w:r w:rsidRPr="00592AC2">
        <w:tab/>
      </w:r>
      <w:r w:rsidR="002623E4" w:rsidRPr="00592AC2">
        <w:t xml:space="preserve">was </w:t>
      </w:r>
      <w:r w:rsidR="00B73233" w:rsidRPr="00592AC2">
        <w:t xml:space="preserve">required to </w:t>
      </w:r>
      <w:r w:rsidR="00434CA6" w:rsidRPr="00592AC2">
        <w:t>give a Product Disclosure Statement under the Act</w:t>
      </w:r>
      <w:r w:rsidR="00FA5E25" w:rsidRPr="00592AC2">
        <w:t>; and</w:t>
      </w:r>
      <w:r w:rsidR="00295CF1" w:rsidRPr="00592AC2">
        <w:t xml:space="preserve"> </w:t>
      </w:r>
    </w:p>
    <w:p w:rsidR="00AF046E" w:rsidRPr="00592AC2" w:rsidRDefault="00FA5E25" w:rsidP="001839F2">
      <w:pPr>
        <w:pStyle w:val="Style1"/>
      </w:pPr>
      <w:r w:rsidRPr="00592AC2">
        <w:t>(</w:t>
      </w:r>
      <w:r w:rsidR="00EB2634" w:rsidRPr="00592AC2">
        <w:t>c</w:t>
      </w:r>
      <w:r w:rsidRPr="00592AC2">
        <w:t>)</w:t>
      </w:r>
      <w:r w:rsidRPr="00592AC2">
        <w:tab/>
        <w:t>ha</w:t>
      </w:r>
      <w:r w:rsidR="00D31F27" w:rsidRPr="00592AC2">
        <w:t xml:space="preserve">s </w:t>
      </w:r>
      <w:r w:rsidR="00483EB6" w:rsidRPr="00592AC2">
        <w:t xml:space="preserve">received </w:t>
      </w:r>
      <w:r w:rsidR="002535F9" w:rsidRPr="00592AC2">
        <w:t xml:space="preserve">written </w:t>
      </w:r>
      <w:r w:rsidR="003A0A38" w:rsidRPr="00592AC2">
        <w:t>noti</w:t>
      </w:r>
      <w:r w:rsidR="000C4B05" w:rsidRPr="00592AC2">
        <w:t xml:space="preserve">ce </w:t>
      </w:r>
      <w:r w:rsidRPr="00592AC2">
        <w:t xml:space="preserve">from </w:t>
      </w:r>
      <w:r w:rsidR="00CD281A" w:rsidRPr="00592AC2">
        <w:t>the</w:t>
      </w:r>
      <w:r w:rsidR="0047459C" w:rsidRPr="00592AC2">
        <w:t xml:space="preserve"> Controlling Body </w:t>
      </w:r>
      <w:r w:rsidR="00BA400C" w:rsidRPr="00592AC2">
        <w:t xml:space="preserve">for </w:t>
      </w:r>
      <w:r w:rsidR="00CD281A" w:rsidRPr="00592AC2">
        <w:t xml:space="preserve">the </w:t>
      </w:r>
      <w:r w:rsidR="00945B6B" w:rsidRPr="00592AC2">
        <w:t>scheme</w:t>
      </w:r>
      <w:r w:rsidR="00F0532D" w:rsidRPr="00592AC2">
        <w:t xml:space="preserve"> </w:t>
      </w:r>
      <w:r w:rsidR="0047459C" w:rsidRPr="00592AC2">
        <w:t>that the</w:t>
      </w:r>
      <w:r w:rsidR="00A61B75">
        <w:t xml:space="preserve">y may </w:t>
      </w:r>
      <w:r w:rsidR="000A02CE">
        <w:t>make offers of interests in the scheme</w:t>
      </w:r>
      <w:r w:rsidR="00E66CB2" w:rsidRPr="00592AC2">
        <w:t>.</w:t>
      </w:r>
    </w:p>
    <w:p w:rsidR="006245F1" w:rsidRPr="0045704D" w:rsidRDefault="006245F1" w:rsidP="0069141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03626A" w:rsidP="00691410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i/>
          <w:color w:val="000000" w:themeColor="text1"/>
          <w:sz w:val="24"/>
          <w:szCs w:val="24"/>
        </w:rPr>
        <w:t>Conditions</w:t>
      </w:r>
    </w:p>
    <w:p w:rsidR="00E5029D" w:rsidRPr="00592AC2" w:rsidRDefault="00E5029D" w:rsidP="00D15AF8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FA5E25" w:rsidRPr="00035F18" w:rsidRDefault="00402EA0" w:rsidP="00035F18">
      <w:pPr>
        <w:pStyle w:val="ListParagraph"/>
        <w:ind w:left="709" w:hanging="709"/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A5E25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088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CF78B4">
        <w:rPr>
          <w:rFonts w:ascii="Times New Roman" w:hAnsi="Times New Roman"/>
          <w:color w:val="000000" w:themeColor="text1"/>
          <w:sz w:val="24"/>
          <w:szCs w:val="24"/>
        </w:rPr>
        <w:t>person</w:t>
      </w:r>
      <w:r w:rsidR="00CF78B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088D" w:rsidRPr="00592AC2">
        <w:rPr>
          <w:rFonts w:ascii="Times New Roman" w:hAnsi="Times New Roman"/>
          <w:color w:val="000000" w:themeColor="text1"/>
          <w:sz w:val="24"/>
          <w:szCs w:val="24"/>
        </w:rPr>
        <w:t>relying on sub</w:t>
      </w:r>
      <w:r w:rsidR="00FA5E2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paragraph 4(b) or (c) in relation to a 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FA5E2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must:</w:t>
      </w:r>
    </w:p>
    <w:p w:rsidR="00E5029D" w:rsidRPr="00035F18" w:rsidRDefault="00423182" w:rsidP="001839F2">
      <w:pPr>
        <w:pStyle w:val="Style1"/>
      </w:pPr>
      <w:r>
        <w:t>(a)</w:t>
      </w:r>
      <w:r>
        <w:tab/>
      </w:r>
      <w:r w:rsidR="00772856" w:rsidRPr="00592AC2">
        <w:t xml:space="preserve">comply with the </w:t>
      </w:r>
      <w:r w:rsidR="00CD45E1">
        <w:t xml:space="preserve">Applied </w:t>
      </w:r>
      <w:r w:rsidR="00772856" w:rsidRPr="00592AC2">
        <w:t>Rules applying to them</w:t>
      </w:r>
      <w:r w:rsidR="00A55D21">
        <w:t xml:space="preserve"> in relation to the scheme</w:t>
      </w:r>
      <w:r w:rsidR="00E5029D" w:rsidRPr="00592AC2">
        <w:t>; and</w:t>
      </w:r>
    </w:p>
    <w:p w:rsidR="00E5029D" w:rsidRPr="00035F18" w:rsidRDefault="00983648" w:rsidP="001839F2">
      <w:pPr>
        <w:pStyle w:val="Style1"/>
      </w:pPr>
      <w:r>
        <w:t>(b)</w:t>
      </w:r>
      <w:r>
        <w:tab/>
      </w:r>
      <w:r w:rsidR="00CF78B4">
        <w:t>if they are the Manager</w:t>
      </w:r>
      <w:r w:rsidR="001B53B7">
        <w:t>,</w:t>
      </w:r>
      <w:r w:rsidR="00CF78B4">
        <w:t xml:space="preserve"> </w:t>
      </w:r>
      <w:r w:rsidR="00E5029D" w:rsidRPr="00592AC2">
        <w:t>retire</w:t>
      </w:r>
      <w:r w:rsidR="009D4A50" w:rsidRPr="00592AC2">
        <w:t xml:space="preserve"> </w:t>
      </w:r>
      <w:r w:rsidR="00F12A3A" w:rsidRPr="00592AC2">
        <w:t>only</w:t>
      </w:r>
      <w:r w:rsidR="00E5029D" w:rsidRPr="00592AC2">
        <w:t xml:space="preserve"> in accordance with </w:t>
      </w:r>
      <w:r w:rsidR="00807948" w:rsidRPr="00592AC2">
        <w:t xml:space="preserve">the </w:t>
      </w:r>
      <w:r w:rsidR="00945B6B" w:rsidRPr="00592AC2">
        <w:t>scheme</w:t>
      </w:r>
      <w:r w:rsidR="00443197" w:rsidRPr="00592AC2">
        <w:t xml:space="preserve"> </w:t>
      </w:r>
      <w:r w:rsidR="00E5029D" w:rsidRPr="00592AC2">
        <w:t>agreement</w:t>
      </w:r>
      <w:r w:rsidR="00AA72AB" w:rsidRPr="00592AC2">
        <w:t xml:space="preserve"> </w:t>
      </w:r>
      <w:r w:rsidR="00E5029D" w:rsidRPr="00592AC2">
        <w:t xml:space="preserve">or </w:t>
      </w:r>
      <w:r w:rsidR="00F12A3A" w:rsidRPr="00592AC2">
        <w:t>on removal</w:t>
      </w:r>
      <w:r w:rsidR="00E5029D" w:rsidRPr="00592AC2">
        <w:t xml:space="preserve"> by the Controlling Body; and</w:t>
      </w:r>
      <w:r w:rsidR="00AA72AB" w:rsidRPr="00592AC2">
        <w:t xml:space="preserve"> </w:t>
      </w:r>
    </w:p>
    <w:p w:rsidR="00E5029D" w:rsidRPr="00035F18" w:rsidRDefault="00983648" w:rsidP="001839F2">
      <w:pPr>
        <w:pStyle w:val="Style1"/>
      </w:pPr>
      <w:r>
        <w:t>(c)</w:t>
      </w:r>
      <w:r>
        <w:tab/>
      </w:r>
      <w:r w:rsidR="00CF78B4">
        <w:t xml:space="preserve">if they are the </w:t>
      </w:r>
      <w:r w:rsidR="001B53B7">
        <w:t>P</w:t>
      </w:r>
      <w:r w:rsidR="00CF78B4">
        <w:t>romoter</w:t>
      </w:r>
      <w:r w:rsidR="001B53B7">
        <w:t>,</w:t>
      </w:r>
      <w:r w:rsidR="00CF78B4">
        <w:t xml:space="preserve"> </w:t>
      </w:r>
      <w:r w:rsidR="00E5029D" w:rsidRPr="00592AC2">
        <w:t xml:space="preserve">give the Controlling Body a copy of each of the following: </w:t>
      </w:r>
    </w:p>
    <w:p w:rsidR="00E5029D" w:rsidRPr="00035F18" w:rsidRDefault="00983648" w:rsidP="001839F2">
      <w:pPr>
        <w:pStyle w:val="Style2"/>
      </w:pPr>
      <w:r>
        <w:t>(i)</w:t>
      </w:r>
      <w:r>
        <w:tab/>
      </w:r>
      <w:r w:rsidR="00F97BCA" w:rsidRPr="00592AC2">
        <w:t xml:space="preserve">the </w:t>
      </w:r>
      <w:r w:rsidR="00945B6B" w:rsidRPr="00592AC2">
        <w:t>scheme</w:t>
      </w:r>
      <w:r w:rsidR="009931D7" w:rsidRPr="00592AC2">
        <w:t xml:space="preserve"> </w:t>
      </w:r>
      <w:r w:rsidR="00E5029D" w:rsidRPr="00592AC2">
        <w:t>agreement and any amendment</w:t>
      </w:r>
      <w:r w:rsidR="00704703" w:rsidRPr="00592AC2">
        <w:t>s</w:t>
      </w:r>
      <w:r w:rsidR="00E5029D" w:rsidRPr="00592AC2">
        <w:t xml:space="preserve"> to that agreement</w:t>
      </w:r>
      <w:r w:rsidR="00597A03" w:rsidRPr="00592AC2">
        <w:t xml:space="preserve"> </w:t>
      </w:r>
      <w:r w:rsidR="003A0A38" w:rsidRPr="00592AC2">
        <w:t xml:space="preserve">– </w:t>
      </w:r>
      <w:r w:rsidR="00597A03" w:rsidRPr="00592AC2">
        <w:t xml:space="preserve">promptly after the agreement </w:t>
      </w:r>
      <w:r w:rsidR="00014A1F" w:rsidRPr="00592AC2">
        <w:t>or amendments are</w:t>
      </w:r>
      <w:r w:rsidR="00597A03" w:rsidRPr="00592AC2">
        <w:t xml:space="preserve"> made</w:t>
      </w:r>
      <w:r w:rsidR="00E5029D" w:rsidRPr="00592AC2">
        <w:t>; and</w:t>
      </w:r>
      <w:r w:rsidR="00A74A0E" w:rsidRPr="00592AC2">
        <w:t xml:space="preserve"> </w:t>
      </w:r>
    </w:p>
    <w:p w:rsidR="00E5029D" w:rsidRPr="00035F18" w:rsidRDefault="00E5029D" w:rsidP="001839F2">
      <w:pPr>
        <w:pStyle w:val="Style2"/>
      </w:pPr>
      <w:r w:rsidRPr="00592AC2">
        <w:t>(ii)</w:t>
      </w:r>
      <w:r w:rsidRPr="00592AC2">
        <w:tab/>
        <w:t xml:space="preserve">any document </w:t>
      </w:r>
      <w:r w:rsidR="001B53B7">
        <w:t xml:space="preserve">under which the Promoter </w:t>
      </w:r>
      <w:r w:rsidR="005D0173" w:rsidRPr="00592AC2">
        <w:t>offer</w:t>
      </w:r>
      <w:r w:rsidR="001B53B7">
        <w:t>s</w:t>
      </w:r>
      <w:r w:rsidR="005D0173" w:rsidRPr="00592AC2">
        <w:t xml:space="preserve"> </w:t>
      </w:r>
      <w:r w:rsidR="00B07349" w:rsidRPr="00592AC2">
        <w:t xml:space="preserve">an </w:t>
      </w:r>
      <w:r w:rsidRPr="00592AC2">
        <w:t xml:space="preserve">interest in the </w:t>
      </w:r>
      <w:r w:rsidR="00945B6B" w:rsidRPr="00592AC2">
        <w:t>scheme</w:t>
      </w:r>
      <w:r w:rsidR="001B53B7">
        <w:t xml:space="preserve"> </w:t>
      </w:r>
      <w:r w:rsidR="000C4B05" w:rsidRPr="00592AC2">
        <w:t>–</w:t>
      </w:r>
      <w:r w:rsidR="001B53B7">
        <w:t xml:space="preserve"> </w:t>
      </w:r>
      <w:r w:rsidR="00472617" w:rsidRPr="00592AC2">
        <w:t xml:space="preserve">before it is </w:t>
      </w:r>
      <w:r w:rsidR="006737D2" w:rsidRPr="00592AC2">
        <w:t xml:space="preserve">first </w:t>
      </w:r>
      <w:r w:rsidR="00472617" w:rsidRPr="00592AC2">
        <w:t>given to a person to whom an offer is made</w:t>
      </w:r>
      <w:r w:rsidRPr="00592AC2">
        <w:t>; and</w:t>
      </w:r>
    </w:p>
    <w:p w:rsidR="009931D7" w:rsidRPr="00035F18" w:rsidRDefault="00E5029D" w:rsidP="001839F2">
      <w:pPr>
        <w:pStyle w:val="Style2"/>
      </w:pPr>
      <w:r w:rsidRPr="00592AC2">
        <w:t>(i</w:t>
      </w:r>
      <w:r w:rsidR="007E7AC4" w:rsidRPr="00592AC2">
        <w:t>ii</w:t>
      </w:r>
      <w:r w:rsidRPr="00592AC2">
        <w:t>)</w:t>
      </w:r>
      <w:r w:rsidRPr="00592AC2">
        <w:tab/>
        <w:t xml:space="preserve">any advertisement of, or other </w:t>
      </w:r>
      <w:r w:rsidR="003A0A38" w:rsidRPr="00592AC2">
        <w:t xml:space="preserve">statement </w:t>
      </w:r>
      <w:r w:rsidR="004351F6" w:rsidRPr="00592AC2">
        <w:t xml:space="preserve">that </w:t>
      </w:r>
      <w:r w:rsidR="00EA4AA9" w:rsidRPr="00592AC2">
        <w:t xml:space="preserve">the Promoter </w:t>
      </w:r>
      <w:r w:rsidR="004351F6" w:rsidRPr="00592AC2">
        <w:t xml:space="preserve">publishes </w:t>
      </w:r>
      <w:r w:rsidRPr="00592AC2">
        <w:t xml:space="preserve">that directly or indirectly refers or draws attention to, an offer of </w:t>
      </w:r>
      <w:r w:rsidR="00F06ED9" w:rsidRPr="00592AC2">
        <w:t xml:space="preserve">an </w:t>
      </w:r>
      <w:r w:rsidRPr="00592AC2">
        <w:t xml:space="preserve">interest in the </w:t>
      </w:r>
      <w:r w:rsidR="00945B6B" w:rsidRPr="00592AC2">
        <w:t>scheme</w:t>
      </w:r>
      <w:r w:rsidRPr="00592AC2">
        <w:t xml:space="preserve"> or participation in ownership of a</w:t>
      </w:r>
      <w:r w:rsidR="0003626A" w:rsidRPr="00592AC2">
        <w:t>ny</w:t>
      </w:r>
      <w:r w:rsidRPr="00592AC2">
        <w:t xml:space="preserve"> greyhound </w:t>
      </w:r>
      <w:r w:rsidR="0003626A" w:rsidRPr="00592AC2">
        <w:t xml:space="preserve">whether the subject of the </w:t>
      </w:r>
      <w:r w:rsidR="00945B6B" w:rsidRPr="00592AC2">
        <w:t>scheme</w:t>
      </w:r>
      <w:r w:rsidR="0003626A" w:rsidRPr="00592AC2">
        <w:t xml:space="preserve"> or not</w:t>
      </w:r>
      <w:r w:rsidR="000C4B05" w:rsidRPr="00592AC2">
        <w:t xml:space="preserve"> –</w:t>
      </w:r>
      <w:r w:rsidR="00295CF1" w:rsidRPr="00592AC2">
        <w:t xml:space="preserve"> promptly after the publication</w:t>
      </w:r>
      <w:r w:rsidRPr="00592AC2">
        <w:t>; and</w:t>
      </w:r>
    </w:p>
    <w:p w:rsidR="00E5029D" w:rsidRPr="00035F18" w:rsidRDefault="00983648" w:rsidP="001839F2">
      <w:pPr>
        <w:pStyle w:val="Style1"/>
      </w:pPr>
      <w:r>
        <w:t>(d)</w:t>
      </w:r>
      <w:r>
        <w:tab/>
      </w:r>
      <w:r w:rsidR="00E5029D" w:rsidRPr="00592AC2">
        <w:t xml:space="preserve">provide any assistance and information in relation to the affairs of the </w:t>
      </w:r>
      <w:r w:rsidR="00945B6B" w:rsidRPr="00592AC2">
        <w:t>scheme</w:t>
      </w:r>
      <w:r w:rsidR="00E5029D" w:rsidRPr="00592AC2">
        <w:t xml:space="preserve"> or the</w:t>
      </w:r>
      <w:r w:rsidR="00114D4D">
        <w:t>ir</w:t>
      </w:r>
      <w:r w:rsidR="00E5029D" w:rsidRPr="00592AC2">
        <w:t xml:space="preserve"> affairs to ASIC in accordance with any request of ASIC</w:t>
      </w:r>
      <w:r w:rsidR="00A92C09" w:rsidRPr="00592AC2">
        <w:t xml:space="preserve"> in writing</w:t>
      </w:r>
      <w:r w:rsidR="00E5029D" w:rsidRPr="00592AC2">
        <w:t>; and</w:t>
      </w:r>
    </w:p>
    <w:p w:rsidR="00097D37" w:rsidRPr="00035F18" w:rsidRDefault="00983648" w:rsidP="001839F2">
      <w:pPr>
        <w:pStyle w:val="Style1"/>
      </w:pPr>
      <w:r>
        <w:t>(e)</w:t>
      </w:r>
      <w:r>
        <w:tab/>
      </w:r>
      <w:r w:rsidR="00114D4D">
        <w:t>if they are the Manager</w:t>
      </w:r>
      <w:r w:rsidR="001B53B7">
        <w:t>,</w:t>
      </w:r>
      <w:r w:rsidR="00114D4D">
        <w:t xml:space="preserve"> </w:t>
      </w:r>
      <w:r w:rsidR="00287F1F" w:rsidRPr="00592AC2">
        <w:t xml:space="preserve">ensure that </w:t>
      </w:r>
      <w:r w:rsidR="00E5029D" w:rsidRPr="00592AC2">
        <w:t xml:space="preserve">within 3 months after the end of </w:t>
      </w:r>
      <w:r w:rsidR="001B53B7">
        <w:t>each</w:t>
      </w:r>
      <w:r w:rsidR="001B53B7" w:rsidRPr="00592AC2">
        <w:t xml:space="preserve"> </w:t>
      </w:r>
      <w:r w:rsidR="00E5029D" w:rsidRPr="00592AC2">
        <w:t>financial year</w:t>
      </w:r>
      <w:r w:rsidR="00CF270A" w:rsidRPr="00592AC2">
        <w:t>,</w:t>
      </w:r>
      <w:r w:rsidR="00E5029D" w:rsidRPr="00592AC2">
        <w:t xml:space="preserve"> each person who </w:t>
      </w:r>
      <w:r w:rsidR="00073B17">
        <w:t>was a member of</w:t>
      </w:r>
      <w:r w:rsidR="00E5029D" w:rsidRPr="00592AC2">
        <w:t xml:space="preserve"> the </w:t>
      </w:r>
      <w:r w:rsidR="00945B6B" w:rsidRPr="00592AC2">
        <w:t>scheme</w:t>
      </w:r>
      <w:r w:rsidR="00E5029D" w:rsidRPr="00592AC2">
        <w:t xml:space="preserve"> during the financial year</w:t>
      </w:r>
      <w:r w:rsidR="00287F1F" w:rsidRPr="00592AC2">
        <w:t xml:space="preserve"> is given</w:t>
      </w:r>
      <w:r w:rsidR="00097D37" w:rsidRPr="00592AC2">
        <w:t>:</w:t>
      </w:r>
    </w:p>
    <w:p w:rsidR="00097D37" w:rsidRPr="00035F18" w:rsidRDefault="00097D37" w:rsidP="001839F2">
      <w:pPr>
        <w:pStyle w:val="Style2"/>
      </w:pPr>
      <w:r w:rsidRPr="00592AC2">
        <w:t>(i)</w:t>
      </w:r>
      <w:r w:rsidRPr="00592AC2">
        <w:tab/>
      </w:r>
      <w:r w:rsidR="00E5029D" w:rsidRPr="00592AC2">
        <w:t xml:space="preserve">a statement of any transactions affecting the </w:t>
      </w:r>
      <w:r w:rsidRPr="00592AC2">
        <w:t xml:space="preserve">person’s </w:t>
      </w:r>
      <w:r w:rsidR="00E5029D" w:rsidRPr="00592AC2">
        <w:t xml:space="preserve">interest </w:t>
      </w:r>
      <w:r w:rsidR="00073B17">
        <w:t>in the scheme</w:t>
      </w:r>
      <w:r w:rsidR="006E639A">
        <w:t>,</w:t>
      </w:r>
      <w:r w:rsidR="00073B17">
        <w:t xml:space="preserve"> </w:t>
      </w:r>
      <w:r w:rsidR="00E5029D" w:rsidRPr="00592AC2">
        <w:t xml:space="preserve">including the </w:t>
      </w:r>
      <w:r w:rsidRPr="00592AC2">
        <w:t xml:space="preserve">person’s </w:t>
      </w:r>
      <w:r w:rsidR="00E5029D" w:rsidRPr="00592AC2">
        <w:t xml:space="preserve">contributions, expenses borne by the </w:t>
      </w:r>
      <w:r w:rsidRPr="00592AC2">
        <w:t xml:space="preserve">person </w:t>
      </w:r>
      <w:r w:rsidR="00E5029D" w:rsidRPr="00592AC2">
        <w:t xml:space="preserve">or from entitlements of the </w:t>
      </w:r>
      <w:r w:rsidRPr="00592AC2">
        <w:t xml:space="preserve">person </w:t>
      </w:r>
      <w:r w:rsidR="00E5029D" w:rsidRPr="00592AC2">
        <w:t xml:space="preserve">and winnings distributed to the </w:t>
      </w:r>
      <w:r w:rsidRPr="00592AC2">
        <w:t xml:space="preserve">person </w:t>
      </w:r>
      <w:r w:rsidR="00E5029D" w:rsidRPr="00592AC2">
        <w:t xml:space="preserve">and a statement of any amounts held for the </w:t>
      </w:r>
      <w:r w:rsidRPr="00592AC2">
        <w:t xml:space="preserve">person </w:t>
      </w:r>
      <w:r w:rsidR="00E5029D" w:rsidRPr="00592AC2">
        <w:t xml:space="preserve">at the beginning and end of the </w:t>
      </w:r>
      <w:r w:rsidR="001B53B7">
        <w:t>financial year</w:t>
      </w:r>
      <w:r w:rsidRPr="00592AC2">
        <w:t>;</w:t>
      </w:r>
      <w:r w:rsidR="00E5029D" w:rsidRPr="00592AC2">
        <w:t xml:space="preserve"> and</w:t>
      </w:r>
    </w:p>
    <w:p w:rsidR="00E5029D" w:rsidRPr="00035F18" w:rsidRDefault="00097D37" w:rsidP="001839F2">
      <w:pPr>
        <w:pStyle w:val="Style2"/>
      </w:pPr>
      <w:r w:rsidRPr="00592AC2">
        <w:t>(ii)</w:t>
      </w:r>
      <w:r w:rsidRPr="00592AC2">
        <w:tab/>
      </w:r>
      <w:r w:rsidR="00E5029D" w:rsidRPr="00592AC2">
        <w:t xml:space="preserve">a copy of </w:t>
      </w:r>
      <w:r w:rsidR="008206F9" w:rsidRPr="00592AC2">
        <w:t>the</w:t>
      </w:r>
      <w:r w:rsidR="008C1C17" w:rsidRPr="00592AC2">
        <w:t xml:space="preserve"> </w:t>
      </w:r>
      <w:r w:rsidR="008206F9" w:rsidRPr="00592AC2">
        <w:t>financial statement</w:t>
      </w:r>
      <w:r w:rsidR="001B53B7">
        <w:t>s</w:t>
      </w:r>
      <w:r w:rsidR="008206F9" w:rsidRPr="00592AC2">
        <w:t xml:space="preserve"> for the </w:t>
      </w:r>
      <w:r w:rsidR="00945B6B" w:rsidRPr="00592AC2">
        <w:t>scheme</w:t>
      </w:r>
      <w:r w:rsidR="008206F9" w:rsidRPr="00592AC2">
        <w:t xml:space="preserve"> for th</w:t>
      </w:r>
      <w:r w:rsidR="00926E9C" w:rsidRPr="00592AC2">
        <w:t>e</w:t>
      </w:r>
      <w:r w:rsidR="008206F9" w:rsidRPr="00592AC2">
        <w:t xml:space="preserve"> financial year</w:t>
      </w:r>
      <w:r w:rsidR="00E5029D" w:rsidRPr="00592AC2">
        <w:t>; and</w:t>
      </w:r>
    </w:p>
    <w:p w:rsidR="00CD23DC" w:rsidRPr="00592AC2" w:rsidRDefault="00983648" w:rsidP="006D45A3">
      <w:pPr>
        <w:pStyle w:val="Style1"/>
      </w:pPr>
      <w:r>
        <w:lastRenderedPageBreak/>
        <w:t>(f)</w:t>
      </w:r>
      <w:r>
        <w:tab/>
      </w:r>
      <w:r w:rsidR="00AA3B92" w:rsidRPr="00592AC2">
        <w:t xml:space="preserve">not </w:t>
      </w:r>
      <w:r w:rsidR="00CE71DD" w:rsidRPr="00592AC2">
        <w:t>offer</w:t>
      </w:r>
      <w:r w:rsidR="00474C80" w:rsidRPr="00592AC2">
        <w:t xml:space="preserve"> to issue</w:t>
      </w:r>
      <w:r w:rsidR="009B5F49" w:rsidRPr="00592AC2">
        <w:t>,</w:t>
      </w:r>
      <w:r w:rsidR="00CE71DD" w:rsidRPr="00592AC2">
        <w:t xml:space="preserve"> </w:t>
      </w:r>
      <w:r w:rsidR="00AA3B92" w:rsidRPr="00592AC2">
        <w:t xml:space="preserve">issue </w:t>
      </w:r>
      <w:r w:rsidR="009B5F49" w:rsidRPr="00592AC2">
        <w:t xml:space="preserve">or sell </w:t>
      </w:r>
      <w:r w:rsidR="00AA3B92" w:rsidRPr="00592AC2">
        <w:t xml:space="preserve">any interest in the </w:t>
      </w:r>
      <w:r w:rsidR="00945B6B" w:rsidRPr="00592AC2">
        <w:t>scheme</w:t>
      </w:r>
      <w:r w:rsidR="00AA3B92" w:rsidRPr="00592AC2">
        <w:t xml:space="preserve"> to a person as a retail client unless</w:t>
      </w:r>
      <w:r w:rsidR="00E37E16">
        <w:t xml:space="preserve"> </w:t>
      </w:r>
      <w:r w:rsidR="00AA3B92" w:rsidRPr="00592AC2">
        <w:t>the person was given</w:t>
      </w:r>
      <w:r w:rsidR="003072AA" w:rsidRPr="00592AC2">
        <w:t xml:space="preserve"> </w:t>
      </w:r>
      <w:r w:rsidR="00AA3B92" w:rsidRPr="00592AC2">
        <w:t xml:space="preserve">a disclosure statement </w:t>
      </w:r>
      <w:r w:rsidR="007401B3" w:rsidRPr="00592AC2">
        <w:t xml:space="preserve">at </w:t>
      </w:r>
      <w:r w:rsidR="009B5F49" w:rsidRPr="00592AC2">
        <w:t xml:space="preserve">or before </w:t>
      </w:r>
      <w:r w:rsidR="00474C80" w:rsidRPr="00592AC2">
        <w:t>the time an</w:t>
      </w:r>
      <w:r w:rsidR="001C4EE6" w:rsidRPr="00592AC2">
        <w:t>y</w:t>
      </w:r>
      <w:r w:rsidR="00474C80" w:rsidRPr="00592AC2">
        <w:t xml:space="preserve"> offer </w:t>
      </w:r>
      <w:r w:rsidR="001C4EE6" w:rsidRPr="00592AC2">
        <w:t xml:space="preserve">to issue </w:t>
      </w:r>
      <w:r w:rsidR="00474C80" w:rsidRPr="00592AC2">
        <w:t xml:space="preserve">was </w:t>
      </w:r>
      <w:r w:rsidR="007401B3" w:rsidRPr="00592AC2">
        <w:t>made to the person</w:t>
      </w:r>
      <w:r w:rsidR="001C4EE6" w:rsidRPr="00592AC2">
        <w:t xml:space="preserve">, and, if there is no offer to issue made to the person, </w:t>
      </w:r>
      <w:r w:rsidR="00DE522A">
        <w:t xml:space="preserve">before </w:t>
      </w:r>
      <w:r w:rsidR="001C4EE6" w:rsidRPr="00592AC2">
        <w:t>the issue or sale was made to the person</w:t>
      </w:r>
      <w:r w:rsidR="00DC461B" w:rsidRPr="00592AC2">
        <w:t>; and</w:t>
      </w:r>
      <w:r w:rsidR="00EF6E2E" w:rsidRPr="00592AC2">
        <w:t xml:space="preserve"> </w:t>
      </w:r>
    </w:p>
    <w:p w:rsidR="00FD4F59" w:rsidRPr="00592AC2" w:rsidRDefault="00983648" w:rsidP="001839F2">
      <w:pPr>
        <w:pStyle w:val="Style1"/>
      </w:pPr>
      <w:r>
        <w:t>(g)</w:t>
      </w:r>
      <w:r>
        <w:tab/>
      </w:r>
      <w:r w:rsidR="00114D4D">
        <w:t>if they are the Promoter</w:t>
      </w:r>
      <w:r w:rsidR="00BB47A1">
        <w:t>,</w:t>
      </w:r>
      <w:r w:rsidR="00114D4D">
        <w:t xml:space="preserve"> </w:t>
      </w:r>
      <w:r w:rsidR="00DC461B" w:rsidRPr="00592AC2">
        <w:t xml:space="preserve">make an application for registration of the </w:t>
      </w:r>
      <w:r w:rsidR="008B50D5">
        <w:t>scheme</w:t>
      </w:r>
      <w:r w:rsidR="00DC461B" w:rsidRPr="00592AC2">
        <w:t xml:space="preserve"> with the Controlling Body</w:t>
      </w:r>
      <w:r w:rsidR="00BA400C" w:rsidRPr="00592AC2">
        <w:t xml:space="preserve"> </w:t>
      </w:r>
      <w:r w:rsidR="008B50D5">
        <w:t xml:space="preserve">under its rules </w:t>
      </w:r>
      <w:r w:rsidR="00354304" w:rsidRPr="00592AC2">
        <w:t>within a reasonable time</w:t>
      </w:r>
      <w:r w:rsidR="00DC461B" w:rsidRPr="00592AC2">
        <w:t xml:space="preserve"> after</w:t>
      </w:r>
      <w:r w:rsidR="00354304" w:rsidRPr="00592AC2">
        <w:t xml:space="preserve"> all the interests in the scheme have been </w:t>
      </w:r>
      <w:r w:rsidR="00690EBF">
        <w:t>issued</w:t>
      </w:r>
      <w:r w:rsidR="00FD4F59" w:rsidRPr="00592AC2">
        <w:t>; and</w:t>
      </w:r>
    </w:p>
    <w:p w:rsidR="0018444D" w:rsidRPr="00592AC2" w:rsidRDefault="00983648" w:rsidP="001839F2">
      <w:pPr>
        <w:pStyle w:val="Style1"/>
      </w:pPr>
      <w:r>
        <w:t>(h)</w:t>
      </w:r>
      <w:r>
        <w:tab/>
      </w:r>
      <w:r w:rsidR="00114D4D">
        <w:t>if they are the Promoter</w:t>
      </w:r>
      <w:r w:rsidR="00BB47A1">
        <w:t>,</w:t>
      </w:r>
      <w:r w:rsidR="00114D4D">
        <w:t xml:space="preserve"> </w:t>
      </w:r>
      <w:r w:rsidR="0018444D" w:rsidRPr="00592AC2">
        <w:t>h</w:t>
      </w:r>
      <w:r w:rsidR="00FD4F59" w:rsidRPr="00592AC2">
        <w:t>old</w:t>
      </w:r>
      <w:r w:rsidR="0018444D" w:rsidRPr="00592AC2">
        <w:t>:</w:t>
      </w:r>
      <w:r w:rsidR="00FD4F59" w:rsidRPr="00592AC2">
        <w:t xml:space="preserve"> </w:t>
      </w:r>
    </w:p>
    <w:p w:rsidR="0018444D" w:rsidRPr="00592AC2" w:rsidRDefault="0018444D" w:rsidP="001839F2">
      <w:pPr>
        <w:pStyle w:val="Style2"/>
      </w:pPr>
      <w:r w:rsidRPr="00592AC2">
        <w:t>(i)</w:t>
      </w:r>
      <w:r w:rsidRPr="00592AC2">
        <w:tab/>
      </w:r>
      <w:r w:rsidR="00FD4F59" w:rsidRPr="00592AC2">
        <w:t>all application money received from people applying for an interest in the scheme</w:t>
      </w:r>
      <w:r w:rsidRPr="00592AC2">
        <w:t>;</w:t>
      </w:r>
      <w:r w:rsidR="00FD4F59" w:rsidRPr="00592AC2">
        <w:t xml:space="preserve"> and </w:t>
      </w:r>
    </w:p>
    <w:p w:rsidR="0018444D" w:rsidRPr="00592AC2" w:rsidRDefault="0018444D" w:rsidP="001839F2">
      <w:pPr>
        <w:pStyle w:val="Style2"/>
      </w:pPr>
      <w:r w:rsidRPr="00592AC2">
        <w:t>(ii)</w:t>
      </w:r>
      <w:r w:rsidRPr="00592AC2">
        <w:tab/>
      </w:r>
      <w:r w:rsidR="00FD4F59" w:rsidRPr="00592AC2">
        <w:t xml:space="preserve">all other money paid by them in relation to the scheme </w:t>
      </w:r>
      <w:r w:rsidRPr="00592AC2">
        <w:t>before</w:t>
      </w:r>
      <w:r w:rsidR="00BB1C3E">
        <w:t xml:space="preserve"> </w:t>
      </w:r>
      <w:r w:rsidRPr="00592AC2">
        <w:t>the scheme</w:t>
      </w:r>
      <w:r w:rsidR="00BB1C3E">
        <w:t xml:space="preserve"> </w:t>
      </w:r>
      <w:r w:rsidRPr="00592AC2">
        <w:t>is registered with the Controlling Body</w:t>
      </w:r>
      <w:r w:rsidR="008B50D5">
        <w:t xml:space="preserve"> under its rules</w:t>
      </w:r>
      <w:r w:rsidRPr="00592AC2">
        <w:t xml:space="preserve">; </w:t>
      </w:r>
    </w:p>
    <w:p w:rsidR="00BB1C3E" w:rsidRDefault="0018444D" w:rsidP="001839F2">
      <w:pPr>
        <w:pStyle w:val="ListParagraph"/>
        <w:tabs>
          <w:tab w:val="left" w:pos="2268"/>
        </w:tabs>
        <w:ind w:left="1418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br/>
        <w:t xml:space="preserve">on trust for the applicants in a trust account </w:t>
      </w:r>
      <w:r w:rsidR="00FD4F59" w:rsidRPr="00592AC2">
        <w:rPr>
          <w:rFonts w:ascii="Times New Roman" w:hAnsi="Times New Roman"/>
          <w:color w:val="000000" w:themeColor="text1"/>
          <w:sz w:val="24"/>
          <w:szCs w:val="24"/>
        </w:rPr>
        <w:t>until:</w:t>
      </w:r>
    </w:p>
    <w:p w:rsidR="0018444D" w:rsidRPr="00035F18" w:rsidRDefault="00FD4F59" w:rsidP="001839F2">
      <w:pPr>
        <w:pStyle w:val="Style2"/>
      </w:pPr>
      <w:r w:rsidRPr="00592AC2">
        <w:t>(i</w:t>
      </w:r>
      <w:r w:rsidR="0018444D" w:rsidRPr="00592AC2">
        <w:t>ii</w:t>
      </w:r>
      <w:r w:rsidRPr="00592AC2">
        <w:t>)</w:t>
      </w:r>
      <w:r w:rsidRPr="00592AC2">
        <w:tab/>
      </w:r>
      <w:r w:rsidR="00BB1C3E">
        <w:t xml:space="preserve">the </w:t>
      </w:r>
      <w:r w:rsidRPr="00592AC2">
        <w:t>scheme</w:t>
      </w:r>
      <w:r w:rsidR="0024426B">
        <w:t xml:space="preserve"> </w:t>
      </w:r>
      <w:r w:rsidRPr="00592AC2">
        <w:t>is registered with the Controlling Body</w:t>
      </w:r>
      <w:r w:rsidR="008B50D5">
        <w:t xml:space="preserve"> under its rules</w:t>
      </w:r>
      <w:r w:rsidRPr="00592AC2">
        <w:t>; or</w:t>
      </w:r>
      <w:r w:rsidR="0030072B">
        <w:t xml:space="preserve"> </w:t>
      </w:r>
    </w:p>
    <w:p w:rsidR="00757A71" w:rsidRPr="00035F18" w:rsidRDefault="0018444D" w:rsidP="001839F2">
      <w:pPr>
        <w:pStyle w:val="Style2"/>
      </w:pPr>
      <w:r w:rsidRPr="00592AC2">
        <w:t>(iv)</w:t>
      </w:r>
      <w:r w:rsidRPr="00592AC2">
        <w:tab/>
      </w:r>
      <w:r w:rsidR="00FD4F59" w:rsidRPr="00592AC2">
        <w:t>the money is returned to the applicants</w:t>
      </w:r>
      <w:r w:rsidRPr="00592AC2">
        <w:t>;</w:t>
      </w:r>
      <w:r w:rsidR="00757A71">
        <w:t xml:space="preserve"> or</w:t>
      </w:r>
    </w:p>
    <w:p w:rsidR="0018444D" w:rsidRPr="00035F18" w:rsidRDefault="00757A71" w:rsidP="001839F2">
      <w:pPr>
        <w:pStyle w:val="Style2"/>
      </w:pPr>
      <w:r>
        <w:t>(v)</w:t>
      </w:r>
      <w:r>
        <w:tab/>
        <w:t>interest</w:t>
      </w:r>
      <w:r w:rsidR="003B0FE9">
        <w:t>s</w:t>
      </w:r>
      <w:r>
        <w:t xml:space="preserve"> in the scheme</w:t>
      </w:r>
      <w:r w:rsidR="003B0FE9">
        <w:t xml:space="preserve"> are issued to the applicants</w:t>
      </w:r>
      <w:r>
        <w:t xml:space="preserve"> and</w:t>
      </w:r>
      <w:r w:rsidR="00E5560F">
        <w:t xml:space="preserve"> </w:t>
      </w:r>
      <w:r>
        <w:t xml:space="preserve">the money is applied to pay the amount agreed by </w:t>
      </w:r>
      <w:r w:rsidR="00E5560F">
        <w:t xml:space="preserve">each </w:t>
      </w:r>
      <w:r w:rsidR="003B0FE9">
        <w:t xml:space="preserve">applicant </w:t>
      </w:r>
      <w:r>
        <w:t>for their ownership interest in the greyhound</w:t>
      </w:r>
      <w:r w:rsidR="00E5560F">
        <w:t>s to which the scheme relates</w:t>
      </w:r>
      <w:r>
        <w:t>;</w:t>
      </w:r>
      <w:r w:rsidR="0018444D" w:rsidRPr="00592AC2">
        <w:t xml:space="preserve"> and</w:t>
      </w:r>
    </w:p>
    <w:p w:rsidR="00BB47A1" w:rsidRPr="00F2417B" w:rsidRDefault="00BC1D22" w:rsidP="001839F2">
      <w:pPr>
        <w:pStyle w:val="Style1"/>
      </w:pPr>
      <w:r>
        <w:t>(i)</w:t>
      </w:r>
      <w:r>
        <w:tab/>
      </w:r>
      <w:r w:rsidR="00BB47A1">
        <w:t xml:space="preserve">if </w:t>
      </w:r>
      <w:r w:rsidR="00BB47A1" w:rsidRPr="00035F18">
        <w:t>they</w:t>
      </w:r>
      <w:r w:rsidR="00BB47A1">
        <w:t xml:space="preserve"> are the Promoter, represent to each person offered an interest in the scheme</w:t>
      </w:r>
      <w:r w:rsidR="00B97897">
        <w:t xml:space="preserve"> </w:t>
      </w:r>
      <w:r w:rsidR="004B4171" w:rsidRPr="00831148">
        <w:t>in the scheme agreement or</w:t>
      </w:r>
      <w:r w:rsidR="00BB47A1" w:rsidRPr="00831148">
        <w:t xml:space="preserve"> at or before the time </w:t>
      </w:r>
      <w:r w:rsidR="00AE355B">
        <w:t>the person is</w:t>
      </w:r>
      <w:r w:rsidR="00BB47A1" w:rsidRPr="00831148">
        <w:t xml:space="preserve"> given the scheme agreement </w:t>
      </w:r>
      <w:r w:rsidR="00BB47A1" w:rsidRPr="00EA2BAF">
        <w:t xml:space="preserve">that </w:t>
      </w:r>
      <w:r w:rsidR="000C0077" w:rsidRPr="00EA2BAF">
        <w:t>they</w:t>
      </w:r>
      <w:r w:rsidR="00BB47A1" w:rsidRPr="00EA2BAF">
        <w:t xml:space="preserve"> will deal with money referred to in subparagraph (h) in the manner described </w:t>
      </w:r>
      <w:r w:rsidR="00BB47A1" w:rsidRPr="00EA47A2">
        <w:t>in subparagraph (h); and</w:t>
      </w:r>
      <w:r w:rsidR="00DE522A" w:rsidRPr="00F2417B">
        <w:t xml:space="preserve"> </w:t>
      </w:r>
    </w:p>
    <w:p w:rsidR="00191499" w:rsidRDefault="0018444D" w:rsidP="001839F2">
      <w:pPr>
        <w:pStyle w:val="Style1"/>
      </w:pPr>
      <w:r w:rsidRPr="00592AC2">
        <w:t>(</w:t>
      </w:r>
      <w:r w:rsidR="00757A71">
        <w:t>j</w:t>
      </w:r>
      <w:r w:rsidRPr="00592AC2">
        <w:t>)</w:t>
      </w:r>
      <w:r w:rsidRPr="00592AC2">
        <w:tab/>
        <w:t xml:space="preserve">if </w:t>
      </w:r>
      <w:r w:rsidR="00114D4D">
        <w:t>they are the Promoter and</w:t>
      </w:r>
      <w:r w:rsidR="00191499">
        <w:t xml:space="preserve"> either:</w:t>
      </w:r>
      <w:r w:rsidR="0024426B">
        <w:t xml:space="preserve"> </w:t>
      </w:r>
    </w:p>
    <w:p w:rsidR="00191499" w:rsidRDefault="00191499" w:rsidP="00DE79A1">
      <w:pPr>
        <w:pStyle w:val="Style2"/>
      </w:pPr>
      <w:r>
        <w:t>(i)</w:t>
      </w:r>
      <w:r>
        <w:tab/>
      </w:r>
      <w:r w:rsidR="0024426B">
        <w:t xml:space="preserve">the </w:t>
      </w:r>
      <w:r w:rsidR="0018444D" w:rsidRPr="00592AC2">
        <w:t>scheme</w:t>
      </w:r>
      <w:r w:rsidR="0024426B">
        <w:t xml:space="preserve"> </w:t>
      </w:r>
      <w:r w:rsidR="0018444D" w:rsidRPr="00592AC2">
        <w:t xml:space="preserve">is not registered with the Controlling Body </w:t>
      </w:r>
      <w:r>
        <w:t xml:space="preserve">under its rules </w:t>
      </w:r>
      <w:r w:rsidR="0018444D" w:rsidRPr="00592AC2">
        <w:t xml:space="preserve">within </w:t>
      </w:r>
      <w:r w:rsidR="00314189" w:rsidRPr="00592AC2">
        <w:t xml:space="preserve">6 months </w:t>
      </w:r>
      <w:r w:rsidR="008C3310" w:rsidRPr="00592AC2">
        <w:t>after</w:t>
      </w:r>
      <w:r w:rsidR="00314189" w:rsidRPr="00592AC2">
        <w:t xml:space="preserve"> the time of </w:t>
      </w:r>
      <w:r w:rsidR="00E53C8B" w:rsidRPr="00592AC2">
        <w:t>the first</w:t>
      </w:r>
      <w:r w:rsidR="00314189" w:rsidRPr="00592AC2">
        <w:t xml:space="preserve"> application for interests in the scheme</w:t>
      </w:r>
      <w:r>
        <w:t>;</w:t>
      </w:r>
      <w:r w:rsidR="0018444D" w:rsidRPr="00592AC2">
        <w:t xml:space="preserve"> or</w:t>
      </w:r>
      <w:r w:rsidR="00286503" w:rsidRPr="00592AC2">
        <w:t xml:space="preserve"> </w:t>
      </w:r>
    </w:p>
    <w:p w:rsidR="00191499" w:rsidRDefault="00191499" w:rsidP="00DE79A1">
      <w:pPr>
        <w:pStyle w:val="Style2"/>
      </w:pPr>
      <w:r>
        <w:t>(ii)</w:t>
      </w:r>
      <w:r>
        <w:tab/>
      </w:r>
      <w:r w:rsidR="0018444D" w:rsidRPr="00592AC2">
        <w:t xml:space="preserve">the Controlling Body notifies the Promoter that it will not register the </w:t>
      </w:r>
      <w:r>
        <w:t>scheme;</w:t>
      </w:r>
      <w:r w:rsidR="0018444D" w:rsidRPr="00592AC2">
        <w:t xml:space="preserve"> </w:t>
      </w:r>
    </w:p>
    <w:p w:rsidR="0018444D" w:rsidRPr="00592AC2" w:rsidRDefault="0018444D" w:rsidP="00DE79A1">
      <w:pPr>
        <w:pStyle w:val="Style2"/>
        <w:ind w:left="1418" w:firstLine="0"/>
      </w:pPr>
      <w:r w:rsidRPr="00592AC2">
        <w:t xml:space="preserve">return </w:t>
      </w:r>
      <w:r w:rsidR="00C91BF5" w:rsidRPr="00592AC2">
        <w:t>the</w:t>
      </w:r>
      <w:r w:rsidRPr="00592AC2">
        <w:t xml:space="preserve"> money </w:t>
      </w:r>
      <w:r w:rsidR="00C91BF5" w:rsidRPr="00592AC2">
        <w:t>referred to in</w:t>
      </w:r>
      <w:r w:rsidRPr="00592AC2">
        <w:t xml:space="preserve"> subparagraph (h)</w:t>
      </w:r>
      <w:r w:rsidR="00BF01C8">
        <w:t xml:space="preserve"> and any interest earned on that money</w:t>
      </w:r>
      <w:r w:rsidRPr="00592AC2">
        <w:t xml:space="preserve"> to </w:t>
      </w:r>
      <w:r w:rsidR="00EA2BAF">
        <w:t>each</w:t>
      </w:r>
      <w:r w:rsidR="00EA2BAF" w:rsidRPr="00592AC2">
        <w:t xml:space="preserve"> </w:t>
      </w:r>
      <w:r w:rsidRPr="00592AC2">
        <w:t>applicant</w:t>
      </w:r>
      <w:r w:rsidR="00D0222E" w:rsidRPr="00592AC2">
        <w:t xml:space="preserve"> </w:t>
      </w:r>
      <w:r w:rsidR="00BF01C8">
        <w:t>within 10 days</w:t>
      </w:r>
      <w:r w:rsidR="00DD0B4C">
        <w:t>,</w:t>
      </w:r>
      <w:r w:rsidR="00E5560F">
        <w:t xml:space="preserve"> </w:t>
      </w:r>
      <w:r w:rsidR="00831148">
        <w:t>subject to</w:t>
      </w:r>
      <w:r w:rsidR="00E5560F">
        <w:t xml:space="preserve"> the applicant transferring their </w:t>
      </w:r>
      <w:r w:rsidR="00B55518">
        <w:t xml:space="preserve">ownership </w:t>
      </w:r>
      <w:r w:rsidR="00E5560F">
        <w:t>interest in the greyhounds to which the scheme relates to</w:t>
      </w:r>
      <w:r w:rsidR="00A769F3">
        <w:t xml:space="preserve"> </w:t>
      </w:r>
      <w:r w:rsidR="00E5560F">
        <w:t>the Promoter</w:t>
      </w:r>
      <w:r w:rsidRPr="00592AC2">
        <w:t>.</w:t>
      </w:r>
    </w:p>
    <w:p w:rsidR="00DC461B" w:rsidRDefault="00DC461B" w:rsidP="001839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3D7E" w:rsidRDefault="00FD3D7E" w:rsidP="00F05F0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Persons acting on behalf Promoters or Managers</w:t>
      </w:r>
    </w:p>
    <w:p w:rsidR="00FD3D7E" w:rsidRPr="00F05F0A" w:rsidRDefault="00FD3D7E" w:rsidP="00F05F0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A0B" w:rsidRDefault="00DE5A0B" w:rsidP="00F05F0A">
      <w:p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 person does not have to comply with subsection 911B(1) </w:t>
      </w:r>
      <w:r w:rsidR="009D26DF">
        <w:rPr>
          <w:rFonts w:ascii="Times New Roman" w:hAnsi="Times New Roman"/>
          <w:color w:val="000000" w:themeColor="text1"/>
          <w:sz w:val="24"/>
          <w:szCs w:val="24"/>
        </w:rPr>
        <w:t xml:space="preserve">of the Act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where both of the following apply:</w:t>
      </w:r>
    </w:p>
    <w:p w:rsidR="00DE5A0B" w:rsidRDefault="00DE5A0B" w:rsidP="00F05F0A">
      <w:pPr>
        <w:pStyle w:val="Style1"/>
      </w:pPr>
      <w:r>
        <w:t>(a)</w:t>
      </w:r>
      <w:r>
        <w:tab/>
        <w:t>the person is providing a financial service on behalf of a Promoter or a Manager;</w:t>
      </w:r>
    </w:p>
    <w:p w:rsidR="00DE5A0B" w:rsidRDefault="00DE5A0B" w:rsidP="00F05F0A">
      <w:pPr>
        <w:pStyle w:val="Style1"/>
      </w:pPr>
      <w:r>
        <w:t>(b)</w:t>
      </w:r>
      <w:r>
        <w:tab/>
        <w:t xml:space="preserve">if </w:t>
      </w:r>
      <w:r w:rsidR="00FD3D7E">
        <w:t>t</w:t>
      </w:r>
      <w:r>
        <w:t>he Promoter or Manager provided the financial service, they would not need an Australian financial services licence because the provision of the service would be exempt under subparagraph 4(a).</w:t>
      </w:r>
    </w:p>
    <w:p w:rsidR="00DE5A0B" w:rsidRPr="001839F2" w:rsidRDefault="00DE5A0B" w:rsidP="00F05F0A">
      <w:pPr>
        <w:pStyle w:val="Style1"/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Exemption</w:t>
      </w:r>
      <w:r w:rsid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—</w:t>
      </w: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Hawking restrictions</w:t>
      </w:r>
    </w:p>
    <w:p w:rsidR="00643BF1" w:rsidRPr="00592AC2" w:rsidRDefault="00643BF1" w:rsidP="00643BF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5029D" w:rsidRPr="00592AC2" w:rsidRDefault="000B3AF1" w:rsidP="0055542C">
      <w:p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AA3B9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>rel</w:t>
      </w:r>
      <w:r w:rsidR="00AA3B9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ying </w:t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on paragraph 4 </w:t>
      </w:r>
      <w:r w:rsidR="00E27E1D" w:rsidRPr="00592AC2">
        <w:rPr>
          <w:rStyle w:val="CommentReference"/>
          <w:rFonts w:ascii="Times New Roman" w:hAnsi="Times New Roman"/>
          <w:color w:val="000000" w:themeColor="text1"/>
          <w:sz w:val="24"/>
          <w:szCs w:val="24"/>
        </w:rPr>
        <w:t>i</w:t>
      </w:r>
      <w:r w:rsidR="00E27E1D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 xml:space="preserve">n relation to a greyhound </w:t>
      </w:r>
      <w:r w:rsidR="00945B6B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>scheme</w:t>
      </w:r>
      <w:r w:rsidR="00E27E1D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 xml:space="preserve"> 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does not</w:t>
      </w:r>
      <w:r w:rsidR="0088727F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have to comply with section 992AA of the Act</w:t>
      </w:r>
      <w:r w:rsidR="009F3EC4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029D" w:rsidRPr="00592AC2" w:rsidRDefault="00E5029D" w:rsidP="005E416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55542C">
      <w:pPr>
        <w:pStyle w:val="ListParagraph"/>
        <w:spacing w:after="0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i/>
          <w:color w:val="000000" w:themeColor="text1"/>
          <w:sz w:val="24"/>
          <w:szCs w:val="24"/>
        </w:rPr>
        <w:t>Where the exemption applies</w:t>
      </w:r>
    </w:p>
    <w:p w:rsidR="00E5029D" w:rsidRPr="00592AC2" w:rsidRDefault="00E5029D" w:rsidP="0055542C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B0BDA" w:rsidRPr="001839F2" w:rsidRDefault="000B3AF1" w:rsidP="001839F2">
      <w:p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The exemption </w:t>
      </w:r>
      <w:r w:rsidR="003073A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paragraph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73A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only 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applies to </w:t>
      </w:r>
      <w:r w:rsidR="00C55C2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an offer </w:t>
      </w:r>
      <w:r w:rsidR="004B0BD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by </w:t>
      </w:r>
      <w:r w:rsidR="008960D0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B0BD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="00C55C2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of an interest in </w:t>
      </w:r>
      <w:r w:rsidR="003073A7" w:rsidRPr="00592AC2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C55C2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C55C2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for issue or sale </w:t>
      </w:r>
      <w:r w:rsidR="000E04BE" w:rsidRPr="00592AC2">
        <w:rPr>
          <w:rFonts w:ascii="Times New Roman" w:hAnsi="Times New Roman"/>
          <w:color w:val="000000" w:themeColor="text1"/>
          <w:sz w:val="24"/>
          <w:szCs w:val="24"/>
        </w:rPr>
        <w:t>where</w:t>
      </w:r>
      <w:r w:rsidR="004B0BDA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5029D" w:rsidRPr="00592AC2" w:rsidRDefault="009B6908" w:rsidP="001839F2">
      <w:pPr>
        <w:pStyle w:val="Style1"/>
      </w:pPr>
      <w:r>
        <w:t>(a)</w:t>
      </w:r>
      <w:r>
        <w:tab/>
      </w:r>
      <w:r w:rsidR="004B0BDA" w:rsidRPr="00592AC2">
        <w:t xml:space="preserve">the offer </w:t>
      </w:r>
      <w:r w:rsidR="00C81FCB" w:rsidRPr="00592AC2">
        <w:t>(</w:t>
      </w:r>
      <w:r w:rsidR="00C81FCB" w:rsidRPr="00592AC2">
        <w:rPr>
          <w:b/>
          <w:i/>
        </w:rPr>
        <w:t>unsolicited offer</w:t>
      </w:r>
      <w:r w:rsidR="00C81FCB" w:rsidRPr="00592AC2">
        <w:t xml:space="preserve">) </w:t>
      </w:r>
      <w:r w:rsidR="00EA37E1" w:rsidRPr="00592AC2">
        <w:t xml:space="preserve">is </w:t>
      </w:r>
      <w:r w:rsidR="00092459">
        <w:t xml:space="preserve">made </w:t>
      </w:r>
      <w:r w:rsidR="00AA6CE9" w:rsidRPr="00592AC2">
        <w:t>to a person (</w:t>
      </w:r>
      <w:r w:rsidR="00F32827" w:rsidRPr="00592AC2">
        <w:rPr>
          <w:b/>
          <w:i/>
        </w:rPr>
        <w:t>unsolicited offeree</w:t>
      </w:r>
      <w:r w:rsidR="00AA6CE9" w:rsidRPr="00592AC2">
        <w:t xml:space="preserve">) </w:t>
      </w:r>
      <w:r w:rsidR="00C56500" w:rsidRPr="00592AC2">
        <w:t>in the course of, or because of, an unsolicited meeting</w:t>
      </w:r>
      <w:r w:rsidR="00180AC6" w:rsidRPr="00592AC2">
        <w:t xml:space="preserve"> </w:t>
      </w:r>
      <w:r w:rsidR="00C55C2C" w:rsidRPr="00592AC2">
        <w:t xml:space="preserve">on the day of a greyhound race </w:t>
      </w:r>
      <w:r w:rsidR="0011032A" w:rsidRPr="00592AC2">
        <w:t xml:space="preserve">at </w:t>
      </w:r>
      <w:r w:rsidR="00070108" w:rsidRPr="00592AC2">
        <w:t xml:space="preserve">a </w:t>
      </w:r>
      <w:r w:rsidR="0011032A" w:rsidRPr="00592AC2">
        <w:t>greyhound racing venue or at</w:t>
      </w:r>
      <w:r w:rsidR="00A204BA" w:rsidRPr="00592AC2">
        <w:t xml:space="preserve"> a</w:t>
      </w:r>
      <w:r w:rsidR="0011032A" w:rsidRPr="00592AC2">
        <w:t xml:space="preserve"> place where bets on greyhound races can be </w:t>
      </w:r>
      <w:r w:rsidR="00C55C2C" w:rsidRPr="00592AC2">
        <w:t xml:space="preserve">lawfully </w:t>
      </w:r>
      <w:r w:rsidR="00DA77BA" w:rsidRPr="00592AC2">
        <w:t>placed</w:t>
      </w:r>
      <w:r w:rsidR="004B0BDA" w:rsidRPr="00592AC2">
        <w:t>; and</w:t>
      </w:r>
    </w:p>
    <w:p w:rsidR="0094663F" w:rsidRPr="00592AC2" w:rsidRDefault="009B6908" w:rsidP="001839F2">
      <w:pPr>
        <w:pStyle w:val="Style1"/>
      </w:pPr>
      <w:r>
        <w:t>(b)</w:t>
      </w:r>
      <w:r>
        <w:tab/>
      </w:r>
      <w:r w:rsidR="00070108" w:rsidRPr="00592AC2">
        <w:t xml:space="preserve">the meeting </w:t>
      </w:r>
      <w:r w:rsidR="003B731B" w:rsidRPr="00592AC2">
        <w:t>is</w:t>
      </w:r>
      <w:r w:rsidR="00EC719B" w:rsidRPr="00592AC2">
        <w:t xml:space="preserve"> </w:t>
      </w:r>
      <w:r w:rsidR="00E5029D" w:rsidRPr="00592AC2">
        <w:t xml:space="preserve">not prohibited by </w:t>
      </w:r>
      <w:r w:rsidR="0011032A" w:rsidRPr="00592AC2">
        <w:t xml:space="preserve">the </w:t>
      </w:r>
      <w:r w:rsidR="005E1019" w:rsidRPr="00592AC2">
        <w:t xml:space="preserve">occupier of </w:t>
      </w:r>
      <w:r w:rsidR="00070108" w:rsidRPr="00592AC2">
        <w:t xml:space="preserve">the </w:t>
      </w:r>
      <w:r w:rsidR="0011032A" w:rsidRPr="00592AC2">
        <w:t>venue</w:t>
      </w:r>
      <w:r w:rsidR="005E1019" w:rsidRPr="00592AC2">
        <w:t xml:space="preserve"> or place at the relevant time</w:t>
      </w:r>
      <w:r w:rsidR="00E5029D" w:rsidRPr="00592AC2">
        <w:t>; and</w:t>
      </w:r>
    </w:p>
    <w:p w:rsidR="00E5029D" w:rsidRPr="00592AC2" w:rsidRDefault="009B6908" w:rsidP="001839F2">
      <w:pPr>
        <w:pStyle w:val="Style1"/>
      </w:pPr>
      <w:r>
        <w:t>(c)</w:t>
      </w:r>
      <w:r>
        <w:tab/>
      </w:r>
      <w:r w:rsidR="0094663F" w:rsidRPr="00592AC2">
        <w:t>the offer include</w:t>
      </w:r>
      <w:r w:rsidR="006D4B11" w:rsidRPr="00592AC2">
        <w:t>s</w:t>
      </w:r>
      <w:r w:rsidR="0094663F" w:rsidRPr="00592AC2">
        <w:t xml:space="preserve"> a </w:t>
      </w:r>
      <w:r w:rsidR="00C77741" w:rsidRPr="00592AC2">
        <w:t xml:space="preserve">clear </w:t>
      </w:r>
      <w:r w:rsidR="0094663F" w:rsidRPr="00592AC2">
        <w:t xml:space="preserve">statement that </w:t>
      </w:r>
      <w:r w:rsidR="009846E0" w:rsidRPr="00592AC2">
        <w:t xml:space="preserve">the Promoter will </w:t>
      </w:r>
      <w:r w:rsidR="0094663F" w:rsidRPr="00592AC2">
        <w:t>no</w:t>
      </w:r>
      <w:r w:rsidR="009846E0" w:rsidRPr="00592AC2">
        <w:t>t</w:t>
      </w:r>
      <w:r w:rsidR="0094663F" w:rsidRPr="00592AC2">
        <w:t xml:space="preserve"> issue or s</w:t>
      </w:r>
      <w:r w:rsidR="009846E0" w:rsidRPr="00592AC2">
        <w:t>ell</w:t>
      </w:r>
      <w:r w:rsidR="0094663F" w:rsidRPr="00592AC2">
        <w:t xml:space="preserve"> an interest </w:t>
      </w:r>
      <w:r w:rsidR="00E67FA4" w:rsidRPr="00592AC2">
        <w:t xml:space="preserve">in </w:t>
      </w:r>
      <w:r w:rsidR="00E66CB2" w:rsidRPr="00592AC2">
        <w:t xml:space="preserve">the </w:t>
      </w:r>
      <w:r w:rsidR="00945B6B" w:rsidRPr="00592AC2">
        <w:t>scheme</w:t>
      </w:r>
      <w:r w:rsidR="0094663F" w:rsidRPr="00592AC2">
        <w:t xml:space="preserve"> </w:t>
      </w:r>
      <w:r w:rsidR="009846E0" w:rsidRPr="00592AC2">
        <w:t xml:space="preserve">to the unsolicited offeree unless </w:t>
      </w:r>
      <w:r w:rsidR="0094663F" w:rsidRPr="00592AC2">
        <w:t xml:space="preserve">the </w:t>
      </w:r>
      <w:r w:rsidR="00E66CB2" w:rsidRPr="00592AC2">
        <w:t xml:space="preserve">unsolicited offeree </w:t>
      </w:r>
      <w:r w:rsidR="0094663F" w:rsidRPr="00592AC2">
        <w:t>initiat</w:t>
      </w:r>
      <w:r w:rsidR="009846E0" w:rsidRPr="00592AC2">
        <w:t xml:space="preserve">es </w:t>
      </w:r>
      <w:r w:rsidR="0094663F" w:rsidRPr="00592AC2">
        <w:t>further discussions</w:t>
      </w:r>
      <w:r w:rsidR="009846E0" w:rsidRPr="00592AC2">
        <w:t xml:space="preserve"> with the Promoter</w:t>
      </w:r>
      <w:r w:rsidR="0094663F" w:rsidRPr="00592AC2">
        <w:t xml:space="preserve"> </w:t>
      </w:r>
      <w:r w:rsidR="00E66CB2" w:rsidRPr="00592AC2">
        <w:t>after the day of the unsolicited offer</w:t>
      </w:r>
      <w:r w:rsidR="00180AC6" w:rsidRPr="00592AC2">
        <w:t>.</w:t>
      </w:r>
    </w:p>
    <w:p w:rsidR="00F13667" w:rsidRPr="00592AC2" w:rsidRDefault="00F13667" w:rsidP="00F13667">
      <w:pPr>
        <w:tabs>
          <w:tab w:val="left" w:pos="709"/>
        </w:tabs>
        <w:spacing w:after="0"/>
        <w:ind w:left="709" w:hanging="709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50FA6" w:rsidRPr="00592AC2" w:rsidRDefault="000B3AF1" w:rsidP="00035F18">
      <w:pPr>
        <w:tabs>
          <w:tab w:val="left" w:pos="709"/>
        </w:tabs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47459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13667" w:rsidRPr="00592A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exemption in paragraph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3D19" w:rsidRPr="00592AC2">
        <w:rPr>
          <w:rFonts w:ascii="Times New Roman" w:hAnsi="Times New Roman"/>
          <w:color w:val="000000" w:themeColor="text1"/>
          <w:sz w:val="24"/>
          <w:szCs w:val="24"/>
        </w:rPr>
        <w:t>does not</w:t>
      </w:r>
      <w:r w:rsidR="00F1366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apply</w:t>
      </w:r>
      <w:r w:rsidR="00E67FA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to a Promoter if</w:t>
      </w:r>
      <w:r w:rsidR="00650FA6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the Promoter:</w:t>
      </w:r>
    </w:p>
    <w:p w:rsidR="00650FA6" w:rsidRPr="00592AC2" w:rsidRDefault="00650FA6" w:rsidP="001839F2">
      <w:pPr>
        <w:pStyle w:val="Style1"/>
      </w:pPr>
      <w:r w:rsidRPr="00592AC2">
        <w:t>(a)</w:t>
      </w:r>
      <w:r w:rsidRPr="00592AC2">
        <w:tab/>
      </w:r>
      <w:r w:rsidRPr="00592AC2">
        <w:tab/>
      </w:r>
      <w:r w:rsidR="00F53D19" w:rsidRPr="00592AC2">
        <w:t xml:space="preserve">relied on paragraph </w:t>
      </w:r>
      <w:r w:rsidR="000B3AF1">
        <w:t>8</w:t>
      </w:r>
      <w:r w:rsidR="000B3AF1" w:rsidRPr="00592AC2">
        <w:t xml:space="preserve"> </w:t>
      </w:r>
      <w:r w:rsidRPr="00592AC2">
        <w:t>in relation to an unsolicited offer</w:t>
      </w:r>
      <w:r w:rsidR="00F53D19" w:rsidRPr="00592AC2">
        <w:t xml:space="preserve"> of an interest in a greyhound </w:t>
      </w:r>
      <w:r w:rsidR="00945B6B" w:rsidRPr="00592AC2">
        <w:t>scheme</w:t>
      </w:r>
      <w:r w:rsidRPr="00592AC2">
        <w:t>; and</w:t>
      </w:r>
    </w:p>
    <w:p w:rsidR="00E5029D" w:rsidRPr="00592AC2" w:rsidRDefault="00650FA6" w:rsidP="001839F2">
      <w:pPr>
        <w:pStyle w:val="Style1"/>
      </w:pPr>
      <w:r w:rsidRPr="00592AC2">
        <w:t>(b)</w:t>
      </w:r>
      <w:r w:rsidRPr="00592AC2">
        <w:tab/>
      </w:r>
      <w:r w:rsidR="00AA6CE9" w:rsidRPr="00592AC2">
        <w:t>issue</w:t>
      </w:r>
      <w:r w:rsidRPr="00592AC2">
        <w:t>d</w:t>
      </w:r>
      <w:r w:rsidR="00AA6CE9" w:rsidRPr="00592AC2">
        <w:t xml:space="preserve"> or </w:t>
      </w:r>
      <w:r w:rsidRPr="00592AC2">
        <w:t xml:space="preserve">sold </w:t>
      </w:r>
      <w:r w:rsidR="0086648B" w:rsidRPr="00592AC2">
        <w:t xml:space="preserve">an interest in the </w:t>
      </w:r>
      <w:r w:rsidR="00945B6B" w:rsidRPr="00592AC2">
        <w:t>scheme</w:t>
      </w:r>
      <w:r w:rsidR="0086648B" w:rsidRPr="00592AC2">
        <w:t xml:space="preserve"> </w:t>
      </w:r>
      <w:r w:rsidR="00F32827" w:rsidRPr="00592AC2">
        <w:t xml:space="preserve">to </w:t>
      </w:r>
      <w:r w:rsidRPr="00592AC2">
        <w:t xml:space="preserve">the </w:t>
      </w:r>
      <w:r w:rsidR="00F32827" w:rsidRPr="00592AC2">
        <w:t xml:space="preserve">unsolicited offeree </w:t>
      </w:r>
      <w:r w:rsidR="00F13667" w:rsidRPr="00592AC2">
        <w:t xml:space="preserve">without </w:t>
      </w:r>
      <w:r w:rsidR="00F32827" w:rsidRPr="00592AC2">
        <w:t xml:space="preserve">the offeree </w:t>
      </w:r>
      <w:r w:rsidR="00F53D19" w:rsidRPr="00592AC2">
        <w:t xml:space="preserve">having </w:t>
      </w:r>
      <w:r w:rsidR="00F13667" w:rsidRPr="00592AC2">
        <w:t>initiat</w:t>
      </w:r>
      <w:r w:rsidR="00F53D19" w:rsidRPr="00592AC2">
        <w:t>ed</w:t>
      </w:r>
      <w:r w:rsidR="00F13667" w:rsidRPr="00592AC2">
        <w:t xml:space="preserve"> </w:t>
      </w:r>
      <w:r w:rsidR="0011032A" w:rsidRPr="00592AC2">
        <w:t>furthe</w:t>
      </w:r>
      <w:r w:rsidR="00EC719B" w:rsidRPr="00592AC2">
        <w:t>r discussions</w:t>
      </w:r>
      <w:r w:rsidR="005E1019" w:rsidRPr="00592AC2">
        <w:t xml:space="preserve"> </w:t>
      </w:r>
      <w:r w:rsidR="00F32827" w:rsidRPr="00592AC2">
        <w:t xml:space="preserve">with the Promoter after the </w:t>
      </w:r>
      <w:r w:rsidR="005E1019" w:rsidRPr="00592AC2">
        <w:t>day</w:t>
      </w:r>
      <w:r w:rsidR="00F32827" w:rsidRPr="00592AC2">
        <w:t xml:space="preserve"> of the </w:t>
      </w:r>
      <w:r w:rsidR="00C81FCB" w:rsidRPr="00592AC2">
        <w:t xml:space="preserve">unsolicited </w:t>
      </w:r>
      <w:r w:rsidR="00F32827" w:rsidRPr="00592AC2">
        <w:t>offer.</w:t>
      </w:r>
    </w:p>
    <w:p w:rsidR="00E5029D" w:rsidRPr="00592AC2" w:rsidRDefault="00E5029D" w:rsidP="00F13667">
      <w:pPr>
        <w:spacing w:after="0"/>
        <w:rPr>
          <w:color w:val="000000" w:themeColor="text1"/>
        </w:rPr>
      </w:pPr>
    </w:p>
    <w:p w:rsidR="00EA37E1" w:rsidRPr="00EF6A07" w:rsidRDefault="00EF6A07" w:rsidP="00EF6A07">
      <w:pPr>
        <w:keepNext/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>Declaration—</w:t>
      </w:r>
      <w:r w:rsidR="00EA37E1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Advertising restrictions</w:t>
      </w:r>
    </w:p>
    <w:p w:rsidR="00EA37E1" w:rsidRPr="00592AC2" w:rsidRDefault="00EA37E1" w:rsidP="00EB10B5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37E1" w:rsidRPr="00592AC2" w:rsidRDefault="000B3AF1" w:rsidP="00240C26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37E1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37E1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7979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Part 7.9 of the Act applies in relation to a Promoter of a 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537979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as if section 1018A were modified or varied by inserting the fo</w:t>
      </w:r>
      <w:r w:rsidR="00FF3379" w:rsidRPr="00592AC2">
        <w:rPr>
          <w:rFonts w:ascii="Times New Roman" w:hAnsi="Times New Roman"/>
          <w:color w:val="000000" w:themeColor="text1"/>
          <w:sz w:val="24"/>
          <w:szCs w:val="24"/>
        </w:rPr>
        <w:t>llowing after subsection 1018A(6</w:t>
      </w:r>
      <w:r w:rsidR="00537979" w:rsidRPr="00592AC2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537979" w:rsidRPr="00592AC2" w:rsidRDefault="00537979" w:rsidP="00240C26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37979" w:rsidRPr="00592AC2" w:rsidRDefault="00FF3379" w:rsidP="00240C26">
      <w:pPr>
        <w:pStyle w:val="ListParagraph"/>
        <w:ind w:left="1418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“(7</w:t>
      </w:r>
      <w:r w:rsidR="00537979" w:rsidRPr="00592AC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37979" w:rsidRPr="00592A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For the purposes of this section, </w:t>
      </w:r>
      <w:r w:rsidR="00110B5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section 1012C is taken to apply to a </w:t>
      </w:r>
      <w:r w:rsidR="00E67FA4" w:rsidRPr="00592AC2">
        <w:rPr>
          <w:rFonts w:ascii="Times New Roman" w:hAnsi="Times New Roman"/>
          <w:color w:val="000000" w:themeColor="text1"/>
          <w:sz w:val="24"/>
          <w:szCs w:val="24"/>
        </w:rPr>
        <w:t>sale offer if it would apply but for a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n exemption under paragraph 1020</w:t>
      </w:r>
      <w:r w:rsidR="00E67FA4" w:rsidRPr="00592AC2">
        <w:rPr>
          <w:rFonts w:ascii="Times New Roman" w:hAnsi="Times New Roman"/>
          <w:color w:val="000000" w:themeColor="text1"/>
          <w:sz w:val="24"/>
          <w:szCs w:val="24"/>
        </w:rPr>
        <w:t>F(1)(a).”.</w:t>
      </w:r>
      <w:r w:rsidR="00110B5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A37E1" w:rsidRPr="00592AC2" w:rsidRDefault="00EA37E1" w:rsidP="00EB10B5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Exemption</w:t>
      </w:r>
      <w:r w:rsid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—</w:t>
      </w: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Advertising restrictions</w:t>
      </w:r>
    </w:p>
    <w:p w:rsidR="00E5029D" w:rsidRPr="00592AC2" w:rsidRDefault="00E5029D" w:rsidP="006D45A3">
      <w:pPr>
        <w:pStyle w:val="ListParagraph"/>
        <w:keepNext/>
        <w:widowControl w:val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E5029D" w:rsidRPr="00592AC2" w:rsidRDefault="000B3AF1">
      <w:pPr>
        <w:pStyle w:val="ListParagraph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956EF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>rel</w:t>
      </w:r>
      <w:r w:rsidR="00956EF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ying </w:t>
      </w:r>
      <w:r w:rsidR="00E27E1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on paragraph 4 </w:t>
      </w:r>
      <w:r w:rsidR="00E27E1D" w:rsidRPr="00592AC2">
        <w:rPr>
          <w:rStyle w:val="CommentReference"/>
          <w:rFonts w:ascii="Times New Roman" w:hAnsi="Times New Roman"/>
          <w:color w:val="000000" w:themeColor="text1"/>
          <w:sz w:val="24"/>
          <w:szCs w:val="24"/>
        </w:rPr>
        <w:t>i</w:t>
      </w:r>
      <w:r w:rsidR="00E27E1D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 xml:space="preserve">n relation to a greyhound </w:t>
      </w:r>
      <w:r w:rsidR="00945B6B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>scheme</w:t>
      </w:r>
      <w:r w:rsidR="00E27E1D" w:rsidRPr="00592AC2">
        <w:rPr>
          <w:rFonts w:ascii="Times New Roman" w:eastAsia="Calibri" w:hAnsi="Times New Roman"/>
          <w:color w:val="000000" w:themeColor="text1"/>
          <w:sz w:val="24"/>
          <w:szCs w:val="24"/>
          <w:lang w:eastAsia="en-AU"/>
        </w:rPr>
        <w:t xml:space="preserve"> 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does not have to comply with section 1018A of the Act</w:t>
      </w:r>
      <w:r w:rsidR="00E67FA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(as notionally modified by this instrument)</w:t>
      </w:r>
      <w:r w:rsidR="004311F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in relation to a financial product that is an interest in the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0481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029D" w:rsidRPr="00592AC2" w:rsidRDefault="00E5029D" w:rsidP="004D0F7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4D0F74">
      <w:pPr>
        <w:pStyle w:val="ListParagraph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i/>
          <w:color w:val="000000" w:themeColor="text1"/>
          <w:sz w:val="24"/>
          <w:szCs w:val="24"/>
        </w:rPr>
        <w:t>Where the exemption applies</w:t>
      </w:r>
    </w:p>
    <w:p w:rsidR="00E5029D" w:rsidRPr="00592AC2" w:rsidRDefault="00E5029D" w:rsidP="004D0F7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035F18" w:rsidRDefault="000B3AF1" w:rsidP="00035F18">
      <w:pPr>
        <w:pStyle w:val="ListParagraph"/>
        <w:ind w:hanging="720"/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exemption 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paragraph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only 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applies 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relation to an advertisement or </w:t>
      </w:r>
      <w:r w:rsidR="00E8654F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>statement</w:t>
      </w:r>
      <w:r w:rsidR="004311F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in relation to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an interest in the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F6076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4A96" w:rsidRPr="00592AC2">
        <w:rPr>
          <w:rFonts w:ascii="Times New Roman" w:hAnsi="Times New Roman"/>
          <w:color w:val="000000" w:themeColor="text1"/>
          <w:sz w:val="24"/>
          <w:szCs w:val="24"/>
        </w:rPr>
        <w:t>where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43E1" w:rsidRPr="00592AC2" w:rsidRDefault="000C2B88" w:rsidP="001839F2">
      <w:pPr>
        <w:pStyle w:val="Style1"/>
      </w:pPr>
      <w:r w:rsidRPr="00592AC2">
        <w:t>(a)</w:t>
      </w:r>
      <w:r w:rsidRPr="00592AC2">
        <w:tab/>
        <w:t xml:space="preserve">a disclosure statement is available in relation to the </w:t>
      </w:r>
      <w:r w:rsidR="00945B6B" w:rsidRPr="00592AC2">
        <w:t>scheme</w:t>
      </w:r>
      <w:r w:rsidRPr="00592AC2">
        <w:t>;</w:t>
      </w:r>
      <w:r w:rsidR="00E033E5" w:rsidRPr="00592AC2">
        <w:t xml:space="preserve"> and</w:t>
      </w:r>
    </w:p>
    <w:p w:rsidR="008B43E1" w:rsidRPr="00035F18" w:rsidRDefault="008B43E1" w:rsidP="001839F2">
      <w:pPr>
        <w:pStyle w:val="Style1"/>
      </w:pPr>
      <w:r w:rsidRPr="00592AC2">
        <w:t>(b)</w:t>
      </w:r>
      <w:r w:rsidRPr="00592AC2">
        <w:tab/>
      </w:r>
      <w:r w:rsidR="004B47C7" w:rsidRPr="00592AC2">
        <w:t xml:space="preserve">the advertisement or statement </w:t>
      </w:r>
      <w:r w:rsidRPr="00592AC2">
        <w:t>identifies</w:t>
      </w:r>
      <w:r w:rsidR="004B47C7" w:rsidRPr="00592AC2">
        <w:t>:</w:t>
      </w:r>
    </w:p>
    <w:p w:rsidR="0011153E" w:rsidRPr="00592AC2" w:rsidRDefault="0011153E" w:rsidP="001839F2">
      <w:pPr>
        <w:pStyle w:val="Style2"/>
      </w:pPr>
      <w:r w:rsidRPr="00592AC2">
        <w:t>(i)</w:t>
      </w:r>
      <w:r w:rsidRPr="00592AC2">
        <w:tab/>
      </w:r>
      <w:r w:rsidR="008B43E1" w:rsidRPr="00592AC2">
        <w:t xml:space="preserve">if the </w:t>
      </w:r>
      <w:r w:rsidR="00014A1F" w:rsidRPr="00592AC2">
        <w:t>interest</w:t>
      </w:r>
      <w:r w:rsidR="008B43E1" w:rsidRPr="00592AC2">
        <w:t xml:space="preserve"> is likely to be available by way of issue—the issuer</w:t>
      </w:r>
      <w:r w:rsidR="000C2B88" w:rsidRPr="00592AC2">
        <w:rPr>
          <w:b/>
          <w:i/>
        </w:rPr>
        <w:t xml:space="preserve"> </w:t>
      </w:r>
      <w:r w:rsidRPr="00592AC2">
        <w:t xml:space="preserve">of the </w:t>
      </w:r>
      <w:r w:rsidR="00014A1F" w:rsidRPr="00592AC2">
        <w:t>interest</w:t>
      </w:r>
      <w:r w:rsidRPr="00592AC2">
        <w:t>; and</w:t>
      </w:r>
    </w:p>
    <w:p w:rsidR="009B5F49" w:rsidRPr="00035F18" w:rsidRDefault="009B6908" w:rsidP="001839F2">
      <w:pPr>
        <w:pStyle w:val="Style2"/>
      </w:pPr>
      <w:r>
        <w:t>(ii)</w:t>
      </w:r>
      <w:r>
        <w:tab/>
      </w:r>
      <w:r w:rsidR="0011153E" w:rsidRPr="00592AC2">
        <w:t xml:space="preserve">if the </w:t>
      </w:r>
      <w:r w:rsidR="00014A1F" w:rsidRPr="00592AC2">
        <w:t>interest</w:t>
      </w:r>
      <w:r w:rsidR="0011153E" w:rsidRPr="00592AC2">
        <w:t xml:space="preserve"> is likely to be made available </w:t>
      </w:r>
      <w:r w:rsidR="00024ED5">
        <w:t>in accordance with</w:t>
      </w:r>
      <w:r w:rsidR="0011153E" w:rsidRPr="00592AC2">
        <w:t xml:space="preserve"> sale offers </w:t>
      </w:r>
      <w:r w:rsidR="00014A1F" w:rsidRPr="00592AC2">
        <w:t>referred to in section 1018A of the Act (as notionally modified by this instrument)</w:t>
      </w:r>
      <w:r w:rsidR="0011153E" w:rsidRPr="00592AC2">
        <w:t xml:space="preserve">—the issuer of the </w:t>
      </w:r>
      <w:r w:rsidR="00014A1F" w:rsidRPr="00592AC2">
        <w:t>interest</w:t>
      </w:r>
      <w:r w:rsidR="0011153E" w:rsidRPr="00592AC2">
        <w:t xml:space="preserve"> and the seller of the </w:t>
      </w:r>
      <w:r w:rsidR="00014A1F" w:rsidRPr="00592AC2">
        <w:t>interest</w:t>
      </w:r>
      <w:r w:rsidR="0011153E" w:rsidRPr="00592AC2">
        <w:t>; and</w:t>
      </w:r>
    </w:p>
    <w:p w:rsidR="000C2B88" w:rsidRPr="00592AC2" w:rsidRDefault="00F60762" w:rsidP="001839F2">
      <w:pPr>
        <w:pStyle w:val="Style1"/>
      </w:pPr>
      <w:r w:rsidRPr="00592AC2">
        <w:t>(</w:t>
      </w:r>
      <w:r w:rsidR="0011153E" w:rsidRPr="00592AC2">
        <w:t>c</w:t>
      </w:r>
      <w:r w:rsidRPr="00592AC2">
        <w:t>)</w:t>
      </w:r>
      <w:r w:rsidRPr="00592AC2">
        <w:tab/>
      </w:r>
      <w:r w:rsidR="00E5029D" w:rsidRPr="00592AC2">
        <w:t xml:space="preserve">the advertisement or </w:t>
      </w:r>
      <w:r w:rsidR="002247CB" w:rsidRPr="00592AC2">
        <w:t xml:space="preserve">statement </w:t>
      </w:r>
      <w:r w:rsidR="00DD5860" w:rsidRPr="00592AC2">
        <w:t>indicates</w:t>
      </w:r>
      <w:r w:rsidR="000C2B88" w:rsidRPr="00592AC2">
        <w:t>:</w:t>
      </w:r>
      <w:r w:rsidR="00E5029D" w:rsidRPr="00592AC2">
        <w:t xml:space="preserve"> </w:t>
      </w:r>
    </w:p>
    <w:p w:rsidR="000C2B88" w:rsidRPr="00592AC2" w:rsidRDefault="000C2B88" w:rsidP="001839F2">
      <w:pPr>
        <w:pStyle w:val="Style2"/>
      </w:pPr>
      <w:r w:rsidRPr="00592AC2">
        <w:t>(i)</w:t>
      </w:r>
      <w:r w:rsidRPr="00592AC2">
        <w:tab/>
      </w:r>
      <w:r w:rsidR="00E5029D" w:rsidRPr="00592AC2">
        <w:t xml:space="preserve">that a disclosure statement is available in relation to the </w:t>
      </w:r>
      <w:r w:rsidR="00945B6B" w:rsidRPr="00592AC2">
        <w:t>scheme</w:t>
      </w:r>
      <w:r w:rsidRPr="00592AC2">
        <w:t xml:space="preserve"> and </w:t>
      </w:r>
      <w:r w:rsidR="00E5029D" w:rsidRPr="00592AC2">
        <w:t xml:space="preserve">the way </w:t>
      </w:r>
      <w:r w:rsidRPr="00592AC2">
        <w:t>it</w:t>
      </w:r>
      <w:r w:rsidR="00070108" w:rsidRPr="00592AC2">
        <w:t xml:space="preserve"> </w:t>
      </w:r>
      <w:r w:rsidR="00E5029D" w:rsidRPr="00592AC2">
        <w:t>can be obtained</w:t>
      </w:r>
      <w:r w:rsidRPr="00592AC2">
        <w:t>;</w:t>
      </w:r>
      <w:r w:rsidR="00E5029D" w:rsidRPr="00592AC2">
        <w:t xml:space="preserve"> and </w:t>
      </w:r>
    </w:p>
    <w:p w:rsidR="00E5029D" w:rsidRPr="00035F18" w:rsidRDefault="004B47C7" w:rsidP="001839F2">
      <w:pPr>
        <w:pStyle w:val="Style2"/>
      </w:pPr>
      <w:r w:rsidRPr="00592AC2">
        <w:t xml:space="preserve">(ii) </w:t>
      </w:r>
      <w:r w:rsidRPr="00592AC2">
        <w:tab/>
      </w:r>
      <w:r w:rsidR="00E5029D" w:rsidRPr="00592AC2">
        <w:t xml:space="preserve">that a person should consider the disclosure statement in deciding whether to participate in the </w:t>
      </w:r>
      <w:r w:rsidR="00945B6B" w:rsidRPr="00592AC2">
        <w:t>scheme</w:t>
      </w:r>
      <w:r w:rsidR="00E5029D" w:rsidRPr="00592AC2">
        <w:t>; and</w:t>
      </w:r>
    </w:p>
    <w:p w:rsidR="00E5029D" w:rsidRPr="00592AC2" w:rsidRDefault="009B6908" w:rsidP="001839F2">
      <w:pPr>
        <w:pStyle w:val="Style1"/>
      </w:pPr>
      <w:r>
        <w:t>(d)</w:t>
      </w:r>
      <w:r>
        <w:tab/>
      </w:r>
      <w:r w:rsidR="00E5029D" w:rsidRPr="00592AC2">
        <w:t xml:space="preserve">the </w:t>
      </w:r>
      <w:r w:rsidR="002247CB" w:rsidRPr="00592AC2">
        <w:t xml:space="preserve">Promoter has </w:t>
      </w:r>
      <w:r w:rsidR="00483EB6" w:rsidRPr="00592AC2">
        <w:t xml:space="preserve">received </w:t>
      </w:r>
      <w:r w:rsidR="002535F9" w:rsidRPr="00592AC2">
        <w:t xml:space="preserve">written </w:t>
      </w:r>
      <w:r w:rsidR="003A0A38" w:rsidRPr="00592AC2">
        <w:t>noti</w:t>
      </w:r>
      <w:r w:rsidR="006078E3" w:rsidRPr="00592AC2">
        <w:t xml:space="preserve">ce </w:t>
      </w:r>
      <w:r w:rsidR="002247CB" w:rsidRPr="00592AC2">
        <w:t>from the</w:t>
      </w:r>
      <w:r w:rsidR="00E033E5" w:rsidRPr="00592AC2">
        <w:t xml:space="preserve"> </w:t>
      </w:r>
      <w:r w:rsidR="00E5029D" w:rsidRPr="00592AC2">
        <w:t xml:space="preserve">Controlling Body </w:t>
      </w:r>
      <w:r w:rsidR="00A277C7" w:rsidRPr="00592AC2">
        <w:t xml:space="preserve">for the scheme </w:t>
      </w:r>
      <w:r w:rsidR="00E5029D" w:rsidRPr="00592AC2">
        <w:t xml:space="preserve">that offers of interests in the </w:t>
      </w:r>
      <w:r w:rsidR="00945B6B" w:rsidRPr="00592AC2">
        <w:t>scheme</w:t>
      </w:r>
      <w:r w:rsidR="00E5029D" w:rsidRPr="00592AC2">
        <w:t xml:space="preserve"> may be made and </w:t>
      </w:r>
      <w:r w:rsidR="002247CB" w:rsidRPr="00592AC2">
        <w:t xml:space="preserve">the Promoter </w:t>
      </w:r>
      <w:r w:rsidR="00E5029D" w:rsidRPr="00592AC2">
        <w:t xml:space="preserve">has not </w:t>
      </w:r>
      <w:r w:rsidR="00483EB6" w:rsidRPr="00592AC2">
        <w:t xml:space="preserve">received </w:t>
      </w:r>
      <w:r w:rsidR="002535F9" w:rsidRPr="00592AC2">
        <w:t xml:space="preserve">written </w:t>
      </w:r>
      <w:r w:rsidR="00E5029D" w:rsidRPr="00592AC2">
        <w:t>noti</w:t>
      </w:r>
      <w:r w:rsidR="006078E3" w:rsidRPr="00592AC2">
        <w:t xml:space="preserve">ce </w:t>
      </w:r>
      <w:r w:rsidR="00E033E5" w:rsidRPr="00592AC2">
        <w:t xml:space="preserve">from the body </w:t>
      </w:r>
      <w:r w:rsidR="00E5029D" w:rsidRPr="00592AC2">
        <w:t>that such offers may no longer be made.</w:t>
      </w:r>
    </w:p>
    <w:p w:rsidR="0095389F" w:rsidRPr="00592AC2" w:rsidRDefault="0095389F" w:rsidP="004D0F7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2119FC" w:rsidRPr="00EF6A07" w:rsidRDefault="002119FC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Modification</w:t>
      </w:r>
      <w:r w:rsidR="0039175C">
        <w:rPr>
          <w:rFonts w:ascii="Times New Roman" w:hAnsi="Times New Roman"/>
          <w:b/>
          <w:iCs/>
          <w:color w:val="000000" w:themeColor="text1"/>
          <w:sz w:val="24"/>
          <w:szCs w:val="24"/>
        </w:rPr>
        <w:t>—</w:t>
      </w:r>
      <w:r w:rsidR="009A12B1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S</w:t>
      </w:r>
      <w:r w:rsidR="00C34788"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cheme registration</w:t>
      </w:r>
    </w:p>
    <w:p w:rsidR="002119FC" w:rsidRPr="00592AC2" w:rsidRDefault="002119FC" w:rsidP="002119FC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19FC" w:rsidRPr="00592AC2" w:rsidRDefault="000B3AF1" w:rsidP="002119FC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19FC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C34788">
        <w:rPr>
          <w:rFonts w:ascii="Times New Roman" w:hAnsi="Times New Roman"/>
          <w:color w:val="000000" w:themeColor="text1"/>
          <w:sz w:val="24"/>
          <w:szCs w:val="24"/>
        </w:rPr>
        <w:t>apter</w:t>
      </w:r>
      <w:r w:rsidR="002119FC">
        <w:rPr>
          <w:rFonts w:ascii="Times New Roman" w:hAnsi="Times New Roman"/>
          <w:color w:val="000000" w:themeColor="text1"/>
          <w:sz w:val="24"/>
          <w:szCs w:val="24"/>
        </w:rPr>
        <w:t xml:space="preserve"> 5C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of the Act applies in relation to a </w:t>
      </w:r>
      <w:r w:rsidR="00FB1B06">
        <w:rPr>
          <w:rFonts w:ascii="Times New Roman" w:hAnsi="Times New Roman"/>
          <w:color w:val="000000" w:themeColor="text1"/>
          <w:sz w:val="24"/>
          <w:szCs w:val="24"/>
        </w:rPr>
        <w:t xml:space="preserve">person operating a managed investment scheme </w:t>
      </w:r>
      <w:r w:rsidR="00725754">
        <w:rPr>
          <w:rFonts w:ascii="Times New Roman" w:hAnsi="Times New Roman"/>
          <w:color w:val="000000" w:themeColor="text1"/>
          <w:sz w:val="24"/>
          <w:szCs w:val="24"/>
        </w:rPr>
        <w:t>relating to a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greyhound as if section </w:t>
      </w:r>
      <w:r w:rsidR="002119FC">
        <w:rPr>
          <w:rFonts w:ascii="Times New Roman" w:hAnsi="Times New Roman"/>
          <w:color w:val="000000" w:themeColor="text1"/>
          <w:sz w:val="24"/>
          <w:szCs w:val="24"/>
        </w:rPr>
        <w:t>601ED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were modified or varied by inserting the following after subsection </w:t>
      </w:r>
      <w:r w:rsidR="002119FC">
        <w:rPr>
          <w:rFonts w:ascii="Times New Roman" w:hAnsi="Times New Roman"/>
          <w:color w:val="000000" w:themeColor="text1"/>
          <w:sz w:val="24"/>
          <w:szCs w:val="24"/>
        </w:rPr>
        <w:t>601ED(2)</w:t>
      </w:r>
      <w:r w:rsidR="002119FC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19FC" w:rsidRPr="00592AC2" w:rsidRDefault="002119FC" w:rsidP="002119FC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E7AAA" w:rsidRPr="00592AC2" w:rsidRDefault="002119FC" w:rsidP="00BE7AAA">
      <w:pPr>
        <w:pStyle w:val="ListParagraph"/>
        <w:ind w:left="1418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BE7AAA">
        <w:rPr>
          <w:rFonts w:ascii="Times New Roman" w:hAnsi="Times New Roman"/>
          <w:color w:val="000000" w:themeColor="text1"/>
          <w:sz w:val="24"/>
          <w:szCs w:val="24"/>
        </w:rPr>
        <w:t>(2A)</w:t>
      </w:r>
      <w:r w:rsidR="00BE7AA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E7AA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For the purposes of </w:t>
      </w:r>
      <w:r w:rsidR="00BE7AAA">
        <w:rPr>
          <w:rFonts w:ascii="Times New Roman" w:hAnsi="Times New Roman"/>
          <w:color w:val="000000" w:themeColor="text1"/>
          <w:sz w:val="24"/>
          <w:szCs w:val="24"/>
        </w:rPr>
        <w:t>subsection (2)</w:t>
      </w:r>
      <w:r w:rsidR="00BE7AA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E7AAA">
        <w:rPr>
          <w:rFonts w:ascii="Times New Roman" w:hAnsi="Times New Roman"/>
          <w:color w:val="000000" w:themeColor="text1"/>
          <w:sz w:val="24"/>
          <w:szCs w:val="24"/>
        </w:rPr>
        <w:t xml:space="preserve">in determining whether the giving of a Product Disclosure Statement would have been required, ignore any exemption </w:t>
      </w:r>
      <w:r w:rsidR="00BE7AAA" w:rsidRPr="00592AC2">
        <w:rPr>
          <w:rFonts w:ascii="Times New Roman" w:hAnsi="Times New Roman"/>
          <w:color w:val="000000" w:themeColor="text1"/>
          <w:sz w:val="24"/>
          <w:szCs w:val="24"/>
        </w:rPr>
        <w:t>under paragraph 1020F(1)(a)</w:t>
      </w:r>
      <w:r w:rsidR="00DE1E14">
        <w:rPr>
          <w:rFonts w:ascii="Times New Roman" w:hAnsi="Times New Roman"/>
          <w:color w:val="000000" w:themeColor="text1"/>
          <w:sz w:val="24"/>
          <w:szCs w:val="24"/>
        </w:rPr>
        <w:t xml:space="preserve"> in relation to </w:t>
      </w:r>
      <w:r w:rsidR="0034518B">
        <w:rPr>
          <w:rFonts w:ascii="Times New Roman" w:hAnsi="Times New Roman"/>
          <w:color w:val="000000" w:themeColor="text1"/>
          <w:sz w:val="24"/>
          <w:szCs w:val="24"/>
        </w:rPr>
        <w:t xml:space="preserve">an </w:t>
      </w:r>
      <w:r w:rsidR="00DE1E14">
        <w:rPr>
          <w:rFonts w:ascii="Times New Roman" w:hAnsi="Times New Roman"/>
          <w:color w:val="000000" w:themeColor="text1"/>
          <w:sz w:val="24"/>
          <w:szCs w:val="24"/>
        </w:rPr>
        <w:t>offer of interests in a scheme relating to a greyhound</w:t>
      </w:r>
      <w:r w:rsidR="00BE7AA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.”. </w:t>
      </w:r>
    </w:p>
    <w:p w:rsidR="002119FC" w:rsidRPr="00592AC2" w:rsidRDefault="002119FC" w:rsidP="002119FC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Exclusion</w:t>
      </w:r>
    </w:p>
    <w:p w:rsidR="00E5029D" w:rsidRPr="00592AC2" w:rsidRDefault="00E5029D" w:rsidP="004D0F7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Default="00E5029D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B3AF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exemptions in paragraphs </w:t>
      </w:r>
      <w:r w:rsidR="00F77F57" w:rsidRPr="00592AC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960D0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B3AF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B3AF1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30BF" w:rsidRPr="00592AC2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3AF1"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B3A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B3AF1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do not apply to a </w:t>
      </w:r>
      <w:r w:rsidR="00E103A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relation to a particular </w:t>
      </w:r>
      <w:r w:rsidR="00831FA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 w:rsidR="00E103A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E103A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generally if ASIC has notified the </w:t>
      </w:r>
      <w:r w:rsidR="00460BB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Promoter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writing </w:t>
      </w:r>
      <w:r w:rsidR="00120F0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to that effect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120F0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has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not revoked </w:t>
      </w:r>
      <w:r w:rsidR="006078E3" w:rsidRPr="00592AC2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="00460BBA" w:rsidRPr="00592AC2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6078E3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noti</w:t>
      </w:r>
      <w:r w:rsidR="006078E3" w:rsidRPr="00592AC2">
        <w:rPr>
          <w:rFonts w:ascii="Times New Roman" w:hAnsi="Times New Roman"/>
          <w:color w:val="000000" w:themeColor="text1"/>
          <w:sz w:val="24"/>
          <w:szCs w:val="24"/>
        </w:rPr>
        <w:t>ce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566A" w:rsidRDefault="0041566A">
      <w:pPr>
        <w:pStyle w:val="ListParagraph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41566A" w:rsidRPr="00035F18" w:rsidRDefault="000B3AF1" w:rsidP="00035F18">
      <w:pPr>
        <w:pStyle w:val="ListParagraph"/>
        <w:ind w:left="709" w:hanging="709"/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566A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566A" w:rsidRPr="00592AC2">
        <w:rPr>
          <w:rFonts w:ascii="Times New Roman" w:hAnsi="Times New Roman"/>
          <w:color w:val="000000" w:themeColor="text1"/>
          <w:sz w:val="24"/>
          <w:szCs w:val="24"/>
        </w:rPr>
        <w:tab/>
        <w:t>The exemption in paragraph 4 do</w:t>
      </w:r>
      <w:r w:rsidR="002A261E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="0041566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not apply to a </w:t>
      </w:r>
      <w:r w:rsidR="0041566A">
        <w:rPr>
          <w:rFonts w:ascii="Times New Roman" w:hAnsi="Times New Roman"/>
          <w:color w:val="000000" w:themeColor="text1"/>
          <w:sz w:val="24"/>
          <w:szCs w:val="24"/>
        </w:rPr>
        <w:t>Manager</w:t>
      </w:r>
      <w:r w:rsidR="0041566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in relation to a particular greyhound scheme or greyhound schemes generally if ASIC has notified the </w:t>
      </w:r>
      <w:r w:rsidR="0041566A">
        <w:rPr>
          <w:rFonts w:ascii="Times New Roman" w:hAnsi="Times New Roman"/>
          <w:color w:val="000000" w:themeColor="text1"/>
          <w:sz w:val="24"/>
          <w:szCs w:val="24"/>
        </w:rPr>
        <w:t>Manager</w:t>
      </w:r>
      <w:r w:rsidR="0041566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in writing to that effect and has not revoked that notice.</w:t>
      </w: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E5029D" w:rsidRPr="00EF6A07" w:rsidRDefault="00E5029D" w:rsidP="00EF6A07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F6A07">
        <w:rPr>
          <w:rFonts w:ascii="Times New Roman" w:hAnsi="Times New Roman"/>
          <w:b/>
          <w:iCs/>
          <w:color w:val="000000" w:themeColor="text1"/>
          <w:sz w:val="24"/>
          <w:szCs w:val="24"/>
        </w:rPr>
        <w:t>Interpretation</w:t>
      </w:r>
    </w:p>
    <w:p w:rsidR="00E5029D" w:rsidRPr="00592AC2" w:rsidRDefault="00E5029D" w:rsidP="00FA0F0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0B3AF1" w:rsidP="00E01433">
      <w:p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ab/>
        <w:t>In this instrument:</w:t>
      </w:r>
    </w:p>
    <w:p w:rsidR="00E01433" w:rsidRPr="00592AC2" w:rsidRDefault="00E01433" w:rsidP="00E01433">
      <w:p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:rsidR="0023317F" w:rsidRPr="00592AC2" w:rsidRDefault="0023317F" w:rsidP="0023317F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Applied </w:t>
      </w: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Rules </w:t>
      </w:r>
      <w:r w:rsidR="00A55D21">
        <w:rPr>
          <w:rFonts w:ascii="Times New Roman" w:hAnsi="Times New Roman"/>
          <w:color w:val="000000" w:themeColor="text1"/>
          <w:sz w:val="24"/>
          <w:szCs w:val="24"/>
        </w:rPr>
        <w:t xml:space="preserve">in relation to a greyhound scheme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means the requirements in the Schedule. </w:t>
      </w:r>
    </w:p>
    <w:p w:rsidR="00361358" w:rsidRPr="00592AC2" w:rsidRDefault="00E5029D" w:rsidP="00035F18">
      <w:p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Controlling Body </w:t>
      </w:r>
      <w:r w:rsidR="00DA121D" w:rsidRPr="00592AC2">
        <w:rPr>
          <w:rFonts w:ascii="Times New Roman" w:hAnsi="Times New Roman"/>
          <w:color w:val="000000" w:themeColor="text1"/>
          <w:sz w:val="24"/>
          <w:szCs w:val="24"/>
        </w:rPr>
        <w:t>means</w:t>
      </w:r>
      <w:r w:rsidR="00B906B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 body that has</w:t>
      </w:r>
      <w:r w:rsidR="006B6C67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F4BF8" w:rsidRPr="00CB636C" w:rsidRDefault="00AF4BF8" w:rsidP="006D45A3">
      <w:pPr>
        <w:pStyle w:val="Style1"/>
        <w:spacing w:before="120"/>
      </w:pPr>
      <w:r>
        <w:t>(a)</w:t>
      </w:r>
      <w:r>
        <w:tab/>
      </w:r>
      <w:r w:rsidRPr="00CB636C">
        <w:t xml:space="preserve">published rules </w:t>
      </w:r>
      <w:r w:rsidR="008B50D5">
        <w:t>(</w:t>
      </w:r>
      <w:r w:rsidR="008B50D5" w:rsidRPr="00DE79A1">
        <w:rPr>
          <w:b/>
          <w:i/>
        </w:rPr>
        <w:t>rules</w:t>
      </w:r>
      <w:r w:rsidR="008B50D5">
        <w:t xml:space="preserve">) </w:t>
      </w:r>
      <w:r w:rsidRPr="00CB636C">
        <w:t>in relation to the regulation of greyhound schemes by the body; and</w:t>
      </w:r>
    </w:p>
    <w:p w:rsidR="001D4705" w:rsidRPr="00592AC2" w:rsidRDefault="00AF4BF8" w:rsidP="006D45A3">
      <w:pPr>
        <w:pStyle w:val="Style1"/>
        <w:spacing w:before="120"/>
      </w:pPr>
      <w:r>
        <w:t>(b)</w:t>
      </w:r>
      <w:r>
        <w:tab/>
      </w:r>
      <w:r w:rsidR="00361358" w:rsidRPr="00CB636C">
        <w:t xml:space="preserve">entered </w:t>
      </w:r>
      <w:r w:rsidR="00593C2D" w:rsidRPr="00CB636C">
        <w:t xml:space="preserve">into a memorandum of understanding </w:t>
      </w:r>
      <w:r w:rsidR="00361358" w:rsidRPr="00CB636C">
        <w:t xml:space="preserve">with ASIC </w:t>
      </w:r>
      <w:r w:rsidR="00E75A3E" w:rsidRPr="00CB636C">
        <w:t xml:space="preserve">concerning </w:t>
      </w:r>
      <w:r w:rsidR="00C54E58" w:rsidRPr="00CB636C">
        <w:t xml:space="preserve">the </w:t>
      </w:r>
      <w:r w:rsidR="00E951FE" w:rsidRPr="00CB636C">
        <w:t xml:space="preserve">regulation of greyhound </w:t>
      </w:r>
      <w:r w:rsidR="00945B6B" w:rsidRPr="00CB636C">
        <w:t>scheme</w:t>
      </w:r>
      <w:r w:rsidR="00E951FE" w:rsidRPr="00CB636C">
        <w:t>s, including in relation to</w:t>
      </w:r>
      <w:r w:rsidR="00C54E58" w:rsidRPr="00CB636C">
        <w:t xml:space="preserve"> the registration </w:t>
      </w:r>
      <w:r w:rsidR="003555A7">
        <w:t xml:space="preserve">by the body </w:t>
      </w:r>
      <w:r w:rsidR="00C54E58" w:rsidRPr="00CB636C">
        <w:t>of Promoters</w:t>
      </w:r>
      <w:r w:rsidR="003555A7">
        <w:t>, Managers</w:t>
      </w:r>
      <w:r w:rsidR="00C54E58" w:rsidRPr="00CB636C">
        <w:t xml:space="preserve"> and </w:t>
      </w:r>
      <w:r w:rsidR="00E951FE" w:rsidRPr="00CB636C">
        <w:t>g</w:t>
      </w:r>
      <w:r w:rsidR="00C54E58" w:rsidRPr="00CB636C">
        <w:t xml:space="preserve">reyhound </w:t>
      </w:r>
      <w:r w:rsidR="00945B6B" w:rsidRPr="00CB636C">
        <w:t>scheme</w:t>
      </w:r>
      <w:r w:rsidR="00C54E58" w:rsidRPr="00CB636C">
        <w:t xml:space="preserve">s, </w:t>
      </w:r>
      <w:r w:rsidR="005A063C" w:rsidRPr="00CB636C">
        <w:t>review</w:t>
      </w:r>
      <w:r w:rsidR="00E75A3E" w:rsidRPr="00CB636C">
        <w:t xml:space="preserve"> of disclosure statements</w:t>
      </w:r>
      <w:r w:rsidR="00E951FE" w:rsidRPr="00CB636C">
        <w:t>,</w:t>
      </w:r>
      <w:r w:rsidR="00E75A3E" w:rsidRPr="00CB636C">
        <w:t xml:space="preserve"> advertising</w:t>
      </w:r>
      <w:r w:rsidR="00E951FE" w:rsidRPr="00CB636C">
        <w:t xml:space="preserve"> in relation to greyhound </w:t>
      </w:r>
      <w:r w:rsidR="00945B6B" w:rsidRPr="00CB636C">
        <w:t>scheme</w:t>
      </w:r>
      <w:r w:rsidR="00E951FE" w:rsidRPr="00CB636C">
        <w:t>s</w:t>
      </w:r>
      <w:r w:rsidR="00E75A3E" w:rsidRPr="00CB636C">
        <w:t xml:space="preserve"> and monitoring of Promoters </w:t>
      </w:r>
      <w:r w:rsidR="00CB636C">
        <w:t xml:space="preserve">and Managers </w:t>
      </w:r>
      <w:r w:rsidR="00E75A3E" w:rsidRPr="00CB636C">
        <w:t xml:space="preserve">to ensure compliance with the </w:t>
      </w:r>
      <w:r w:rsidR="0023317F" w:rsidRPr="00CB636C">
        <w:t>r</w:t>
      </w:r>
      <w:r w:rsidR="00E75A3E" w:rsidRPr="00CB636C">
        <w:t>ules; and</w:t>
      </w:r>
    </w:p>
    <w:p w:rsidR="002353D8" w:rsidRPr="00CB636C" w:rsidRDefault="00AF4BF8" w:rsidP="006D45A3">
      <w:pPr>
        <w:pStyle w:val="Style1"/>
        <w:spacing w:before="120"/>
      </w:pPr>
      <w:r>
        <w:t>(c)</w:t>
      </w:r>
      <w:r>
        <w:tab/>
      </w:r>
      <w:r w:rsidR="00DA121D" w:rsidRPr="00CB636C">
        <w:t xml:space="preserve">been notified </w:t>
      </w:r>
      <w:r w:rsidR="00866CC7" w:rsidRPr="00CB636C">
        <w:t xml:space="preserve">by ASIC in writing </w:t>
      </w:r>
      <w:r w:rsidR="00DA121D" w:rsidRPr="00CB636C">
        <w:t xml:space="preserve">that it is a </w:t>
      </w:r>
      <w:r w:rsidR="00866CC7" w:rsidRPr="00CB636C">
        <w:t xml:space="preserve">recognised </w:t>
      </w:r>
      <w:r w:rsidR="00DA121D" w:rsidRPr="00CB636C">
        <w:t>Controlling Body for the purposes of this instrument</w:t>
      </w:r>
      <w:r w:rsidR="00866CC7" w:rsidRPr="00CB636C">
        <w:t xml:space="preserve"> and</w:t>
      </w:r>
      <w:r w:rsidR="00DD5D1A" w:rsidRPr="00CB636C">
        <w:t xml:space="preserve"> </w:t>
      </w:r>
      <w:r w:rsidR="00866CC7" w:rsidRPr="00CB636C">
        <w:t xml:space="preserve">ASIC has not revoked that </w:t>
      </w:r>
      <w:r w:rsidR="00D26D5D" w:rsidRPr="00CB636C">
        <w:t>noti</w:t>
      </w:r>
      <w:r w:rsidR="00BC5E97" w:rsidRPr="00CB636C">
        <w:t>fication</w:t>
      </w:r>
      <w:r w:rsidR="00EF6E2E" w:rsidRPr="00CB636C">
        <w:t>.</w:t>
      </w:r>
    </w:p>
    <w:p w:rsidR="00260442" w:rsidRPr="00592AC2" w:rsidRDefault="00260442" w:rsidP="00A277C7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A33E8" w:rsidRPr="00592AC2" w:rsidRDefault="001028CA" w:rsidP="003072AA">
      <w:p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disclosure statement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6F2" w:rsidRPr="00592AC2">
        <w:rPr>
          <w:rFonts w:ascii="Times New Roman" w:hAnsi="Times New Roman"/>
          <w:color w:val="000000" w:themeColor="text1"/>
          <w:sz w:val="24"/>
          <w:szCs w:val="24"/>
        </w:rPr>
        <w:t>in relation to a grey</w:t>
      </w:r>
      <w:r w:rsidR="002514CE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hound scheme </w:t>
      </w:r>
      <w:r w:rsidR="00120F0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means </w:t>
      </w:r>
      <w:r w:rsidR="00EA33E8" w:rsidRPr="00592AC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072A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statement </w:t>
      </w:r>
      <w:r w:rsidR="00EA33E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relating to </w:t>
      </w:r>
      <w:r w:rsidR="002514CE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EA33E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72A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346E3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contains information to </w:t>
      </w:r>
      <w:r w:rsidR="00E103A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assist persons in deciding whether to participate in the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E103A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A33E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and which names or specifies (whether by ancestry or otherwise) </w:t>
      </w:r>
      <w:r w:rsidR="00C0491C" w:rsidRPr="00592AC2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EA33E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greyhound or greyhounds </w:t>
      </w:r>
      <w:r w:rsidR="00C0491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relevant to the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C0491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6CC7" w:rsidRPr="00592AC2" w:rsidRDefault="00866CC7" w:rsidP="00DA121D">
      <w:pPr>
        <w:spacing w:after="0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53B7" w:rsidRDefault="001B53B7" w:rsidP="001955E2">
      <w:pPr>
        <w:pStyle w:val="ListParagrap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financial statements </w:t>
      </w:r>
      <w:r w:rsidR="00A55D21">
        <w:rPr>
          <w:rFonts w:ascii="Times New Roman" w:hAnsi="Times New Roman"/>
          <w:color w:val="000000" w:themeColor="text1"/>
          <w:sz w:val="24"/>
          <w:szCs w:val="24"/>
        </w:rPr>
        <w:t xml:space="preserve">in relation to </w:t>
      </w:r>
      <w:r w:rsidR="00DC3322">
        <w:rPr>
          <w:rFonts w:ascii="Times New Roman" w:hAnsi="Times New Roman"/>
          <w:color w:val="000000" w:themeColor="text1"/>
          <w:sz w:val="24"/>
          <w:szCs w:val="24"/>
        </w:rPr>
        <w:t xml:space="preserve">greyhound scheme for </w:t>
      </w:r>
      <w:r w:rsidR="00A55D21">
        <w:rPr>
          <w:rFonts w:ascii="Times New Roman" w:hAnsi="Times New Roman"/>
          <w:color w:val="000000" w:themeColor="text1"/>
          <w:sz w:val="24"/>
          <w:szCs w:val="24"/>
        </w:rPr>
        <w:t xml:space="preserve">a financial year </w:t>
      </w:r>
      <w:r w:rsidR="009B347C">
        <w:rPr>
          <w:rFonts w:ascii="Times New Roman" w:hAnsi="Times New Roman"/>
          <w:color w:val="000000" w:themeColor="text1"/>
          <w:sz w:val="24"/>
          <w:szCs w:val="24"/>
        </w:rPr>
        <w:t xml:space="preserve">means the </w:t>
      </w:r>
      <w:r w:rsidR="009B347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profit and loss </w:t>
      </w:r>
      <w:r w:rsidR="009B48E3">
        <w:rPr>
          <w:rFonts w:ascii="Times New Roman" w:hAnsi="Times New Roman"/>
          <w:color w:val="000000" w:themeColor="text1"/>
          <w:sz w:val="24"/>
          <w:szCs w:val="24"/>
        </w:rPr>
        <w:t>statements</w:t>
      </w:r>
      <w:r w:rsidR="009B347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9B347C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9B347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statement of assets and </w:t>
      </w:r>
      <w:r w:rsidR="009B347C">
        <w:rPr>
          <w:rFonts w:ascii="Times New Roman" w:hAnsi="Times New Roman"/>
          <w:color w:val="000000" w:themeColor="text1"/>
          <w:sz w:val="24"/>
          <w:szCs w:val="24"/>
        </w:rPr>
        <w:t>liabilities referred to</w:t>
      </w:r>
      <w:r w:rsidR="00AF4BF8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="00250528">
        <w:rPr>
          <w:rFonts w:ascii="Times New Roman" w:hAnsi="Times New Roman"/>
          <w:color w:val="000000" w:themeColor="text1"/>
          <w:sz w:val="24"/>
          <w:szCs w:val="24"/>
        </w:rPr>
        <w:t xml:space="preserve">clause </w:t>
      </w:r>
      <w:r w:rsidR="0086420C">
        <w:rPr>
          <w:rFonts w:ascii="Times New Roman" w:hAnsi="Times New Roman"/>
          <w:color w:val="000000" w:themeColor="text1"/>
          <w:sz w:val="24"/>
          <w:szCs w:val="24"/>
        </w:rPr>
        <w:t>3(</w:t>
      </w:r>
      <w:r w:rsidR="00DD0B4C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86420C">
        <w:rPr>
          <w:rFonts w:ascii="Times New Roman" w:hAnsi="Times New Roman"/>
          <w:color w:val="000000" w:themeColor="text1"/>
          <w:sz w:val="24"/>
          <w:szCs w:val="24"/>
        </w:rPr>
        <w:t xml:space="preserve">) of the </w:t>
      </w:r>
      <w:r w:rsidR="00DD0B4C">
        <w:rPr>
          <w:rFonts w:ascii="Times New Roman" w:hAnsi="Times New Roman"/>
          <w:color w:val="000000" w:themeColor="text1"/>
          <w:sz w:val="24"/>
          <w:szCs w:val="24"/>
        </w:rPr>
        <w:t>Applied Rules</w:t>
      </w:r>
      <w:r w:rsidR="008642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53B7" w:rsidRDefault="001B53B7" w:rsidP="001955E2">
      <w:pPr>
        <w:pStyle w:val="ListParagrap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5029D" w:rsidRPr="00592AC2" w:rsidRDefault="00E5029D" w:rsidP="001955E2">
      <w:pPr>
        <w:pStyle w:val="ListParagraph"/>
        <w:rPr>
          <w:color w:val="000000" w:themeColor="text1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financial year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E9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relation to a greyhound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D61CC9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means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the year ending </w:t>
      </w:r>
      <w:r w:rsidR="00DE08CA" w:rsidRPr="00592AC2">
        <w:rPr>
          <w:rFonts w:ascii="Times New Roman" w:hAnsi="Times New Roman"/>
          <w:color w:val="000000" w:themeColor="text1"/>
          <w:sz w:val="24"/>
          <w:szCs w:val="24"/>
        </w:rPr>
        <w:t>31 December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or such other day as specified in </w:t>
      </w:r>
      <w:r w:rsidR="009F2456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945B6B"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9F2456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agreement approved by the Controlling Body</w:t>
      </w:r>
      <w:r w:rsidR="001955E2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for the scheme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as the day on which the financial year ends</w:t>
      </w:r>
      <w:r w:rsidR="00701ECB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66F0" w:rsidRPr="00592AC2" w:rsidRDefault="00AB66F0" w:rsidP="007A35B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685F6C" w:rsidRPr="00592AC2" w:rsidRDefault="00F135C4" w:rsidP="001955E2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greyhound scheme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means a managed investment scheme</w:t>
      </w:r>
      <w:r w:rsidR="00685F6C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15AE" w:rsidRDefault="001E15AE" w:rsidP="001839F2">
      <w:pPr>
        <w:pStyle w:val="Style1"/>
      </w:pPr>
      <w:r>
        <w:t>(a)</w:t>
      </w:r>
      <w:r>
        <w:tab/>
      </w:r>
      <w:r w:rsidR="00423182">
        <w:t xml:space="preserve">in </w:t>
      </w:r>
      <w:r w:rsidR="00423182" w:rsidRPr="00831148">
        <w:t>relation</w:t>
      </w:r>
      <w:r w:rsidR="00423182">
        <w:t xml:space="preserve"> to which</w:t>
      </w:r>
      <w:r>
        <w:t>:</w:t>
      </w:r>
      <w:r w:rsidR="00423182">
        <w:t xml:space="preserve"> </w:t>
      </w:r>
    </w:p>
    <w:p w:rsidR="0048259A" w:rsidRDefault="001E15AE" w:rsidP="006D45A3">
      <w:pPr>
        <w:pStyle w:val="Style2"/>
        <w:spacing w:before="120"/>
      </w:pPr>
      <w:r>
        <w:t>(i)</w:t>
      </w:r>
      <w:r>
        <w:tab/>
      </w:r>
      <w:r w:rsidR="00E94B99">
        <w:t xml:space="preserve">the scheme </w:t>
      </w:r>
      <w:r w:rsidR="005D4142" w:rsidRPr="00592AC2">
        <w:t xml:space="preserve">is </w:t>
      </w:r>
      <w:r w:rsidR="00F135C4" w:rsidRPr="00592AC2">
        <w:t>registered with a Controlling Body</w:t>
      </w:r>
      <w:r w:rsidR="00912967">
        <w:t xml:space="preserve"> under its rules</w:t>
      </w:r>
      <w:r>
        <w:t>;</w:t>
      </w:r>
      <w:r w:rsidR="0023317F" w:rsidRPr="00592AC2">
        <w:t xml:space="preserve"> </w:t>
      </w:r>
      <w:r w:rsidR="00685F6C" w:rsidRPr="00592AC2">
        <w:t xml:space="preserve">or </w:t>
      </w:r>
    </w:p>
    <w:p w:rsidR="00602500" w:rsidRDefault="001E15AE" w:rsidP="006D45A3">
      <w:pPr>
        <w:pStyle w:val="Style2"/>
        <w:spacing w:before="120"/>
      </w:pPr>
      <w:r>
        <w:t>(ii)</w:t>
      </w:r>
      <w:r>
        <w:tab/>
      </w:r>
      <w:r w:rsidR="00602500">
        <w:t xml:space="preserve">both of the following are satisfied: </w:t>
      </w:r>
    </w:p>
    <w:p w:rsidR="00602500" w:rsidRDefault="00602500" w:rsidP="006D45A3">
      <w:pPr>
        <w:pStyle w:val="Style3"/>
        <w:spacing w:before="120"/>
      </w:pPr>
      <w:r>
        <w:t>(A)</w:t>
      </w:r>
      <w:r>
        <w:tab/>
      </w:r>
      <w:r w:rsidR="008B50D5">
        <w:t>the scheme is not, and has not</w:t>
      </w:r>
      <w:r>
        <w:t xml:space="preserve"> been</w:t>
      </w:r>
      <w:r w:rsidR="008B50D5">
        <w:t>,</w:t>
      </w:r>
      <w:r>
        <w:t xml:space="preserve"> registered with a Controlling Body; </w:t>
      </w:r>
    </w:p>
    <w:p w:rsidR="00685F6C" w:rsidRPr="00592AC2" w:rsidRDefault="00602500" w:rsidP="006D45A3">
      <w:pPr>
        <w:pStyle w:val="Style3"/>
        <w:spacing w:before="120"/>
      </w:pPr>
      <w:r>
        <w:t>(B)</w:t>
      </w:r>
      <w:r>
        <w:tab/>
      </w:r>
      <w:r w:rsidR="00685F6C" w:rsidRPr="00592AC2">
        <w:t xml:space="preserve">the </w:t>
      </w:r>
      <w:r w:rsidR="001955E2" w:rsidRPr="00592AC2">
        <w:t>Promoter</w:t>
      </w:r>
      <w:r w:rsidR="00685F6C" w:rsidRPr="00592AC2">
        <w:t xml:space="preserve"> </w:t>
      </w:r>
      <w:r w:rsidR="001955E2" w:rsidRPr="00592AC2">
        <w:t xml:space="preserve">of the scheme </w:t>
      </w:r>
      <w:r w:rsidR="00685F6C" w:rsidRPr="00592AC2">
        <w:t xml:space="preserve">has notified a Controlling Body that it will apply to the Controlling Body for registration </w:t>
      </w:r>
      <w:r>
        <w:t xml:space="preserve">of </w:t>
      </w:r>
      <w:r w:rsidR="008B50D5">
        <w:t>the scheme under its rules</w:t>
      </w:r>
      <w:r w:rsidR="00685F6C" w:rsidRPr="00592AC2">
        <w:t>; and</w:t>
      </w:r>
    </w:p>
    <w:p w:rsidR="00685F6C" w:rsidRPr="00592AC2" w:rsidRDefault="00685F6C" w:rsidP="001839F2">
      <w:pPr>
        <w:pStyle w:val="Style1"/>
      </w:pPr>
      <w:r w:rsidRPr="00592AC2">
        <w:t>(b)</w:t>
      </w:r>
      <w:r w:rsidRPr="00592AC2">
        <w:tab/>
      </w:r>
      <w:r w:rsidR="001E15AE">
        <w:t xml:space="preserve">that </w:t>
      </w:r>
      <w:r w:rsidR="00F135C4" w:rsidRPr="00592AC2">
        <w:t>concern</w:t>
      </w:r>
      <w:r w:rsidRPr="00592AC2">
        <w:t>s</w:t>
      </w:r>
      <w:r w:rsidR="00F135C4" w:rsidRPr="00592AC2">
        <w:t xml:space="preserve"> the breeding or racing of greyhounds named or specified (whether by ancestry or otherwise) in a disclosure statement</w:t>
      </w:r>
      <w:r w:rsidRPr="00592AC2">
        <w:t>;</w:t>
      </w:r>
      <w:r w:rsidR="00F135C4" w:rsidRPr="00592AC2">
        <w:t xml:space="preserve"> and </w:t>
      </w:r>
    </w:p>
    <w:p w:rsidR="00F135C4" w:rsidRPr="00592AC2" w:rsidRDefault="00685F6C" w:rsidP="001839F2">
      <w:pPr>
        <w:pStyle w:val="Style1"/>
      </w:pPr>
      <w:r w:rsidRPr="00592AC2">
        <w:t>(c)</w:t>
      </w:r>
      <w:r w:rsidRPr="00592AC2">
        <w:tab/>
      </w:r>
      <w:r w:rsidR="001E15AE">
        <w:t xml:space="preserve">that </w:t>
      </w:r>
      <w:r w:rsidR="00F135C4" w:rsidRPr="00592AC2">
        <w:t>is or is to be operated in accordance with a scheme agreement</w:t>
      </w:r>
      <w:r w:rsidR="00740B6B" w:rsidRPr="00592AC2">
        <w:t xml:space="preserve"> appointing a Manager</w:t>
      </w:r>
      <w:r w:rsidR="00F135C4" w:rsidRPr="00592AC2">
        <w:t>.</w:t>
      </w:r>
    </w:p>
    <w:p w:rsidR="009B6908" w:rsidRDefault="009B6908" w:rsidP="00035F18">
      <w:pPr>
        <w:pStyle w:val="ListParagrap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F4BF8" w:rsidRPr="00035F18" w:rsidRDefault="008674E0" w:rsidP="006D45A3">
      <w:pPr>
        <w:pStyle w:val="ListParagraph"/>
        <w:spacing w:after="120"/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Manager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in relation to a greyhound scheme means </w:t>
      </w:r>
      <w:r w:rsidR="000E7B0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E7B04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B6B" w:rsidRPr="00592AC2">
        <w:rPr>
          <w:rFonts w:ascii="Times New Roman" w:hAnsi="Times New Roman"/>
          <w:color w:val="000000" w:themeColor="text1"/>
          <w:sz w:val="24"/>
          <w:szCs w:val="24"/>
        </w:rPr>
        <w:t>natural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person</w:t>
      </w:r>
      <w:r w:rsidR="00D31F2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who</w:t>
      </w:r>
      <w:r w:rsidR="00AF4BF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F4BF8" w:rsidRDefault="00AF4BF8" w:rsidP="006D45A3">
      <w:pPr>
        <w:pStyle w:val="Style1"/>
        <w:spacing w:before="120"/>
      </w:pPr>
      <w:r>
        <w:t>(a)</w:t>
      </w:r>
      <w:r>
        <w:tab/>
      </w:r>
      <w:r w:rsidR="00DB2249">
        <w:t xml:space="preserve">before the scheme is registered with a Controlling Body under its rules </w:t>
      </w:r>
      <w:r w:rsidR="002112B1" w:rsidRPr="00592AC2">
        <w:t>—</w:t>
      </w:r>
      <w:r w:rsidR="00DB2249">
        <w:t xml:space="preserve"> </w:t>
      </w:r>
      <w:r w:rsidR="008674E0" w:rsidRPr="00592AC2">
        <w:t xml:space="preserve">is named as </w:t>
      </w:r>
      <w:r w:rsidR="00FF19EC" w:rsidRPr="00592AC2">
        <w:t xml:space="preserve">the </w:t>
      </w:r>
      <w:r w:rsidR="0086420C">
        <w:t>m</w:t>
      </w:r>
      <w:r w:rsidR="0086420C" w:rsidRPr="00592AC2">
        <w:t xml:space="preserve">anager </w:t>
      </w:r>
      <w:r w:rsidR="0086420C">
        <w:t xml:space="preserve">of the scheme </w:t>
      </w:r>
      <w:r w:rsidR="008674E0" w:rsidRPr="00592AC2">
        <w:t>in the application for registration of the scheme</w:t>
      </w:r>
      <w:r>
        <w:t xml:space="preserve"> with a Controlling Body; or</w:t>
      </w:r>
    </w:p>
    <w:p w:rsidR="00C86954" w:rsidRPr="00592AC2" w:rsidRDefault="00AF4BF8" w:rsidP="006D45A3">
      <w:pPr>
        <w:pStyle w:val="Style1"/>
        <w:spacing w:before="120"/>
      </w:pPr>
      <w:r>
        <w:t>(b)</w:t>
      </w:r>
      <w:r>
        <w:tab/>
        <w:t xml:space="preserve">is registered by a Controlling Body </w:t>
      </w:r>
      <w:r w:rsidR="0086420C">
        <w:t xml:space="preserve">with the person’s consent </w:t>
      </w:r>
      <w:r>
        <w:t xml:space="preserve">as the </w:t>
      </w:r>
      <w:r w:rsidR="0086420C">
        <w:t xml:space="preserve">manager of the scheme. </w:t>
      </w:r>
    </w:p>
    <w:p w:rsidR="00C86954" w:rsidRPr="00592AC2" w:rsidRDefault="00C86954" w:rsidP="00F135C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F135C4" w:rsidRPr="00592AC2" w:rsidRDefault="00F135C4" w:rsidP="00F135C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offer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includes an invitation to make an offer or an application.</w:t>
      </w:r>
    </w:p>
    <w:p w:rsidR="00F135C4" w:rsidRPr="00592AC2" w:rsidRDefault="00F135C4" w:rsidP="00F135C4">
      <w:pPr>
        <w:pStyle w:val="ListParagrap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AE5CF4" w:rsidRPr="00035F18" w:rsidRDefault="00F135C4" w:rsidP="006D45A3">
      <w:pPr>
        <w:pStyle w:val="ListParagraph"/>
        <w:spacing w:after="120"/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Promoter</w:t>
      </w:r>
      <w:r w:rsidR="00AE5CF4"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E5CF4" w:rsidRPr="00592AC2">
        <w:rPr>
          <w:rFonts w:ascii="Times New Roman" w:hAnsi="Times New Roman"/>
          <w:color w:val="000000" w:themeColor="text1"/>
          <w:sz w:val="24"/>
          <w:szCs w:val="24"/>
        </w:rPr>
        <w:t>in relation to a greyhound scheme</w:t>
      </w:r>
      <w:r w:rsidRPr="00592A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means a person who</w:t>
      </w:r>
      <w:r w:rsidR="00AE5CF4" w:rsidRPr="00592A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5CF4" w:rsidRPr="00592AC2" w:rsidRDefault="00AE5CF4" w:rsidP="006D45A3">
      <w:pPr>
        <w:pStyle w:val="Style1"/>
        <w:spacing w:before="120"/>
      </w:pPr>
      <w:r w:rsidRPr="00592AC2">
        <w:t>(a)</w:t>
      </w:r>
      <w:r w:rsidRPr="00592AC2">
        <w:tab/>
        <w:t>is the promoter of the scheme; and</w:t>
      </w:r>
    </w:p>
    <w:p w:rsidR="00F135C4" w:rsidRPr="00592AC2" w:rsidRDefault="00AE5CF4" w:rsidP="006D45A3">
      <w:pPr>
        <w:pStyle w:val="Style1"/>
        <w:spacing w:before="120"/>
      </w:pPr>
      <w:r w:rsidRPr="00592AC2">
        <w:lastRenderedPageBreak/>
        <w:t>(b)</w:t>
      </w:r>
      <w:r w:rsidRPr="00592AC2">
        <w:tab/>
      </w:r>
      <w:r w:rsidR="00F135C4" w:rsidRPr="00592AC2">
        <w:t>is registered by a Controlling Body as the promoter of greyhound scheme</w:t>
      </w:r>
      <w:r w:rsidR="00D41E4F" w:rsidRPr="00592AC2">
        <w:t>s</w:t>
      </w:r>
      <w:r w:rsidR="00F135C4" w:rsidRPr="00592AC2">
        <w:t>.</w:t>
      </w:r>
    </w:p>
    <w:p w:rsidR="00F135C4" w:rsidRPr="00592AC2" w:rsidRDefault="00F135C4" w:rsidP="00F135C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F135C4" w:rsidRPr="00592AC2" w:rsidRDefault="00F135C4" w:rsidP="00F135C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retail client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has the meaning given by section 761A</w:t>
      </w:r>
      <w:r w:rsidR="00685F6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of the Act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57B4" w:rsidRPr="00592AC2" w:rsidRDefault="003957B4" w:rsidP="007A35BB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7D95" w:rsidRPr="00592AC2" w:rsidRDefault="00945B6B">
      <w:pPr>
        <w:pStyle w:val="ListParagraph"/>
        <w:spacing w:after="0"/>
        <w:contextualSpacing w:val="0"/>
      </w:pPr>
      <w:r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>scheme</w:t>
      </w:r>
      <w:r w:rsidR="001E344C" w:rsidRPr="00592A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agreement</w:t>
      </w:r>
      <w:r w:rsidR="001E344C" w:rsidRPr="00592A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E344C" w:rsidRPr="00592AC2">
        <w:rPr>
          <w:rFonts w:ascii="Times New Roman" w:hAnsi="Times New Roman"/>
          <w:color w:val="000000" w:themeColor="text1"/>
          <w:sz w:val="24"/>
          <w:szCs w:val="24"/>
        </w:rPr>
        <w:t>means</w:t>
      </w:r>
      <w:r w:rsidR="001E344C" w:rsidRPr="00592A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5302" w:rsidRPr="00592AC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0794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document in relation to the operation of </w:t>
      </w:r>
      <w:r w:rsidR="0044319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 greyhound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44319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948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that is legally enforceable </w:t>
      </w:r>
      <w:r w:rsidR="000F1B3F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7F460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between </w:t>
      </w:r>
      <w:r w:rsidR="000E2EDB" w:rsidRPr="00592AC2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1E344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Promoter</w:t>
      </w:r>
      <w:r w:rsidR="00AC373E" w:rsidRPr="00592AC2">
        <w:rPr>
          <w:rFonts w:ascii="Times New Roman" w:hAnsi="Times New Roman"/>
          <w:color w:val="000000" w:themeColor="text1"/>
          <w:sz w:val="24"/>
          <w:szCs w:val="24"/>
        </w:rPr>
        <w:t>, the Manager</w:t>
      </w:r>
      <w:r w:rsidR="001E344C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4605" w:rsidRPr="00592AC2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337A80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4605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members </w:t>
      </w:r>
      <w:r w:rsidR="00443197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of the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scheme</w:t>
      </w:r>
      <w:r w:rsidR="001E344C" w:rsidRPr="00592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EF8" w:rsidRDefault="00220EF8" w:rsidP="006D45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175C" w:rsidRPr="00592AC2" w:rsidRDefault="0039175C" w:rsidP="006D45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5029D" w:rsidRPr="00592AC2" w:rsidRDefault="00E5029D" w:rsidP="00025FF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Dated the </w:t>
      </w:r>
      <w:r w:rsidR="00EF6A07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F6A07" w:rsidRPr="00EF6A0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AF298A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day of</w:t>
      </w:r>
      <w:r w:rsidR="0086648B" w:rsidRPr="0059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12B1">
        <w:rPr>
          <w:rFonts w:ascii="Times New Roman" w:hAnsi="Times New Roman"/>
          <w:color w:val="000000" w:themeColor="text1"/>
          <w:sz w:val="24"/>
          <w:szCs w:val="24"/>
        </w:rPr>
        <w:t xml:space="preserve">February </w:t>
      </w:r>
      <w:r w:rsidRPr="00592AC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9A12B1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E5029D" w:rsidRDefault="00E5029D" w:rsidP="00025F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45A3" w:rsidRPr="00592AC2" w:rsidRDefault="006D45A3" w:rsidP="00025F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1C66" w:rsidRPr="00592AC2" w:rsidRDefault="009039B9" w:rsidP="006D45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039B9">
        <w:rPr>
          <w:rFonts w:ascii="Times New Roman" w:hAnsi="Times New Roman"/>
          <w:color w:val="000000" w:themeColor="text1"/>
          <w:sz w:val="24"/>
          <w:szCs w:val="24"/>
        </w:rPr>
        <w:t xml:space="preserve">Signed by </w:t>
      </w:r>
      <w:r w:rsidR="00EF6A07">
        <w:rPr>
          <w:rFonts w:ascii="Times New Roman" w:hAnsi="Times New Roman"/>
          <w:color w:val="000000" w:themeColor="text1"/>
          <w:sz w:val="24"/>
          <w:szCs w:val="24"/>
        </w:rPr>
        <w:t>Stephen Yen PSM</w:t>
      </w:r>
      <w:r w:rsidR="00EF6A07">
        <w:rPr>
          <w:rFonts w:ascii="Times New Roman" w:hAnsi="Times New Roman"/>
          <w:color w:val="000000" w:themeColor="text1"/>
          <w:sz w:val="24"/>
          <w:szCs w:val="24"/>
        </w:rPr>
        <w:br/>
      </w:r>
      <w:r w:rsidR="00E5029D" w:rsidRPr="00592AC2">
        <w:rPr>
          <w:rFonts w:ascii="Times New Roman" w:hAnsi="Times New Roman"/>
          <w:color w:val="000000" w:themeColor="text1"/>
          <w:sz w:val="24"/>
          <w:szCs w:val="24"/>
        </w:rPr>
        <w:t>as a delegate of the Australian Securities and Investments Commission</w:t>
      </w:r>
      <w:r w:rsidR="00851C66" w:rsidRPr="00592AC2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71428" w:rsidRDefault="00851C66" w:rsidP="00592AC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Schedule</w:t>
      </w:r>
    </w:p>
    <w:p w:rsidR="0086420C" w:rsidRPr="00592AC2" w:rsidRDefault="0086420C" w:rsidP="00592AC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Applied Rules</w:t>
      </w:r>
    </w:p>
    <w:p w:rsidR="00D705ED" w:rsidRPr="00592AC2" w:rsidRDefault="00DB2B35" w:rsidP="00592AC2">
      <w:pPr>
        <w:pStyle w:val="CM116"/>
        <w:keepNext/>
        <w:spacing w:after="200"/>
        <w:ind w:left="677" w:hanging="67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7B44">
        <w:rPr>
          <w:rFonts w:ascii="Times New Roman" w:hAnsi="Times New Roman" w:cs="Times New Roman"/>
          <w:bCs/>
          <w:color w:val="000000" w:themeColor="text1"/>
        </w:rPr>
        <w:t>1.</w:t>
      </w:r>
      <w:r w:rsidRPr="00592AC2">
        <w:rPr>
          <w:rFonts w:ascii="Times New Roman" w:hAnsi="Times New Roman" w:cs="Times New Roman"/>
          <w:b/>
          <w:bCs/>
          <w:color w:val="000000" w:themeColor="text1"/>
        </w:rPr>
        <w:tab/>
      </w:r>
      <w:r w:rsidR="007B2535" w:rsidRPr="00592AC2">
        <w:rPr>
          <w:rFonts w:ascii="Times New Roman" w:hAnsi="Times New Roman" w:cs="Times New Roman"/>
          <w:b/>
          <w:bCs/>
          <w:color w:val="000000" w:themeColor="text1"/>
        </w:rPr>
        <w:t>Registration</w:t>
      </w:r>
    </w:p>
    <w:p w:rsidR="00D705ED" w:rsidRPr="00592AC2" w:rsidRDefault="00D705ED" w:rsidP="001839F2">
      <w:pPr>
        <w:pStyle w:val="Style1"/>
      </w:pPr>
      <w:r w:rsidRPr="00592AC2">
        <w:rPr>
          <w:bCs/>
        </w:rPr>
        <w:t>(a)</w:t>
      </w:r>
      <w:r w:rsidRPr="00592AC2">
        <w:rPr>
          <w:bCs/>
        </w:rPr>
        <w:tab/>
      </w:r>
      <w:r w:rsidR="009D75F8" w:rsidRPr="00592AC2">
        <w:t>The</w:t>
      </w:r>
      <w:r w:rsidRPr="00592AC2">
        <w:t xml:space="preserve"> </w:t>
      </w:r>
      <w:r w:rsidR="00DB2B35" w:rsidRPr="00592AC2">
        <w:t xml:space="preserve">Manager must not permit a </w:t>
      </w:r>
      <w:r w:rsidR="00740B6B" w:rsidRPr="00592AC2">
        <w:t>greyhound scheme</w:t>
      </w:r>
      <w:r w:rsidRPr="00592AC2">
        <w:t xml:space="preserve"> </w:t>
      </w:r>
      <w:r w:rsidR="00DB2B35" w:rsidRPr="00592AC2">
        <w:t>to</w:t>
      </w:r>
      <w:r w:rsidRPr="00592AC2">
        <w:t xml:space="preserve"> race a greyhound unless </w:t>
      </w:r>
      <w:r w:rsidR="00740B6B" w:rsidRPr="00592AC2">
        <w:t xml:space="preserve">the scheme </w:t>
      </w:r>
      <w:r w:rsidR="0091561B">
        <w:t>is</w:t>
      </w:r>
      <w:r w:rsidRPr="00592AC2">
        <w:t xml:space="preserve"> </w:t>
      </w:r>
      <w:r w:rsidRPr="00BB1C3E">
        <w:t>register</w:t>
      </w:r>
      <w:r w:rsidRPr="00592AC2">
        <w:t>ed with a Controlling Body</w:t>
      </w:r>
      <w:r w:rsidR="008B50D5">
        <w:t xml:space="preserve"> under its rules</w:t>
      </w:r>
      <w:r w:rsidRPr="00592AC2">
        <w:t xml:space="preserve">. </w:t>
      </w:r>
      <w:r w:rsidR="00F42AB0">
        <w:t xml:space="preserve"> </w:t>
      </w:r>
    </w:p>
    <w:p w:rsidR="00C61B4B" w:rsidRPr="00592AC2" w:rsidRDefault="00D705ED" w:rsidP="001839F2">
      <w:pPr>
        <w:pStyle w:val="Style1"/>
      </w:pPr>
      <w:r w:rsidRPr="00592AC2">
        <w:rPr>
          <w:bCs/>
        </w:rPr>
        <w:t>(b)</w:t>
      </w:r>
      <w:r w:rsidRPr="00592AC2">
        <w:rPr>
          <w:bCs/>
        </w:rPr>
        <w:tab/>
      </w:r>
      <w:r w:rsidR="009D75F8" w:rsidRPr="00592AC2">
        <w:t>The</w:t>
      </w:r>
      <w:r w:rsidR="00B939B4" w:rsidRPr="00592AC2">
        <w:t xml:space="preserve"> Manager must ensure</w:t>
      </w:r>
      <w:r w:rsidR="00092459">
        <w:t>,</w:t>
      </w:r>
      <w:r w:rsidR="00B939B4" w:rsidRPr="00592AC2">
        <w:t xml:space="preserve"> where applicable</w:t>
      </w:r>
      <w:r w:rsidR="00092459">
        <w:t>,</w:t>
      </w:r>
      <w:r w:rsidR="00C61B4B" w:rsidRPr="00592AC2">
        <w:t xml:space="preserve"> payment of each </w:t>
      </w:r>
      <w:r w:rsidR="00073B17">
        <w:t>m</w:t>
      </w:r>
      <w:r w:rsidR="00C61B4B" w:rsidRPr="00592AC2">
        <w:t>ember</w:t>
      </w:r>
      <w:r w:rsidR="00073B17">
        <w:t>’</w:t>
      </w:r>
      <w:r w:rsidR="00C61B4B" w:rsidRPr="00592AC2">
        <w:t>s share of prize money and bonuses won by a greyhound.</w:t>
      </w:r>
    </w:p>
    <w:p w:rsidR="00D705ED" w:rsidRPr="00592AC2" w:rsidRDefault="00D705ED" w:rsidP="001839F2">
      <w:pPr>
        <w:pStyle w:val="Style1"/>
      </w:pPr>
      <w:r w:rsidRPr="00592AC2">
        <w:rPr>
          <w:bCs/>
        </w:rPr>
        <w:t>(c)</w:t>
      </w:r>
      <w:r w:rsidRPr="00592AC2">
        <w:rPr>
          <w:bCs/>
        </w:rPr>
        <w:tab/>
      </w:r>
      <w:r w:rsidR="009D75F8" w:rsidRPr="00592AC2">
        <w:t>The</w:t>
      </w:r>
      <w:r w:rsidRPr="00592AC2">
        <w:t xml:space="preserve"> Manager </w:t>
      </w:r>
      <w:r w:rsidR="000B1C03" w:rsidRPr="00592AC2">
        <w:t>must</w:t>
      </w:r>
      <w:r w:rsidRPr="00592AC2">
        <w:t xml:space="preserve"> lodge</w:t>
      </w:r>
      <w:r w:rsidR="00073B17">
        <w:t xml:space="preserve"> with </w:t>
      </w:r>
      <w:r w:rsidR="0024426B">
        <w:t xml:space="preserve">the </w:t>
      </w:r>
      <w:r w:rsidR="00AA5FE8">
        <w:t xml:space="preserve">Controlling Body </w:t>
      </w:r>
      <w:r w:rsidR="0031176A">
        <w:t xml:space="preserve">at or before the time when the </w:t>
      </w:r>
      <w:r w:rsidR="00191499">
        <w:t xml:space="preserve">scheme </w:t>
      </w:r>
      <w:r w:rsidR="0031176A">
        <w:t>is registered</w:t>
      </w:r>
      <w:r w:rsidRPr="00592AC2">
        <w:t xml:space="preserve"> an agreement</w:t>
      </w:r>
      <w:r w:rsidR="00CE1579">
        <w:t xml:space="preserve"> between the members of the scheme</w:t>
      </w:r>
      <w:r w:rsidR="00F77FD8">
        <w:t xml:space="preserve"> </w:t>
      </w:r>
      <w:r w:rsidRPr="00592AC2">
        <w:t>contain</w:t>
      </w:r>
      <w:r w:rsidR="000B1C03" w:rsidRPr="00592AC2">
        <w:t>ing</w:t>
      </w:r>
      <w:r w:rsidRPr="00592AC2">
        <w:t xml:space="preserve"> the following: </w:t>
      </w:r>
    </w:p>
    <w:p w:rsidR="00D705ED" w:rsidRPr="00592AC2" w:rsidRDefault="00D705ED" w:rsidP="001839F2">
      <w:pPr>
        <w:pStyle w:val="Style2"/>
      </w:pPr>
      <w:r w:rsidRPr="00592AC2">
        <w:t>(i)</w:t>
      </w:r>
      <w:r w:rsidRPr="00592AC2">
        <w:tab/>
      </w:r>
      <w:r w:rsidR="00B939B4" w:rsidRPr="00592AC2">
        <w:t>t</w:t>
      </w:r>
      <w:r w:rsidRPr="00592AC2">
        <w:t xml:space="preserve">he name and address and date of birth of each </w:t>
      </w:r>
      <w:r w:rsidR="009D75F8" w:rsidRPr="00592AC2">
        <w:t>m</w:t>
      </w:r>
      <w:r w:rsidRPr="00592AC2">
        <w:t xml:space="preserve">ember and the percentage share of each </w:t>
      </w:r>
      <w:r w:rsidR="009D75F8" w:rsidRPr="00592AC2">
        <w:t>m</w:t>
      </w:r>
      <w:r w:rsidRPr="00592AC2">
        <w:t>ember</w:t>
      </w:r>
      <w:r w:rsidR="00073B17">
        <w:t>’s interest</w:t>
      </w:r>
      <w:r w:rsidRPr="00592AC2">
        <w:t xml:space="preserve"> in </w:t>
      </w:r>
      <w:r w:rsidR="00B936F6">
        <w:t>each</w:t>
      </w:r>
      <w:r w:rsidR="00B936F6" w:rsidRPr="00592AC2">
        <w:t xml:space="preserve"> </w:t>
      </w:r>
      <w:r w:rsidRPr="00592AC2">
        <w:t>greyhound</w:t>
      </w:r>
      <w:r w:rsidR="00073B17">
        <w:t>;</w:t>
      </w:r>
      <w:r w:rsidR="009B7F12">
        <w:t xml:space="preserve"> </w:t>
      </w:r>
    </w:p>
    <w:p w:rsidR="00D705ED" w:rsidRPr="00592AC2" w:rsidRDefault="00D705ED" w:rsidP="001839F2">
      <w:pPr>
        <w:pStyle w:val="Style2"/>
      </w:pPr>
      <w:r w:rsidRPr="00592AC2">
        <w:t>(ii)</w:t>
      </w:r>
      <w:r w:rsidRPr="00592AC2">
        <w:tab/>
      </w:r>
      <w:r w:rsidR="00B939B4" w:rsidRPr="00592AC2">
        <w:t>a</w:t>
      </w:r>
      <w:r w:rsidRPr="00592AC2">
        <w:t xml:space="preserve"> statement setting out all financial arrangements agreed between the </w:t>
      </w:r>
      <w:r w:rsidR="00073B17">
        <w:t>m</w:t>
      </w:r>
      <w:r w:rsidR="00073B17" w:rsidRPr="00592AC2">
        <w:t>embers</w:t>
      </w:r>
      <w:r w:rsidR="00712344">
        <w:t xml:space="preserve"> </w:t>
      </w:r>
      <w:r w:rsidRPr="00592AC2">
        <w:t xml:space="preserve">and, in particular, the method of calculating and the timing of payment of any contributions due from </w:t>
      </w:r>
      <w:r w:rsidR="009D75F8" w:rsidRPr="00592AC2">
        <w:t>m</w:t>
      </w:r>
      <w:r w:rsidRPr="00592AC2">
        <w:t>embers toward racing, training and other expenses</w:t>
      </w:r>
      <w:r w:rsidR="00073B17">
        <w:t>;</w:t>
      </w:r>
    </w:p>
    <w:p w:rsidR="00D705ED" w:rsidRPr="00592AC2" w:rsidRDefault="00D705ED" w:rsidP="001839F2">
      <w:pPr>
        <w:pStyle w:val="Style2"/>
      </w:pPr>
      <w:r w:rsidRPr="00592AC2">
        <w:t>(iii)</w:t>
      </w:r>
      <w:r w:rsidRPr="00592AC2">
        <w:tab/>
      </w:r>
      <w:r w:rsidR="006A79FE" w:rsidRPr="00592AC2">
        <w:t>p</w:t>
      </w:r>
      <w:r w:rsidRPr="00592AC2">
        <w:t xml:space="preserve">rovision for the appointment of a Manager in whom the possession of </w:t>
      </w:r>
      <w:r w:rsidR="002F029D">
        <w:t>each</w:t>
      </w:r>
      <w:r w:rsidRPr="00592AC2">
        <w:t xml:space="preserve"> greyhound is to be vested for the </w:t>
      </w:r>
      <w:r w:rsidR="00073B17">
        <w:t xml:space="preserve">scheme; </w:t>
      </w:r>
    </w:p>
    <w:p w:rsidR="00D705ED" w:rsidRDefault="00D705ED" w:rsidP="001839F2">
      <w:pPr>
        <w:pStyle w:val="Style2"/>
      </w:pPr>
      <w:r w:rsidRPr="00592AC2">
        <w:t>(iv)</w:t>
      </w:r>
      <w:r w:rsidRPr="00592AC2">
        <w:tab/>
      </w:r>
      <w:r w:rsidR="006A79FE" w:rsidRPr="00592AC2">
        <w:t>a</w:t>
      </w:r>
      <w:r w:rsidRPr="00592AC2">
        <w:t xml:space="preserve"> term imposing on the Manager an obligation to keep individual records of account for each greyhound.</w:t>
      </w:r>
      <w:r w:rsidR="008E6A49">
        <w:t xml:space="preserve"> </w:t>
      </w:r>
    </w:p>
    <w:p w:rsidR="001343E3" w:rsidRPr="001839F2" w:rsidRDefault="001343E3" w:rsidP="001839F2">
      <w:pPr>
        <w:pStyle w:val="Style2"/>
        <w:ind w:left="2836"/>
        <w:rPr>
          <w:sz w:val="20"/>
          <w:szCs w:val="20"/>
        </w:rPr>
      </w:pPr>
      <w:r>
        <w:rPr>
          <w:sz w:val="20"/>
          <w:szCs w:val="20"/>
        </w:rPr>
        <w:t>Note:</w:t>
      </w:r>
      <w:r>
        <w:rPr>
          <w:sz w:val="20"/>
          <w:szCs w:val="20"/>
        </w:rPr>
        <w:tab/>
        <w:t>The records of account will assist a Manager to meet its obligations under subparagraph 6(e).</w:t>
      </w:r>
    </w:p>
    <w:p w:rsidR="00D705ED" w:rsidRPr="00592AC2" w:rsidRDefault="00D705ED" w:rsidP="001839F2">
      <w:pPr>
        <w:pStyle w:val="Style1"/>
      </w:pPr>
      <w:r w:rsidRPr="00592AC2">
        <w:t>(d)</w:t>
      </w:r>
      <w:r w:rsidRPr="00592AC2">
        <w:tab/>
      </w:r>
      <w:r w:rsidR="006A79FE" w:rsidRPr="00592AC2">
        <w:t xml:space="preserve">The Manager must ensure that </w:t>
      </w:r>
      <w:r w:rsidR="00073B17">
        <w:t xml:space="preserve">an </w:t>
      </w:r>
      <w:r w:rsidR="006A79FE" w:rsidRPr="00592AC2">
        <w:t>a</w:t>
      </w:r>
      <w:r w:rsidRPr="00592AC2">
        <w:t xml:space="preserve">pplication for renewal of </w:t>
      </w:r>
      <w:r w:rsidR="001E15AE">
        <w:t>registration of the</w:t>
      </w:r>
      <w:r w:rsidR="001E15AE" w:rsidRPr="00592AC2">
        <w:t xml:space="preserve"> </w:t>
      </w:r>
      <w:r w:rsidR="00EE2C26">
        <w:t xml:space="preserve">scheme </w:t>
      </w:r>
      <w:r w:rsidR="006A79FE" w:rsidRPr="00592AC2">
        <w:t>is</w:t>
      </w:r>
      <w:r w:rsidR="00740B6B" w:rsidRPr="00592AC2">
        <w:t xml:space="preserve"> </w:t>
      </w:r>
      <w:r w:rsidRPr="00592AC2">
        <w:t xml:space="preserve">made </w:t>
      </w:r>
      <w:r w:rsidR="008B50D5">
        <w:t>at least</w:t>
      </w:r>
      <w:r w:rsidRPr="00592AC2">
        <w:t xml:space="preserve"> biennially.</w:t>
      </w:r>
      <w:r w:rsidR="00073B17" w:rsidRPr="006E639A">
        <w:rPr>
          <w:b/>
          <w:i/>
        </w:rPr>
        <w:t xml:space="preserve"> </w:t>
      </w:r>
    </w:p>
    <w:p w:rsidR="0016077A" w:rsidRPr="00592AC2" w:rsidRDefault="0090184C" w:rsidP="00592AC2">
      <w:pPr>
        <w:pStyle w:val="NoSpacing"/>
        <w:keepNext/>
        <w:spacing w:after="2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AC2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EF6A0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077A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16077A" w:rsidRPr="00592AC2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7B2535" w:rsidRPr="00592AC2">
        <w:rPr>
          <w:rFonts w:ascii="Times New Roman" w:hAnsi="Times New Roman"/>
          <w:b/>
          <w:color w:val="000000" w:themeColor="text1"/>
          <w:sz w:val="24"/>
          <w:szCs w:val="24"/>
        </w:rPr>
        <w:t>anager</w:t>
      </w:r>
    </w:p>
    <w:p w:rsidR="0016077A" w:rsidRPr="00592AC2" w:rsidRDefault="0016077A" w:rsidP="001839F2">
      <w:pPr>
        <w:pStyle w:val="Style1"/>
      </w:pPr>
      <w:r w:rsidRPr="00592AC2">
        <w:rPr>
          <w:bCs/>
        </w:rPr>
        <w:t>(a)</w:t>
      </w:r>
      <w:r w:rsidRPr="00592AC2">
        <w:rPr>
          <w:bCs/>
        </w:rPr>
        <w:tab/>
      </w:r>
      <w:r w:rsidR="00F66AB8" w:rsidRPr="00592AC2">
        <w:t>The Manager must keep p</w:t>
      </w:r>
      <w:r w:rsidRPr="00592AC2">
        <w:t>ossession of the greyhound.</w:t>
      </w:r>
    </w:p>
    <w:p w:rsidR="0016077A" w:rsidRPr="00592AC2" w:rsidRDefault="0016077A" w:rsidP="001839F2">
      <w:pPr>
        <w:pStyle w:val="Style1"/>
      </w:pPr>
      <w:r w:rsidRPr="00592AC2">
        <w:t>(</w:t>
      </w:r>
      <w:r w:rsidR="009B6908">
        <w:t>b</w:t>
      </w:r>
      <w:r w:rsidRPr="00592AC2">
        <w:t>)</w:t>
      </w:r>
      <w:r w:rsidRPr="00592AC2">
        <w:tab/>
        <w:t>The Manager must:</w:t>
      </w:r>
    </w:p>
    <w:p w:rsidR="0016077A" w:rsidRPr="00592AC2" w:rsidRDefault="0016077A" w:rsidP="001839F2">
      <w:pPr>
        <w:pStyle w:val="Style2"/>
      </w:pPr>
      <w:r w:rsidRPr="00592AC2">
        <w:t>(i)</w:t>
      </w:r>
      <w:r w:rsidRPr="00592AC2">
        <w:tab/>
        <w:t>act honestly;</w:t>
      </w:r>
      <w:r w:rsidR="008B25F9">
        <w:t xml:space="preserve"> and</w:t>
      </w:r>
    </w:p>
    <w:p w:rsidR="0016077A" w:rsidRPr="00592AC2" w:rsidRDefault="0016077A" w:rsidP="001839F2">
      <w:pPr>
        <w:pStyle w:val="Style2"/>
      </w:pPr>
      <w:r w:rsidRPr="00592AC2">
        <w:t>(ii)</w:t>
      </w:r>
      <w:r w:rsidRPr="00592AC2">
        <w:tab/>
        <w:t>exercise the degree of care and diligence that a reasonable person would exercise if they were in the Manager’s position;</w:t>
      </w:r>
      <w:r w:rsidR="008B25F9">
        <w:t xml:space="preserve"> and</w:t>
      </w:r>
    </w:p>
    <w:p w:rsidR="0016077A" w:rsidRPr="00592AC2" w:rsidRDefault="0016077A" w:rsidP="001839F2">
      <w:pPr>
        <w:pStyle w:val="Style2"/>
      </w:pPr>
      <w:r w:rsidRPr="00592AC2">
        <w:lastRenderedPageBreak/>
        <w:t>(iii)</w:t>
      </w:r>
      <w:r w:rsidRPr="00592AC2">
        <w:tab/>
        <w:t xml:space="preserve">act in the best interests of the </w:t>
      </w:r>
      <w:r w:rsidR="009D75F8" w:rsidRPr="00592AC2">
        <w:t>m</w:t>
      </w:r>
      <w:r w:rsidRPr="00592AC2">
        <w:t xml:space="preserve">embers and, if there is a conflict between the </w:t>
      </w:r>
      <w:r w:rsidR="009D75F8" w:rsidRPr="00592AC2">
        <w:t>m</w:t>
      </w:r>
      <w:r w:rsidRPr="00592AC2">
        <w:t xml:space="preserve">embers’ interests and the Manager’s own interests, give priority to the </w:t>
      </w:r>
      <w:r w:rsidR="00DD0B4C">
        <w:t>m</w:t>
      </w:r>
      <w:r w:rsidRPr="00592AC2">
        <w:t xml:space="preserve">embers’ interests; </w:t>
      </w:r>
      <w:r w:rsidR="008B25F9">
        <w:t>and</w:t>
      </w:r>
    </w:p>
    <w:p w:rsidR="0016077A" w:rsidRPr="00592AC2" w:rsidRDefault="0016077A" w:rsidP="001839F2">
      <w:pPr>
        <w:pStyle w:val="Style2"/>
      </w:pPr>
      <w:r w:rsidRPr="00592AC2">
        <w:t>(iv)</w:t>
      </w:r>
      <w:r w:rsidRPr="00592AC2">
        <w:tab/>
        <w:t xml:space="preserve">treat the </w:t>
      </w:r>
      <w:r w:rsidR="009D75F8" w:rsidRPr="00592AC2">
        <w:t>m</w:t>
      </w:r>
      <w:r w:rsidRPr="00592AC2">
        <w:t xml:space="preserve">embers who hold interests of the same class equally and </w:t>
      </w:r>
      <w:r w:rsidR="009D75F8" w:rsidRPr="00592AC2">
        <w:t>m</w:t>
      </w:r>
      <w:r w:rsidRPr="00592AC2">
        <w:t>embers who hold interests of different classes fairly; and</w:t>
      </w:r>
    </w:p>
    <w:p w:rsidR="0016077A" w:rsidRPr="00592AC2" w:rsidRDefault="0016077A" w:rsidP="001839F2">
      <w:pPr>
        <w:pStyle w:val="Style2"/>
      </w:pPr>
      <w:r w:rsidRPr="00592AC2">
        <w:t>(v)</w:t>
      </w:r>
      <w:r w:rsidRPr="00592AC2">
        <w:tab/>
        <w:t xml:space="preserve">carry out or comply with any other duty that is conferred on the Manager by the </w:t>
      </w:r>
      <w:r w:rsidR="009D75F8" w:rsidRPr="00592AC2">
        <w:t>scheme</w:t>
      </w:r>
      <w:r w:rsidRPr="00592AC2">
        <w:t xml:space="preserve"> </w:t>
      </w:r>
      <w:r w:rsidR="009D75F8" w:rsidRPr="00592AC2">
        <w:t>a</w:t>
      </w:r>
      <w:r w:rsidRPr="00592AC2">
        <w:t>greement.</w:t>
      </w:r>
    </w:p>
    <w:p w:rsidR="0016077A" w:rsidRDefault="0016077A" w:rsidP="00F1602E">
      <w:pPr>
        <w:pStyle w:val="Style1"/>
      </w:pPr>
      <w:r w:rsidRPr="00592AC2">
        <w:t>(</w:t>
      </w:r>
      <w:r w:rsidR="009B6908">
        <w:t>c</w:t>
      </w:r>
      <w:r w:rsidRPr="00592AC2">
        <w:t>)</w:t>
      </w:r>
      <w:r w:rsidRPr="00592AC2">
        <w:tab/>
        <w:t xml:space="preserve">The Manager must notify the Controlling Body in writing of any </w:t>
      </w:r>
      <w:r w:rsidR="00970405">
        <w:t>agreement</w:t>
      </w:r>
      <w:r w:rsidR="00AE355B">
        <w:t xml:space="preserve"> </w:t>
      </w:r>
      <w:r w:rsidR="00970405">
        <w:t>to change the</w:t>
      </w:r>
      <w:r w:rsidR="00AE355B">
        <w:t xml:space="preserve"> Manager </w:t>
      </w:r>
      <w:r w:rsidRPr="00592AC2">
        <w:t xml:space="preserve">within seven days of the </w:t>
      </w:r>
      <w:r w:rsidR="00970405">
        <w:t>agreement being entered into</w:t>
      </w:r>
      <w:r w:rsidR="00CE2065">
        <w:t>,</w:t>
      </w:r>
      <w:r w:rsidRPr="00592AC2">
        <w:t xml:space="preserve"> or </w:t>
      </w:r>
      <w:r w:rsidR="009B347C">
        <w:t>before</w:t>
      </w:r>
      <w:r w:rsidRPr="00592AC2">
        <w:t xml:space="preserve"> the greyhound next racing, whichever is earlier.</w:t>
      </w:r>
      <w:r w:rsidR="00970405">
        <w:t xml:space="preserve"> </w:t>
      </w:r>
    </w:p>
    <w:p w:rsidR="00DB2249" w:rsidRPr="00F1602E" w:rsidRDefault="00DB2249" w:rsidP="00F1602E">
      <w:pPr>
        <w:pStyle w:val="Style1"/>
        <w:ind w:left="2127"/>
        <w:rPr>
          <w:sz w:val="20"/>
          <w:szCs w:val="20"/>
        </w:rPr>
      </w:pPr>
      <w:r w:rsidRPr="00F1602E">
        <w:rPr>
          <w:sz w:val="20"/>
          <w:szCs w:val="20"/>
        </w:rPr>
        <w:t>Note:</w:t>
      </w:r>
      <w:r w:rsidRPr="00F1602E">
        <w:rPr>
          <w:sz w:val="20"/>
          <w:szCs w:val="20"/>
        </w:rPr>
        <w:tab/>
        <w:t xml:space="preserve">The new </w:t>
      </w:r>
      <w:r w:rsidR="00AE355B">
        <w:rPr>
          <w:sz w:val="20"/>
          <w:szCs w:val="20"/>
        </w:rPr>
        <w:t>m</w:t>
      </w:r>
      <w:r w:rsidRPr="00F1602E">
        <w:rPr>
          <w:sz w:val="20"/>
          <w:szCs w:val="20"/>
        </w:rPr>
        <w:t>anager</w:t>
      </w:r>
      <w:r w:rsidR="00AE355B">
        <w:rPr>
          <w:sz w:val="20"/>
          <w:szCs w:val="20"/>
        </w:rPr>
        <w:t xml:space="preserve"> of the scheme</w:t>
      </w:r>
      <w:r w:rsidRPr="00F1602E">
        <w:rPr>
          <w:sz w:val="20"/>
          <w:szCs w:val="20"/>
        </w:rPr>
        <w:t xml:space="preserve"> will need to be registered with the Controlling Body </w:t>
      </w:r>
      <w:r>
        <w:rPr>
          <w:sz w:val="20"/>
          <w:szCs w:val="20"/>
        </w:rPr>
        <w:t>in order to rely on the exemption in paragraph 4.</w:t>
      </w:r>
      <w:r w:rsidRPr="00F1602E">
        <w:rPr>
          <w:sz w:val="20"/>
          <w:szCs w:val="20"/>
        </w:rPr>
        <w:t xml:space="preserve">   </w:t>
      </w:r>
    </w:p>
    <w:p w:rsidR="00DB2249" w:rsidRDefault="00DB2249" w:rsidP="00F1602E">
      <w:pPr>
        <w:pStyle w:val="Style1"/>
      </w:pPr>
      <w:r w:rsidRPr="00592AC2">
        <w:t>(</w:t>
      </w:r>
      <w:r>
        <w:t>d</w:t>
      </w:r>
      <w:r w:rsidRPr="00592AC2">
        <w:t>)</w:t>
      </w:r>
      <w:r w:rsidRPr="00592AC2">
        <w:tab/>
        <w:t>The Manager must notify the Controlling B</w:t>
      </w:r>
      <w:r>
        <w:t xml:space="preserve">ody in writing of any change in </w:t>
      </w:r>
      <w:r w:rsidRPr="00592AC2">
        <w:t xml:space="preserve">the composition or </w:t>
      </w:r>
      <w:r>
        <w:t xml:space="preserve">contact </w:t>
      </w:r>
      <w:r w:rsidRPr="00592AC2">
        <w:t>details of the</w:t>
      </w:r>
      <w:r>
        <w:t xml:space="preserve"> members of the</w:t>
      </w:r>
      <w:r w:rsidRPr="00592AC2">
        <w:t xml:space="preserve"> </w:t>
      </w:r>
      <w:r>
        <w:t xml:space="preserve">scheme </w:t>
      </w:r>
      <w:r w:rsidRPr="00592AC2">
        <w:t>within seven days of the change occurring</w:t>
      </w:r>
      <w:r>
        <w:t>,</w:t>
      </w:r>
      <w:r w:rsidRPr="00592AC2">
        <w:t xml:space="preserve"> or </w:t>
      </w:r>
      <w:r>
        <w:t>before</w:t>
      </w:r>
      <w:r w:rsidRPr="00592AC2">
        <w:t xml:space="preserve"> the greyhound next racing, whichever is earlier.</w:t>
      </w:r>
    </w:p>
    <w:p w:rsidR="0016077A" w:rsidRPr="00592AC2" w:rsidRDefault="007B2535" w:rsidP="00592AC2">
      <w:pPr>
        <w:pStyle w:val="NoSpacing"/>
        <w:keepNext/>
        <w:spacing w:after="2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B4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EF6A07" w:rsidRPr="00037B4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C373E" w:rsidRPr="00592AC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592AC2">
        <w:rPr>
          <w:rFonts w:ascii="Times New Roman" w:hAnsi="Times New Roman"/>
          <w:b/>
          <w:color w:val="000000" w:themeColor="text1"/>
          <w:sz w:val="24"/>
          <w:szCs w:val="24"/>
        </w:rPr>
        <w:t>Financial Management and Reporting</w:t>
      </w:r>
    </w:p>
    <w:p w:rsidR="0016077A" w:rsidRPr="00592AC2" w:rsidRDefault="0016077A" w:rsidP="001839F2">
      <w:pPr>
        <w:pStyle w:val="Style1"/>
      </w:pPr>
      <w:r w:rsidRPr="00592AC2">
        <w:t>(a)</w:t>
      </w:r>
      <w:r w:rsidRPr="00592AC2">
        <w:tab/>
      </w:r>
      <w:r w:rsidR="003B71CB" w:rsidRPr="00592AC2">
        <w:t>The Manager must</w:t>
      </w:r>
      <w:r w:rsidR="003B71CB" w:rsidRPr="00EA5802">
        <w:t xml:space="preserve"> </w:t>
      </w:r>
      <w:r w:rsidRPr="00592AC2">
        <w:t xml:space="preserve">open and maintain a separate </w:t>
      </w:r>
      <w:r w:rsidR="0090184C" w:rsidRPr="00EA5802">
        <w:t xml:space="preserve">trust </w:t>
      </w:r>
      <w:r w:rsidRPr="00592AC2">
        <w:t xml:space="preserve">account with an Australian </w:t>
      </w:r>
      <w:r w:rsidR="0090184C" w:rsidRPr="00EA5802">
        <w:t>ADI</w:t>
      </w:r>
      <w:r w:rsidRPr="00592AC2">
        <w:t xml:space="preserve"> in respect of the </w:t>
      </w:r>
      <w:r w:rsidR="0090184C" w:rsidRPr="00EA5802">
        <w:t>scheme</w:t>
      </w:r>
      <w:r w:rsidR="009B347C">
        <w:t>,</w:t>
      </w:r>
      <w:r w:rsidRPr="00592AC2">
        <w:t xml:space="preserve"> which account must be used for the deposit and payment of all moneys relating to the operation of the </w:t>
      </w:r>
      <w:r w:rsidR="007B2535" w:rsidRPr="00EA5802">
        <w:t>scheme</w:t>
      </w:r>
      <w:r w:rsidR="009B347C">
        <w:t>.</w:t>
      </w:r>
    </w:p>
    <w:p w:rsidR="0016077A" w:rsidRPr="00592AC2" w:rsidRDefault="0016077A" w:rsidP="001839F2">
      <w:pPr>
        <w:pStyle w:val="Style1"/>
      </w:pPr>
      <w:r w:rsidRPr="00592AC2">
        <w:t>(b)</w:t>
      </w:r>
      <w:r w:rsidRPr="00592AC2">
        <w:tab/>
      </w:r>
      <w:r w:rsidR="00963F5A" w:rsidRPr="00592AC2">
        <w:t>The Manager must</w:t>
      </w:r>
      <w:r w:rsidR="00963F5A" w:rsidRPr="00EA5802">
        <w:t xml:space="preserve"> </w:t>
      </w:r>
      <w:r w:rsidRPr="00592AC2">
        <w:t>keep accounting records</w:t>
      </w:r>
      <w:r w:rsidR="00B936F6">
        <w:t xml:space="preserve"> </w:t>
      </w:r>
      <w:r w:rsidRPr="00592AC2">
        <w:t xml:space="preserve">to explain the transactions and financial position of the </w:t>
      </w:r>
      <w:r w:rsidR="007B2535" w:rsidRPr="00EA5802">
        <w:t>scheme</w:t>
      </w:r>
      <w:r w:rsidRPr="00592AC2">
        <w:t xml:space="preserve">, such records to be kept in such a way as will enable </w:t>
      </w:r>
      <w:r w:rsidR="009B48E3">
        <w:t xml:space="preserve">a </w:t>
      </w:r>
      <w:r w:rsidRPr="00592AC2">
        <w:t xml:space="preserve">true and fair </w:t>
      </w:r>
      <w:r w:rsidR="00D26731">
        <w:t>profit and loss statement</w:t>
      </w:r>
      <w:r w:rsidRPr="00592AC2">
        <w:t xml:space="preserve"> and statement of assets and liabilities to be prepared in respect of the </w:t>
      </w:r>
      <w:r w:rsidR="007B2535" w:rsidRPr="00EA5802">
        <w:t>scheme</w:t>
      </w:r>
      <w:r w:rsidRPr="00592AC2">
        <w:t xml:space="preserve"> from time to time</w:t>
      </w:r>
      <w:r w:rsidR="00B936F6">
        <w:t xml:space="preserve"> when the Manager is required to do so</w:t>
      </w:r>
      <w:r w:rsidR="00001C1A">
        <w:t>.</w:t>
      </w:r>
    </w:p>
    <w:p w:rsidR="0016077A" w:rsidRPr="00592AC2" w:rsidRDefault="0016077A" w:rsidP="001839F2">
      <w:pPr>
        <w:pStyle w:val="Style1"/>
      </w:pPr>
      <w:r w:rsidRPr="00592AC2">
        <w:t>(c)</w:t>
      </w:r>
      <w:r w:rsidRPr="00592AC2">
        <w:tab/>
      </w:r>
      <w:r w:rsidR="00001C1A">
        <w:t>The Manager must</w:t>
      </w:r>
      <w:r w:rsidR="009B347C">
        <w:t>,</w:t>
      </w:r>
      <w:r w:rsidR="00001C1A">
        <w:t xml:space="preserve"> </w:t>
      </w:r>
      <w:r w:rsidRPr="00592AC2">
        <w:t xml:space="preserve">in respect of each financial year for the duration of the </w:t>
      </w:r>
      <w:r w:rsidR="00963F5A" w:rsidRPr="00EA5802">
        <w:t>scheme</w:t>
      </w:r>
      <w:r w:rsidRPr="00592AC2">
        <w:t xml:space="preserve">, prepare a true and fair profit and loss </w:t>
      </w:r>
      <w:r w:rsidR="00B55518">
        <w:t>statement</w:t>
      </w:r>
      <w:r w:rsidR="00B55518" w:rsidRPr="00592AC2">
        <w:t xml:space="preserve"> </w:t>
      </w:r>
      <w:r w:rsidRPr="00592AC2">
        <w:t xml:space="preserve">and statement of assets and liabilities </w:t>
      </w:r>
      <w:r w:rsidR="00833AA8">
        <w:t xml:space="preserve">(together the </w:t>
      </w:r>
      <w:r w:rsidR="00833AA8" w:rsidRPr="001839F2">
        <w:rPr>
          <w:b/>
          <w:i/>
        </w:rPr>
        <w:t>financial statements</w:t>
      </w:r>
      <w:r w:rsidR="00833AA8">
        <w:t xml:space="preserve">) </w:t>
      </w:r>
      <w:r w:rsidRPr="00592AC2">
        <w:t>and:</w:t>
      </w:r>
    </w:p>
    <w:p w:rsidR="0016077A" w:rsidRPr="00592AC2" w:rsidRDefault="009B6908" w:rsidP="001839F2">
      <w:pPr>
        <w:pStyle w:val="Style2"/>
      </w:pPr>
      <w:r>
        <w:t>(i)</w:t>
      </w:r>
      <w:r>
        <w:tab/>
      </w:r>
      <w:r w:rsidR="0016077A" w:rsidRPr="00592AC2">
        <w:t>lodge</w:t>
      </w:r>
      <w:r w:rsidR="007B2535" w:rsidRPr="00592AC2">
        <w:t xml:space="preserve"> </w:t>
      </w:r>
      <w:r w:rsidR="0016077A" w:rsidRPr="00592AC2">
        <w:t xml:space="preserve">the </w:t>
      </w:r>
      <w:r w:rsidR="00963F5A" w:rsidRPr="00592AC2">
        <w:t>financial statements</w:t>
      </w:r>
      <w:r w:rsidR="0016077A" w:rsidRPr="00592AC2">
        <w:t xml:space="preserve"> with the Controlling Body within 90 days after the end of that financial year;</w:t>
      </w:r>
      <w:r w:rsidR="00963F5A" w:rsidRPr="00592AC2">
        <w:t xml:space="preserve"> and</w:t>
      </w:r>
    </w:p>
    <w:p w:rsidR="0016077A" w:rsidRPr="00592AC2" w:rsidRDefault="00357E9B" w:rsidP="001839F2">
      <w:pPr>
        <w:pStyle w:val="Style2"/>
      </w:pPr>
      <w:r>
        <w:t>(ii)</w:t>
      </w:r>
      <w:r>
        <w:tab/>
      </w:r>
      <w:r w:rsidR="003B71CB" w:rsidRPr="00592AC2">
        <w:t>give</w:t>
      </w:r>
      <w:r w:rsidR="0016077A" w:rsidRPr="00592AC2">
        <w:t xml:space="preserve"> ASIC a copy of the </w:t>
      </w:r>
      <w:r w:rsidR="00DC3322">
        <w:t>scheme’s</w:t>
      </w:r>
      <w:r w:rsidR="00DC3322" w:rsidRPr="00592AC2">
        <w:t xml:space="preserve"> </w:t>
      </w:r>
      <w:r w:rsidR="0016077A" w:rsidRPr="00592AC2">
        <w:t xml:space="preserve">most recent </w:t>
      </w:r>
      <w:r w:rsidR="00963F5A" w:rsidRPr="00592AC2">
        <w:t>financial statements</w:t>
      </w:r>
      <w:r w:rsidR="0016077A" w:rsidRPr="00592AC2">
        <w:t xml:space="preserve"> within 14 days after receipt of a written request to do so by ASIC; and</w:t>
      </w:r>
    </w:p>
    <w:p w:rsidR="0016077A" w:rsidRPr="00592AC2" w:rsidRDefault="0016077A" w:rsidP="001839F2">
      <w:pPr>
        <w:pStyle w:val="Style2"/>
      </w:pPr>
      <w:r w:rsidRPr="00592AC2">
        <w:t>(i</w:t>
      </w:r>
      <w:r w:rsidR="00357E9B">
        <w:t>ii</w:t>
      </w:r>
      <w:r w:rsidRPr="00592AC2">
        <w:t>)</w:t>
      </w:r>
      <w:r w:rsidRPr="00592AC2">
        <w:tab/>
        <w:t xml:space="preserve">by 31 March </w:t>
      </w:r>
      <w:r w:rsidR="001343E3">
        <w:t>first following the end of the financial</w:t>
      </w:r>
      <w:r w:rsidRPr="00592AC2">
        <w:t xml:space="preserve"> year, give to </w:t>
      </w:r>
      <w:r w:rsidR="00963F5A" w:rsidRPr="00592AC2">
        <w:t>m</w:t>
      </w:r>
      <w:r w:rsidRPr="00592AC2">
        <w:t xml:space="preserve">embers such written information that the Manager, acting reasonably, </w:t>
      </w:r>
      <w:r w:rsidRPr="00592AC2">
        <w:lastRenderedPageBreak/>
        <w:t xml:space="preserve">believes an ordinary </w:t>
      </w:r>
      <w:r w:rsidR="00963F5A" w:rsidRPr="00592AC2">
        <w:t>m</w:t>
      </w:r>
      <w:r w:rsidRPr="00592AC2">
        <w:t xml:space="preserve">ember needs in order to understand the </w:t>
      </w:r>
      <w:r w:rsidR="00DC3322">
        <w:t>m</w:t>
      </w:r>
      <w:r w:rsidRPr="00592AC2">
        <w:t xml:space="preserve">ember’s </w:t>
      </w:r>
      <w:r w:rsidR="00DC3322">
        <w:t>interest</w:t>
      </w:r>
      <w:r w:rsidR="00DC3322" w:rsidRPr="00592AC2">
        <w:t xml:space="preserve"> </w:t>
      </w:r>
      <w:r w:rsidRPr="00592AC2">
        <w:t xml:space="preserve">in the </w:t>
      </w:r>
      <w:r w:rsidR="00963F5A" w:rsidRPr="00592AC2">
        <w:t>scheme.</w:t>
      </w:r>
      <w:r w:rsidR="00A55D21">
        <w:t xml:space="preserve"> </w:t>
      </w:r>
    </w:p>
    <w:p w:rsidR="0016077A" w:rsidRPr="00592AC2" w:rsidRDefault="00737A1C" w:rsidP="00592AC2">
      <w:pPr>
        <w:pStyle w:val="CM116"/>
        <w:keepNext/>
        <w:spacing w:after="200"/>
        <w:ind w:left="720" w:hanging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592AC2">
        <w:rPr>
          <w:rFonts w:ascii="Times New Roman" w:hAnsi="Times New Roman"/>
          <w:color w:val="000000" w:themeColor="text1"/>
        </w:rPr>
        <w:t>4</w:t>
      </w:r>
      <w:r w:rsidR="00EF6A07">
        <w:rPr>
          <w:rFonts w:ascii="Times New Roman" w:hAnsi="Times New Roman"/>
          <w:color w:val="000000" w:themeColor="text1"/>
        </w:rPr>
        <w:t>.</w:t>
      </w:r>
      <w:r w:rsidR="0016077A" w:rsidRPr="00592AC2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92AC2">
        <w:rPr>
          <w:rFonts w:ascii="Times New Roman" w:hAnsi="Times New Roman" w:cs="Times New Roman"/>
          <w:b/>
          <w:bCs/>
          <w:color w:val="000000" w:themeColor="text1"/>
        </w:rPr>
        <w:t>Promoters</w:t>
      </w:r>
      <w:r w:rsidR="0016077A" w:rsidRPr="00592AC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6077A" w:rsidRPr="00592AC2" w:rsidRDefault="0016077A" w:rsidP="001839F2">
      <w:pPr>
        <w:pStyle w:val="Style1"/>
      </w:pPr>
      <w:r w:rsidRPr="00592AC2">
        <w:t>(a)</w:t>
      </w:r>
      <w:r w:rsidRPr="00592AC2">
        <w:tab/>
      </w:r>
      <w:r w:rsidR="00BE358E" w:rsidRPr="00831148">
        <w:t xml:space="preserve">If a Promoter has a place of business in a State or Territory where a Controlling Body is located, the Promoter </w:t>
      </w:r>
      <w:r w:rsidR="00737A1C" w:rsidRPr="00EA2BAF">
        <w:t xml:space="preserve">must be registered </w:t>
      </w:r>
      <w:r w:rsidRPr="00F05B0B">
        <w:t xml:space="preserve">with </w:t>
      </w:r>
      <w:r w:rsidR="00DA5D81">
        <w:t>a</w:t>
      </w:r>
      <w:r w:rsidR="00DA5D81" w:rsidRPr="00F05B0B">
        <w:t xml:space="preserve"> </w:t>
      </w:r>
      <w:r w:rsidRPr="00F05B0B">
        <w:t xml:space="preserve">Controlling Body </w:t>
      </w:r>
      <w:r w:rsidR="00DA5D81">
        <w:t xml:space="preserve">located </w:t>
      </w:r>
      <w:r w:rsidRPr="00F05B0B">
        <w:t xml:space="preserve">in </w:t>
      </w:r>
      <w:r w:rsidR="00BE358E" w:rsidRPr="00F05B0B">
        <w:t>a</w:t>
      </w:r>
      <w:r w:rsidRPr="00F05B0B">
        <w:t xml:space="preserve"> </w:t>
      </w:r>
      <w:r w:rsidR="00BE358E" w:rsidRPr="0031114C">
        <w:t>State or Territory</w:t>
      </w:r>
      <w:r w:rsidRPr="0031114C">
        <w:t xml:space="preserve"> where the </w:t>
      </w:r>
      <w:r w:rsidR="00A55D21" w:rsidRPr="0031114C">
        <w:t>Promoter</w:t>
      </w:r>
      <w:r w:rsidR="00EA4CBB" w:rsidRPr="0031114C">
        <w:t xml:space="preserve"> is ordinarily resident or has a registered office or </w:t>
      </w:r>
      <w:r w:rsidR="00DA5D81">
        <w:t>a</w:t>
      </w:r>
      <w:r w:rsidR="00EA4CBB" w:rsidRPr="0031114C">
        <w:t xml:space="preserve"> place of business</w:t>
      </w:r>
      <w:r w:rsidRPr="0031114C">
        <w:t>.</w:t>
      </w:r>
      <w:r w:rsidR="008E6A49" w:rsidRPr="0031114C">
        <w:t xml:space="preserve"> </w:t>
      </w:r>
    </w:p>
    <w:p w:rsidR="00AA5FE8" w:rsidRDefault="0016077A" w:rsidP="001839F2">
      <w:pPr>
        <w:pStyle w:val="Style1"/>
      </w:pPr>
      <w:r w:rsidRPr="00592AC2">
        <w:t>(b)</w:t>
      </w:r>
      <w:r w:rsidRPr="00592AC2">
        <w:tab/>
      </w:r>
      <w:r w:rsidR="00AA5FE8">
        <w:t>If a member makes a written complaint to the Promoter</w:t>
      </w:r>
      <w:r w:rsidRPr="00592AC2">
        <w:t xml:space="preserve"> in relation to the issue or sale of an interest in </w:t>
      </w:r>
      <w:r w:rsidR="001343E3">
        <w:t>the</w:t>
      </w:r>
      <w:r w:rsidR="001343E3" w:rsidRPr="00592AC2">
        <w:t xml:space="preserve"> </w:t>
      </w:r>
      <w:r w:rsidR="00737A1C" w:rsidRPr="00592AC2">
        <w:t>scheme</w:t>
      </w:r>
      <w:r w:rsidRPr="00592AC2">
        <w:t xml:space="preserve"> or </w:t>
      </w:r>
      <w:r w:rsidR="00AA5FE8">
        <w:t xml:space="preserve">the </w:t>
      </w:r>
      <w:r w:rsidRPr="00592AC2">
        <w:t xml:space="preserve">conduct of </w:t>
      </w:r>
      <w:r w:rsidR="001343E3">
        <w:t>the</w:t>
      </w:r>
      <w:r w:rsidR="001343E3" w:rsidRPr="00592AC2">
        <w:t xml:space="preserve"> </w:t>
      </w:r>
      <w:r w:rsidR="00737A1C" w:rsidRPr="00592AC2">
        <w:t>scheme</w:t>
      </w:r>
      <w:r w:rsidRPr="00592AC2">
        <w:t xml:space="preserve"> </w:t>
      </w:r>
      <w:r w:rsidR="001343E3">
        <w:t xml:space="preserve">while it is </w:t>
      </w:r>
      <w:r w:rsidRPr="00D514B1">
        <w:t>under their management</w:t>
      </w:r>
      <w:r w:rsidR="00AA5FE8" w:rsidRPr="00D514B1">
        <w:t>,</w:t>
      </w:r>
      <w:r w:rsidR="00AA5FE8">
        <w:t xml:space="preserve"> the Promoter must fairly consider the complaint and must respond </w:t>
      </w:r>
      <w:r w:rsidR="0030072B">
        <w:t xml:space="preserve">to the member </w:t>
      </w:r>
      <w:r w:rsidR="00AA5FE8">
        <w:t xml:space="preserve">within 7 days of receiving the complaint </w:t>
      </w:r>
      <w:r w:rsidR="003B5868">
        <w:t>by</w:t>
      </w:r>
      <w:r w:rsidR="00AA5FE8">
        <w:t>:</w:t>
      </w:r>
      <w:r w:rsidRPr="00592AC2">
        <w:t xml:space="preserve"> </w:t>
      </w:r>
    </w:p>
    <w:p w:rsidR="00AA5FE8" w:rsidRDefault="00AA5FE8" w:rsidP="001839F2">
      <w:pPr>
        <w:pStyle w:val="Style2"/>
      </w:pPr>
      <w:r>
        <w:t>(i)</w:t>
      </w:r>
      <w:r>
        <w:tab/>
      </w:r>
      <w:r w:rsidR="0016077A" w:rsidRPr="00592AC2">
        <w:t>acknowledg</w:t>
      </w:r>
      <w:r w:rsidR="00C42540" w:rsidRPr="00592AC2">
        <w:t>ing the</w:t>
      </w:r>
      <w:r w:rsidR="0016077A" w:rsidRPr="00592AC2">
        <w:t xml:space="preserve"> complaint</w:t>
      </w:r>
      <w:r>
        <w:t>;</w:t>
      </w:r>
      <w:r w:rsidR="0016077A" w:rsidRPr="00592AC2">
        <w:t xml:space="preserve"> </w:t>
      </w:r>
      <w:r>
        <w:t>and</w:t>
      </w:r>
    </w:p>
    <w:p w:rsidR="00AA5FE8" w:rsidRDefault="00AA5FE8" w:rsidP="001839F2">
      <w:pPr>
        <w:pStyle w:val="Style2"/>
      </w:pPr>
      <w:r>
        <w:t>(ii)</w:t>
      </w:r>
      <w:r>
        <w:tab/>
      </w:r>
      <w:r w:rsidR="00C42540" w:rsidRPr="00592AC2">
        <w:t xml:space="preserve">advising the </w:t>
      </w:r>
      <w:r>
        <w:t xml:space="preserve">member of the </w:t>
      </w:r>
      <w:r w:rsidR="00C42540" w:rsidRPr="00592AC2">
        <w:t xml:space="preserve">outcome of </w:t>
      </w:r>
      <w:r>
        <w:t xml:space="preserve">the Promoter’s </w:t>
      </w:r>
      <w:r w:rsidR="0016077A" w:rsidRPr="00592AC2">
        <w:t>consider</w:t>
      </w:r>
      <w:r w:rsidR="00C42540" w:rsidRPr="00592AC2">
        <w:t>ation of the complaint</w:t>
      </w:r>
      <w:r>
        <w:t>; and</w:t>
      </w:r>
    </w:p>
    <w:p w:rsidR="00AA5FE8" w:rsidRDefault="00AA5FE8" w:rsidP="00AA5FE8">
      <w:pPr>
        <w:pStyle w:val="Style2"/>
      </w:pPr>
      <w:r>
        <w:t>(iii)</w:t>
      </w:r>
      <w:r>
        <w:tab/>
        <w:t>notify</w:t>
      </w:r>
      <w:r w:rsidR="000265E8">
        <w:t>ing</w:t>
      </w:r>
      <w:r>
        <w:t xml:space="preserve"> </w:t>
      </w:r>
      <w:r w:rsidR="0030072B">
        <w:t>the</w:t>
      </w:r>
      <w:r>
        <w:t xml:space="preserve"> m</w:t>
      </w:r>
      <w:r w:rsidRPr="00592AC2">
        <w:t xml:space="preserve">ember </w:t>
      </w:r>
      <w:r>
        <w:t xml:space="preserve">that </w:t>
      </w:r>
      <w:r w:rsidRPr="00592AC2">
        <w:t xml:space="preserve">if </w:t>
      </w:r>
      <w:r>
        <w:t>they are not satisfied with the way in which the complaint is resolved,</w:t>
      </w:r>
      <w:r w:rsidRPr="00592AC2">
        <w:t xml:space="preserve"> they have a right to appeal to the Controlling Body </w:t>
      </w:r>
      <w:r>
        <w:t>with whom</w:t>
      </w:r>
      <w:r w:rsidRPr="00592AC2">
        <w:t xml:space="preserve"> the Promoter is </w:t>
      </w:r>
      <w:r>
        <w:t>registered or take any other action that the law permits</w:t>
      </w:r>
      <w:r w:rsidR="0030072B">
        <w:t>.</w:t>
      </w:r>
      <w:r>
        <w:t xml:space="preserve"> </w:t>
      </w:r>
    </w:p>
    <w:p w:rsidR="00AA5FE8" w:rsidRPr="00592AC2" w:rsidRDefault="00AA5FE8" w:rsidP="001839F2">
      <w:pPr>
        <w:pStyle w:val="Style1"/>
      </w:pPr>
      <w:r>
        <w:t>(c)</w:t>
      </w:r>
      <w:r>
        <w:tab/>
        <w:t>The Promoter must submit to any decision of the Controlling Body on an appeal</w:t>
      </w:r>
      <w:r w:rsidR="00250528">
        <w:t xml:space="preserve"> referred to in clause 4(b)(iii)</w:t>
      </w:r>
      <w:r w:rsidRPr="00592AC2">
        <w:t>.</w:t>
      </w:r>
      <w:r>
        <w:t xml:space="preserve"> </w:t>
      </w:r>
    </w:p>
    <w:p w:rsidR="0016077A" w:rsidRPr="00592AC2" w:rsidRDefault="00C42540" w:rsidP="001839F2">
      <w:pPr>
        <w:pStyle w:val="Style1"/>
      </w:pPr>
      <w:r w:rsidRPr="00592AC2">
        <w:t>(</w:t>
      </w:r>
      <w:r w:rsidR="00AA5FE8">
        <w:t>d</w:t>
      </w:r>
      <w:r w:rsidRPr="00592AC2">
        <w:t>)</w:t>
      </w:r>
      <w:r w:rsidRPr="00592AC2">
        <w:tab/>
        <w:t>The Promoter must record each written complaint and its response.</w:t>
      </w:r>
    </w:p>
    <w:p w:rsidR="0016077A" w:rsidRPr="00592AC2" w:rsidRDefault="00FA3DEB" w:rsidP="001839F2">
      <w:pPr>
        <w:pStyle w:val="Style1"/>
      </w:pPr>
      <w:r w:rsidRPr="00592AC2">
        <w:t>(</w:t>
      </w:r>
      <w:r w:rsidR="00AA5FE8">
        <w:t>e</w:t>
      </w:r>
      <w:r w:rsidRPr="00592AC2">
        <w:t>)</w:t>
      </w:r>
      <w:r w:rsidRPr="00592AC2">
        <w:tab/>
      </w:r>
      <w:r>
        <w:t xml:space="preserve">The </w:t>
      </w:r>
      <w:r w:rsidR="0016077A" w:rsidRPr="00592AC2">
        <w:t>Promoter must not represent</w:t>
      </w:r>
      <w:r>
        <w:t xml:space="preserve"> or</w:t>
      </w:r>
      <w:r w:rsidR="0016077A" w:rsidRPr="00592AC2">
        <w:t xml:space="preserve"> suggest that any approval </w:t>
      </w:r>
      <w:r>
        <w:t xml:space="preserve">or statement by a Controlling Body </w:t>
      </w:r>
      <w:r w:rsidR="0016077A" w:rsidRPr="00592AC2">
        <w:t xml:space="preserve">amounts to the Controlling Body endorsing the Promoter or the </w:t>
      </w:r>
      <w:r>
        <w:t>scheme</w:t>
      </w:r>
      <w:r w:rsidR="0016077A" w:rsidRPr="00592AC2">
        <w:t>.</w:t>
      </w:r>
    </w:p>
    <w:p w:rsidR="0016077A" w:rsidRPr="00592AC2" w:rsidRDefault="0016077A" w:rsidP="001839F2">
      <w:pPr>
        <w:pStyle w:val="Style1"/>
      </w:pPr>
      <w:r w:rsidRPr="00592AC2">
        <w:t>(</w:t>
      </w:r>
      <w:r w:rsidR="00AA5FE8">
        <w:t>f</w:t>
      </w:r>
      <w:r w:rsidRPr="00592AC2">
        <w:t>)</w:t>
      </w:r>
      <w:r w:rsidRPr="00592AC2">
        <w:tab/>
        <w:t xml:space="preserve">If the Promoter will not be the Manager of that </w:t>
      </w:r>
      <w:r w:rsidR="001D19BD">
        <w:t>scheme</w:t>
      </w:r>
      <w:r w:rsidRPr="00592AC2">
        <w:t xml:space="preserve">, the Promoter must clearly state in the </w:t>
      </w:r>
      <w:r w:rsidR="001D19BD">
        <w:t>disclosure statement</w:t>
      </w:r>
      <w:r w:rsidRPr="00592AC2">
        <w:t xml:space="preserve"> that the Manager is required to manage the </w:t>
      </w:r>
      <w:r w:rsidR="001D19BD">
        <w:t>scheme</w:t>
      </w:r>
      <w:r w:rsidRPr="00592AC2">
        <w:t xml:space="preserve"> in accordance with the terms of any agreement governing the </w:t>
      </w:r>
      <w:r w:rsidR="005903CE">
        <w:t>scheme</w:t>
      </w:r>
      <w:r w:rsidRPr="00592AC2">
        <w:t xml:space="preserve"> approved by the Controlling Body and any rules, regulations or guidelines made by the Controlling Body in respect of such Manager or management.</w:t>
      </w:r>
    </w:p>
    <w:p w:rsidR="0016077A" w:rsidRPr="00592AC2" w:rsidRDefault="0016077A" w:rsidP="001839F2">
      <w:pPr>
        <w:pStyle w:val="Style1"/>
      </w:pPr>
      <w:r w:rsidRPr="00592AC2">
        <w:t>(</w:t>
      </w:r>
      <w:r w:rsidR="00AA5FE8">
        <w:t>g</w:t>
      </w:r>
      <w:r w:rsidRPr="00592AC2">
        <w:t>)</w:t>
      </w:r>
      <w:r w:rsidRPr="00592AC2">
        <w:tab/>
        <w:t xml:space="preserve">Within 7 days of receiving a </w:t>
      </w:r>
      <w:r w:rsidR="005903CE">
        <w:t>m</w:t>
      </w:r>
      <w:r w:rsidRPr="00592AC2">
        <w:t xml:space="preserve">ember’s money for the issue </w:t>
      </w:r>
      <w:r w:rsidR="004F6DA7">
        <w:t xml:space="preserve">or sale </w:t>
      </w:r>
      <w:r w:rsidRPr="00592AC2">
        <w:t xml:space="preserve">of an interest in the </w:t>
      </w:r>
      <w:r w:rsidR="005903CE">
        <w:t>scheme</w:t>
      </w:r>
      <w:r w:rsidRPr="00592AC2">
        <w:t xml:space="preserve">, the Promoter must issue the </w:t>
      </w:r>
      <w:r w:rsidR="005903CE">
        <w:t>m</w:t>
      </w:r>
      <w:r w:rsidRPr="00592AC2">
        <w:t xml:space="preserve">ember with a receipt and a certificate confirming the </w:t>
      </w:r>
      <w:r w:rsidR="005903CE">
        <w:t>m</w:t>
      </w:r>
      <w:r w:rsidRPr="00592AC2">
        <w:t xml:space="preserve">ember’s membership in the </w:t>
      </w:r>
      <w:r w:rsidR="005903CE">
        <w:t>scheme</w:t>
      </w:r>
      <w:r w:rsidRPr="00592AC2">
        <w:t xml:space="preserve"> and the nature of that membership.</w:t>
      </w:r>
      <w:r w:rsidR="00F42AB0" w:rsidRPr="006E639A">
        <w:rPr>
          <w:i/>
        </w:rPr>
        <w:t xml:space="preserve"> </w:t>
      </w:r>
    </w:p>
    <w:p w:rsidR="0016077A" w:rsidRPr="00592AC2" w:rsidRDefault="0016077A" w:rsidP="001839F2">
      <w:pPr>
        <w:pStyle w:val="Style1"/>
      </w:pPr>
      <w:r w:rsidRPr="00DD0B4C">
        <w:lastRenderedPageBreak/>
        <w:t>(</w:t>
      </w:r>
      <w:r w:rsidR="00AA5FE8" w:rsidRPr="00DD0B4C">
        <w:t>h</w:t>
      </w:r>
      <w:r w:rsidRPr="00DD0B4C">
        <w:t>)</w:t>
      </w:r>
      <w:r w:rsidRPr="00DD0B4C">
        <w:tab/>
        <w:t xml:space="preserve">Within 45 days of the </w:t>
      </w:r>
      <w:r w:rsidR="005903CE" w:rsidRPr="00DD0B4C">
        <w:t>scheme</w:t>
      </w:r>
      <w:r w:rsidRPr="00DD0B4C">
        <w:t xml:space="preserve"> being fully subscribed</w:t>
      </w:r>
      <w:r w:rsidRPr="00DD0B4C">
        <w:rPr>
          <w:b/>
          <w:i/>
        </w:rPr>
        <w:t>,</w:t>
      </w:r>
      <w:r w:rsidRPr="00DD0B4C">
        <w:t xml:space="preserve"> the Promoter must </w:t>
      </w:r>
      <w:r w:rsidR="00250528" w:rsidRPr="00DD0B4C">
        <w:t xml:space="preserve">apply to have the </w:t>
      </w:r>
      <w:r w:rsidR="00024D9A" w:rsidRPr="00DB2249">
        <w:t xml:space="preserve">scheme </w:t>
      </w:r>
      <w:r w:rsidR="00250528" w:rsidRPr="00DB2249">
        <w:t>registered</w:t>
      </w:r>
      <w:r w:rsidRPr="00DB2249">
        <w:t xml:space="preserve"> with the Controlling Body</w:t>
      </w:r>
      <w:r w:rsidR="00191499" w:rsidRPr="00F1602E">
        <w:t xml:space="preserve"> under its rules</w:t>
      </w:r>
      <w:r w:rsidR="004F6DA7" w:rsidRPr="00DD0B4C">
        <w:t>.</w:t>
      </w:r>
      <w:r w:rsidR="003B5868" w:rsidRPr="001839F2">
        <w:rPr>
          <w:b/>
          <w:i/>
        </w:rPr>
        <w:t xml:space="preserve"> </w:t>
      </w:r>
    </w:p>
    <w:p w:rsidR="0016077A" w:rsidRPr="00592AC2" w:rsidRDefault="0016077A" w:rsidP="001839F2">
      <w:pPr>
        <w:pStyle w:val="Style1"/>
      </w:pPr>
      <w:r w:rsidRPr="00592AC2">
        <w:t>(i)</w:t>
      </w:r>
      <w:r w:rsidRPr="00592AC2">
        <w:tab/>
      </w:r>
      <w:r w:rsidR="00F42AB0">
        <w:t>Before</w:t>
      </w:r>
      <w:r w:rsidRPr="00592AC2">
        <w:t xml:space="preserve"> registration of the </w:t>
      </w:r>
      <w:r w:rsidR="00191499">
        <w:t xml:space="preserve">scheme </w:t>
      </w:r>
      <w:r w:rsidR="00BF01C8">
        <w:t>with the Controlling Body</w:t>
      </w:r>
      <w:r w:rsidRPr="00592AC2">
        <w:t xml:space="preserve">, the Promoter must ensure that the </w:t>
      </w:r>
      <w:r w:rsidR="005903CE">
        <w:t>members</w:t>
      </w:r>
      <w:r w:rsidRPr="00592AC2">
        <w:t xml:space="preserve"> ha</w:t>
      </w:r>
      <w:r w:rsidR="005903CE">
        <w:t>ve</w:t>
      </w:r>
      <w:r w:rsidRPr="00592AC2">
        <w:t xml:space="preserve"> unencumbered title to the whole of</w:t>
      </w:r>
      <w:r w:rsidR="00EC493B">
        <w:t xml:space="preserve"> each of</w:t>
      </w:r>
      <w:r w:rsidRPr="00592AC2">
        <w:t xml:space="preserve"> the </w:t>
      </w:r>
      <w:r w:rsidR="005903CE">
        <w:t>scheme’s</w:t>
      </w:r>
      <w:r w:rsidRPr="00592AC2">
        <w:t xml:space="preserve"> greyhounds.</w:t>
      </w:r>
      <w:r w:rsidR="00F42AB0">
        <w:t xml:space="preserve"> </w:t>
      </w:r>
    </w:p>
    <w:p w:rsidR="0016077A" w:rsidRPr="00592AC2" w:rsidRDefault="0016077A" w:rsidP="001839F2">
      <w:pPr>
        <w:pStyle w:val="Style1"/>
      </w:pPr>
      <w:r w:rsidRPr="00592AC2">
        <w:t>(</w:t>
      </w:r>
      <w:r w:rsidR="006E0620">
        <w:t>j</w:t>
      </w:r>
      <w:r w:rsidRPr="00592AC2">
        <w:t>)</w:t>
      </w:r>
      <w:r w:rsidRPr="00592AC2">
        <w:tab/>
      </w:r>
      <w:r w:rsidR="006E0620">
        <w:t>F</w:t>
      </w:r>
      <w:r w:rsidRPr="00592AC2">
        <w:t xml:space="preserve">or so long as </w:t>
      </w:r>
      <w:r w:rsidR="00B76B04">
        <w:t>the</w:t>
      </w:r>
      <w:r w:rsidRPr="00592AC2">
        <w:t xml:space="preserve"> </w:t>
      </w:r>
      <w:r w:rsidR="006E0620">
        <w:t>scheme</w:t>
      </w:r>
      <w:r w:rsidRPr="00592AC2">
        <w:t xml:space="preserve"> is promoted by the Promoter, </w:t>
      </w:r>
      <w:r w:rsidR="00DA5D81">
        <w:t xml:space="preserve">the Promoter must </w:t>
      </w:r>
      <w:r w:rsidRPr="00592AC2">
        <w:t xml:space="preserve">ensure that </w:t>
      </w:r>
      <w:r w:rsidR="006E0620">
        <w:t>the scheme</w:t>
      </w:r>
      <w:r w:rsidRPr="00592AC2">
        <w:t xml:space="preserve"> is operated honestly, efficiently and fairly</w:t>
      </w:r>
      <w:r w:rsidR="006E0620">
        <w:t>.</w:t>
      </w:r>
    </w:p>
    <w:p w:rsidR="0016077A" w:rsidRPr="00592AC2" w:rsidRDefault="0016077A" w:rsidP="00592AC2">
      <w:pPr>
        <w:pStyle w:val="Default"/>
        <w:spacing w:after="200"/>
        <w:rPr>
          <w:rFonts w:ascii="Times New Roman" w:hAnsi="Times New Roman"/>
          <w:color w:val="000000" w:themeColor="text1"/>
        </w:rPr>
      </w:pPr>
    </w:p>
    <w:sectPr w:rsidR="0016077A" w:rsidRPr="00592AC2" w:rsidSect="00EF6A07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1B" w:rsidRDefault="00D3371B">
      <w:r>
        <w:separator/>
      </w:r>
    </w:p>
  </w:endnote>
  <w:endnote w:type="continuationSeparator" w:id="0">
    <w:p w:rsidR="00D3371B" w:rsidRDefault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1B" w:rsidRDefault="00D3371B">
      <w:r>
        <w:separator/>
      </w:r>
    </w:p>
  </w:footnote>
  <w:footnote w:type="continuationSeparator" w:id="0">
    <w:p w:rsidR="00D3371B" w:rsidRDefault="00D3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4744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EF6A07" w:rsidRPr="00EF6A07" w:rsidRDefault="00EF6A07">
        <w:pPr>
          <w:pStyle w:val="Header"/>
          <w:jc w:val="center"/>
          <w:rPr>
            <w:rFonts w:ascii="Times New Roman" w:hAnsi="Times New Roman"/>
          </w:rPr>
        </w:pPr>
        <w:r w:rsidRPr="00EF6A07">
          <w:rPr>
            <w:rFonts w:ascii="Times New Roman" w:hAnsi="Times New Roman"/>
          </w:rPr>
          <w:fldChar w:fldCharType="begin"/>
        </w:r>
        <w:r w:rsidRPr="00EF6A07">
          <w:rPr>
            <w:rFonts w:ascii="Times New Roman" w:hAnsi="Times New Roman"/>
          </w:rPr>
          <w:instrText xml:space="preserve"> PAGE   \* MERGEFORMAT </w:instrText>
        </w:r>
        <w:r w:rsidRPr="00EF6A07">
          <w:rPr>
            <w:rFonts w:ascii="Times New Roman" w:hAnsi="Times New Roman"/>
          </w:rPr>
          <w:fldChar w:fldCharType="separate"/>
        </w:r>
        <w:r w:rsidR="009D26DF">
          <w:rPr>
            <w:rFonts w:ascii="Times New Roman" w:hAnsi="Times New Roman"/>
            <w:noProof/>
          </w:rPr>
          <w:t>4</w:t>
        </w:r>
        <w:r w:rsidRPr="00EF6A07">
          <w:rPr>
            <w:rFonts w:ascii="Times New Roman" w:hAnsi="Times New Roman"/>
            <w:noProof/>
          </w:rPr>
          <w:fldChar w:fldCharType="end"/>
        </w:r>
      </w:p>
    </w:sdtContent>
  </w:sdt>
  <w:p w:rsidR="00EF6A07" w:rsidRDefault="00EF6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E024EF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609"/>
        </w:tabs>
        <w:ind w:left="1609" w:hanging="709"/>
      </w:pPr>
      <w:rPr>
        <w:rFonts w:ascii="Calibri" w:eastAsia="Times New Roman" w:hAnsi="Calibri"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Calibri" w:hAnsi="Calibri" w:cs="Times New Roman"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7">
      <w:start w:val="1"/>
      <w:numFmt w:val="upperRoman"/>
      <w:pStyle w:val="Heading8"/>
      <w:lvlText w:val="(%8)"/>
      <w:lvlJc w:val="left"/>
      <w:pPr>
        <w:tabs>
          <w:tab w:val="num" w:pos="4961"/>
        </w:tabs>
        <w:ind w:left="4961" w:hanging="708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670" w:hanging="709"/>
      </w:pPr>
      <w:rPr>
        <w:rFonts w:cs="Times New Roman" w:hint="default"/>
      </w:rPr>
    </w:lvl>
  </w:abstractNum>
  <w:abstractNum w:abstractNumId="1">
    <w:nsid w:val="FFFFFFFE"/>
    <w:multiLevelType w:val="singleLevel"/>
    <w:tmpl w:val="7B24977C"/>
    <w:lvl w:ilvl="0">
      <w:numFmt w:val="bullet"/>
      <w:lvlText w:val="*"/>
      <w:lvlJc w:val="left"/>
    </w:lvl>
  </w:abstractNum>
  <w:abstractNum w:abstractNumId="2">
    <w:nsid w:val="055D7878"/>
    <w:multiLevelType w:val="hybridMultilevel"/>
    <w:tmpl w:val="AEF0AE8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254C2"/>
    <w:multiLevelType w:val="hybridMultilevel"/>
    <w:tmpl w:val="89560FB4"/>
    <w:lvl w:ilvl="0" w:tplc="1A70B5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D4FD4"/>
    <w:multiLevelType w:val="hybridMultilevel"/>
    <w:tmpl w:val="59A480D6"/>
    <w:lvl w:ilvl="0" w:tplc="A75C2860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7518C"/>
    <w:multiLevelType w:val="hybridMultilevel"/>
    <w:tmpl w:val="BE7EA350"/>
    <w:lvl w:ilvl="0" w:tplc="6B82DA20">
      <w:start w:val="1"/>
      <w:numFmt w:val="lowerLetter"/>
      <w:lvlText w:val="(%1)"/>
      <w:lvlJc w:val="left"/>
      <w:pPr>
        <w:ind w:left="112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8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4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  <w:rPr>
        <w:rFonts w:cs="Times New Roman"/>
      </w:rPr>
    </w:lvl>
  </w:abstractNum>
  <w:abstractNum w:abstractNumId="6">
    <w:nsid w:val="0BD34A46"/>
    <w:multiLevelType w:val="hybridMultilevel"/>
    <w:tmpl w:val="63AC479E"/>
    <w:lvl w:ilvl="0" w:tplc="2180734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ECB22DE"/>
    <w:multiLevelType w:val="hybridMultilevel"/>
    <w:tmpl w:val="E9923FCC"/>
    <w:lvl w:ilvl="0" w:tplc="314E0CE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E007A"/>
    <w:multiLevelType w:val="hybridMultilevel"/>
    <w:tmpl w:val="63761DE2"/>
    <w:lvl w:ilvl="0" w:tplc="5E2E8FC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5E4747"/>
    <w:multiLevelType w:val="hybridMultilevel"/>
    <w:tmpl w:val="A2F2A286"/>
    <w:lvl w:ilvl="0" w:tplc="F964203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54818B8"/>
    <w:multiLevelType w:val="hybridMultilevel"/>
    <w:tmpl w:val="36F82F04"/>
    <w:lvl w:ilvl="0" w:tplc="5B7AC14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6CF3759"/>
    <w:multiLevelType w:val="hybridMultilevel"/>
    <w:tmpl w:val="35CE8620"/>
    <w:lvl w:ilvl="0" w:tplc="AEBAA0EE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B2805AD"/>
    <w:multiLevelType w:val="hybridMultilevel"/>
    <w:tmpl w:val="EF86A4E2"/>
    <w:lvl w:ilvl="0" w:tplc="7A4E834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0C6808"/>
    <w:multiLevelType w:val="multilevel"/>
    <w:tmpl w:val="76CABBD8"/>
    <w:lvl w:ilvl="0">
      <w:start w:val="1"/>
      <w:numFmt w:val="decimal"/>
      <w:lvlText w:val="RG 000.%1"/>
      <w:lvlJc w:val="left"/>
      <w:pPr>
        <w:tabs>
          <w:tab w:val="num" w:pos="2836"/>
        </w:tabs>
        <w:ind w:left="2836" w:hanging="1134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4"/>
        </w:tabs>
        <w:ind w:left="2694" w:hanging="425"/>
      </w:pPr>
      <w:rPr>
        <w:rFonts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544"/>
        </w:tabs>
        <w:ind w:left="3544" w:hanging="425"/>
      </w:pPr>
      <w:rPr>
        <w:rFonts w:cs="Times New Roman" w:hint="default"/>
        <w:sz w:val="16"/>
        <w:szCs w:val="16"/>
      </w:rPr>
    </w:lvl>
    <w:lvl w:ilvl="4">
      <w:start w:val="1"/>
      <w:numFmt w:val="upperRoman"/>
      <w:lvlText w:val="(%5)"/>
      <w:lvlJc w:val="left"/>
      <w:pPr>
        <w:tabs>
          <w:tab w:val="num" w:pos="3969"/>
        </w:tabs>
        <w:ind w:left="3969" w:hanging="425"/>
      </w:pPr>
      <w:rPr>
        <w:rFonts w:cs="Times New Roman"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4">
    <w:nsid w:val="1FA06933"/>
    <w:multiLevelType w:val="hybridMultilevel"/>
    <w:tmpl w:val="24CE38B0"/>
    <w:lvl w:ilvl="0" w:tplc="72848B0E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77091"/>
    <w:multiLevelType w:val="hybridMultilevel"/>
    <w:tmpl w:val="D3CCC7FA"/>
    <w:lvl w:ilvl="0" w:tplc="4A6A20D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9907B0"/>
    <w:multiLevelType w:val="hybridMultilevel"/>
    <w:tmpl w:val="94EA3A7C"/>
    <w:lvl w:ilvl="0" w:tplc="218073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1C7027"/>
    <w:multiLevelType w:val="hybridMultilevel"/>
    <w:tmpl w:val="8AE28B96"/>
    <w:lvl w:ilvl="0" w:tplc="71BA72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AD619B3"/>
    <w:multiLevelType w:val="hybridMultilevel"/>
    <w:tmpl w:val="5958DA70"/>
    <w:lvl w:ilvl="0" w:tplc="218073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1129ED"/>
    <w:multiLevelType w:val="hybridMultilevel"/>
    <w:tmpl w:val="55D64EB4"/>
    <w:lvl w:ilvl="0" w:tplc="E818A7B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646A78"/>
    <w:multiLevelType w:val="hybridMultilevel"/>
    <w:tmpl w:val="9D508DB6"/>
    <w:lvl w:ilvl="0" w:tplc="F480914A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346AAD"/>
    <w:multiLevelType w:val="hybridMultilevel"/>
    <w:tmpl w:val="4CA02978"/>
    <w:lvl w:ilvl="0" w:tplc="21807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754080"/>
    <w:multiLevelType w:val="hybridMultilevel"/>
    <w:tmpl w:val="9E06B2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6372"/>
    <w:multiLevelType w:val="hybridMultilevel"/>
    <w:tmpl w:val="07EC5D08"/>
    <w:lvl w:ilvl="0" w:tplc="4EBCD0C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3560041"/>
    <w:multiLevelType w:val="hybridMultilevel"/>
    <w:tmpl w:val="C4A44558"/>
    <w:lvl w:ilvl="0" w:tplc="A984CF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7338D2"/>
    <w:multiLevelType w:val="hybridMultilevel"/>
    <w:tmpl w:val="27EE2B7E"/>
    <w:lvl w:ilvl="0" w:tplc="218073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922AA1"/>
    <w:multiLevelType w:val="hybridMultilevel"/>
    <w:tmpl w:val="8C6C7B26"/>
    <w:lvl w:ilvl="0" w:tplc="2EFE210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F6600"/>
    <w:multiLevelType w:val="hybridMultilevel"/>
    <w:tmpl w:val="7E224080"/>
    <w:lvl w:ilvl="0" w:tplc="C8BED4C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8D1676"/>
    <w:multiLevelType w:val="hybridMultilevel"/>
    <w:tmpl w:val="119271F2"/>
    <w:lvl w:ilvl="0" w:tplc="2180734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>
      <w:start w:val="1"/>
      <w:numFmt w:val="lowerLetter"/>
      <w:pStyle w:val="subparaa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C70191E"/>
    <w:multiLevelType w:val="hybridMultilevel"/>
    <w:tmpl w:val="49A24E98"/>
    <w:lvl w:ilvl="0" w:tplc="16D2E2AA">
      <w:start w:val="2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F8C6A95"/>
    <w:multiLevelType w:val="hybridMultilevel"/>
    <w:tmpl w:val="3A285E46"/>
    <w:lvl w:ilvl="0" w:tplc="BF721622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7310F7"/>
    <w:multiLevelType w:val="hybridMultilevel"/>
    <w:tmpl w:val="2E422550"/>
    <w:lvl w:ilvl="0" w:tplc="218073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13857"/>
    <w:multiLevelType w:val="hybridMultilevel"/>
    <w:tmpl w:val="9C7CE27E"/>
    <w:lvl w:ilvl="0" w:tplc="7B54E5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583AE8"/>
    <w:multiLevelType w:val="hybridMultilevel"/>
    <w:tmpl w:val="796A4F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AC75C8"/>
    <w:multiLevelType w:val="hybridMultilevel"/>
    <w:tmpl w:val="595CB9AE"/>
    <w:lvl w:ilvl="0" w:tplc="7E70037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2406B3"/>
    <w:multiLevelType w:val="hybridMultilevel"/>
    <w:tmpl w:val="3E72FED4"/>
    <w:lvl w:ilvl="0" w:tplc="35E2A32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214F7A"/>
    <w:multiLevelType w:val="hybridMultilevel"/>
    <w:tmpl w:val="1616AC20"/>
    <w:lvl w:ilvl="0" w:tplc="E12E21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330F89"/>
    <w:multiLevelType w:val="hybridMultilevel"/>
    <w:tmpl w:val="7ABC1E74"/>
    <w:lvl w:ilvl="0" w:tplc="F7B46CEA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376DF"/>
    <w:multiLevelType w:val="hybridMultilevel"/>
    <w:tmpl w:val="B0BCBA78"/>
    <w:lvl w:ilvl="0" w:tplc="8FEE18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3B5BD1"/>
    <w:multiLevelType w:val="hybridMultilevel"/>
    <w:tmpl w:val="F39C6DA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4E2B19"/>
    <w:multiLevelType w:val="hybridMultilevel"/>
    <w:tmpl w:val="550C461C"/>
    <w:lvl w:ilvl="0" w:tplc="21807348">
      <w:start w:val="1"/>
      <w:numFmt w:val="lowerLetter"/>
      <w:lvlText w:val="(%1)"/>
      <w:lvlJc w:val="left"/>
      <w:pPr>
        <w:ind w:left="76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41">
    <w:nsid w:val="5EED019F"/>
    <w:multiLevelType w:val="hybridMultilevel"/>
    <w:tmpl w:val="E75C32FA"/>
    <w:lvl w:ilvl="0" w:tplc="0290BCE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F712DF2"/>
    <w:multiLevelType w:val="hybridMultilevel"/>
    <w:tmpl w:val="7CC068F4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D75084"/>
    <w:multiLevelType w:val="hybridMultilevel"/>
    <w:tmpl w:val="45961B20"/>
    <w:lvl w:ilvl="0" w:tplc="B9EC0C18">
      <w:start w:val="1"/>
      <w:numFmt w:val="lowerLetter"/>
      <w:lvlText w:val="(%1)"/>
      <w:lvlJc w:val="left"/>
      <w:pPr>
        <w:ind w:left="1417" w:hanging="7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3352C39"/>
    <w:multiLevelType w:val="hybridMultilevel"/>
    <w:tmpl w:val="A852BB3A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63A503CC"/>
    <w:multiLevelType w:val="hybridMultilevel"/>
    <w:tmpl w:val="9D566152"/>
    <w:lvl w:ilvl="0" w:tplc="21807348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5A405AA"/>
    <w:multiLevelType w:val="hybridMultilevel"/>
    <w:tmpl w:val="1A3CE56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752FF4"/>
    <w:multiLevelType w:val="hybridMultilevel"/>
    <w:tmpl w:val="A3EC4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7DF1692"/>
    <w:multiLevelType w:val="hybridMultilevel"/>
    <w:tmpl w:val="23D024E2"/>
    <w:lvl w:ilvl="0" w:tplc="21807348">
      <w:start w:val="1"/>
      <w:numFmt w:val="lowerLetter"/>
      <w:lvlText w:val="(%1)"/>
      <w:lvlJc w:val="left"/>
      <w:pPr>
        <w:ind w:left="10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6C0424C0"/>
    <w:multiLevelType w:val="hybridMultilevel"/>
    <w:tmpl w:val="BF828F5E"/>
    <w:lvl w:ilvl="0" w:tplc="7FC882F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ED5260B"/>
    <w:multiLevelType w:val="hybridMultilevel"/>
    <w:tmpl w:val="EA28BE5A"/>
    <w:lvl w:ilvl="0" w:tplc="BC7C794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5F670B"/>
    <w:multiLevelType w:val="hybridMultilevel"/>
    <w:tmpl w:val="CAC8FFD0"/>
    <w:lvl w:ilvl="0" w:tplc="C8ACE3EE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0EE2032"/>
    <w:multiLevelType w:val="hybridMultilevel"/>
    <w:tmpl w:val="DE18D2C4"/>
    <w:lvl w:ilvl="0" w:tplc="DC92466A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7226621D"/>
    <w:multiLevelType w:val="hybridMultilevel"/>
    <w:tmpl w:val="4606DC6E"/>
    <w:lvl w:ilvl="0" w:tplc="25E0717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532FA6"/>
    <w:multiLevelType w:val="hybridMultilevel"/>
    <w:tmpl w:val="29D07C52"/>
    <w:lvl w:ilvl="0" w:tplc="376EFED2">
      <w:start w:val="1"/>
      <w:numFmt w:val="lowerRoman"/>
      <w:lvlText w:val="(%1)"/>
      <w:lvlJc w:val="left"/>
      <w:pPr>
        <w:ind w:left="1571" w:hanging="720"/>
      </w:pPr>
      <w:rPr>
        <w:rFonts w:cs="Times New Roman" w:hint="default"/>
        <w:b w:val="0"/>
      </w:rPr>
    </w:lvl>
    <w:lvl w:ilvl="1" w:tplc="E8709EA2">
      <w:start w:val="1"/>
      <w:numFmt w:val="lowerLetter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>
    <w:nsid w:val="783427F3"/>
    <w:multiLevelType w:val="hybridMultilevel"/>
    <w:tmpl w:val="1B10A392"/>
    <w:lvl w:ilvl="0" w:tplc="2180734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79FE47A5"/>
    <w:multiLevelType w:val="hybridMultilevel"/>
    <w:tmpl w:val="4AB44482"/>
    <w:lvl w:ilvl="0" w:tplc="C55046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BB1572"/>
    <w:multiLevelType w:val="hybridMultilevel"/>
    <w:tmpl w:val="7C929346"/>
    <w:lvl w:ilvl="0" w:tplc="E7B009B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7FE969BC"/>
    <w:multiLevelType w:val="hybridMultilevel"/>
    <w:tmpl w:val="3DBE1C9C"/>
    <w:lvl w:ilvl="0" w:tplc="0C09000F">
      <w:start w:val="1"/>
      <w:numFmt w:val="decimal"/>
      <w:lvlText w:val="%1."/>
      <w:lvlJc w:val="left"/>
      <w:pPr>
        <w:ind w:left="1418" w:hanging="360"/>
      </w:pPr>
    </w:lvl>
    <w:lvl w:ilvl="1" w:tplc="0C090019" w:tentative="1">
      <w:start w:val="1"/>
      <w:numFmt w:val="lowerLetter"/>
      <w:lvlText w:val="%2."/>
      <w:lvlJc w:val="left"/>
      <w:pPr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24"/>
  </w:num>
  <w:num w:numId="2">
    <w:abstractNumId w:val="11"/>
  </w:num>
  <w:num w:numId="3">
    <w:abstractNumId w:val="42"/>
  </w:num>
  <w:num w:numId="4">
    <w:abstractNumId w:val="56"/>
  </w:num>
  <w:num w:numId="5">
    <w:abstractNumId w:val="45"/>
  </w:num>
  <w:num w:numId="6">
    <w:abstractNumId w:val="46"/>
  </w:num>
  <w:num w:numId="7">
    <w:abstractNumId w:val="51"/>
  </w:num>
  <w:num w:numId="8">
    <w:abstractNumId w:val="21"/>
  </w:num>
  <w:num w:numId="9">
    <w:abstractNumId w:val="18"/>
  </w:num>
  <w:num w:numId="10">
    <w:abstractNumId w:val="25"/>
  </w:num>
  <w:num w:numId="11">
    <w:abstractNumId w:val="48"/>
  </w:num>
  <w:num w:numId="12">
    <w:abstractNumId w:val="6"/>
  </w:num>
  <w:num w:numId="13">
    <w:abstractNumId w:val="33"/>
  </w:num>
  <w:num w:numId="14">
    <w:abstractNumId w:val="39"/>
  </w:num>
  <w:num w:numId="15">
    <w:abstractNumId w:val="40"/>
  </w:num>
  <w:num w:numId="16">
    <w:abstractNumId w:val="28"/>
  </w:num>
  <w:num w:numId="17">
    <w:abstractNumId w:val="5"/>
  </w:num>
  <w:num w:numId="18">
    <w:abstractNumId w:val="30"/>
  </w:num>
  <w:num w:numId="19">
    <w:abstractNumId w:val="20"/>
  </w:num>
  <w:num w:numId="20">
    <w:abstractNumId w:val="19"/>
  </w:num>
  <w:num w:numId="21">
    <w:abstractNumId w:val="12"/>
  </w:num>
  <w:num w:numId="22">
    <w:abstractNumId w:val="31"/>
  </w:num>
  <w:num w:numId="23">
    <w:abstractNumId w:val="55"/>
  </w:num>
  <w:num w:numId="24">
    <w:abstractNumId w:val="23"/>
  </w:num>
  <w:num w:numId="25">
    <w:abstractNumId w:val="44"/>
  </w:num>
  <w:num w:numId="26">
    <w:abstractNumId w:val="53"/>
  </w:num>
  <w:num w:numId="27">
    <w:abstractNumId w:val="35"/>
  </w:num>
  <w:num w:numId="28">
    <w:abstractNumId w:val="2"/>
  </w:num>
  <w:num w:numId="29">
    <w:abstractNumId w:val="7"/>
  </w:num>
  <w:num w:numId="30">
    <w:abstractNumId w:val="13"/>
  </w:num>
  <w:num w:numId="31">
    <w:abstractNumId w:val="37"/>
  </w:num>
  <w:num w:numId="32">
    <w:abstractNumId w:val="36"/>
  </w:num>
  <w:num w:numId="33">
    <w:abstractNumId w:val="3"/>
  </w:num>
  <w:num w:numId="34">
    <w:abstractNumId w:val="38"/>
  </w:num>
  <w:num w:numId="35">
    <w:abstractNumId w:val="57"/>
  </w:num>
  <w:num w:numId="36">
    <w:abstractNumId w:val="27"/>
  </w:num>
  <w:num w:numId="3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16"/>
  </w:num>
  <w:num w:numId="39">
    <w:abstractNumId w:val="50"/>
  </w:num>
  <w:num w:numId="40">
    <w:abstractNumId w:val="47"/>
  </w:num>
  <w:num w:numId="41">
    <w:abstractNumId w:val="10"/>
  </w:num>
  <w:num w:numId="42">
    <w:abstractNumId w:val="52"/>
  </w:num>
  <w:num w:numId="43">
    <w:abstractNumId w:val="26"/>
  </w:num>
  <w:num w:numId="44">
    <w:abstractNumId w:val="29"/>
  </w:num>
  <w:num w:numId="45">
    <w:abstractNumId w:val="49"/>
  </w:num>
  <w:num w:numId="46">
    <w:abstractNumId w:val="9"/>
  </w:num>
  <w:num w:numId="47">
    <w:abstractNumId w:val="41"/>
  </w:num>
  <w:num w:numId="48">
    <w:abstractNumId w:val="8"/>
  </w:num>
  <w:num w:numId="49">
    <w:abstractNumId w:val="15"/>
  </w:num>
  <w:num w:numId="50">
    <w:abstractNumId w:val="58"/>
  </w:num>
  <w:num w:numId="51">
    <w:abstractNumId w:val="22"/>
  </w:num>
  <w:num w:numId="52">
    <w:abstractNumId w:val="14"/>
  </w:num>
  <w:num w:numId="53">
    <w:abstractNumId w:val="32"/>
  </w:num>
  <w:num w:numId="54">
    <w:abstractNumId w:val="17"/>
  </w:num>
  <w:num w:numId="55">
    <w:abstractNumId w:val="54"/>
  </w:num>
  <w:num w:numId="56">
    <w:abstractNumId w:val="0"/>
  </w:num>
  <w:num w:numId="57">
    <w:abstractNumId w:val="0"/>
  </w:num>
  <w:num w:numId="58">
    <w:abstractNumId w:val="4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8"/>
    <w:rsid w:val="00001C1A"/>
    <w:rsid w:val="000031C7"/>
    <w:rsid w:val="00004E3C"/>
    <w:rsid w:val="0000652E"/>
    <w:rsid w:val="000075C7"/>
    <w:rsid w:val="0001333A"/>
    <w:rsid w:val="00013F8A"/>
    <w:rsid w:val="00014A1F"/>
    <w:rsid w:val="00015CCA"/>
    <w:rsid w:val="00015F76"/>
    <w:rsid w:val="00017147"/>
    <w:rsid w:val="00024143"/>
    <w:rsid w:val="00024D9A"/>
    <w:rsid w:val="00024ED5"/>
    <w:rsid w:val="00025383"/>
    <w:rsid w:val="00025FF7"/>
    <w:rsid w:val="000265E8"/>
    <w:rsid w:val="00026E4D"/>
    <w:rsid w:val="00027026"/>
    <w:rsid w:val="00027EB4"/>
    <w:rsid w:val="000329A0"/>
    <w:rsid w:val="00035F18"/>
    <w:rsid w:val="0003626A"/>
    <w:rsid w:val="00036A8C"/>
    <w:rsid w:val="00037B44"/>
    <w:rsid w:val="000424AC"/>
    <w:rsid w:val="00044C15"/>
    <w:rsid w:val="00046553"/>
    <w:rsid w:val="000475BB"/>
    <w:rsid w:val="00050295"/>
    <w:rsid w:val="00057FAB"/>
    <w:rsid w:val="0006018F"/>
    <w:rsid w:val="00062CF5"/>
    <w:rsid w:val="00070108"/>
    <w:rsid w:val="00073B17"/>
    <w:rsid w:val="00074D49"/>
    <w:rsid w:val="000757BB"/>
    <w:rsid w:val="00075C05"/>
    <w:rsid w:val="00077501"/>
    <w:rsid w:val="00080AEC"/>
    <w:rsid w:val="00081572"/>
    <w:rsid w:val="0008231D"/>
    <w:rsid w:val="000842B9"/>
    <w:rsid w:val="00086927"/>
    <w:rsid w:val="00086EF3"/>
    <w:rsid w:val="00087177"/>
    <w:rsid w:val="00091107"/>
    <w:rsid w:val="000922C6"/>
    <w:rsid w:val="00092459"/>
    <w:rsid w:val="00092CAD"/>
    <w:rsid w:val="00094264"/>
    <w:rsid w:val="0009457C"/>
    <w:rsid w:val="00095A4D"/>
    <w:rsid w:val="00097D37"/>
    <w:rsid w:val="000A02CE"/>
    <w:rsid w:val="000A5EFD"/>
    <w:rsid w:val="000B1C03"/>
    <w:rsid w:val="000B3AF1"/>
    <w:rsid w:val="000B4416"/>
    <w:rsid w:val="000C0077"/>
    <w:rsid w:val="000C0544"/>
    <w:rsid w:val="000C090C"/>
    <w:rsid w:val="000C2B88"/>
    <w:rsid w:val="000C47C3"/>
    <w:rsid w:val="000C4B05"/>
    <w:rsid w:val="000C684D"/>
    <w:rsid w:val="000D088D"/>
    <w:rsid w:val="000D2B85"/>
    <w:rsid w:val="000D61B0"/>
    <w:rsid w:val="000E04BE"/>
    <w:rsid w:val="000E1593"/>
    <w:rsid w:val="000E2EDB"/>
    <w:rsid w:val="000E354D"/>
    <w:rsid w:val="000E7B04"/>
    <w:rsid w:val="000F07A5"/>
    <w:rsid w:val="000F1B3F"/>
    <w:rsid w:val="000F59A6"/>
    <w:rsid w:val="000F7F2F"/>
    <w:rsid w:val="001028CA"/>
    <w:rsid w:val="00104EEE"/>
    <w:rsid w:val="001067B0"/>
    <w:rsid w:val="00110286"/>
    <w:rsid w:val="0011032A"/>
    <w:rsid w:val="00110B54"/>
    <w:rsid w:val="0011153E"/>
    <w:rsid w:val="00111790"/>
    <w:rsid w:val="00114D4D"/>
    <w:rsid w:val="001152C3"/>
    <w:rsid w:val="001169F7"/>
    <w:rsid w:val="001208D6"/>
    <w:rsid w:val="00120F07"/>
    <w:rsid w:val="00124F67"/>
    <w:rsid w:val="00130012"/>
    <w:rsid w:val="00131B07"/>
    <w:rsid w:val="001331C0"/>
    <w:rsid w:val="001343E3"/>
    <w:rsid w:val="001350E1"/>
    <w:rsid w:val="00136ACD"/>
    <w:rsid w:val="001422F0"/>
    <w:rsid w:val="0014372D"/>
    <w:rsid w:val="001469E3"/>
    <w:rsid w:val="00147B01"/>
    <w:rsid w:val="00151217"/>
    <w:rsid w:val="001512AC"/>
    <w:rsid w:val="00152108"/>
    <w:rsid w:val="00154206"/>
    <w:rsid w:val="001545FF"/>
    <w:rsid w:val="0016077A"/>
    <w:rsid w:val="00163B60"/>
    <w:rsid w:val="0016686D"/>
    <w:rsid w:val="00167356"/>
    <w:rsid w:val="00170C7F"/>
    <w:rsid w:val="00171428"/>
    <w:rsid w:val="00176503"/>
    <w:rsid w:val="00176BFB"/>
    <w:rsid w:val="00176DC2"/>
    <w:rsid w:val="00176DC5"/>
    <w:rsid w:val="00180AC6"/>
    <w:rsid w:val="001833FC"/>
    <w:rsid w:val="001839F2"/>
    <w:rsid w:val="0018444D"/>
    <w:rsid w:val="0018548C"/>
    <w:rsid w:val="00187C44"/>
    <w:rsid w:val="00190564"/>
    <w:rsid w:val="00191499"/>
    <w:rsid w:val="001955E2"/>
    <w:rsid w:val="001A0ADA"/>
    <w:rsid w:val="001A0B77"/>
    <w:rsid w:val="001A3782"/>
    <w:rsid w:val="001A553A"/>
    <w:rsid w:val="001B53B7"/>
    <w:rsid w:val="001C22E8"/>
    <w:rsid w:val="001C2B7E"/>
    <w:rsid w:val="001C4EE6"/>
    <w:rsid w:val="001C5AE7"/>
    <w:rsid w:val="001D19BD"/>
    <w:rsid w:val="001D4705"/>
    <w:rsid w:val="001D48D8"/>
    <w:rsid w:val="001E15AE"/>
    <w:rsid w:val="001E344C"/>
    <w:rsid w:val="001E5282"/>
    <w:rsid w:val="001E7335"/>
    <w:rsid w:val="0020702C"/>
    <w:rsid w:val="002112B1"/>
    <w:rsid w:val="002119FC"/>
    <w:rsid w:val="00211F7C"/>
    <w:rsid w:val="00213AA7"/>
    <w:rsid w:val="00213BEA"/>
    <w:rsid w:val="0021672A"/>
    <w:rsid w:val="002167C7"/>
    <w:rsid w:val="00220524"/>
    <w:rsid w:val="00220EF8"/>
    <w:rsid w:val="00222E34"/>
    <w:rsid w:val="002234C9"/>
    <w:rsid w:val="002247CB"/>
    <w:rsid w:val="002271DA"/>
    <w:rsid w:val="002272D8"/>
    <w:rsid w:val="00227AC5"/>
    <w:rsid w:val="002329B1"/>
    <w:rsid w:val="00232B82"/>
    <w:rsid w:val="0023317F"/>
    <w:rsid w:val="0023535C"/>
    <w:rsid w:val="002353D8"/>
    <w:rsid w:val="00240C26"/>
    <w:rsid w:val="0024426B"/>
    <w:rsid w:val="00250528"/>
    <w:rsid w:val="002514CE"/>
    <w:rsid w:val="00251B73"/>
    <w:rsid w:val="002535F9"/>
    <w:rsid w:val="00253943"/>
    <w:rsid w:val="00255FAE"/>
    <w:rsid w:val="00257DA0"/>
    <w:rsid w:val="00260442"/>
    <w:rsid w:val="002623E4"/>
    <w:rsid w:val="00262C06"/>
    <w:rsid w:val="00264E1D"/>
    <w:rsid w:val="0026748D"/>
    <w:rsid w:val="00272B8F"/>
    <w:rsid w:val="00274E01"/>
    <w:rsid w:val="00276FBF"/>
    <w:rsid w:val="00277FA4"/>
    <w:rsid w:val="00281420"/>
    <w:rsid w:val="002819DC"/>
    <w:rsid w:val="00285620"/>
    <w:rsid w:val="00286503"/>
    <w:rsid w:val="00287F1F"/>
    <w:rsid w:val="00290BAE"/>
    <w:rsid w:val="002925D9"/>
    <w:rsid w:val="00295CF1"/>
    <w:rsid w:val="002A0888"/>
    <w:rsid w:val="002A14B2"/>
    <w:rsid w:val="002A2203"/>
    <w:rsid w:val="002A261E"/>
    <w:rsid w:val="002A64AA"/>
    <w:rsid w:val="002A6B18"/>
    <w:rsid w:val="002B04BB"/>
    <w:rsid w:val="002B532B"/>
    <w:rsid w:val="002B719D"/>
    <w:rsid w:val="002B7AED"/>
    <w:rsid w:val="002C224E"/>
    <w:rsid w:val="002C2FDF"/>
    <w:rsid w:val="002C3900"/>
    <w:rsid w:val="002C3D97"/>
    <w:rsid w:val="002C416B"/>
    <w:rsid w:val="002D3349"/>
    <w:rsid w:val="002D5B8D"/>
    <w:rsid w:val="002E04F6"/>
    <w:rsid w:val="002E2412"/>
    <w:rsid w:val="002E3BB9"/>
    <w:rsid w:val="002F01F0"/>
    <w:rsid w:val="002F029D"/>
    <w:rsid w:val="002F59B9"/>
    <w:rsid w:val="0030072B"/>
    <w:rsid w:val="00306F08"/>
    <w:rsid w:val="003072AA"/>
    <w:rsid w:val="003073A7"/>
    <w:rsid w:val="00310528"/>
    <w:rsid w:val="0031114C"/>
    <w:rsid w:val="0031176A"/>
    <w:rsid w:val="00314189"/>
    <w:rsid w:val="003161A3"/>
    <w:rsid w:val="00317D75"/>
    <w:rsid w:val="00321840"/>
    <w:rsid w:val="00321B28"/>
    <w:rsid w:val="00325338"/>
    <w:rsid w:val="00335CB2"/>
    <w:rsid w:val="00337A80"/>
    <w:rsid w:val="00343B2E"/>
    <w:rsid w:val="0034518B"/>
    <w:rsid w:val="00346E37"/>
    <w:rsid w:val="00350991"/>
    <w:rsid w:val="0035129B"/>
    <w:rsid w:val="00351BB0"/>
    <w:rsid w:val="0035278D"/>
    <w:rsid w:val="00354304"/>
    <w:rsid w:val="00355537"/>
    <w:rsid w:val="003555A7"/>
    <w:rsid w:val="00357588"/>
    <w:rsid w:val="00357E9B"/>
    <w:rsid w:val="00361358"/>
    <w:rsid w:val="00361F9C"/>
    <w:rsid w:val="00362193"/>
    <w:rsid w:val="003650D2"/>
    <w:rsid w:val="00366A81"/>
    <w:rsid w:val="00366E11"/>
    <w:rsid w:val="00373836"/>
    <w:rsid w:val="00373860"/>
    <w:rsid w:val="00385CC3"/>
    <w:rsid w:val="00385F67"/>
    <w:rsid w:val="00387AF9"/>
    <w:rsid w:val="00390540"/>
    <w:rsid w:val="0039175C"/>
    <w:rsid w:val="003957B4"/>
    <w:rsid w:val="0039795B"/>
    <w:rsid w:val="003A0A38"/>
    <w:rsid w:val="003A129A"/>
    <w:rsid w:val="003A2AC3"/>
    <w:rsid w:val="003A2EF0"/>
    <w:rsid w:val="003A4438"/>
    <w:rsid w:val="003A63D9"/>
    <w:rsid w:val="003A68BA"/>
    <w:rsid w:val="003B0FE9"/>
    <w:rsid w:val="003B1A08"/>
    <w:rsid w:val="003B5868"/>
    <w:rsid w:val="003B6FA4"/>
    <w:rsid w:val="003B71CB"/>
    <w:rsid w:val="003B731B"/>
    <w:rsid w:val="003B7A32"/>
    <w:rsid w:val="003C15BA"/>
    <w:rsid w:val="003C175A"/>
    <w:rsid w:val="003C2605"/>
    <w:rsid w:val="003C3D10"/>
    <w:rsid w:val="003C5F8E"/>
    <w:rsid w:val="003C716F"/>
    <w:rsid w:val="003D5327"/>
    <w:rsid w:val="003D63B5"/>
    <w:rsid w:val="003D7076"/>
    <w:rsid w:val="003E6075"/>
    <w:rsid w:val="003F03D9"/>
    <w:rsid w:val="003F4EEF"/>
    <w:rsid w:val="003F4FA4"/>
    <w:rsid w:val="003F5F97"/>
    <w:rsid w:val="00402EA0"/>
    <w:rsid w:val="004060FA"/>
    <w:rsid w:val="0041002A"/>
    <w:rsid w:val="00411274"/>
    <w:rsid w:val="00412EBD"/>
    <w:rsid w:val="00412F69"/>
    <w:rsid w:val="004130C3"/>
    <w:rsid w:val="004148B2"/>
    <w:rsid w:val="0041566A"/>
    <w:rsid w:val="00423182"/>
    <w:rsid w:val="00424715"/>
    <w:rsid w:val="00425B18"/>
    <w:rsid w:val="0043058A"/>
    <w:rsid w:val="0043119C"/>
    <w:rsid w:val="004311F2"/>
    <w:rsid w:val="00434CA6"/>
    <w:rsid w:val="004351F6"/>
    <w:rsid w:val="00435352"/>
    <w:rsid w:val="004369C1"/>
    <w:rsid w:val="00443197"/>
    <w:rsid w:val="004517DC"/>
    <w:rsid w:val="004530BF"/>
    <w:rsid w:val="004532F2"/>
    <w:rsid w:val="0045704D"/>
    <w:rsid w:val="00457E5F"/>
    <w:rsid w:val="00460BBA"/>
    <w:rsid w:val="004611BE"/>
    <w:rsid w:val="004615B4"/>
    <w:rsid w:val="00461D21"/>
    <w:rsid w:val="004627F0"/>
    <w:rsid w:val="00470DFE"/>
    <w:rsid w:val="00472617"/>
    <w:rsid w:val="00473E8A"/>
    <w:rsid w:val="0047459C"/>
    <w:rsid w:val="00474C80"/>
    <w:rsid w:val="00476F89"/>
    <w:rsid w:val="00477168"/>
    <w:rsid w:val="00481411"/>
    <w:rsid w:val="0048259A"/>
    <w:rsid w:val="00483752"/>
    <w:rsid w:val="00483EB6"/>
    <w:rsid w:val="0048407E"/>
    <w:rsid w:val="00487A64"/>
    <w:rsid w:val="0049147B"/>
    <w:rsid w:val="00492616"/>
    <w:rsid w:val="00494D24"/>
    <w:rsid w:val="00494DC2"/>
    <w:rsid w:val="00495CDE"/>
    <w:rsid w:val="004A1CDA"/>
    <w:rsid w:val="004A2D5F"/>
    <w:rsid w:val="004A3206"/>
    <w:rsid w:val="004A539B"/>
    <w:rsid w:val="004A57B2"/>
    <w:rsid w:val="004B093D"/>
    <w:rsid w:val="004B0BDA"/>
    <w:rsid w:val="004B166E"/>
    <w:rsid w:val="004B4171"/>
    <w:rsid w:val="004B47C7"/>
    <w:rsid w:val="004B7042"/>
    <w:rsid w:val="004C1B27"/>
    <w:rsid w:val="004C221E"/>
    <w:rsid w:val="004C597F"/>
    <w:rsid w:val="004D098B"/>
    <w:rsid w:val="004D0E78"/>
    <w:rsid w:val="004D0F74"/>
    <w:rsid w:val="004D1F57"/>
    <w:rsid w:val="004E2C74"/>
    <w:rsid w:val="004E357C"/>
    <w:rsid w:val="004E39A6"/>
    <w:rsid w:val="004F159F"/>
    <w:rsid w:val="004F3AFC"/>
    <w:rsid w:val="004F453E"/>
    <w:rsid w:val="004F481E"/>
    <w:rsid w:val="004F5032"/>
    <w:rsid w:val="004F6DA7"/>
    <w:rsid w:val="004F784F"/>
    <w:rsid w:val="00500C64"/>
    <w:rsid w:val="005034CE"/>
    <w:rsid w:val="00507A64"/>
    <w:rsid w:val="0051020D"/>
    <w:rsid w:val="00511853"/>
    <w:rsid w:val="00511BB8"/>
    <w:rsid w:val="00513371"/>
    <w:rsid w:val="00514874"/>
    <w:rsid w:val="0052036C"/>
    <w:rsid w:val="00522470"/>
    <w:rsid w:val="005304C4"/>
    <w:rsid w:val="00537979"/>
    <w:rsid w:val="00540CCA"/>
    <w:rsid w:val="0054395E"/>
    <w:rsid w:val="00543E92"/>
    <w:rsid w:val="0054614D"/>
    <w:rsid w:val="00547215"/>
    <w:rsid w:val="005532CF"/>
    <w:rsid w:val="0055542C"/>
    <w:rsid w:val="00565821"/>
    <w:rsid w:val="0057737A"/>
    <w:rsid w:val="005821AF"/>
    <w:rsid w:val="00582658"/>
    <w:rsid w:val="00584C16"/>
    <w:rsid w:val="00587513"/>
    <w:rsid w:val="00587CF7"/>
    <w:rsid w:val="005903CE"/>
    <w:rsid w:val="00592AC2"/>
    <w:rsid w:val="00593C2D"/>
    <w:rsid w:val="005940A6"/>
    <w:rsid w:val="00597A03"/>
    <w:rsid w:val="005A063C"/>
    <w:rsid w:val="005A15C9"/>
    <w:rsid w:val="005A38FA"/>
    <w:rsid w:val="005A5F27"/>
    <w:rsid w:val="005B011D"/>
    <w:rsid w:val="005B0F0B"/>
    <w:rsid w:val="005B1052"/>
    <w:rsid w:val="005B10B4"/>
    <w:rsid w:val="005B6552"/>
    <w:rsid w:val="005C084A"/>
    <w:rsid w:val="005C08EB"/>
    <w:rsid w:val="005C2970"/>
    <w:rsid w:val="005C2FE1"/>
    <w:rsid w:val="005C61AB"/>
    <w:rsid w:val="005D0173"/>
    <w:rsid w:val="005D2C2D"/>
    <w:rsid w:val="005D2E0C"/>
    <w:rsid w:val="005D4142"/>
    <w:rsid w:val="005E0398"/>
    <w:rsid w:val="005E1019"/>
    <w:rsid w:val="005E2F8F"/>
    <w:rsid w:val="005E416D"/>
    <w:rsid w:val="005E7C62"/>
    <w:rsid w:val="005F3784"/>
    <w:rsid w:val="005F725F"/>
    <w:rsid w:val="00602500"/>
    <w:rsid w:val="00605A01"/>
    <w:rsid w:val="006078E3"/>
    <w:rsid w:val="006116A2"/>
    <w:rsid w:val="006117EE"/>
    <w:rsid w:val="006137F9"/>
    <w:rsid w:val="00613D73"/>
    <w:rsid w:val="00614039"/>
    <w:rsid w:val="0061655C"/>
    <w:rsid w:val="00616BE8"/>
    <w:rsid w:val="00621EA3"/>
    <w:rsid w:val="00622A02"/>
    <w:rsid w:val="00623C91"/>
    <w:rsid w:val="006245C3"/>
    <w:rsid w:val="006245F1"/>
    <w:rsid w:val="00625323"/>
    <w:rsid w:val="006262B6"/>
    <w:rsid w:val="0062780F"/>
    <w:rsid w:val="00631791"/>
    <w:rsid w:val="00636183"/>
    <w:rsid w:val="00640004"/>
    <w:rsid w:val="00641A7D"/>
    <w:rsid w:val="006435AA"/>
    <w:rsid w:val="00643BF1"/>
    <w:rsid w:val="00650FA6"/>
    <w:rsid w:val="006514D5"/>
    <w:rsid w:val="0065206A"/>
    <w:rsid w:val="00653756"/>
    <w:rsid w:val="0065742F"/>
    <w:rsid w:val="00660AFE"/>
    <w:rsid w:val="0066116C"/>
    <w:rsid w:val="00662B03"/>
    <w:rsid w:val="0066582C"/>
    <w:rsid w:val="006737D2"/>
    <w:rsid w:val="00673B1F"/>
    <w:rsid w:val="00673D2D"/>
    <w:rsid w:val="00677250"/>
    <w:rsid w:val="00677ACE"/>
    <w:rsid w:val="0068398F"/>
    <w:rsid w:val="00685F6C"/>
    <w:rsid w:val="00686DA9"/>
    <w:rsid w:val="00687224"/>
    <w:rsid w:val="00690382"/>
    <w:rsid w:val="00690EBF"/>
    <w:rsid w:val="00691410"/>
    <w:rsid w:val="006975E8"/>
    <w:rsid w:val="006A0BD9"/>
    <w:rsid w:val="006A2EE0"/>
    <w:rsid w:val="006A5351"/>
    <w:rsid w:val="006A79FE"/>
    <w:rsid w:val="006B5FEB"/>
    <w:rsid w:val="006B6C67"/>
    <w:rsid w:val="006C10DE"/>
    <w:rsid w:val="006C1986"/>
    <w:rsid w:val="006C2803"/>
    <w:rsid w:val="006C44A9"/>
    <w:rsid w:val="006C4697"/>
    <w:rsid w:val="006C6282"/>
    <w:rsid w:val="006D45A3"/>
    <w:rsid w:val="006D4B11"/>
    <w:rsid w:val="006D4D18"/>
    <w:rsid w:val="006D5860"/>
    <w:rsid w:val="006D7B4C"/>
    <w:rsid w:val="006D7BC4"/>
    <w:rsid w:val="006E0620"/>
    <w:rsid w:val="006E1AA6"/>
    <w:rsid w:val="006E639A"/>
    <w:rsid w:val="006F32B8"/>
    <w:rsid w:val="006F6897"/>
    <w:rsid w:val="006F7090"/>
    <w:rsid w:val="006F7235"/>
    <w:rsid w:val="006F7F63"/>
    <w:rsid w:val="0070034E"/>
    <w:rsid w:val="00701ECB"/>
    <w:rsid w:val="00704703"/>
    <w:rsid w:val="0070778A"/>
    <w:rsid w:val="0071093E"/>
    <w:rsid w:val="007116BE"/>
    <w:rsid w:val="00712344"/>
    <w:rsid w:val="0071269E"/>
    <w:rsid w:val="00713649"/>
    <w:rsid w:val="00715558"/>
    <w:rsid w:val="00722CEF"/>
    <w:rsid w:val="00723DE8"/>
    <w:rsid w:val="00723F32"/>
    <w:rsid w:val="00724914"/>
    <w:rsid w:val="00725754"/>
    <w:rsid w:val="00737A1C"/>
    <w:rsid w:val="007401B3"/>
    <w:rsid w:val="00740B6B"/>
    <w:rsid w:val="007429A1"/>
    <w:rsid w:val="00743166"/>
    <w:rsid w:val="007472CE"/>
    <w:rsid w:val="00751859"/>
    <w:rsid w:val="00751A50"/>
    <w:rsid w:val="00757A71"/>
    <w:rsid w:val="0076236A"/>
    <w:rsid w:val="0076466B"/>
    <w:rsid w:val="007654F7"/>
    <w:rsid w:val="00766444"/>
    <w:rsid w:val="0077083B"/>
    <w:rsid w:val="00772856"/>
    <w:rsid w:val="007757D9"/>
    <w:rsid w:val="00776D39"/>
    <w:rsid w:val="0078370A"/>
    <w:rsid w:val="00783BE7"/>
    <w:rsid w:val="00784356"/>
    <w:rsid w:val="00786B66"/>
    <w:rsid w:val="00790ACA"/>
    <w:rsid w:val="00791253"/>
    <w:rsid w:val="00793389"/>
    <w:rsid w:val="00794A3E"/>
    <w:rsid w:val="00795565"/>
    <w:rsid w:val="007A1F49"/>
    <w:rsid w:val="007A35BB"/>
    <w:rsid w:val="007A3668"/>
    <w:rsid w:val="007A53BD"/>
    <w:rsid w:val="007A58F4"/>
    <w:rsid w:val="007B2535"/>
    <w:rsid w:val="007B612E"/>
    <w:rsid w:val="007C19C3"/>
    <w:rsid w:val="007C300F"/>
    <w:rsid w:val="007C6E8C"/>
    <w:rsid w:val="007D05AA"/>
    <w:rsid w:val="007D3C76"/>
    <w:rsid w:val="007E7AC4"/>
    <w:rsid w:val="007E7EDE"/>
    <w:rsid w:val="007F07F9"/>
    <w:rsid w:val="007F1AF5"/>
    <w:rsid w:val="007F3185"/>
    <w:rsid w:val="007F3618"/>
    <w:rsid w:val="007F4605"/>
    <w:rsid w:val="007F5EDF"/>
    <w:rsid w:val="00800224"/>
    <w:rsid w:val="0080306C"/>
    <w:rsid w:val="00807948"/>
    <w:rsid w:val="00810481"/>
    <w:rsid w:val="008104A9"/>
    <w:rsid w:val="0081089A"/>
    <w:rsid w:val="008146D3"/>
    <w:rsid w:val="00820476"/>
    <w:rsid w:val="008206F9"/>
    <w:rsid w:val="00822EAC"/>
    <w:rsid w:val="008241FE"/>
    <w:rsid w:val="00824943"/>
    <w:rsid w:val="00824CB5"/>
    <w:rsid w:val="008303E7"/>
    <w:rsid w:val="00831148"/>
    <w:rsid w:val="00831C84"/>
    <w:rsid w:val="00831FA5"/>
    <w:rsid w:val="00833AA8"/>
    <w:rsid w:val="00833C4C"/>
    <w:rsid w:val="00833D83"/>
    <w:rsid w:val="00844EB9"/>
    <w:rsid w:val="00844FF0"/>
    <w:rsid w:val="00851C66"/>
    <w:rsid w:val="00853D0F"/>
    <w:rsid w:val="008554ED"/>
    <w:rsid w:val="008560DD"/>
    <w:rsid w:val="00857D09"/>
    <w:rsid w:val="0086048D"/>
    <w:rsid w:val="008604D9"/>
    <w:rsid w:val="0086420C"/>
    <w:rsid w:val="00865AEE"/>
    <w:rsid w:val="0086605C"/>
    <w:rsid w:val="0086648B"/>
    <w:rsid w:val="00866CC7"/>
    <w:rsid w:val="008674E0"/>
    <w:rsid w:val="00867D2C"/>
    <w:rsid w:val="00870565"/>
    <w:rsid w:val="00874338"/>
    <w:rsid w:val="0087689A"/>
    <w:rsid w:val="00876C9C"/>
    <w:rsid w:val="00881044"/>
    <w:rsid w:val="0088727F"/>
    <w:rsid w:val="008937A8"/>
    <w:rsid w:val="008960D0"/>
    <w:rsid w:val="008A3B55"/>
    <w:rsid w:val="008A43A9"/>
    <w:rsid w:val="008A513B"/>
    <w:rsid w:val="008A7103"/>
    <w:rsid w:val="008A7D34"/>
    <w:rsid w:val="008B070B"/>
    <w:rsid w:val="008B1ACE"/>
    <w:rsid w:val="008B1FA6"/>
    <w:rsid w:val="008B25F9"/>
    <w:rsid w:val="008B2DC6"/>
    <w:rsid w:val="008B43E1"/>
    <w:rsid w:val="008B50D5"/>
    <w:rsid w:val="008C1C17"/>
    <w:rsid w:val="008C3310"/>
    <w:rsid w:val="008C5286"/>
    <w:rsid w:val="008D03C5"/>
    <w:rsid w:val="008D518B"/>
    <w:rsid w:val="008E6A49"/>
    <w:rsid w:val="008E715B"/>
    <w:rsid w:val="008E7F47"/>
    <w:rsid w:val="008F0517"/>
    <w:rsid w:val="008F504E"/>
    <w:rsid w:val="008F72FE"/>
    <w:rsid w:val="00900664"/>
    <w:rsid w:val="00900B4E"/>
    <w:rsid w:val="0090184C"/>
    <w:rsid w:val="00901F18"/>
    <w:rsid w:val="009039B9"/>
    <w:rsid w:val="00907565"/>
    <w:rsid w:val="00907C2F"/>
    <w:rsid w:val="00907D95"/>
    <w:rsid w:val="00912967"/>
    <w:rsid w:val="00914272"/>
    <w:rsid w:val="0091561B"/>
    <w:rsid w:val="00917D28"/>
    <w:rsid w:val="00923C1D"/>
    <w:rsid w:val="00925216"/>
    <w:rsid w:val="00926E9C"/>
    <w:rsid w:val="00933CE8"/>
    <w:rsid w:val="00940121"/>
    <w:rsid w:val="009430EE"/>
    <w:rsid w:val="009432EE"/>
    <w:rsid w:val="00945B6B"/>
    <w:rsid w:val="0094663F"/>
    <w:rsid w:val="009517BB"/>
    <w:rsid w:val="0095389F"/>
    <w:rsid w:val="00953D66"/>
    <w:rsid w:val="00956413"/>
    <w:rsid w:val="00956EF4"/>
    <w:rsid w:val="00961B7D"/>
    <w:rsid w:val="009627B1"/>
    <w:rsid w:val="00963862"/>
    <w:rsid w:val="00963BB0"/>
    <w:rsid w:val="00963F5A"/>
    <w:rsid w:val="00964B7E"/>
    <w:rsid w:val="00964E6A"/>
    <w:rsid w:val="00966E10"/>
    <w:rsid w:val="00970405"/>
    <w:rsid w:val="00973678"/>
    <w:rsid w:val="00980BCF"/>
    <w:rsid w:val="00981F54"/>
    <w:rsid w:val="00983648"/>
    <w:rsid w:val="009846E0"/>
    <w:rsid w:val="0098503F"/>
    <w:rsid w:val="00986027"/>
    <w:rsid w:val="009901BE"/>
    <w:rsid w:val="00990F42"/>
    <w:rsid w:val="009931D7"/>
    <w:rsid w:val="009935CB"/>
    <w:rsid w:val="009A12B1"/>
    <w:rsid w:val="009A183F"/>
    <w:rsid w:val="009A3CE9"/>
    <w:rsid w:val="009A5B97"/>
    <w:rsid w:val="009A6C28"/>
    <w:rsid w:val="009B1152"/>
    <w:rsid w:val="009B347C"/>
    <w:rsid w:val="009B48E3"/>
    <w:rsid w:val="009B4BDE"/>
    <w:rsid w:val="009B5F49"/>
    <w:rsid w:val="009B630B"/>
    <w:rsid w:val="009B6908"/>
    <w:rsid w:val="009B7F12"/>
    <w:rsid w:val="009C664A"/>
    <w:rsid w:val="009D1A2B"/>
    <w:rsid w:val="009D26DF"/>
    <w:rsid w:val="009D3F5D"/>
    <w:rsid w:val="009D47F2"/>
    <w:rsid w:val="009D4A50"/>
    <w:rsid w:val="009D4D86"/>
    <w:rsid w:val="009D75F8"/>
    <w:rsid w:val="009E6546"/>
    <w:rsid w:val="009F0C73"/>
    <w:rsid w:val="009F21B6"/>
    <w:rsid w:val="009F2456"/>
    <w:rsid w:val="009F389E"/>
    <w:rsid w:val="009F3EC4"/>
    <w:rsid w:val="00A00870"/>
    <w:rsid w:val="00A00B8F"/>
    <w:rsid w:val="00A01A74"/>
    <w:rsid w:val="00A032EF"/>
    <w:rsid w:val="00A04208"/>
    <w:rsid w:val="00A04869"/>
    <w:rsid w:val="00A05548"/>
    <w:rsid w:val="00A056A0"/>
    <w:rsid w:val="00A10E69"/>
    <w:rsid w:val="00A1193B"/>
    <w:rsid w:val="00A1253E"/>
    <w:rsid w:val="00A13FA2"/>
    <w:rsid w:val="00A204BA"/>
    <w:rsid w:val="00A24522"/>
    <w:rsid w:val="00A277C7"/>
    <w:rsid w:val="00A2790D"/>
    <w:rsid w:val="00A31F96"/>
    <w:rsid w:val="00A330AC"/>
    <w:rsid w:val="00A44F38"/>
    <w:rsid w:val="00A4546B"/>
    <w:rsid w:val="00A45A11"/>
    <w:rsid w:val="00A46FAE"/>
    <w:rsid w:val="00A50CD4"/>
    <w:rsid w:val="00A52711"/>
    <w:rsid w:val="00A52BB9"/>
    <w:rsid w:val="00A550E3"/>
    <w:rsid w:val="00A55B31"/>
    <w:rsid w:val="00A55D21"/>
    <w:rsid w:val="00A57C37"/>
    <w:rsid w:val="00A61B75"/>
    <w:rsid w:val="00A61BD7"/>
    <w:rsid w:val="00A62855"/>
    <w:rsid w:val="00A6641F"/>
    <w:rsid w:val="00A675C5"/>
    <w:rsid w:val="00A74A0E"/>
    <w:rsid w:val="00A76736"/>
    <w:rsid w:val="00A769F3"/>
    <w:rsid w:val="00A84D35"/>
    <w:rsid w:val="00A87A19"/>
    <w:rsid w:val="00A92C09"/>
    <w:rsid w:val="00A93C0C"/>
    <w:rsid w:val="00A94445"/>
    <w:rsid w:val="00A95A49"/>
    <w:rsid w:val="00AA09A8"/>
    <w:rsid w:val="00AA3B92"/>
    <w:rsid w:val="00AA59FE"/>
    <w:rsid w:val="00AA5FE8"/>
    <w:rsid w:val="00AA66ED"/>
    <w:rsid w:val="00AA6CE9"/>
    <w:rsid w:val="00AA72AB"/>
    <w:rsid w:val="00AA7F4D"/>
    <w:rsid w:val="00AB60F3"/>
    <w:rsid w:val="00AB65F3"/>
    <w:rsid w:val="00AB66F0"/>
    <w:rsid w:val="00AC2601"/>
    <w:rsid w:val="00AC2782"/>
    <w:rsid w:val="00AC373E"/>
    <w:rsid w:val="00AC5A12"/>
    <w:rsid w:val="00AC5DFB"/>
    <w:rsid w:val="00AC71B6"/>
    <w:rsid w:val="00AC7450"/>
    <w:rsid w:val="00AD134C"/>
    <w:rsid w:val="00AD659C"/>
    <w:rsid w:val="00AE0F0A"/>
    <w:rsid w:val="00AE1A96"/>
    <w:rsid w:val="00AE1B5C"/>
    <w:rsid w:val="00AE355B"/>
    <w:rsid w:val="00AE475F"/>
    <w:rsid w:val="00AE53D7"/>
    <w:rsid w:val="00AE5CF4"/>
    <w:rsid w:val="00AF046E"/>
    <w:rsid w:val="00AF298A"/>
    <w:rsid w:val="00AF2C11"/>
    <w:rsid w:val="00AF4BF8"/>
    <w:rsid w:val="00B00A1B"/>
    <w:rsid w:val="00B01135"/>
    <w:rsid w:val="00B01485"/>
    <w:rsid w:val="00B01FCB"/>
    <w:rsid w:val="00B04F7C"/>
    <w:rsid w:val="00B07349"/>
    <w:rsid w:val="00B1205D"/>
    <w:rsid w:val="00B125C8"/>
    <w:rsid w:val="00B12ED3"/>
    <w:rsid w:val="00B155D3"/>
    <w:rsid w:val="00B225EB"/>
    <w:rsid w:val="00B248B9"/>
    <w:rsid w:val="00B32284"/>
    <w:rsid w:val="00B357AA"/>
    <w:rsid w:val="00B40466"/>
    <w:rsid w:val="00B4050F"/>
    <w:rsid w:val="00B46B05"/>
    <w:rsid w:val="00B55518"/>
    <w:rsid w:val="00B60BA5"/>
    <w:rsid w:val="00B63230"/>
    <w:rsid w:val="00B632E0"/>
    <w:rsid w:val="00B64E7C"/>
    <w:rsid w:val="00B70A34"/>
    <w:rsid w:val="00B71175"/>
    <w:rsid w:val="00B714C9"/>
    <w:rsid w:val="00B73233"/>
    <w:rsid w:val="00B7457C"/>
    <w:rsid w:val="00B76B04"/>
    <w:rsid w:val="00B81552"/>
    <w:rsid w:val="00B81DAB"/>
    <w:rsid w:val="00B81E0D"/>
    <w:rsid w:val="00B847A5"/>
    <w:rsid w:val="00B874E3"/>
    <w:rsid w:val="00B87B61"/>
    <w:rsid w:val="00B902A8"/>
    <w:rsid w:val="00B906B7"/>
    <w:rsid w:val="00B936F6"/>
    <w:rsid w:val="00B939B4"/>
    <w:rsid w:val="00B94A6D"/>
    <w:rsid w:val="00B9594E"/>
    <w:rsid w:val="00B96209"/>
    <w:rsid w:val="00B97897"/>
    <w:rsid w:val="00BA3EA9"/>
    <w:rsid w:val="00BA400C"/>
    <w:rsid w:val="00BA538E"/>
    <w:rsid w:val="00BA5BF6"/>
    <w:rsid w:val="00BB1C3E"/>
    <w:rsid w:val="00BB47A1"/>
    <w:rsid w:val="00BC035C"/>
    <w:rsid w:val="00BC1D22"/>
    <w:rsid w:val="00BC5E97"/>
    <w:rsid w:val="00BC7977"/>
    <w:rsid w:val="00BD0758"/>
    <w:rsid w:val="00BD095B"/>
    <w:rsid w:val="00BD1BA7"/>
    <w:rsid w:val="00BD56D4"/>
    <w:rsid w:val="00BD5A4A"/>
    <w:rsid w:val="00BD7B95"/>
    <w:rsid w:val="00BE358E"/>
    <w:rsid w:val="00BE5302"/>
    <w:rsid w:val="00BE7AAA"/>
    <w:rsid w:val="00BF01C8"/>
    <w:rsid w:val="00BF1C36"/>
    <w:rsid w:val="00BF7E54"/>
    <w:rsid w:val="00C0146E"/>
    <w:rsid w:val="00C01AE7"/>
    <w:rsid w:val="00C04698"/>
    <w:rsid w:val="00C0491C"/>
    <w:rsid w:val="00C13D6B"/>
    <w:rsid w:val="00C13E97"/>
    <w:rsid w:val="00C14F74"/>
    <w:rsid w:val="00C16750"/>
    <w:rsid w:val="00C20378"/>
    <w:rsid w:val="00C219B4"/>
    <w:rsid w:val="00C22507"/>
    <w:rsid w:val="00C253C7"/>
    <w:rsid w:val="00C26006"/>
    <w:rsid w:val="00C30C4D"/>
    <w:rsid w:val="00C31902"/>
    <w:rsid w:val="00C32F65"/>
    <w:rsid w:val="00C34788"/>
    <w:rsid w:val="00C36B95"/>
    <w:rsid w:val="00C42540"/>
    <w:rsid w:val="00C44A96"/>
    <w:rsid w:val="00C47D85"/>
    <w:rsid w:val="00C526F2"/>
    <w:rsid w:val="00C54415"/>
    <w:rsid w:val="00C54E58"/>
    <w:rsid w:val="00C555B3"/>
    <w:rsid w:val="00C55C2C"/>
    <w:rsid w:val="00C56500"/>
    <w:rsid w:val="00C60DC8"/>
    <w:rsid w:val="00C61938"/>
    <w:rsid w:val="00C61B4B"/>
    <w:rsid w:val="00C64608"/>
    <w:rsid w:val="00C64B90"/>
    <w:rsid w:val="00C678B1"/>
    <w:rsid w:val="00C713E1"/>
    <w:rsid w:val="00C7182E"/>
    <w:rsid w:val="00C756B6"/>
    <w:rsid w:val="00C77741"/>
    <w:rsid w:val="00C8184C"/>
    <w:rsid w:val="00C81AA9"/>
    <w:rsid w:val="00C81FCB"/>
    <w:rsid w:val="00C82018"/>
    <w:rsid w:val="00C8387C"/>
    <w:rsid w:val="00C8396D"/>
    <w:rsid w:val="00C86954"/>
    <w:rsid w:val="00C87815"/>
    <w:rsid w:val="00C906F2"/>
    <w:rsid w:val="00C91BF5"/>
    <w:rsid w:val="00C92FCC"/>
    <w:rsid w:val="00CA1133"/>
    <w:rsid w:val="00CA613E"/>
    <w:rsid w:val="00CA6A90"/>
    <w:rsid w:val="00CA70D6"/>
    <w:rsid w:val="00CA710A"/>
    <w:rsid w:val="00CB3CD5"/>
    <w:rsid w:val="00CB636C"/>
    <w:rsid w:val="00CB6A4C"/>
    <w:rsid w:val="00CC02F2"/>
    <w:rsid w:val="00CC7096"/>
    <w:rsid w:val="00CC737F"/>
    <w:rsid w:val="00CD23DC"/>
    <w:rsid w:val="00CD281A"/>
    <w:rsid w:val="00CD45E1"/>
    <w:rsid w:val="00CD54A1"/>
    <w:rsid w:val="00CD608B"/>
    <w:rsid w:val="00CD7513"/>
    <w:rsid w:val="00CE0C6C"/>
    <w:rsid w:val="00CE0F2E"/>
    <w:rsid w:val="00CE1579"/>
    <w:rsid w:val="00CE2065"/>
    <w:rsid w:val="00CE29ED"/>
    <w:rsid w:val="00CE47DA"/>
    <w:rsid w:val="00CE66F4"/>
    <w:rsid w:val="00CE71DD"/>
    <w:rsid w:val="00CE7DE2"/>
    <w:rsid w:val="00CF005F"/>
    <w:rsid w:val="00CF2477"/>
    <w:rsid w:val="00CF270A"/>
    <w:rsid w:val="00CF78B4"/>
    <w:rsid w:val="00D00459"/>
    <w:rsid w:val="00D0222E"/>
    <w:rsid w:val="00D035FB"/>
    <w:rsid w:val="00D06D89"/>
    <w:rsid w:val="00D11AAE"/>
    <w:rsid w:val="00D12103"/>
    <w:rsid w:val="00D1252E"/>
    <w:rsid w:val="00D15AF8"/>
    <w:rsid w:val="00D21ECE"/>
    <w:rsid w:val="00D245D8"/>
    <w:rsid w:val="00D26731"/>
    <w:rsid w:val="00D26D5D"/>
    <w:rsid w:val="00D3032C"/>
    <w:rsid w:val="00D31752"/>
    <w:rsid w:val="00D31F27"/>
    <w:rsid w:val="00D3274A"/>
    <w:rsid w:val="00D3371B"/>
    <w:rsid w:val="00D366E8"/>
    <w:rsid w:val="00D403D9"/>
    <w:rsid w:val="00D41E4F"/>
    <w:rsid w:val="00D421EC"/>
    <w:rsid w:val="00D44DC5"/>
    <w:rsid w:val="00D505EE"/>
    <w:rsid w:val="00D51108"/>
    <w:rsid w:val="00D514B1"/>
    <w:rsid w:val="00D51CEA"/>
    <w:rsid w:val="00D5281C"/>
    <w:rsid w:val="00D547D2"/>
    <w:rsid w:val="00D54DC6"/>
    <w:rsid w:val="00D55920"/>
    <w:rsid w:val="00D61B03"/>
    <w:rsid w:val="00D61CC9"/>
    <w:rsid w:val="00D63728"/>
    <w:rsid w:val="00D705ED"/>
    <w:rsid w:val="00D71F78"/>
    <w:rsid w:val="00D72B27"/>
    <w:rsid w:val="00D74AE5"/>
    <w:rsid w:val="00D845A9"/>
    <w:rsid w:val="00D85A19"/>
    <w:rsid w:val="00D8686E"/>
    <w:rsid w:val="00D9221C"/>
    <w:rsid w:val="00D92C01"/>
    <w:rsid w:val="00D935CC"/>
    <w:rsid w:val="00D94D79"/>
    <w:rsid w:val="00D97B46"/>
    <w:rsid w:val="00DA0AB6"/>
    <w:rsid w:val="00DA0DAA"/>
    <w:rsid w:val="00DA121D"/>
    <w:rsid w:val="00DA2C24"/>
    <w:rsid w:val="00DA4C87"/>
    <w:rsid w:val="00DA5D81"/>
    <w:rsid w:val="00DA75C7"/>
    <w:rsid w:val="00DA77BA"/>
    <w:rsid w:val="00DB1409"/>
    <w:rsid w:val="00DB2249"/>
    <w:rsid w:val="00DB2B35"/>
    <w:rsid w:val="00DB3108"/>
    <w:rsid w:val="00DB437D"/>
    <w:rsid w:val="00DC0F67"/>
    <w:rsid w:val="00DC1D87"/>
    <w:rsid w:val="00DC25D2"/>
    <w:rsid w:val="00DC3322"/>
    <w:rsid w:val="00DC461B"/>
    <w:rsid w:val="00DC7043"/>
    <w:rsid w:val="00DD0269"/>
    <w:rsid w:val="00DD02C5"/>
    <w:rsid w:val="00DD0B4C"/>
    <w:rsid w:val="00DD5860"/>
    <w:rsid w:val="00DD5D1A"/>
    <w:rsid w:val="00DE055D"/>
    <w:rsid w:val="00DE08CA"/>
    <w:rsid w:val="00DE1E14"/>
    <w:rsid w:val="00DE522A"/>
    <w:rsid w:val="00DE5A0B"/>
    <w:rsid w:val="00DE79A1"/>
    <w:rsid w:val="00DF2E43"/>
    <w:rsid w:val="00DF40CF"/>
    <w:rsid w:val="00DF5926"/>
    <w:rsid w:val="00DF7B18"/>
    <w:rsid w:val="00E01433"/>
    <w:rsid w:val="00E033E5"/>
    <w:rsid w:val="00E05279"/>
    <w:rsid w:val="00E07885"/>
    <w:rsid w:val="00E07A98"/>
    <w:rsid w:val="00E1007E"/>
    <w:rsid w:val="00E103AB"/>
    <w:rsid w:val="00E10D63"/>
    <w:rsid w:val="00E11BBF"/>
    <w:rsid w:val="00E13E7C"/>
    <w:rsid w:val="00E14F18"/>
    <w:rsid w:val="00E17147"/>
    <w:rsid w:val="00E17FDE"/>
    <w:rsid w:val="00E20135"/>
    <w:rsid w:val="00E22CAD"/>
    <w:rsid w:val="00E25168"/>
    <w:rsid w:val="00E263A7"/>
    <w:rsid w:val="00E27E1D"/>
    <w:rsid w:val="00E30C8B"/>
    <w:rsid w:val="00E3105F"/>
    <w:rsid w:val="00E37E16"/>
    <w:rsid w:val="00E44FAD"/>
    <w:rsid w:val="00E4713B"/>
    <w:rsid w:val="00E5029D"/>
    <w:rsid w:val="00E50EEE"/>
    <w:rsid w:val="00E53C8B"/>
    <w:rsid w:val="00E5560F"/>
    <w:rsid w:val="00E57446"/>
    <w:rsid w:val="00E62AC3"/>
    <w:rsid w:val="00E64366"/>
    <w:rsid w:val="00E64FEE"/>
    <w:rsid w:val="00E66CB2"/>
    <w:rsid w:val="00E67FA4"/>
    <w:rsid w:val="00E7362C"/>
    <w:rsid w:val="00E74A6C"/>
    <w:rsid w:val="00E75A3E"/>
    <w:rsid w:val="00E763D1"/>
    <w:rsid w:val="00E77CC5"/>
    <w:rsid w:val="00E83424"/>
    <w:rsid w:val="00E8494C"/>
    <w:rsid w:val="00E855CC"/>
    <w:rsid w:val="00E8654F"/>
    <w:rsid w:val="00E91DEA"/>
    <w:rsid w:val="00E93BE9"/>
    <w:rsid w:val="00E94B99"/>
    <w:rsid w:val="00E951FE"/>
    <w:rsid w:val="00E959B5"/>
    <w:rsid w:val="00EA1612"/>
    <w:rsid w:val="00EA1A64"/>
    <w:rsid w:val="00EA2BAF"/>
    <w:rsid w:val="00EA33E8"/>
    <w:rsid w:val="00EA37E1"/>
    <w:rsid w:val="00EA47A2"/>
    <w:rsid w:val="00EA4AA9"/>
    <w:rsid w:val="00EA4CBB"/>
    <w:rsid w:val="00EA5563"/>
    <w:rsid w:val="00EA5802"/>
    <w:rsid w:val="00EA63EE"/>
    <w:rsid w:val="00EA65D0"/>
    <w:rsid w:val="00EB10B5"/>
    <w:rsid w:val="00EB2634"/>
    <w:rsid w:val="00EB3D2C"/>
    <w:rsid w:val="00EC3DC7"/>
    <w:rsid w:val="00EC493B"/>
    <w:rsid w:val="00EC6398"/>
    <w:rsid w:val="00EC719B"/>
    <w:rsid w:val="00ED036B"/>
    <w:rsid w:val="00ED1611"/>
    <w:rsid w:val="00ED1ACD"/>
    <w:rsid w:val="00ED5F7C"/>
    <w:rsid w:val="00EE2929"/>
    <w:rsid w:val="00EE2C26"/>
    <w:rsid w:val="00EE2D81"/>
    <w:rsid w:val="00EF0415"/>
    <w:rsid w:val="00EF6417"/>
    <w:rsid w:val="00EF6A07"/>
    <w:rsid w:val="00EF6E2E"/>
    <w:rsid w:val="00EF6E52"/>
    <w:rsid w:val="00F01DA9"/>
    <w:rsid w:val="00F04787"/>
    <w:rsid w:val="00F0532D"/>
    <w:rsid w:val="00F05B0B"/>
    <w:rsid w:val="00F05E0B"/>
    <w:rsid w:val="00F05F0A"/>
    <w:rsid w:val="00F06E3A"/>
    <w:rsid w:val="00F06ED9"/>
    <w:rsid w:val="00F07623"/>
    <w:rsid w:val="00F12A3A"/>
    <w:rsid w:val="00F135C4"/>
    <w:rsid w:val="00F13667"/>
    <w:rsid w:val="00F1602E"/>
    <w:rsid w:val="00F17311"/>
    <w:rsid w:val="00F2106B"/>
    <w:rsid w:val="00F227A3"/>
    <w:rsid w:val="00F2417B"/>
    <w:rsid w:val="00F249DE"/>
    <w:rsid w:val="00F30FCD"/>
    <w:rsid w:val="00F3257D"/>
    <w:rsid w:val="00F32827"/>
    <w:rsid w:val="00F338DF"/>
    <w:rsid w:val="00F33F9F"/>
    <w:rsid w:val="00F42427"/>
    <w:rsid w:val="00F42AB0"/>
    <w:rsid w:val="00F46766"/>
    <w:rsid w:val="00F4786E"/>
    <w:rsid w:val="00F52808"/>
    <w:rsid w:val="00F53D19"/>
    <w:rsid w:val="00F561FA"/>
    <w:rsid w:val="00F5739E"/>
    <w:rsid w:val="00F60762"/>
    <w:rsid w:val="00F61627"/>
    <w:rsid w:val="00F6178A"/>
    <w:rsid w:val="00F633E8"/>
    <w:rsid w:val="00F64F6E"/>
    <w:rsid w:val="00F66AB8"/>
    <w:rsid w:val="00F66C12"/>
    <w:rsid w:val="00F74BA1"/>
    <w:rsid w:val="00F752EB"/>
    <w:rsid w:val="00F7689F"/>
    <w:rsid w:val="00F776FE"/>
    <w:rsid w:val="00F77F57"/>
    <w:rsid w:val="00F77FD8"/>
    <w:rsid w:val="00F81B1F"/>
    <w:rsid w:val="00F82984"/>
    <w:rsid w:val="00F87C1E"/>
    <w:rsid w:val="00F9130F"/>
    <w:rsid w:val="00F91DBE"/>
    <w:rsid w:val="00F93C64"/>
    <w:rsid w:val="00F96DA1"/>
    <w:rsid w:val="00F97BCA"/>
    <w:rsid w:val="00FA0F0A"/>
    <w:rsid w:val="00FA3DEB"/>
    <w:rsid w:val="00FA5E25"/>
    <w:rsid w:val="00FA7ABD"/>
    <w:rsid w:val="00FB06E2"/>
    <w:rsid w:val="00FB1B06"/>
    <w:rsid w:val="00FB2874"/>
    <w:rsid w:val="00FB521A"/>
    <w:rsid w:val="00FB5EC3"/>
    <w:rsid w:val="00FC6ECC"/>
    <w:rsid w:val="00FC7C0A"/>
    <w:rsid w:val="00FD13F5"/>
    <w:rsid w:val="00FD1C14"/>
    <w:rsid w:val="00FD3D7E"/>
    <w:rsid w:val="00FD4EE2"/>
    <w:rsid w:val="00FD4F59"/>
    <w:rsid w:val="00FE0C22"/>
    <w:rsid w:val="00FE17B2"/>
    <w:rsid w:val="00FE4575"/>
    <w:rsid w:val="00FF1963"/>
    <w:rsid w:val="00FF19EC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E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1."/>
    <w:basedOn w:val="Normal"/>
    <w:next w:val="BodyTextIndent"/>
    <w:link w:val="Heading1Char"/>
    <w:qFormat/>
    <w:locked/>
    <w:rsid w:val="0016077A"/>
    <w:pPr>
      <w:numPr>
        <w:numId w:val="57"/>
      </w:numPr>
      <w:spacing w:before="240" w:after="0" w:line="240" w:lineRule="auto"/>
      <w:outlineLvl w:val="0"/>
    </w:pPr>
    <w:rPr>
      <w:rFonts w:ascii="Times New Roman" w:eastAsia="Calibri" w:hAnsi="Times New Roman"/>
      <w:szCs w:val="20"/>
      <w:lang w:eastAsia="en-AU"/>
    </w:rPr>
  </w:style>
  <w:style w:type="paragraph" w:styleId="Heading2">
    <w:name w:val="heading 2"/>
    <w:aliases w:val="1.1"/>
    <w:basedOn w:val="Normal"/>
    <w:next w:val="Normal"/>
    <w:link w:val="Heading2Char"/>
    <w:unhideWhenUsed/>
    <w:qFormat/>
    <w:locked/>
    <w:rsid w:val="00945B6B"/>
    <w:pPr>
      <w:keepNext/>
      <w:keepLines/>
      <w:numPr>
        <w:ilvl w:val="1"/>
        <w:numId w:val="5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60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(i)"/>
    <w:basedOn w:val="Normal"/>
    <w:next w:val="Normal"/>
    <w:link w:val="Heading4Char"/>
    <w:qFormat/>
    <w:locked/>
    <w:rsid w:val="0016077A"/>
    <w:pPr>
      <w:numPr>
        <w:ilvl w:val="3"/>
        <w:numId w:val="57"/>
      </w:numPr>
      <w:spacing w:before="240" w:after="0" w:line="240" w:lineRule="auto"/>
      <w:outlineLvl w:val="3"/>
    </w:pPr>
    <w:rPr>
      <w:rFonts w:ascii="Times New Roman" w:eastAsia="Calibri" w:hAnsi="Times New Roman"/>
      <w:szCs w:val="20"/>
      <w:lang w:eastAsia="en-AU"/>
    </w:rPr>
  </w:style>
  <w:style w:type="paragraph" w:styleId="Heading5">
    <w:name w:val="heading 5"/>
    <w:aliases w:val="(A)"/>
    <w:basedOn w:val="Normal"/>
    <w:next w:val="Normal"/>
    <w:link w:val="Heading5Char"/>
    <w:qFormat/>
    <w:locked/>
    <w:rsid w:val="0016077A"/>
    <w:pPr>
      <w:numPr>
        <w:ilvl w:val="4"/>
        <w:numId w:val="57"/>
      </w:numPr>
      <w:spacing w:before="240" w:after="0" w:line="240" w:lineRule="auto"/>
      <w:outlineLvl w:val="4"/>
    </w:pPr>
    <w:rPr>
      <w:rFonts w:ascii="Times New Roman" w:eastAsia="Calibri" w:hAnsi="Times New Roman"/>
      <w:szCs w:val="20"/>
      <w:lang w:eastAsia="en-AU"/>
    </w:rPr>
  </w:style>
  <w:style w:type="paragraph" w:styleId="Heading6">
    <w:name w:val="heading 6"/>
    <w:aliases w:val="(I)"/>
    <w:basedOn w:val="Normal"/>
    <w:next w:val="Normal"/>
    <w:link w:val="Heading6Char"/>
    <w:qFormat/>
    <w:locked/>
    <w:rsid w:val="0016077A"/>
    <w:pPr>
      <w:numPr>
        <w:ilvl w:val="5"/>
        <w:numId w:val="57"/>
      </w:numPr>
      <w:spacing w:before="240" w:after="0" w:line="240" w:lineRule="auto"/>
      <w:outlineLvl w:val="5"/>
    </w:pPr>
    <w:rPr>
      <w:rFonts w:ascii="Times New Roman" w:eastAsia="Calibri" w:hAnsi="Times New Roman"/>
      <w:szCs w:val="20"/>
      <w:lang w:eastAsia="en-AU"/>
    </w:rPr>
  </w:style>
  <w:style w:type="paragraph" w:styleId="Heading7">
    <w:name w:val="heading 7"/>
    <w:aliases w:val="(1)"/>
    <w:basedOn w:val="Normal"/>
    <w:link w:val="Heading7Char"/>
    <w:qFormat/>
    <w:locked/>
    <w:rsid w:val="0016077A"/>
    <w:pPr>
      <w:numPr>
        <w:ilvl w:val="6"/>
        <w:numId w:val="57"/>
      </w:numPr>
      <w:spacing w:before="240" w:after="0" w:line="240" w:lineRule="auto"/>
      <w:outlineLvl w:val="6"/>
    </w:pPr>
    <w:rPr>
      <w:rFonts w:ascii="Times New Roman" w:eastAsia="Calibri" w:hAnsi="Times New Roman"/>
      <w:szCs w:val="20"/>
      <w:lang w:eastAsia="en-AU"/>
    </w:rPr>
  </w:style>
  <w:style w:type="paragraph" w:styleId="Heading8">
    <w:name w:val="heading 8"/>
    <w:basedOn w:val="Normal"/>
    <w:link w:val="Heading8Char"/>
    <w:qFormat/>
    <w:locked/>
    <w:rsid w:val="0016077A"/>
    <w:pPr>
      <w:numPr>
        <w:ilvl w:val="7"/>
        <w:numId w:val="57"/>
      </w:numPr>
      <w:spacing w:before="240" w:after="0" w:line="240" w:lineRule="auto"/>
      <w:outlineLvl w:val="7"/>
    </w:pPr>
    <w:rPr>
      <w:rFonts w:ascii="Times New Roman" w:eastAsia="Calibri" w:hAnsi="Times New Roman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16077A"/>
    <w:pPr>
      <w:numPr>
        <w:ilvl w:val="8"/>
        <w:numId w:val="57"/>
      </w:numPr>
      <w:spacing w:before="240" w:after="0" w:line="240" w:lineRule="auto"/>
      <w:outlineLvl w:val="8"/>
    </w:pPr>
    <w:rPr>
      <w:rFonts w:ascii="Times New Roman" w:eastAsia="Calibri" w:hAnsi="Times New Roman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F481E"/>
    <w:pPr>
      <w:ind w:left="720"/>
      <w:contextualSpacing/>
    </w:pPr>
  </w:style>
  <w:style w:type="character" w:styleId="Hyperlink">
    <w:name w:val="Hyperlink"/>
    <w:basedOn w:val="DefaultParagraphFont"/>
    <w:rsid w:val="0071364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C19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C19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C19C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C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C19C3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605A01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D4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D18"/>
    <w:pPr>
      <w:tabs>
        <w:tab w:val="center" w:pos="4153"/>
        <w:tab w:val="right" w:pos="8306"/>
      </w:tabs>
    </w:pPr>
  </w:style>
  <w:style w:type="paragraph" w:customStyle="1" w:styleId="subparaa">
    <w:name w:val="sub para (a)"/>
    <w:basedOn w:val="BodyText"/>
    <w:rsid w:val="0011032A"/>
    <w:pPr>
      <w:numPr>
        <w:ilvl w:val="1"/>
        <w:numId w:val="16"/>
      </w:numPr>
      <w:spacing w:before="100" w:after="0" w:line="300" w:lineRule="atLeast"/>
      <w:ind w:right="-2"/>
    </w:pPr>
    <w:rPr>
      <w:rFonts w:ascii="Times New Roman" w:hAnsi="Times New Roman"/>
      <w:spacing w:val="-2"/>
    </w:rPr>
  </w:style>
  <w:style w:type="paragraph" w:styleId="BodyText">
    <w:name w:val="Body Text"/>
    <w:basedOn w:val="Normal"/>
    <w:rsid w:val="0011032A"/>
    <w:pPr>
      <w:spacing w:after="120"/>
    </w:pPr>
  </w:style>
  <w:style w:type="character" w:customStyle="1" w:styleId="Heading2Char">
    <w:name w:val="Heading 2 Char"/>
    <w:aliases w:val="1.1 Char"/>
    <w:basedOn w:val="DefaultParagraphFont"/>
    <w:link w:val="Heading2"/>
    <w:rsid w:val="0094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1. Char"/>
    <w:basedOn w:val="DefaultParagraphFont"/>
    <w:link w:val="Heading1"/>
    <w:rsid w:val="0016077A"/>
    <w:rPr>
      <w:rFonts w:ascii="Times New Roman" w:hAnsi="Times New Roman"/>
      <w:sz w:val="22"/>
    </w:rPr>
  </w:style>
  <w:style w:type="character" w:customStyle="1" w:styleId="Heading4Char">
    <w:name w:val="Heading 4 Char"/>
    <w:aliases w:val="(i) Char"/>
    <w:basedOn w:val="DefaultParagraphFont"/>
    <w:link w:val="Heading4"/>
    <w:rsid w:val="0016077A"/>
    <w:rPr>
      <w:rFonts w:ascii="Times New Roman" w:hAnsi="Times New Roman"/>
      <w:sz w:val="22"/>
    </w:rPr>
  </w:style>
  <w:style w:type="character" w:customStyle="1" w:styleId="Heading5Char">
    <w:name w:val="Heading 5 Char"/>
    <w:aliases w:val="(A) Char"/>
    <w:basedOn w:val="DefaultParagraphFont"/>
    <w:link w:val="Heading5"/>
    <w:rsid w:val="0016077A"/>
    <w:rPr>
      <w:rFonts w:ascii="Times New Roman" w:hAnsi="Times New Roman"/>
      <w:sz w:val="22"/>
    </w:rPr>
  </w:style>
  <w:style w:type="character" w:customStyle="1" w:styleId="Heading6Char">
    <w:name w:val="Heading 6 Char"/>
    <w:aliases w:val="(I) Char"/>
    <w:basedOn w:val="DefaultParagraphFont"/>
    <w:link w:val="Heading6"/>
    <w:rsid w:val="0016077A"/>
    <w:rPr>
      <w:rFonts w:ascii="Times New Roman" w:hAnsi="Times New Roman"/>
      <w:sz w:val="22"/>
    </w:rPr>
  </w:style>
  <w:style w:type="character" w:customStyle="1" w:styleId="Heading7Char">
    <w:name w:val="Heading 7 Char"/>
    <w:aliases w:val="(1) Char"/>
    <w:basedOn w:val="DefaultParagraphFont"/>
    <w:link w:val="Heading7"/>
    <w:rsid w:val="0016077A"/>
    <w:rPr>
      <w:rFonts w:ascii="Times New Roman" w:hAnsi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16077A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rsid w:val="0016077A"/>
    <w:rPr>
      <w:rFonts w:ascii="Times New Roman" w:hAnsi="Times New Roman"/>
      <w:b/>
      <w:sz w:val="22"/>
    </w:rPr>
  </w:style>
  <w:style w:type="paragraph" w:customStyle="1" w:styleId="Default">
    <w:name w:val="Default"/>
    <w:rsid w:val="0016077A"/>
    <w:pPr>
      <w:widowControl w:val="0"/>
      <w:autoSpaceDE w:val="0"/>
      <w:autoSpaceDN w:val="0"/>
      <w:adjustRightInd w:val="0"/>
    </w:pPr>
    <w:rPr>
      <w:rFonts w:ascii="Times" w:eastAsia="PMingLiU" w:hAnsi="Times" w:cs="Times"/>
      <w:color w:val="000000"/>
      <w:sz w:val="24"/>
      <w:szCs w:val="24"/>
    </w:rPr>
  </w:style>
  <w:style w:type="paragraph" w:customStyle="1" w:styleId="CM116">
    <w:name w:val="CM116"/>
    <w:basedOn w:val="Default"/>
    <w:next w:val="Default"/>
    <w:rsid w:val="0016077A"/>
    <w:rPr>
      <w:color w:val="auto"/>
    </w:rPr>
  </w:style>
  <w:style w:type="paragraph" w:styleId="NoSpacing">
    <w:name w:val="No Spacing"/>
    <w:qFormat/>
    <w:rsid w:val="0016077A"/>
    <w:rPr>
      <w:rFonts w:eastAsia="Times New Roman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160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1607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077A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60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e1">
    <w:name w:val="Style1"/>
    <w:basedOn w:val="ListParagraph"/>
    <w:link w:val="Style1Char"/>
    <w:qFormat/>
    <w:rsid w:val="00983648"/>
    <w:pPr>
      <w:spacing w:before="240" w:after="0"/>
      <w:ind w:left="1418" w:hanging="709"/>
      <w:contextualSpacing w:val="0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423182"/>
    <w:pPr>
      <w:spacing w:before="240" w:after="0"/>
      <w:ind w:left="2127" w:hanging="709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423182"/>
    <w:rPr>
      <w:rFonts w:eastAsia="Times New Roman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983648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paragraph" w:customStyle="1" w:styleId="Style3">
    <w:name w:val="Style3"/>
    <w:basedOn w:val="Style2"/>
    <w:link w:val="Style3Char"/>
    <w:qFormat/>
    <w:rsid w:val="00602500"/>
    <w:pPr>
      <w:ind w:left="2835" w:hanging="708"/>
    </w:pPr>
  </w:style>
  <w:style w:type="character" w:customStyle="1" w:styleId="Style2Char">
    <w:name w:val="Style2 Char"/>
    <w:basedOn w:val="DefaultParagraphFont"/>
    <w:link w:val="Style2"/>
    <w:rsid w:val="00423182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character" w:customStyle="1" w:styleId="Style3Char">
    <w:name w:val="Style3 Char"/>
    <w:basedOn w:val="Style2Char"/>
    <w:link w:val="Style3"/>
    <w:rsid w:val="00602500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A0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E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1."/>
    <w:basedOn w:val="Normal"/>
    <w:next w:val="BodyTextIndent"/>
    <w:link w:val="Heading1Char"/>
    <w:qFormat/>
    <w:locked/>
    <w:rsid w:val="0016077A"/>
    <w:pPr>
      <w:numPr>
        <w:numId w:val="57"/>
      </w:numPr>
      <w:spacing w:before="240" w:after="0" w:line="240" w:lineRule="auto"/>
      <w:outlineLvl w:val="0"/>
    </w:pPr>
    <w:rPr>
      <w:rFonts w:ascii="Times New Roman" w:eastAsia="Calibri" w:hAnsi="Times New Roman"/>
      <w:szCs w:val="20"/>
      <w:lang w:eastAsia="en-AU"/>
    </w:rPr>
  </w:style>
  <w:style w:type="paragraph" w:styleId="Heading2">
    <w:name w:val="heading 2"/>
    <w:aliases w:val="1.1"/>
    <w:basedOn w:val="Normal"/>
    <w:next w:val="Normal"/>
    <w:link w:val="Heading2Char"/>
    <w:unhideWhenUsed/>
    <w:qFormat/>
    <w:locked/>
    <w:rsid w:val="00945B6B"/>
    <w:pPr>
      <w:keepNext/>
      <w:keepLines/>
      <w:numPr>
        <w:ilvl w:val="1"/>
        <w:numId w:val="5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60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(i)"/>
    <w:basedOn w:val="Normal"/>
    <w:next w:val="Normal"/>
    <w:link w:val="Heading4Char"/>
    <w:qFormat/>
    <w:locked/>
    <w:rsid w:val="0016077A"/>
    <w:pPr>
      <w:numPr>
        <w:ilvl w:val="3"/>
        <w:numId w:val="57"/>
      </w:numPr>
      <w:spacing w:before="240" w:after="0" w:line="240" w:lineRule="auto"/>
      <w:outlineLvl w:val="3"/>
    </w:pPr>
    <w:rPr>
      <w:rFonts w:ascii="Times New Roman" w:eastAsia="Calibri" w:hAnsi="Times New Roman"/>
      <w:szCs w:val="20"/>
      <w:lang w:eastAsia="en-AU"/>
    </w:rPr>
  </w:style>
  <w:style w:type="paragraph" w:styleId="Heading5">
    <w:name w:val="heading 5"/>
    <w:aliases w:val="(A)"/>
    <w:basedOn w:val="Normal"/>
    <w:next w:val="Normal"/>
    <w:link w:val="Heading5Char"/>
    <w:qFormat/>
    <w:locked/>
    <w:rsid w:val="0016077A"/>
    <w:pPr>
      <w:numPr>
        <w:ilvl w:val="4"/>
        <w:numId w:val="57"/>
      </w:numPr>
      <w:spacing w:before="240" w:after="0" w:line="240" w:lineRule="auto"/>
      <w:outlineLvl w:val="4"/>
    </w:pPr>
    <w:rPr>
      <w:rFonts w:ascii="Times New Roman" w:eastAsia="Calibri" w:hAnsi="Times New Roman"/>
      <w:szCs w:val="20"/>
      <w:lang w:eastAsia="en-AU"/>
    </w:rPr>
  </w:style>
  <w:style w:type="paragraph" w:styleId="Heading6">
    <w:name w:val="heading 6"/>
    <w:aliases w:val="(I)"/>
    <w:basedOn w:val="Normal"/>
    <w:next w:val="Normal"/>
    <w:link w:val="Heading6Char"/>
    <w:qFormat/>
    <w:locked/>
    <w:rsid w:val="0016077A"/>
    <w:pPr>
      <w:numPr>
        <w:ilvl w:val="5"/>
        <w:numId w:val="57"/>
      </w:numPr>
      <w:spacing w:before="240" w:after="0" w:line="240" w:lineRule="auto"/>
      <w:outlineLvl w:val="5"/>
    </w:pPr>
    <w:rPr>
      <w:rFonts w:ascii="Times New Roman" w:eastAsia="Calibri" w:hAnsi="Times New Roman"/>
      <w:szCs w:val="20"/>
      <w:lang w:eastAsia="en-AU"/>
    </w:rPr>
  </w:style>
  <w:style w:type="paragraph" w:styleId="Heading7">
    <w:name w:val="heading 7"/>
    <w:aliases w:val="(1)"/>
    <w:basedOn w:val="Normal"/>
    <w:link w:val="Heading7Char"/>
    <w:qFormat/>
    <w:locked/>
    <w:rsid w:val="0016077A"/>
    <w:pPr>
      <w:numPr>
        <w:ilvl w:val="6"/>
        <w:numId w:val="57"/>
      </w:numPr>
      <w:spacing w:before="240" w:after="0" w:line="240" w:lineRule="auto"/>
      <w:outlineLvl w:val="6"/>
    </w:pPr>
    <w:rPr>
      <w:rFonts w:ascii="Times New Roman" w:eastAsia="Calibri" w:hAnsi="Times New Roman"/>
      <w:szCs w:val="20"/>
      <w:lang w:eastAsia="en-AU"/>
    </w:rPr>
  </w:style>
  <w:style w:type="paragraph" w:styleId="Heading8">
    <w:name w:val="heading 8"/>
    <w:basedOn w:val="Normal"/>
    <w:link w:val="Heading8Char"/>
    <w:qFormat/>
    <w:locked/>
    <w:rsid w:val="0016077A"/>
    <w:pPr>
      <w:numPr>
        <w:ilvl w:val="7"/>
        <w:numId w:val="57"/>
      </w:numPr>
      <w:spacing w:before="240" w:after="0" w:line="240" w:lineRule="auto"/>
      <w:outlineLvl w:val="7"/>
    </w:pPr>
    <w:rPr>
      <w:rFonts w:ascii="Times New Roman" w:eastAsia="Calibri" w:hAnsi="Times New Roman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16077A"/>
    <w:pPr>
      <w:numPr>
        <w:ilvl w:val="8"/>
        <w:numId w:val="57"/>
      </w:numPr>
      <w:spacing w:before="240" w:after="0" w:line="240" w:lineRule="auto"/>
      <w:outlineLvl w:val="8"/>
    </w:pPr>
    <w:rPr>
      <w:rFonts w:ascii="Times New Roman" w:eastAsia="Calibri" w:hAnsi="Times New Roman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F481E"/>
    <w:pPr>
      <w:ind w:left="720"/>
      <w:contextualSpacing/>
    </w:pPr>
  </w:style>
  <w:style w:type="character" w:styleId="Hyperlink">
    <w:name w:val="Hyperlink"/>
    <w:basedOn w:val="DefaultParagraphFont"/>
    <w:rsid w:val="0071364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C19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C19C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C19C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C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C19C3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605A01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D4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D18"/>
    <w:pPr>
      <w:tabs>
        <w:tab w:val="center" w:pos="4153"/>
        <w:tab w:val="right" w:pos="8306"/>
      </w:tabs>
    </w:pPr>
  </w:style>
  <w:style w:type="paragraph" w:customStyle="1" w:styleId="subparaa">
    <w:name w:val="sub para (a)"/>
    <w:basedOn w:val="BodyText"/>
    <w:rsid w:val="0011032A"/>
    <w:pPr>
      <w:numPr>
        <w:ilvl w:val="1"/>
        <w:numId w:val="16"/>
      </w:numPr>
      <w:spacing w:before="100" w:after="0" w:line="300" w:lineRule="atLeast"/>
      <w:ind w:right="-2"/>
    </w:pPr>
    <w:rPr>
      <w:rFonts w:ascii="Times New Roman" w:hAnsi="Times New Roman"/>
      <w:spacing w:val="-2"/>
    </w:rPr>
  </w:style>
  <w:style w:type="paragraph" w:styleId="BodyText">
    <w:name w:val="Body Text"/>
    <w:basedOn w:val="Normal"/>
    <w:rsid w:val="0011032A"/>
    <w:pPr>
      <w:spacing w:after="120"/>
    </w:pPr>
  </w:style>
  <w:style w:type="character" w:customStyle="1" w:styleId="Heading2Char">
    <w:name w:val="Heading 2 Char"/>
    <w:aliases w:val="1.1 Char"/>
    <w:basedOn w:val="DefaultParagraphFont"/>
    <w:link w:val="Heading2"/>
    <w:rsid w:val="0094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1. Char"/>
    <w:basedOn w:val="DefaultParagraphFont"/>
    <w:link w:val="Heading1"/>
    <w:rsid w:val="0016077A"/>
    <w:rPr>
      <w:rFonts w:ascii="Times New Roman" w:hAnsi="Times New Roman"/>
      <w:sz w:val="22"/>
    </w:rPr>
  </w:style>
  <w:style w:type="character" w:customStyle="1" w:styleId="Heading4Char">
    <w:name w:val="Heading 4 Char"/>
    <w:aliases w:val="(i) Char"/>
    <w:basedOn w:val="DefaultParagraphFont"/>
    <w:link w:val="Heading4"/>
    <w:rsid w:val="0016077A"/>
    <w:rPr>
      <w:rFonts w:ascii="Times New Roman" w:hAnsi="Times New Roman"/>
      <w:sz w:val="22"/>
    </w:rPr>
  </w:style>
  <w:style w:type="character" w:customStyle="1" w:styleId="Heading5Char">
    <w:name w:val="Heading 5 Char"/>
    <w:aliases w:val="(A) Char"/>
    <w:basedOn w:val="DefaultParagraphFont"/>
    <w:link w:val="Heading5"/>
    <w:rsid w:val="0016077A"/>
    <w:rPr>
      <w:rFonts w:ascii="Times New Roman" w:hAnsi="Times New Roman"/>
      <w:sz w:val="22"/>
    </w:rPr>
  </w:style>
  <w:style w:type="character" w:customStyle="1" w:styleId="Heading6Char">
    <w:name w:val="Heading 6 Char"/>
    <w:aliases w:val="(I) Char"/>
    <w:basedOn w:val="DefaultParagraphFont"/>
    <w:link w:val="Heading6"/>
    <w:rsid w:val="0016077A"/>
    <w:rPr>
      <w:rFonts w:ascii="Times New Roman" w:hAnsi="Times New Roman"/>
      <w:sz w:val="22"/>
    </w:rPr>
  </w:style>
  <w:style w:type="character" w:customStyle="1" w:styleId="Heading7Char">
    <w:name w:val="Heading 7 Char"/>
    <w:aliases w:val="(1) Char"/>
    <w:basedOn w:val="DefaultParagraphFont"/>
    <w:link w:val="Heading7"/>
    <w:rsid w:val="0016077A"/>
    <w:rPr>
      <w:rFonts w:ascii="Times New Roman" w:hAnsi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16077A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rsid w:val="0016077A"/>
    <w:rPr>
      <w:rFonts w:ascii="Times New Roman" w:hAnsi="Times New Roman"/>
      <w:b/>
      <w:sz w:val="22"/>
    </w:rPr>
  </w:style>
  <w:style w:type="paragraph" w:customStyle="1" w:styleId="Default">
    <w:name w:val="Default"/>
    <w:rsid w:val="0016077A"/>
    <w:pPr>
      <w:widowControl w:val="0"/>
      <w:autoSpaceDE w:val="0"/>
      <w:autoSpaceDN w:val="0"/>
      <w:adjustRightInd w:val="0"/>
    </w:pPr>
    <w:rPr>
      <w:rFonts w:ascii="Times" w:eastAsia="PMingLiU" w:hAnsi="Times" w:cs="Times"/>
      <w:color w:val="000000"/>
      <w:sz w:val="24"/>
      <w:szCs w:val="24"/>
    </w:rPr>
  </w:style>
  <w:style w:type="paragraph" w:customStyle="1" w:styleId="CM116">
    <w:name w:val="CM116"/>
    <w:basedOn w:val="Default"/>
    <w:next w:val="Default"/>
    <w:rsid w:val="0016077A"/>
    <w:rPr>
      <w:color w:val="auto"/>
    </w:rPr>
  </w:style>
  <w:style w:type="paragraph" w:styleId="NoSpacing">
    <w:name w:val="No Spacing"/>
    <w:qFormat/>
    <w:rsid w:val="0016077A"/>
    <w:rPr>
      <w:rFonts w:eastAsia="Times New Roman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160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1607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077A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60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yle1">
    <w:name w:val="Style1"/>
    <w:basedOn w:val="ListParagraph"/>
    <w:link w:val="Style1Char"/>
    <w:qFormat/>
    <w:rsid w:val="00983648"/>
    <w:pPr>
      <w:spacing w:before="240" w:after="0"/>
      <w:ind w:left="1418" w:hanging="709"/>
      <w:contextualSpacing w:val="0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423182"/>
    <w:pPr>
      <w:spacing w:before="240" w:after="0"/>
      <w:ind w:left="2127" w:hanging="709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423182"/>
    <w:rPr>
      <w:rFonts w:eastAsia="Times New Roman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983648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paragraph" w:customStyle="1" w:styleId="Style3">
    <w:name w:val="Style3"/>
    <w:basedOn w:val="Style2"/>
    <w:link w:val="Style3Char"/>
    <w:qFormat/>
    <w:rsid w:val="00602500"/>
    <w:pPr>
      <w:ind w:left="2835" w:hanging="708"/>
    </w:pPr>
  </w:style>
  <w:style w:type="character" w:customStyle="1" w:styleId="Style2Char">
    <w:name w:val="Style2 Char"/>
    <w:basedOn w:val="DefaultParagraphFont"/>
    <w:link w:val="Style2"/>
    <w:rsid w:val="00423182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character" w:customStyle="1" w:styleId="Style3Char">
    <w:name w:val="Style3 Char"/>
    <w:basedOn w:val="Style2Char"/>
    <w:link w:val="Style3"/>
    <w:rsid w:val="00602500"/>
    <w:rPr>
      <w:rFonts w:ascii="Times New Roman" w:eastAsia="Times New Roman" w:hAnsi="Times New Roman"/>
      <w:color w:val="000000" w:themeColor="tex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A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li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D9CC-E0A8-4595-B391-59FB46D3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ASIC Class Order [14/xxxx]</vt:lpstr>
    </vt:vector>
  </TitlesOfParts>
  <Company>ASIC</Company>
  <LinksUpToDate>false</LinksUpToDate>
  <CharactersWithSpaces>19804</CharactersWithSpaces>
  <SharedDoc>false</SharedDoc>
  <HLinks>
    <vt:vector size="6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http://www.frli.gov.au/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ASIC Class Order [14/xxxx]</dc:title>
  <dc:creator>AZW</dc:creator>
  <cp:lastModifiedBy>stephen.yen</cp:lastModifiedBy>
  <cp:revision>7</cp:revision>
  <cp:lastPrinted>2015-02-11T05:51:00Z</cp:lastPrinted>
  <dcterms:created xsi:type="dcterms:W3CDTF">2015-02-11T03:27:00Z</dcterms:created>
  <dcterms:modified xsi:type="dcterms:W3CDTF">2015-02-11T06:32:00Z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A4383968</vt:lpwstr>
  </property>
  <property fmtid="{D5CDD505-2E9C-101B-9397-08002B2CF9AE}" pid="4" name="Objective-Title">
    <vt:lpwstr>Greyhounds CO 15-52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2015-02-11T03:25:25Z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2015-02-11T04:42:45Z</vt:filetime>
  </property>
  <property fmtid="{D5CDD505-2E9C-101B-9397-08002B2CF9AE}" pid="11" name="Objective-Owner">
    <vt:lpwstr>Matthew.Le</vt:lpwstr>
  </property>
  <property fmtid="{D5CDD505-2E9C-101B-9397-08002B2CF9AE}" pid="12" name="Objective-Path">
    <vt:lpwstr>Matthew.Le:Special Folder - Matthew.Le:Uncategorised Email:CLO work:Instruments:201405 Class Order re Small-scale Greyhound syndicate:Final:</vt:lpwstr>
  </property>
  <property fmtid="{D5CDD505-2E9C-101B-9397-08002B2CF9AE}" pid="13" name="Objective-Parent">
    <vt:lpwstr>Final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