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B8" w:rsidRDefault="003D4C0C">
      <w:pPr>
        <w:pStyle w:val="sop"/>
        <w:spacing w:before="0" w:after="0"/>
        <w:ind w:left="0"/>
        <w:rPr>
          <w:rFonts w:ascii="Arial" w:hAnsi="Arial"/>
        </w:rPr>
      </w:pPr>
      <w:bookmarkStart w:id="0" w:name="_GoBack"/>
      <w:bookmarkEnd w:id="0"/>
      <w:r>
        <w:rPr>
          <w:noProof/>
          <w:lang w:val="en-AU" w:eastAsia="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9F40B8" w:rsidRDefault="009F40B8">
      <w:pPr>
        <w:pStyle w:val="sop"/>
        <w:ind w:left="0"/>
        <w:rPr>
          <w:rFonts w:ascii="Arial" w:hAnsi="Arial"/>
        </w:rPr>
      </w:pPr>
    </w:p>
    <w:p w:rsidR="009F40B8" w:rsidRDefault="009F40B8">
      <w:pPr>
        <w:ind w:left="0"/>
        <w:jc w:val="center"/>
        <w:outlineLvl w:val="0"/>
        <w:rPr>
          <w:rFonts w:ascii="Arial" w:hAnsi="Arial"/>
          <w:sz w:val="40"/>
        </w:rPr>
      </w:pPr>
      <w:r>
        <w:rPr>
          <w:rFonts w:ascii="Arial" w:hAnsi="Arial"/>
          <w:sz w:val="40"/>
        </w:rPr>
        <w:t>Statement of Principles</w:t>
      </w:r>
    </w:p>
    <w:p w:rsidR="009F40B8" w:rsidRDefault="009F40B8">
      <w:pPr>
        <w:ind w:left="0"/>
        <w:jc w:val="center"/>
        <w:outlineLvl w:val="0"/>
        <w:rPr>
          <w:rFonts w:ascii="Arial" w:hAnsi="Arial"/>
          <w:sz w:val="28"/>
        </w:rPr>
      </w:pPr>
      <w:r>
        <w:rPr>
          <w:rFonts w:ascii="Arial" w:hAnsi="Arial"/>
          <w:sz w:val="28"/>
        </w:rPr>
        <w:t>concerning</w:t>
      </w:r>
    </w:p>
    <w:p w:rsidR="009F40B8" w:rsidRDefault="009F40B8">
      <w:pPr>
        <w:ind w:left="0"/>
        <w:jc w:val="center"/>
        <w:rPr>
          <w:rFonts w:ascii="Arial" w:hAnsi="Arial"/>
          <w:sz w:val="28"/>
        </w:rPr>
      </w:pPr>
    </w:p>
    <w:p w:rsidR="009F40B8" w:rsidRDefault="009F40B8">
      <w:pPr>
        <w:ind w:left="0"/>
        <w:jc w:val="center"/>
        <w:outlineLvl w:val="0"/>
        <w:rPr>
          <w:rFonts w:ascii="Arial" w:hAnsi="Arial"/>
          <w:b/>
          <w:sz w:val="40"/>
        </w:rPr>
      </w:pPr>
      <w:r>
        <w:rPr>
          <w:rFonts w:ascii="Arial" w:hAnsi="Arial"/>
          <w:b/>
          <w:sz w:val="40"/>
        </w:rPr>
        <w:t>MALIGNANT NEOPLASM OF THE SALIVARY GLAND</w:t>
      </w:r>
    </w:p>
    <w:p w:rsidR="009F40B8" w:rsidRDefault="009F40B8">
      <w:pPr>
        <w:spacing w:before="240"/>
        <w:ind w:left="0"/>
        <w:jc w:val="center"/>
        <w:outlineLvl w:val="0"/>
        <w:rPr>
          <w:rFonts w:ascii="Arial" w:hAnsi="Arial"/>
          <w:b/>
          <w:sz w:val="40"/>
        </w:rPr>
      </w:pPr>
      <w:r>
        <w:rPr>
          <w:rFonts w:ascii="Arial" w:hAnsi="Arial"/>
          <w:b/>
          <w:sz w:val="40"/>
        </w:rPr>
        <w:t xml:space="preserve">No. </w:t>
      </w:r>
      <w:r w:rsidR="0016016A">
        <w:rPr>
          <w:rFonts w:ascii="Arial" w:hAnsi="Arial"/>
          <w:b/>
          <w:sz w:val="40"/>
        </w:rPr>
        <w:t>5</w:t>
      </w:r>
      <w:r w:rsidR="00EB52F3">
        <w:rPr>
          <w:rFonts w:ascii="Arial" w:hAnsi="Arial"/>
          <w:b/>
          <w:sz w:val="40"/>
        </w:rPr>
        <w:t>7</w:t>
      </w:r>
      <w:r>
        <w:rPr>
          <w:rFonts w:ascii="Arial" w:hAnsi="Arial"/>
          <w:b/>
          <w:sz w:val="40"/>
        </w:rPr>
        <w:t xml:space="preserve"> of </w:t>
      </w:r>
      <w:r w:rsidR="009E7F3F">
        <w:rPr>
          <w:rFonts w:ascii="Arial" w:hAnsi="Arial"/>
          <w:b/>
          <w:sz w:val="40"/>
        </w:rPr>
        <w:t>2015</w:t>
      </w:r>
    </w:p>
    <w:p w:rsidR="009F40B8" w:rsidRDefault="009F40B8">
      <w:pPr>
        <w:ind w:left="0"/>
        <w:jc w:val="center"/>
        <w:rPr>
          <w:rFonts w:ascii="Arial" w:hAnsi="Arial"/>
          <w:b/>
          <w:sz w:val="24"/>
        </w:rPr>
      </w:pPr>
    </w:p>
    <w:p w:rsidR="009F40B8" w:rsidRDefault="009F40B8">
      <w:pPr>
        <w:ind w:left="0"/>
        <w:jc w:val="center"/>
        <w:rPr>
          <w:rFonts w:ascii="Arial" w:hAnsi="Arial"/>
          <w:sz w:val="28"/>
        </w:rPr>
      </w:pPr>
      <w:r>
        <w:rPr>
          <w:rFonts w:ascii="Arial" w:hAnsi="Arial"/>
          <w:sz w:val="28"/>
        </w:rPr>
        <w:t>for the purposes of the</w:t>
      </w:r>
    </w:p>
    <w:p w:rsidR="009F40B8" w:rsidRDefault="009F40B8">
      <w:pPr>
        <w:ind w:left="0"/>
        <w:jc w:val="center"/>
        <w:rPr>
          <w:rFonts w:ascii="Arial" w:hAnsi="Arial"/>
          <w:b/>
          <w:sz w:val="24"/>
        </w:rPr>
      </w:pPr>
    </w:p>
    <w:p w:rsidR="009F40B8" w:rsidRDefault="009F40B8">
      <w:pPr>
        <w:ind w:left="0"/>
        <w:jc w:val="center"/>
        <w:outlineLvl w:val="0"/>
        <w:rPr>
          <w:rFonts w:ascii="Arial" w:hAnsi="Arial"/>
          <w:i/>
          <w:sz w:val="32"/>
        </w:rPr>
      </w:pPr>
      <w:r>
        <w:rPr>
          <w:rFonts w:ascii="Arial" w:hAnsi="Arial"/>
          <w:i/>
          <w:sz w:val="32"/>
        </w:rPr>
        <w:t>Veterans’ Entitlements Act 1986</w:t>
      </w:r>
    </w:p>
    <w:p w:rsidR="009F40B8" w:rsidRDefault="009F40B8">
      <w:pPr>
        <w:ind w:left="0"/>
        <w:jc w:val="center"/>
        <w:rPr>
          <w:rFonts w:ascii="Arial" w:hAnsi="Arial"/>
          <w:sz w:val="28"/>
        </w:rPr>
      </w:pPr>
      <w:r>
        <w:rPr>
          <w:rFonts w:ascii="Arial" w:hAnsi="Arial"/>
          <w:sz w:val="28"/>
        </w:rPr>
        <w:t>and</w:t>
      </w:r>
    </w:p>
    <w:p w:rsidR="009F40B8" w:rsidRDefault="009F40B8">
      <w:pPr>
        <w:ind w:left="0"/>
        <w:jc w:val="center"/>
        <w:rPr>
          <w:rFonts w:ascii="Arial" w:hAnsi="Arial"/>
          <w:sz w:val="32"/>
        </w:rPr>
      </w:pPr>
      <w:r>
        <w:rPr>
          <w:rFonts w:ascii="Arial" w:hAnsi="Arial"/>
          <w:i/>
          <w:sz w:val="32"/>
        </w:rPr>
        <w:t>Military Rehabilitation and Compensation Act 2004</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Title</w:t>
      </w:r>
    </w:p>
    <w:p w:rsidR="009F40B8" w:rsidRDefault="009F40B8">
      <w:pPr>
        <w:ind w:hanging="720"/>
        <w:rPr>
          <w:sz w:val="24"/>
          <w:szCs w:val="24"/>
        </w:rPr>
      </w:pPr>
      <w:r>
        <w:rPr>
          <w:b/>
          <w:sz w:val="24"/>
          <w:szCs w:val="24"/>
        </w:rPr>
        <w:t>1.</w:t>
      </w:r>
      <w:r>
        <w:rPr>
          <w:sz w:val="24"/>
          <w:szCs w:val="24"/>
        </w:rPr>
        <w:tab/>
        <w:t xml:space="preserve">This Instrument may be cited as Statement of Principles concerning malignant neoplasm of the salivary gland No. </w:t>
      </w:r>
      <w:r w:rsidR="0016016A">
        <w:rPr>
          <w:sz w:val="24"/>
          <w:szCs w:val="24"/>
        </w:rPr>
        <w:t>5</w:t>
      </w:r>
      <w:r w:rsidR="00EB52F3">
        <w:rPr>
          <w:sz w:val="24"/>
          <w:szCs w:val="24"/>
        </w:rPr>
        <w:t>7</w:t>
      </w:r>
      <w:r>
        <w:rPr>
          <w:sz w:val="24"/>
          <w:szCs w:val="24"/>
        </w:rPr>
        <w:t xml:space="preserve"> of </w:t>
      </w:r>
      <w:r w:rsidR="009E7F3F">
        <w:rPr>
          <w:sz w:val="24"/>
          <w:szCs w:val="24"/>
        </w:rPr>
        <w:t>2015</w:t>
      </w:r>
      <w:r>
        <w:rPr>
          <w:sz w:val="24"/>
          <w:szCs w:val="24"/>
        </w:rPr>
        <w:t>.</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Determination</w:t>
      </w:r>
    </w:p>
    <w:p w:rsidR="009F40B8" w:rsidRDefault="009F40B8">
      <w:pPr>
        <w:ind w:hanging="720"/>
        <w:rPr>
          <w:sz w:val="24"/>
          <w:szCs w:val="24"/>
        </w:rPr>
      </w:pPr>
      <w:r>
        <w:rPr>
          <w:b/>
          <w:sz w:val="24"/>
          <w:szCs w:val="24"/>
        </w:rPr>
        <w:t>2.</w:t>
      </w:r>
      <w:r>
        <w:rPr>
          <w:sz w:val="24"/>
          <w:szCs w:val="24"/>
        </w:rPr>
        <w:tab/>
        <w:t xml:space="preserve">The Repatriation Medical Authority under subsection </w:t>
      </w:r>
      <w:r>
        <w:rPr>
          <w:b/>
          <w:sz w:val="24"/>
          <w:szCs w:val="24"/>
        </w:rPr>
        <w:t>196B(2)</w:t>
      </w:r>
      <w:r>
        <w:rPr>
          <w:sz w:val="24"/>
          <w:szCs w:val="24"/>
        </w:rPr>
        <w:t xml:space="preserve"> and </w:t>
      </w:r>
      <w:r>
        <w:rPr>
          <w:b/>
          <w:sz w:val="24"/>
          <w:szCs w:val="24"/>
        </w:rPr>
        <w:t xml:space="preserve">(8) </w:t>
      </w:r>
      <w:r>
        <w:rPr>
          <w:sz w:val="24"/>
          <w:szCs w:val="24"/>
        </w:rPr>
        <w:t xml:space="preserve">of the </w:t>
      </w:r>
      <w:r>
        <w:rPr>
          <w:i/>
          <w:sz w:val="24"/>
          <w:szCs w:val="24"/>
        </w:rPr>
        <w:t>Veterans’ Entitlements Act 1986</w:t>
      </w:r>
      <w:r>
        <w:rPr>
          <w:sz w:val="24"/>
          <w:szCs w:val="24"/>
        </w:rPr>
        <w:t xml:space="preserve"> (the VEA):</w:t>
      </w:r>
    </w:p>
    <w:p w:rsidR="009F40B8" w:rsidRDefault="009F40B8">
      <w:pPr>
        <w:pStyle w:val="BodyTextIndent"/>
        <w:spacing w:before="120"/>
        <w:rPr>
          <w:sz w:val="24"/>
          <w:szCs w:val="24"/>
        </w:rPr>
      </w:pPr>
      <w:r>
        <w:rPr>
          <w:sz w:val="24"/>
          <w:szCs w:val="24"/>
        </w:rPr>
        <w:t>(a)</w:t>
      </w:r>
      <w:r>
        <w:rPr>
          <w:sz w:val="24"/>
          <w:szCs w:val="24"/>
        </w:rPr>
        <w:tab/>
        <w:t>revokes Instrument No. 46 of 2004</w:t>
      </w:r>
      <w:r w:rsidR="00EB52F3">
        <w:rPr>
          <w:sz w:val="24"/>
          <w:szCs w:val="24"/>
        </w:rPr>
        <w:t xml:space="preserve">, as amended, </w:t>
      </w:r>
      <w:r>
        <w:rPr>
          <w:sz w:val="24"/>
          <w:szCs w:val="24"/>
        </w:rPr>
        <w:t>concerning malignant neoplasm of the salivary gland; and</w:t>
      </w:r>
    </w:p>
    <w:p w:rsidR="009F40B8" w:rsidRDefault="009F40B8">
      <w:pPr>
        <w:pStyle w:val="BodyTextIndent"/>
        <w:spacing w:before="120"/>
        <w:rPr>
          <w:sz w:val="24"/>
          <w:szCs w:val="24"/>
        </w:rPr>
      </w:pPr>
      <w:r>
        <w:rPr>
          <w:sz w:val="24"/>
          <w:szCs w:val="24"/>
        </w:rPr>
        <w:t>(b)</w:t>
      </w:r>
      <w:r>
        <w:rPr>
          <w:sz w:val="24"/>
          <w:szCs w:val="24"/>
        </w:rPr>
        <w:tab/>
        <w:t>determines in its place this Statement of Principles.</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Kind of injury, disease or death</w:t>
      </w:r>
    </w:p>
    <w:p w:rsidR="009F40B8" w:rsidRDefault="009F40B8">
      <w:pPr>
        <w:tabs>
          <w:tab w:val="left" w:pos="709"/>
        </w:tabs>
        <w:spacing w:after="120" w:line="240" w:lineRule="auto"/>
        <w:ind w:left="1440" w:hanging="1440"/>
        <w:rPr>
          <w:sz w:val="24"/>
          <w:szCs w:val="24"/>
        </w:rPr>
      </w:pPr>
      <w:r>
        <w:rPr>
          <w:b/>
          <w:sz w:val="24"/>
          <w:szCs w:val="24"/>
        </w:rPr>
        <w:t>3.</w:t>
      </w:r>
      <w:r>
        <w:rPr>
          <w:sz w:val="24"/>
          <w:szCs w:val="24"/>
        </w:rPr>
        <w:tab/>
        <w:t>(a)</w:t>
      </w:r>
      <w:r>
        <w:rPr>
          <w:sz w:val="24"/>
          <w:szCs w:val="24"/>
        </w:rPr>
        <w:tab/>
        <w:t xml:space="preserve">This Statement of Principles is about </w:t>
      </w:r>
      <w:r>
        <w:rPr>
          <w:b/>
          <w:sz w:val="24"/>
          <w:szCs w:val="24"/>
        </w:rPr>
        <w:t xml:space="preserve">malignant neoplasm of the salivary gland </w:t>
      </w:r>
      <w:r>
        <w:rPr>
          <w:sz w:val="24"/>
          <w:szCs w:val="24"/>
        </w:rPr>
        <w:t xml:space="preserve">and </w:t>
      </w:r>
      <w:r>
        <w:rPr>
          <w:b/>
          <w:sz w:val="24"/>
          <w:szCs w:val="24"/>
        </w:rPr>
        <w:t>death from malignant neoplasm of the salivary gland</w:t>
      </w:r>
      <w:r>
        <w:rPr>
          <w:sz w:val="24"/>
          <w:szCs w:val="24"/>
        </w:rPr>
        <w:t>.</w:t>
      </w:r>
    </w:p>
    <w:p w:rsidR="009F40B8" w:rsidRDefault="009F40B8">
      <w:pPr>
        <w:numPr>
          <w:ilvl w:val="0"/>
          <w:numId w:val="2"/>
        </w:numPr>
        <w:spacing w:after="120" w:line="240" w:lineRule="auto"/>
        <w:rPr>
          <w:sz w:val="24"/>
          <w:szCs w:val="24"/>
        </w:rPr>
      </w:pPr>
      <w:r>
        <w:rPr>
          <w:sz w:val="24"/>
          <w:szCs w:val="24"/>
        </w:rPr>
        <w:t xml:space="preserve">For the purposes of this Statement of Principles, </w:t>
      </w:r>
      <w:r>
        <w:rPr>
          <w:b/>
          <w:sz w:val="24"/>
          <w:szCs w:val="24"/>
        </w:rPr>
        <w:t>"malignant neoplasm of the salivary gland"</w:t>
      </w:r>
      <w:r>
        <w:rPr>
          <w:sz w:val="24"/>
          <w:szCs w:val="24"/>
        </w:rPr>
        <w:t xml:space="preserve"> means a primary malignant neoplasm arising from the cells of the major or minor salivary glands or salivary gland ducts.  This definition excludes soft tissue sarcoma, carcinoid tumour, non-Hodgkin’s lymphoma and Hodgkin’s lymphoma.</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lastRenderedPageBreak/>
        <w:t>Basis for determining the factors</w:t>
      </w:r>
    </w:p>
    <w:p w:rsidR="009F40B8" w:rsidRDefault="009F40B8">
      <w:pPr>
        <w:ind w:hanging="720"/>
        <w:rPr>
          <w:sz w:val="24"/>
          <w:szCs w:val="24"/>
        </w:rPr>
      </w:pPr>
      <w:r>
        <w:rPr>
          <w:b/>
          <w:sz w:val="24"/>
          <w:szCs w:val="24"/>
        </w:rPr>
        <w:t>4.</w:t>
      </w:r>
      <w:r>
        <w:rPr>
          <w:sz w:val="24"/>
          <w:szCs w:val="24"/>
        </w:rPr>
        <w:tab/>
        <w:t xml:space="preserve">The Repatriation Medical Authority is of the view that there is sound medical-scientific evidence that indicates that </w:t>
      </w:r>
      <w:r>
        <w:rPr>
          <w:b/>
          <w:sz w:val="24"/>
          <w:szCs w:val="24"/>
        </w:rPr>
        <w:t xml:space="preserve">malignant neoplasm of the salivary gland </w:t>
      </w:r>
      <w:r>
        <w:rPr>
          <w:sz w:val="24"/>
          <w:szCs w:val="24"/>
        </w:rPr>
        <w:t>and</w:t>
      </w:r>
      <w:r>
        <w:rPr>
          <w:b/>
          <w:sz w:val="24"/>
          <w:szCs w:val="24"/>
        </w:rPr>
        <w:t xml:space="preserve"> death from malignant neoplasm of the salivary gland </w:t>
      </w:r>
      <w:r>
        <w:rPr>
          <w:sz w:val="24"/>
          <w:szCs w:val="24"/>
        </w:rPr>
        <w:t xml:space="preserve">can be related to relevant service rendered by veterans, members of Peacekeeping Forces, or members of the Forces under the VEA, or members under the </w:t>
      </w:r>
      <w:r>
        <w:rPr>
          <w:i/>
          <w:sz w:val="24"/>
          <w:szCs w:val="24"/>
        </w:rPr>
        <w:t>Military Rehabilitation and Compensation Act 2004</w:t>
      </w:r>
      <w:r>
        <w:rPr>
          <w:sz w:val="24"/>
          <w:szCs w:val="24"/>
        </w:rPr>
        <w:t xml:space="preserve"> (the MRCA).</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Factors that must be related to service</w:t>
      </w:r>
    </w:p>
    <w:p w:rsidR="009F40B8" w:rsidRDefault="009F40B8">
      <w:pPr>
        <w:ind w:hanging="720"/>
        <w:rPr>
          <w:sz w:val="24"/>
          <w:szCs w:val="24"/>
        </w:rPr>
      </w:pPr>
      <w:r>
        <w:rPr>
          <w:b/>
          <w:sz w:val="24"/>
          <w:szCs w:val="24"/>
        </w:rPr>
        <w:t>5.</w:t>
      </w:r>
      <w:r>
        <w:rPr>
          <w:sz w:val="24"/>
          <w:szCs w:val="24"/>
        </w:rPr>
        <w:tab/>
        <w:t>Subject to clause 7, at least one of the factors set out in clause 6 must be related to the relevant service rendered by the person.</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Factors</w:t>
      </w:r>
    </w:p>
    <w:p w:rsidR="009F40B8" w:rsidRDefault="009F40B8">
      <w:pPr>
        <w:spacing w:after="120" w:line="240" w:lineRule="auto"/>
        <w:ind w:hanging="720"/>
        <w:rPr>
          <w:sz w:val="24"/>
          <w:szCs w:val="24"/>
        </w:rPr>
      </w:pPr>
      <w:r>
        <w:rPr>
          <w:b/>
          <w:sz w:val="24"/>
          <w:szCs w:val="24"/>
        </w:rPr>
        <w:t>6.</w:t>
      </w:r>
      <w:r>
        <w:rPr>
          <w:sz w:val="24"/>
          <w:szCs w:val="24"/>
        </w:rPr>
        <w:tab/>
        <w:t xml:space="preserve">The factor that must as a minimum exist before it can be said that a reasonable hypothesis has been raised connecting </w:t>
      </w:r>
      <w:r>
        <w:rPr>
          <w:b/>
          <w:sz w:val="24"/>
          <w:szCs w:val="24"/>
        </w:rPr>
        <w:t xml:space="preserve">malignant neoplasm of the salivary gland </w:t>
      </w:r>
      <w:r>
        <w:rPr>
          <w:sz w:val="24"/>
          <w:szCs w:val="24"/>
        </w:rPr>
        <w:t>or</w:t>
      </w:r>
      <w:r>
        <w:rPr>
          <w:b/>
          <w:sz w:val="24"/>
          <w:szCs w:val="24"/>
        </w:rPr>
        <w:t xml:space="preserve"> death from malignant neoplasm of the salivary gland </w:t>
      </w:r>
      <w:r>
        <w:rPr>
          <w:sz w:val="24"/>
          <w:szCs w:val="24"/>
        </w:rPr>
        <w:t>with the circumstances of a person’s relevant service is:</w:t>
      </w:r>
    </w:p>
    <w:p w:rsidR="009F40B8" w:rsidRDefault="009F40B8">
      <w:pPr>
        <w:numPr>
          <w:ilvl w:val="0"/>
          <w:numId w:val="4"/>
        </w:numPr>
        <w:spacing w:after="120" w:line="240" w:lineRule="auto"/>
        <w:rPr>
          <w:sz w:val="24"/>
          <w:szCs w:val="24"/>
          <w:lang w:val="en-US"/>
        </w:rPr>
      </w:pPr>
      <w:r>
        <w:rPr>
          <w:sz w:val="24"/>
          <w:szCs w:val="24"/>
          <w:lang w:val="en-US"/>
        </w:rPr>
        <w:t>having received a cumulative equivalent dose of at least 0.1 sievert of ionising radiation to the salivary gland at least five years before the clinical onset of malignant neoplasm of the salivary gland; or</w:t>
      </w:r>
    </w:p>
    <w:p w:rsidR="009F40B8" w:rsidRDefault="009F40B8">
      <w:pPr>
        <w:numPr>
          <w:ilvl w:val="0"/>
          <w:numId w:val="4"/>
        </w:numPr>
        <w:spacing w:after="120" w:line="240" w:lineRule="auto"/>
        <w:rPr>
          <w:sz w:val="24"/>
          <w:szCs w:val="24"/>
        </w:rPr>
      </w:pPr>
      <w:r>
        <w:rPr>
          <w:sz w:val="24"/>
          <w:szCs w:val="24"/>
        </w:rPr>
        <w:t>undergoing treatment with radioactive iodine for cancer before the clinical onset of malignant neoplasm of the salivary gland, where the first exposure occurred at least five years before the clinical onset of malignant neoplasm of the salivary gland; or</w:t>
      </w:r>
    </w:p>
    <w:p w:rsidR="009F40B8" w:rsidRDefault="009F40B8">
      <w:pPr>
        <w:numPr>
          <w:ilvl w:val="0"/>
          <w:numId w:val="4"/>
        </w:numPr>
        <w:spacing w:after="120" w:line="240" w:lineRule="auto"/>
        <w:rPr>
          <w:sz w:val="24"/>
          <w:szCs w:val="24"/>
          <w:lang w:val="en-US"/>
        </w:rPr>
      </w:pPr>
      <w:r>
        <w:rPr>
          <w:sz w:val="24"/>
          <w:szCs w:val="24"/>
          <w:lang w:val="en-US"/>
        </w:rPr>
        <w:t>being exposed to mustard gas at least five years before the clinical onset of malignant neoplasm of the salivary gland; or</w:t>
      </w:r>
    </w:p>
    <w:p w:rsidR="009F40B8" w:rsidRDefault="009F40B8">
      <w:pPr>
        <w:numPr>
          <w:ilvl w:val="0"/>
          <w:numId w:val="4"/>
        </w:numPr>
        <w:spacing w:after="60" w:line="240" w:lineRule="auto"/>
        <w:ind w:left="1440"/>
        <w:rPr>
          <w:sz w:val="24"/>
          <w:szCs w:val="24"/>
        </w:rPr>
      </w:pPr>
      <w:r>
        <w:rPr>
          <w:snapToGrid w:val="0"/>
          <w:sz w:val="24"/>
          <w:szCs w:val="24"/>
        </w:rPr>
        <w:t>for lymphoepithelial carcinoma of the salivary gland only:</w:t>
      </w:r>
    </w:p>
    <w:p w:rsidR="009F40B8" w:rsidRDefault="009F40B8">
      <w:pPr>
        <w:pStyle w:val="BodyTextIndent"/>
        <w:numPr>
          <w:ilvl w:val="0"/>
          <w:numId w:val="10"/>
        </w:numPr>
        <w:spacing w:after="60"/>
        <w:jc w:val="left"/>
        <w:rPr>
          <w:sz w:val="24"/>
          <w:szCs w:val="24"/>
        </w:rPr>
      </w:pPr>
      <w:r>
        <w:rPr>
          <w:snapToGrid w:val="0"/>
          <w:sz w:val="24"/>
          <w:szCs w:val="24"/>
        </w:rPr>
        <w:t>being infected with Epstein-Barr virus before the clinical onset of malignant neoplasm of the salivary gland; or</w:t>
      </w:r>
    </w:p>
    <w:p w:rsidR="009F40B8" w:rsidRDefault="009F40B8">
      <w:pPr>
        <w:pStyle w:val="BodyTextIndent"/>
        <w:numPr>
          <w:ilvl w:val="0"/>
          <w:numId w:val="10"/>
        </w:numPr>
        <w:spacing w:after="120"/>
        <w:jc w:val="left"/>
        <w:rPr>
          <w:sz w:val="24"/>
          <w:szCs w:val="24"/>
        </w:rPr>
      </w:pPr>
      <w:r>
        <w:rPr>
          <w:sz w:val="24"/>
          <w:szCs w:val="24"/>
          <w:lang w:val="en-US"/>
        </w:rPr>
        <w:t>being infected with human immunodeficiency virus before the clinical onset of malignant neoplasm of the salivary gland; or</w:t>
      </w:r>
    </w:p>
    <w:p w:rsidR="009F40B8" w:rsidRDefault="009F40B8">
      <w:pPr>
        <w:numPr>
          <w:ilvl w:val="0"/>
          <w:numId w:val="4"/>
        </w:numPr>
        <w:spacing w:after="120" w:line="240" w:lineRule="auto"/>
        <w:rPr>
          <w:sz w:val="24"/>
          <w:szCs w:val="24"/>
        </w:rPr>
      </w:pPr>
      <w:r>
        <w:rPr>
          <w:sz w:val="24"/>
          <w:szCs w:val="24"/>
        </w:rPr>
        <w:t>inability to obtain appropriate clinical management for malignant neoplasm of the salivary gland.</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Factors that apply only to material contribution or aggravation</w:t>
      </w:r>
    </w:p>
    <w:p w:rsidR="009F40B8" w:rsidRDefault="009F40B8">
      <w:pPr>
        <w:ind w:hanging="720"/>
        <w:rPr>
          <w:sz w:val="24"/>
          <w:szCs w:val="24"/>
        </w:rPr>
      </w:pPr>
      <w:r>
        <w:rPr>
          <w:b/>
          <w:sz w:val="24"/>
          <w:szCs w:val="24"/>
        </w:rPr>
        <w:t>7.</w:t>
      </w:r>
      <w:r>
        <w:rPr>
          <w:sz w:val="24"/>
          <w:szCs w:val="24"/>
        </w:rPr>
        <w:tab/>
        <w:t xml:space="preserve">Paragraph </w:t>
      </w:r>
      <w:r>
        <w:rPr>
          <w:b/>
          <w:sz w:val="24"/>
          <w:szCs w:val="24"/>
        </w:rPr>
        <w:t xml:space="preserve">6(e) </w:t>
      </w:r>
      <w:r>
        <w:rPr>
          <w:sz w:val="24"/>
          <w:szCs w:val="24"/>
        </w:rPr>
        <w:t>applies only to material contribution to, or aggravation of, malignant neoplasm of the salivary gland where the person’s malignant neoplasm of the salivary gland was suffered or contracted before or during (but not arising out of) the person’s relevant service.</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Inclusion of Statements of Principles</w:t>
      </w:r>
    </w:p>
    <w:p w:rsidR="009F40B8" w:rsidRDefault="009F40B8">
      <w:pPr>
        <w:ind w:hanging="720"/>
        <w:rPr>
          <w:sz w:val="24"/>
          <w:szCs w:val="24"/>
        </w:rPr>
      </w:pPr>
      <w:r>
        <w:rPr>
          <w:b/>
          <w:sz w:val="24"/>
          <w:szCs w:val="24"/>
        </w:rPr>
        <w:t>8.</w:t>
      </w:r>
      <w:r>
        <w:rPr>
          <w:sz w:val="24"/>
          <w:szCs w:val="24"/>
        </w:rPr>
        <w:tab/>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lastRenderedPageBreak/>
        <w:t>Other definitions</w:t>
      </w:r>
    </w:p>
    <w:p w:rsidR="009F40B8" w:rsidRDefault="009F40B8">
      <w:pPr>
        <w:spacing w:after="120" w:line="240" w:lineRule="auto"/>
        <w:ind w:left="0"/>
        <w:rPr>
          <w:sz w:val="24"/>
          <w:szCs w:val="24"/>
        </w:rPr>
      </w:pPr>
      <w:r>
        <w:rPr>
          <w:b/>
          <w:sz w:val="24"/>
          <w:szCs w:val="24"/>
        </w:rPr>
        <w:t>9.</w:t>
      </w:r>
      <w:r>
        <w:rPr>
          <w:sz w:val="24"/>
          <w:szCs w:val="24"/>
        </w:rPr>
        <w:tab/>
        <w:t>For the purposes of this Statement of Principles:</w:t>
      </w:r>
    </w:p>
    <w:p w:rsidR="009F40B8" w:rsidRDefault="009F40B8">
      <w:pPr>
        <w:tabs>
          <w:tab w:val="num" w:pos="709"/>
        </w:tabs>
        <w:spacing w:after="120" w:line="240" w:lineRule="auto"/>
        <w:ind w:left="709"/>
        <w:rPr>
          <w:sz w:val="24"/>
          <w:szCs w:val="24"/>
        </w:rPr>
      </w:pPr>
      <w:r>
        <w:rPr>
          <w:b/>
          <w:sz w:val="24"/>
          <w:szCs w:val="24"/>
        </w:rPr>
        <w:t xml:space="preserve">"being infected with Epstein-Barr virus" </w:t>
      </w:r>
      <w:r>
        <w:rPr>
          <w:sz w:val="24"/>
          <w:szCs w:val="24"/>
        </w:rPr>
        <w:t>means having serological evidence of infection with Epstein-Barr virus;</w:t>
      </w:r>
    </w:p>
    <w:p w:rsidR="009F40B8" w:rsidRDefault="009F40B8">
      <w:pPr>
        <w:tabs>
          <w:tab w:val="num" w:pos="709"/>
        </w:tabs>
        <w:spacing w:after="120" w:line="240" w:lineRule="auto"/>
        <w:ind w:left="709"/>
        <w:rPr>
          <w:sz w:val="24"/>
          <w:szCs w:val="24"/>
        </w:rPr>
      </w:pPr>
      <w:r>
        <w:rPr>
          <w:b/>
          <w:sz w:val="24"/>
          <w:szCs w:val="24"/>
        </w:rPr>
        <w:t xml:space="preserve">"cumulative equivalent dose" </w:t>
      </w:r>
      <w:r>
        <w:rPr>
          <w:sz w:val="24"/>
          <w:szCs w:val="24"/>
        </w:rPr>
        <w:t>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9F40B8" w:rsidRDefault="009F40B8">
      <w:pPr>
        <w:tabs>
          <w:tab w:val="num" w:pos="709"/>
        </w:tabs>
        <w:spacing w:after="120" w:line="240" w:lineRule="auto"/>
        <w:ind w:left="709"/>
        <w:rPr>
          <w:sz w:val="24"/>
          <w:szCs w:val="24"/>
        </w:rPr>
      </w:pPr>
      <w:r>
        <w:rPr>
          <w:b/>
          <w:sz w:val="24"/>
          <w:szCs w:val="24"/>
        </w:rPr>
        <w:t xml:space="preserve">"death from malignant neoplasm of the salivary gland" </w:t>
      </w:r>
      <w:r>
        <w:rPr>
          <w:sz w:val="24"/>
          <w:szCs w:val="24"/>
        </w:rPr>
        <w:t>in relation to a person includes death from a terminal event or condition that was contributed to by the person’s malignant neoplasm of the salivary gland;</w:t>
      </w:r>
    </w:p>
    <w:p w:rsidR="009F40B8" w:rsidRDefault="009F40B8">
      <w:pPr>
        <w:tabs>
          <w:tab w:val="num" w:pos="709"/>
        </w:tabs>
        <w:spacing w:after="120" w:line="240" w:lineRule="auto"/>
        <w:ind w:left="709"/>
        <w:rPr>
          <w:sz w:val="24"/>
          <w:szCs w:val="24"/>
        </w:rPr>
      </w:pPr>
      <w:r>
        <w:rPr>
          <w:b/>
          <w:sz w:val="24"/>
          <w:szCs w:val="24"/>
        </w:rPr>
        <w:t>"relevant service"</w:t>
      </w:r>
      <w:r>
        <w:rPr>
          <w:sz w:val="24"/>
          <w:szCs w:val="24"/>
        </w:rPr>
        <w:t xml:space="preserve"> means:</w:t>
      </w:r>
    </w:p>
    <w:p w:rsidR="009F40B8" w:rsidRDefault="009F40B8">
      <w:pPr>
        <w:numPr>
          <w:ilvl w:val="0"/>
          <w:numId w:val="3"/>
        </w:numPr>
        <w:spacing w:line="240" w:lineRule="auto"/>
        <w:rPr>
          <w:sz w:val="24"/>
          <w:szCs w:val="24"/>
        </w:rPr>
      </w:pPr>
      <w:r>
        <w:rPr>
          <w:sz w:val="24"/>
          <w:szCs w:val="24"/>
        </w:rPr>
        <w:t xml:space="preserve">operational service under the VEA; </w:t>
      </w:r>
    </w:p>
    <w:p w:rsidR="009F40B8" w:rsidRDefault="009F40B8">
      <w:pPr>
        <w:numPr>
          <w:ilvl w:val="0"/>
          <w:numId w:val="3"/>
        </w:numPr>
        <w:tabs>
          <w:tab w:val="num" w:pos="709"/>
        </w:tabs>
        <w:spacing w:line="240" w:lineRule="auto"/>
        <w:ind w:left="709" w:firstLine="0"/>
        <w:rPr>
          <w:sz w:val="24"/>
          <w:szCs w:val="24"/>
        </w:rPr>
      </w:pPr>
      <w:r>
        <w:rPr>
          <w:sz w:val="24"/>
          <w:szCs w:val="24"/>
        </w:rPr>
        <w:t xml:space="preserve">peacekeeping service under the VEA; </w:t>
      </w:r>
    </w:p>
    <w:p w:rsidR="009F40B8" w:rsidRDefault="009F40B8">
      <w:pPr>
        <w:numPr>
          <w:ilvl w:val="0"/>
          <w:numId w:val="3"/>
        </w:numPr>
        <w:tabs>
          <w:tab w:val="num" w:pos="709"/>
        </w:tabs>
        <w:spacing w:line="240" w:lineRule="auto"/>
        <w:ind w:left="709" w:firstLine="0"/>
        <w:rPr>
          <w:sz w:val="24"/>
          <w:szCs w:val="24"/>
        </w:rPr>
      </w:pPr>
      <w:r>
        <w:rPr>
          <w:sz w:val="24"/>
          <w:szCs w:val="24"/>
        </w:rPr>
        <w:t xml:space="preserve">hazardous service under the VEA; </w:t>
      </w:r>
    </w:p>
    <w:p w:rsidR="009F40B8" w:rsidRDefault="009F40B8">
      <w:pPr>
        <w:numPr>
          <w:ilvl w:val="0"/>
          <w:numId w:val="3"/>
        </w:numPr>
        <w:tabs>
          <w:tab w:val="num" w:pos="709"/>
        </w:tabs>
        <w:spacing w:line="240" w:lineRule="auto"/>
        <w:ind w:left="709" w:firstLine="0"/>
        <w:rPr>
          <w:sz w:val="24"/>
          <w:szCs w:val="24"/>
        </w:rPr>
      </w:pPr>
      <w:r>
        <w:rPr>
          <w:sz w:val="24"/>
          <w:szCs w:val="24"/>
        </w:rPr>
        <w:t>British nuclear test defence service under the VEA;</w:t>
      </w:r>
    </w:p>
    <w:p w:rsidR="009F40B8" w:rsidRDefault="009F40B8">
      <w:pPr>
        <w:numPr>
          <w:ilvl w:val="0"/>
          <w:numId w:val="3"/>
        </w:numPr>
        <w:tabs>
          <w:tab w:val="num" w:pos="709"/>
        </w:tabs>
        <w:spacing w:line="240" w:lineRule="auto"/>
        <w:ind w:left="709" w:firstLine="0"/>
        <w:rPr>
          <w:sz w:val="24"/>
          <w:szCs w:val="24"/>
        </w:rPr>
      </w:pPr>
      <w:r>
        <w:rPr>
          <w:sz w:val="24"/>
          <w:szCs w:val="24"/>
        </w:rPr>
        <w:t>warlike service under the MRCA; or</w:t>
      </w:r>
    </w:p>
    <w:p w:rsidR="009F40B8" w:rsidRDefault="009F40B8">
      <w:pPr>
        <w:numPr>
          <w:ilvl w:val="0"/>
          <w:numId w:val="3"/>
        </w:numPr>
        <w:tabs>
          <w:tab w:val="num" w:pos="709"/>
        </w:tabs>
        <w:spacing w:after="120" w:line="240" w:lineRule="auto"/>
        <w:ind w:left="709" w:firstLine="0"/>
        <w:rPr>
          <w:sz w:val="24"/>
          <w:szCs w:val="24"/>
        </w:rPr>
      </w:pPr>
      <w:r>
        <w:rPr>
          <w:sz w:val="24"/>
          <w:szCs w:val="24"/>
        </w:rPr>
        <w:t>non-warlike service under the MRCA;</w:t>
      </w:r>
    </w:p>
    <w:p w:rsidR="009F40B8" w:rsidRDefault="009F40B8">
      <w:pPr>
        <w:tabs>
          <w:tab w:val="num" w:pos="709"/>
        </w:tabs>
        <w:spacing w:after="120" w:line="240" w:lineRule="auto"/>
        <w:ind w:left="709"/>
        <w:rPr>
          <w:sz w:val="24"/>
          <w:szCs w:val="24"/>
        </w:rPr>
      </w:pPr>
      <w:r>
        <w:rPr>
          <w:b/>
          <w:sz w:val="24"/>
          <w:szCs w:val="24"/>
        </w:rPr>
        <w:t xml:space="preserve">"terminal event" </w:t>
      </w:r>
      <w:r>
        <w:rPr>
          <w:sz w:val="24"/>
          <w:szCs w:val="24"/>
        </w:rPr>
        <w:t>means the proximate or ultimate cause of death and includes:</w:t>
      </w:r>
    </w:p>
    <w:p w:rsidR="009F40B8" w:rsidRDefault="009F40B8">
      <w:pPr>
        <w:pStyle w:val="NormalIndent"/>
        <w:numPr>
          <w:ilvl w:val="0"/>
          <w:numId w:val="9"/>
        </w:numPr>
        <w:spacing w:line="240" w:lineRule="auto"/>
        <w:rPr>
          <w:sz w:val="24"/>
          <w:szCs w:val="24"/>
        </w:rPr>
      </w:pPr>
      <w:r>
        <w:rPr>
          <w:sz w:val="24"/>
          <w:szCs w:val="24"/>
        </w:rPr>
        <w:t>pneumonia;</w:t>
      </w:r>
    </w:p>
    <w:p w:rsidR="009F40B8" w:rsidRDefault="009F40B8">
      <w:pPr>
        <w:numPr>
          <w:ilvl w:val="0"/>
          <w:numId w:val="9"/>
        </w:numPr>
        <w:spacing w:line="240" w:lineRule="auto"/>
        <w:rPr>
          <w:sz w:val="24"/>
          <w:szCs w:val="24"/>
        </w:rPr>
      </w:pPr>
      <w:r>
        <w:rPr>
          <w:sz w:val="24"/>
          <w:szCs w:val="24"/>
        </w:rPr>
        <w:t>respiratory failure;</w:t>
      </w:r>
    </w:p>
    <w:p w:rsidR="009F40B8" w:rsidRDefault="009F40B8">
      <w:pPr>
        <w:numPr>
          <w:ilvl w:val="0"/>
          <w:numId w:val="9"/>
        </w:numPr>
        <w:spacing w:line="240" w:lineRule="auto"/>
        <w:rPr>
          <w:sz w:val="24"/>
          <w:szCs w:val="24"/>
        </w:rPr>
      </w:pPr>
      <w:r>
        <w:rPr>
          <w:sz w:val="24"/>
          <w:szCs w:val="24"/>
        </w:rPr>
        <w:t>cardiac arrest;</w:t>
      </w:r>
    </w:p>
    <w:p w:rsidR="009F40B8" w:rsidRDefault="009F40B8">
      <w:pPr>
        <w:pStyle w:val="NormalIndent"/>
        <w:numPr>
          <w:ilvl w:val="0"/>
          <w:numId w:val="9"/>
        </w:numPr>
        <w:spacing w:line="240" w:lineRule="auto"/>
        <w:rPr>
          <w:sz w:val="24"/>
          <w:szCs w:val="24"/>
        </w:rPr>
      </w:pPr>
      <w:r>
        <w:rPr>
          <w:sz w:val="24"/>
          <w:szCs w:val="24"/>
        </w:rPr>
        <w:t>circulatory failure; or</w:t>
      </w:r>
    </w:p>
    <w:p w:rsidR="009F40B8" w:rsidRDefault="009F40B8">
      <w:pPr>
        <w:numPr>
          <w:ilvl w:val="0"/>
          <w:numId w:val="9"/>
        </w:numPr>
        <w:spacing w:line="240" w:lineRule="auto"/>
        <w:rPr>
          <w:sz w:val="24"/>
          <w:szCs w:val="24"/>
        </w:rPr>
      </w:pPr>
      <w:r>
        <w:rPr>
          <w:sz w:val="24"/>
          <w:szCs w:val="24"/>
        </w:rPr>
        <w:t>cessation of brain function.</w:t>
      </w:r>
    </w:p>
    <w:p w:rsidR="009F40B8" w:rsidRDefault="009F40B8">
      <w:pPr>
        <w:pStyle w:val="clauseheading"/>
        <w:spacing w:before="240"/>
        <w:outlineLvl w:val="0"/>
        <w:rPr>
          <w:rFonts w:ascii="Times New Roman" w:hAnsi="Times New Roman"/>
          <w:sz w:val="24"/>
          <w:szCs w:val="24"/>
        </w:rPr>
      </w:pPr>
      <w:r>
        <w:rPr>
          <w:rFonts w:ascii="Times New Roman" w:hAnsi="Times New Roman"/>
          <w:sz w:val="24"/>
          <w:szCs w:val="24"/>
        </w:rPr>
        <w:t>Application</w:t>
      </w:r>
    </w:p>
    <w:p w:rsidR="009F40B8" w:rsidRDefault="009F40B8">
      <w:pPr>
        <w:spacing w:line="240" w:lineRule="auto"/>
        <w:ind w:hanging="720"/>
        <w:rPr>
          <w:sz w:val="24"/>
          <w:szCs w:val="24"/>
        </w:rPr>
      </w:pPr>
      <w:r>
        <w:rPr>
          <w:b/>
          <w:sz w:val="24"/>
          <w:szCs w:val="24"/>
        </w:rPr>
        <w:t>10.</w:t>
      </w:r>
      <w:r>
        <w:rPr>
          <w:sz w:val="24"/>
          <w:szCs w:val="24"/>
        </w:rPr>
        <w:tab/>
        <w:t>This Instrument applies to all matters to which section 120A of the VEA or section 338 of the MRCA applies.</w:t>
      </w:r>
    </w:p>
    <w:p w:rsidR="005B64D7" w:rsidRPr="005B64D7" w:rsidRDefault="005B64D7" w:rsidP="005B64D7">
      <w:pPr>
        <w:pStyle w:val="clauseheading"/>
        <w:spacing w:before="240"/>
        <w:outlineLvl w:val="0"/>
        <w:rPr>
          <w:rFonts w:ascii="Times New Roman" w:hAnsi="Times New Roman"/>
          <w:sz w:val="24"/>
          <w:szCs w:val="24"/>
        </w:rPr>
      </w:pPr>
      <w:r w:rsidRPr="005B64D7">
        <w:rPr>
          <w:rFonts w:ascii="Times New Roman" w:hAnsi="Times New Roman"/>
          <w:sz w:val="24"/>
          <w:szCs w:val="24"/>
        </w:rPr>
        <w:t>Date of effect</w:t>
      </w:r>
    </w:p>
    <w:p w:rsidR="005B64D7" w:rsidRDefault="005B64D7" w:rsidP="005B64D7">
      <w:pPr>
        <w:spacing w:line="240" w:lineRule="auto"/>
        <w:ind w:hanging="720"/>
        <w:rPr>
          <w:sz w:val="24"/>
          <w:szCs w:val="24"/>
        </w:rPr>
      </w:pPr>
      <w:r>
        <w:rPr>
          <w:b/>
          <w:sz w:val="24"/>
          <w:szCs w:val="24"/>
        </w:rPr>
        <w:t>11.</w:t>
      </w:r>
      <w:r>
        <w:rPr>
          <w:sz w:val="24"/>
          <w:szCs w:val="24"/>
        </w:rPr>
        <w:tab/>
        <w:t>This Instrument takes effect from 30 March 2015.</w:t>
      </w:r>
    </w:p>
    <w:p w:rsidR="005B64D7" w:rsidRDefault="005B64D7" w:rsidP="005B64D7">
      <w:pPr>
        <w:spacing w:before="240" w:after="120" w:line="240" w:lineRule="auto"/>
        <w:ind w:left="0"/>
        <w:rPr>
          <w:sz w:val="24"/>
          <w:szCs w:val="24"/>
        </w:rPr>
      </w:pPr>
      <w:r>
        <w:rPr>
          <w:noProof/>
          <w:lang w:val="en-AU" w:eastAsia="en-AU"/>
        </w:rPr>
        <w:drawing>
          <wp:anchor distT="0" distB="0" distL="114300" distR="114300" simplePos="0" relativeHeight="251658240" behindDoc="1" locked="0" layoutInCell="1" allowOverlap="1">
            <wp:simplePos x="0" y="0"/>
            <wp:positionH relativeFrom="column">
              <wp:posOffset>2770505</wp:posOffset>
            </wp:positionH>
            <wp:positionV relativeFrom="paragraph">
              <wp:posOffset>517525</wp:posOffset>
            </wp:positionV>
            <wp:extent cx="2466975" cy="533400"/>
            <wp:effectExtent l="0" t="0" r="9525" b="0"/>
            <wp:wrapTight wrapText="bothSides">
              <wp:wrapPolygon edited="0">
                <wp:start x="0" y="0"/>
                <wp:lineTo x="0" y="20829"/>
                <wp:lineTo x="21517" y="20829"/>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Dated this  </w:t>
      </w:r>
      <w:r>
        <w:rPr>
          <w:rFonts w:ascii="Brush Script MT" w:hAnsi="Brush Script MT"/>
          <w:sz w:val="44"/>
          <w:szCs w:val="44"/>
        </w:rPr>
        <w:t>twenty-seventh</w:t>
      </w:r>
      <w:r>
        <w:rPr>
          <w:sz w:val="24"/>
          <w:szCs w:val="24"/>
        </w:rPr>
        <w:t xml:space="preserve">   day of   </w:t>
      </w:r>
      <w:r>
        <w:rPr>
          <w:rFonts w:ascii="Brush Script MT" w:hAnsi="Brush Script MT"/>
          <w:sz w:val="44"/>
          <w:szCs w:val="44"/>
        </w:rPr>
        <w:t>February</w:t>
      </w:r>
      <w:r>
        <w:rPr>
          <w:sz w:val="24"/>
          <w:szCs w:val="24"/>
        </w:rPr>
        <w:t xml:space="preserve">   2015</w:t>
      </w:r>
    </w:p>
    <w:p w:rsidR="005B64D7" w:rsidRDefault="005B64D7" w:rsidP="005B64D7">
      <w:pPr>
        <w:spacing w:line="240" w:lineRule="auto"/>
        <w:ind w:hanging="720"/>
        <w:rPr>
          <w:sz w:val="24"/>
          <w:szCs w:val="24"/>
        </w:rPr>
      </w:pPr>
      <w:r>
        <w:rPr>
          <w:sz w:val="24"/>
          <w:szCs w:val="24"/>
        </w:rPr>
        <w:t>The Common Seal of the</w:t>
      </w:r>
      <w:r>
        <w:rPr>
          <w:sz w:val="24"/>
          <w:szCs w:val="24"/>
        </w:rPr>
        <w:tab/>
      </w:r>
      <w:r>
        <w:rPr>
          <w:sz w:val="24"/>
          <w:szCs w:val="24"/>
        </w:rPr>
        <w:tab/>
        <w:t>)</w:t>
      </w:r>
    </w:p>
    <w:p w:rsidR="005B64D7" w:rsidRDefault="005B64D7" w:rsidP="005B64D7">
      <w:pPr>
        <w:spacing w:line="240" w:lineRule="auto"/>
        <w:ind w:hanging="720"/>
        <w:rPr>
          <w:sz w:val="24"/>
          <w:szCs w:val="24"/>
        </w:rPr>
      </w:pPr>
      <w:r>
        <w:rPr>
          <w:sz w:val="24"/>
          <w:szCs w:val="24"/>
        </w:rPr>
        <w:t>Repatriation Medical Authority</w:t>
      </w:r>
      <w:r>
        <w:rPr>
          <w:sz w:val="24"/>
          <w:szCs w:val="24"/>
        </w:rPr>
        <w:tab/>
        <w:t>)</w:t>
      </w:r>
    </w:p>
    <w:p w:rsidR="005B64D7" w:rsidRDefault="005B64D7" w:rsidP="005B64D7">
      <w:pPr>
        <w:spacing w:line="240" w:lineRule="auto"/>
        <w:ind w:hanging="720"/>
        <w:rPr>
          <w:sz w:val="24"/>
          <w:szCs w:val="24"/>
        </w:rPr>
      </w:pPr>
      <w:r>
        <w:rPr>
          <w:sz w:val="24"/>
          <w:szCs w:val="24"/>
        </w:rPr>
        <w:t>was affixed at the direction of:</w:t>
      </w:r>
      <w:r>
        <w:rPr>
          <w:sz w:val="24"/>
          <w:szCs w:val="24"/>
        </w:rPr>
        <w:tab/>
        <w:t>)</w:t>
      </w:r>
    </w:p>
    <w:p w:rsidR="005B64D7" w:rsidRDefault="005B64D7" w:rsidP="005B64D7">
      <w:pPr>
        <w:spacing w:before="120" w:line="240" w:lineRule="auto"/>
        <w:ind w:left="3600"/>
        <w:outlineLvl w:val="0"/>
        <w:rPr>
          <w:sz w:val="24"/>
          <w:szCs w:val="24"/>
        </w:rPr>
      </w:pPr>
      <w:r>
        <w:rPr>
          <w:sz w:val="24"/>
          <w:szCs w:val="24"/>
        </w:rPr>
        <w:t>PROFESSOR NICHOLAS SAUNDERS AO</w:t>
      </w:r>
    </w:p>
    <w:p w:rsidR="009F40B8" w:rsidRDefault="005B64D7" w:rsidP="005B64D7">
      <w:pPr>
        <w:spacing w:before="60" w:line="240" w:lineRule="auto"/>
        <w:ind w:left="5041"/>
        <w:outlineLvl w:val="0"/>
        <w:rPr>
          <w:sz w:val="24"/>
          <w:szCs w:val="24"/>
        </w:rPr>
      </w:pPr>
      <w:r>
        <w:rPr>
          <w:sz w:val="24"/>
          <w:szCs w:val="24"/>
        </w:rPr>
        <w:t>CHAIRPERSON</w:t>
      </w:r>
    </w:p>
    <w:sectPr w:rsidR="009F40B8">
      <w:footerReference w:type="default" r:id="rId10"/>
      <w:pgSz w:w="11907" w:h="16834" w:code="9"/>
      <w:pgMar w:top="1440" w:right="1797" w:bottom="1440" w:left="1797"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91" w:rsidRDefault="00762491">
      <w:r>
        <w:separator/>
      </w:r>
    </w:p>
  </w:endnote>
  <w:endnote w:type="continuationSeparator" w:id="0">
    <w:p w:rsidR="00762491" w:rsidRDefault="0076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00000000" w:usb1="80000000" w:usb2="00000008"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B8" w:rsidRDefault="009F40B8">
    <w:pPr>
      <w:pStyle w:val="Footer"/>
      <w:ind w:left="0"/>
      <w:jc w:val="left"/>
      <w:rPr>
        <w:rFonts w:ascii="Arial" w:hAnsi="Arial"/>
        <w:b w:val="0"/>
      </w:rPr>
    </w:pPr>
    <w:r>
      <w:rPr>
        <w:rFonts w:ascii="Arial" w:hAnsi="Arial"/>
        <w:b w:val="0"/>
        <w:snapToGrid w:val="0"/>
      </w:rPr>
      <w:t xml:space="preserve">Page </w:t>
    </w:r>
    <w:r>
      <w:rPr>
        <w:rFonts w:ascii="Arial" w:hAnsi="Arial"/>
        <w:b w:val="0"/>
        <w:snapToGrid w:val="0"/>
      </w:rPr>
      <w:fldChar w:fldCharType="begin"/>
    </w:r>
    <w:r>
      <w:rPr>
        <w:rFonts w:ascii="Arial" w:hAnsi="Arial"/>
        <w:b w:val="0"/>
        <w:snapToGrid w:val="0"/>
      </w:rPr>
      <w:instrText xml:space="preserve"> PAGE </w:instrText>
    </w:r>
    <w:r>
      <w:rPr>
        <w:rFonts w:ascii="Arial" w:hAnsi="Arial"/>
        <w:b w:val="0"/>
        <w:snapToGrid w:val="0"/>
      </w:rPr>
      <w:fldChar w:fldCharType="separate"/>
    </w:r>
    <w:r w:rsidR="00E2309B">
      <w:rPr>
        <w:rFonts w:ascii="Arial" w:hAnsi="Arial"/>
        <w:b w:val="0"/>
        <w:noProof/>
        <w:snapToGrid w:val="0"/>
      </w:rPr>
      <w:t>1</w:t>
    </w:r>
    <w:r>
      <w:rPr>
        <w:rFonts w:ascii="Arial" w:hAnsi="Arial"/>
        <w:b w:val="0"/>
        <w:snapToGrid w:val="0"/>
      </w:rPr>
      <w:fldChar w:fldCharType="end"/>
    </w:r>
    <w:r>
      <w:rPr>
        <w:rFonts w:ascii="Arial" w:hAnsi="Arial"/>
        <w:b w:val="0"/>
        <w:snapToGrid w:val="0"/>
      </w:rPr>
      <w:t xml:space="preserve"> of </w:t>
    </w:r>
    <w:r>
      <w:rPr>
        <w:rStyle w:val="PageNumber"/>
        <w:rFonts w:ascii="Arial" w:hAnsi="Arial"/>
        <w:b w:val="0"/>
      </w:rPr>
      <w:fldChar w:fldCharType="begin"/>
    </w:r>
    <w:r>
      <w:rPr>
        <w:rStyle w:val="PageNumber"/>
        <w:rFonts w:ascii="Arial" w:hAnsi="Arial"/>
        <w:b w:val="0"/>
      </w:rPr>
      <w:instrText xml:space="preserve"> NUMPAGES </w:instrText>
    </w:r>
    <w:r>
      <w:rPr>
        <w:rStyle w:val="PageNumber"/>
        <w:rFonts w:ascii="Arial" w:hAnsi="Arial"/>
        <w:b w:val="0"/>
      </w:rPr>
      <w:fldChar w:fldCharType="separate"/>
    </w:r>
    <w:r w:rsidR="00E2309B">
      <w:rPr>
        <w:rStyle w:val="PageNumber"/>
        <w:rFonts w:ascii="Arial" w:hAnsi="Arial"/>
        <w:b w:val="0"/>
        <w:noProof/>
      </w:rPr>
      <w:t>3</w:t>
    </w:r>
    <w:r>
      <w:rPr>
        <w:rStyle w:val="PageNumber"/>
        <w:rFonts w:ascii="Arial" w:hAnsi="Arial"/>
        <w:b w:val="0"/>
      </w:rPr>
      <w:fldChar w:fldCharType="end"/>
    </w:r>
    <w:r>
      <w:rPr>
        <w:rFonts w:ascii="Arial" w:hAnsi="Arial"/>
        <w:b w:val="0"/>
      </w:rPr>
      <w:t xml:space="preserve"> of Instrument No. </w:t>
    </w:r>
    <w:r w:rsidR="0016016A">
      <w:rPr>
        <w:rFonts w:ascii="Arial" w:hAnsi="Arial"/>
        <w:b w:val="0"/>
      </w:rPr>
      <w:t>5</w:t>
    </w:r>
    <w:r w:rsidR="00EB52F3">
      <w:rPr>
        <w:rFonts w:ascii="Arial" w:hAnsi="Arial"/>
        <w:b w:val="0"/>
      </w:rPr>
      <w:t>7</w:t>
    </w:r>
    <w:r>
      <w:rPr>
        <w:rFonts w:ascii="Arial" w:hAnsi="Arial"/>
        <w:b w:val="0"/>
      </w:rPr>
      <w:t xml:space="preserve"> of </w:t>
    </w:r>
    <w:r w:rsidR="009E7F3F">
      <w:rPr>
        <w:rFonts w:ascii="Arial" w:hAnsi="Arial"/>
        <w:b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91" w:rsidRDefault="00762491">
      <w:r>
        <w:separator/>
      </w:r>
    </w:p>
  </w:footnote>
  <w:footnote w:type="continuationSeparator" w:id="0">
    <w:p w:rsidR="00762491" w:rsidRDefault="00762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51893"/>
    <w:multiLevelType w:val="singleLevel"/>
    <w:tmpl w:val="EECED2E6"/>
    <w:lvl w:ilvl="0">
      <w:start w:val="5"/>
      <w:numFmt w:val="lowerLetter"/>
      <w:lvlText w:val="(%1)"/>
      <w:lvlJc w:val="left"/>
      <w:pPr>
        <w:tabs>
          <w:tab w:val="num" w:pos="1440"/>
        </w:tabs>
        <w:ind w:left="1440" w:hanging="720"/>
      </w:pPr>
      <w:rPr>
        <w:rFonts w:hint="default"/>
      </w:rPr>
    </w:lvl>
  </w:abstractNum>
  <w:abstractNum w:abstractNumId="1">
    <w:nsid w:val="329252F4"/>
    <w:multiLevelType w:val="singleLevel"/>
    <w:tmpl w:val="37D443E0"/>
    <w:lvl w:ilvl="0">
      <w:start w:val="9"/>
      <w:numFmt w:val="decimal"/>
      <w:lvlText w:val="%1."/>
      <w:lvlJc w:val="left"/>
      <w:pPr>
        <w:tabs>
          <w:tab w:val="num" w:pos="720"/>
        </w:tabs>
        <w:ind w:left="720" w:hanging="720"/>
      </w:pPr>
      <w:rPr>
        <w:rFonts w:hint="default"/>
        <w:b/>
      </w:rPr>
    </w:lvl>
  </w:abstractNum>
  <w:abstractNum w:abstractNumId="2">
    <w:nsid w:val="490E6070"/>
    <w:multiLevelType w:val="singleLevel"/>
    <w:tmpl w:val="58A65BFA"/>
    <w:lvl w:ilvl="0">
      <w:start w:val="1"/>
      <w:numFmt w:val="lowerLetter"/>
      <w:lvlText w:val="(%1)"/>
      <w:lvlJc w:val="left"/>
      <w:pPr>
        <w:tabs>
          <w:tab w:val="num" w:pos="1440"/>
        </w:tabs>
        <w:ind w:left="1440" w:hanging="720"/>
      </w:pPr>
      <w:rPr>
        <w:rFonts w:hint="default"/>
      </w:rPr>
    </w:lvl>
  </w:abstractNum>
  <w:abstractNum w:abstractNumId="3">
    <w:nsid w:val="4C7568DE"/>
    <w:multiLevelType w:val="singleLevel"/>
    <w:tmpl w:val="95CC4C00"/>
    <w:lvl w:ilvl="0">
      <w:start w:val="2"/>
      <w:numFmt w:val="lowerLetter"/>
      <w:lvlText w:val="(%1)"/>
      <w:lvlJc w:val="left"/>
      <w:pPr>
        <w:tabs>
          <w:tab w:val="num" w:pos="1429"/>
        </w:tabs>
        <w:ind w:left="1429" w:hanging="720"/>
      </w:pPr>
      <w:rPr>
        <w:rFonts w:hint="default"/>
      </w:rPr>
    </w:lvl>
  </w:abstractNum>
  <w:abstractNum w:abstractNumId="4">
    <w:nsid w:val="4ED17128"/>
    <w:multiLevelType w:val="singleLevel"/>
    <w:tmpl w:val="AF42EB8E"/>
    <w:lvl w:ilvl="0">
      <w:start w:val="1"/>
      <w:numFmt w:val="lowerLetter"/>
      <w:lvlText w:val="(%1)"/>
      <w:lvlJc w:val="left"/>
      <w:pPr>
        <w:tabs>
          <w:tab w:val="num" w:pos="1429"/>
        </w:tabs>
        <w:ind w:left="1429" w:hanging="720"/>
      </w:pPr>
      <w:rPr>
        <w:rFonts w:hint="default"/>
      </w:rPr>
    </w:lvl>
  </w:abstractNum>
  <w:abstractNum w:abstractNumId="5">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9CE009D"/>
    <w:multiLevelType w:val="singleLevel"/>
    <w:tmpl w:val="271E281A"/>
    <w:lvl w:ilvl="0">
      <w:start w:val="1"/>
      <w:numFmt w:val="decimal"/>
      <w:lvlText w:val="%1."/>
      <w:lvlJc w:val="left"/>
      <w:pPr>
        <w:tabs>
          <w:tab w:val="num" w:pos="720"/>
        </w:tabs>
        <w:ind w:left="720" w:hanging="720"/>
      </w:pPr>
      <w:rPr>
        <w:rFonts w:hint="default"/>
        <w:b/>
      </w:rPr>
    </w:lvl>
  </w:abstractNum>
  <w:abstractNum w:abstractNumId="7">
    <w:nsid w:val="5AEC65BF"/>
    <w:multiLevelType w:val="hybridMultilevel"/>
    <w:tmpl w:val="5C4ADA9A"/>
    <w:lvl w:ilvl="0" w:tplc="23ACE506">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643A5E7D"/>
    <w:multiLevelType w:val="hybridMultilevel"/>
    <w:tmpl w:val="34889AA0"/>
    <w:lvl w:ilvl="0" w:tplc="3D3EBCB4">
      <w:start w:val="1"/>
      <w:numFmt w:val="lowerRoman"/>
      <w:lvlText w:val="(%1)"/>
      <w:lvlJc w:val="left"/>
      <w:pPr>
        <w:tabs>
          <w:tab w:val="num" w:pos="2160"/>
        </w:tabs>
        <w:ind w:left="2177" w:hanging="737"/>
      </w:pPr>
      <w:rPr>
        <w:rFonts w:hint="default"/>
        <w:sz w:val="24"/>
        <w:szCs w:val="24"/>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9">
    <w:nsid w:val="7D502709"/>
    <w:multiLevelType w:val="singleLevel"/>
    <w:tmpl w:val="DFD8DFF4"/>
    <w:lvl w:ilvl="0">
      <w:start w:val="4"/>
      <w:numFmt w:val="lowerLetter"/>
      <w:lvlText w:val="(%1)"/>
      <w:lvlJc w:val="left"/>
      <w:pPr>
        <w:tabs>
          <w:tab w:val="num" w:pos="1429"/>
        </w:tabs>
        <w:ind w:left="1429" w:hanging="720"/>
      </w:pPr>
      <w:rPr>
        <w:sz w:val="26"/>
      </w:rPr>
    </w:lvl>
  </w:abstractNum>
  <w:num w:numId="1">
    <w:abstractNumId w:val="1"/>
  </w:num>
  <w:num w:numId="2">
    <w:abstractNumId w:val="3"/>
  </w:num>
  <w:num w:numId="3">
    <w:abstractNumId w:val="2"/>
  </w:num>
  <w:num w:numId="4">
    <w:abstractNumId w:val="4"/>
  </w:num>
  <w:num w:numId="5">
    <w:abstractNumId w:val="0"/>
  </w:num>
  <w:num w:numId="6">
    <w:abstractNumId w:val="9"/>
  </w:num>
  <w:num w:numId="7">
    <w:abstractNumId w:val="6"/>
  </w:num>
  <w:num w:numId="8">
    <w:abstractNumId w:val="7"/>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3F"/>
    <w:rsid w:val="0006717F"/>
    <w:rsid w:val="000E4725"/>
    <w:rsid w:val="0016016A"/>
    <w:rsid w:val="00237425"/>
    <w:rsid w:val="003D4C0C"/>
    <w:rsid w:val="005B64D7"/>
    <w:rsid w:val="00703805"/>
    <w:rsid w:val="00762491"/>
    <w:rsid w:val="009E7F3F"/>
    <w:rsid w:val="009F40B8"/>
    <w:rsid w:val="00D47C68"/>
    <w:rsid w:val="00E2309B"/>
    <w:rsid w:val="00EB5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eastAsia="en-US"/>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pPr>
      <w:keepNext/>
      <w:spacing w:after="120" w:line="240" w:lineRule="auto"/>
      <w:ind w:left="0"/>
    </w:pPr>
    <w:rPr>
      <w:rFonts w:ascii="Times New (W1)" w:hAnsi="Times New (W1)"/>
      <w:b/>
      <w:sz w:val="28"/>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eastAsia="en-US"/>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pPr>
      <w:keepNext/>
      <w:spacing w:after="120" w:line="240" w:lineRule="auto"/>
      <w:ind w:left="0"/>
    </w:pPr>
    <w:rPr>
      <w:rFonts w:ascii="Times New (W1)" w:hAnsi="Times New (W1)"/>
      <w:b/>
      <w:sz w:val="28"/>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2015-02-25T02:47:00Z</dcterms:created>
  <dcterms:modified xsi:type="dcterms:W3CDTF">2015-02-26T01:58:00Z</dcterms:modified>
</cp:coreProperties>
</file>