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EED" w:rsidRPr="00A37A75" w:rsidRDefault="00011EED" w:rsidP="00011EED">
      <w:pPr>
        <w:spacing w:before="0"/>
        <w:ind w:right="91"/>
        <w:jc w:val="center"/>
        <w:rPr>
          <w:rFonts w:ascii="Arial" w:hAnsi="Arial" w:cs="Arial"/>
          <w:szCs w:val="24"/>
        </w:rPr>
      </w:pPr>
      <w:r w:rsidRPr="00A37A75">
        <w:rPr>
          <w:rFonts w:ascii="Arial" w:hAnsi="Arial" w:cs="Arial"/>
          <w:b/>
          <w:szCs w:val="24"/>
          <w:u w:val="single"/>
        </w:rPr>
        <w:t>EXPLANATORY STATEMENT</w:t>
      </w:r>
    </w:p>
    <w:p w:rsidR="00011EED" w:rsidRPr="00A37A75" w:rsidRDefault="00011EED" w:rsidP="007C0B22">
      <w:pPr>
        <w:jc w:val="center"/>
        <w:rPr>
          <w:rFonts w:ascii="Arial" w:hAnsi="Arial" w:cs="Arial"/>
          <w:b/>
          <w:u w:val="single"/>
        </w:rPr>
      </w:pPr>
      <w:r w:rsidRPr="00A37A75">
        <w:rPr>
          <w:rFonts w:ascii="Arial" w:hAnsi="Arial" w:cs="Arial"/>
          <w:b/>
          <w:u w:val="single"/>
        </w:rPr>
        <w:t xml:space="preserve">Select Legislative Instrument No. </w:t>
      </w:r>
      <w:r w:rsidR="00A37A75" w:rsidRPr="00A37A75">
        <w:rPr>
          <w:rFonts w:ascii="Arial" w:hAnsi="Arial" w:cs="Arial"/>
          <w:b/>
          <w:u w:val="single"/>
        </w:rPr>
        <w:t>10</w:t>
      </w:r>
      <w:r w:rsidRPr="00A37A75">
        <w:rPr>
          <w:rFonts w:ascii="Arial" w:hAnsi="Arial" w:cs="Arial"/>
          <w:b/>
          <w:u w:val="single"/>
        </w:rPr>
        <w:t>, 201</w:t>
      </w:r>
      <w:r w:rsidR="00EF66AA" w:rsidRPr="00A37A75">
        <w:rPr>
          <w:rFonts w:ascii="Arial" w:hAnsi="Arial" w:cs="Arial"/>
          <w:b/>
          <w:u w:val="single"/>
        </w:rPr>
        <w:t>5</w:t>
      </w:r>
      <w:bookmarkStart w:id="0" w:name="_GoBack"/>
      <w:bookmarkEnd w:id="0"/>
    </w:p>
    <w:p w:rsidR="00011EED" w:rsidRPr="00BF6232" w:rsidRDefault="00011EED" w:rsidP="00011EED">
      <w:pPr>
        <w:jc w:val="center"/>
        <w:rPr>
          <w:u w:val="single"/>
        </w:rPr>
      </w:pPr>
      <w:r w:rsidRPr="00BF6232">
        <w:rPr>
          <w:u w:val="single"/>
        </w:rPr>
        <w:t>Issued by the authority of the Attorney-General</w:t>
      </w:r>
    </w:p>
    <w:p w:rsidR="00011EED" w:rsidRPr="00BF6232" w:rsidRDefault="00011EED" w:rsidP="00011EED">
      <w:pPr>
        <w:spacing w:before="0"/>
        <w:ind w:right="91"/>
        <w:rPr>
          <w:szCs w:val="24"/>
        </w:rPr>
      </w:pPr>
    </w:p>
    <w:p w:rsidR="00011EED" w:rsidRDefault="00011EED" w:rsidP="00011EED">
      <w:pPr>
        <w:spacing w:before="0"/>
        <w:ind w:right="91"/>
        <w:jc w:val="center"/>
        <w:rPr>
          <w:i/>
          <w:szCs w:val="24"/>
        </w:rPr>
      </w:pPr>
      <w:r w:rsidRPr="00BF6232">
        <w:rPr>
          <w:i/>
          <w:szCs w:val="24"/>
        </w:rPr>
        <w:t xml:space="preserve">Privacy </w:t>
      </w:r>
      <w:r w:rsidR="00EF66AA">
        <w:rPr>
          <w:i/>
          <w:szCs w:val="24"/>
        </w:rPr>
        <w:t>Act 1988</w:t>
      </w:r>
    </w:p>
    <w:p w:rsidR="007C0B22" w:rsidRDefault="007C0B22" w:rsidP="00011EED">
      <w:pPr>
        <w:spacing w:before="0"/>
        <w:ind w:right="91"/>
        <w:jc w:val="center"/>
        <w:rPr>
          <w:i/>
          <w:szCs w:val="24"/>
        </w:rPr>
      </w:pPr>
      <w:r w:rsidRPr="007C0B22">
        <w:rPr>
          <w:i/>
          <w:szCs w:val="24"/>
        </w:rPr>
        <w:t>Privacy Amendment (Enhancing Privacy Protection) Act 2012</w:t>
      </w:r>
    </w:p>
    <w:p w:rsidR="00011EED" w:rsidRPr="00BF6232" w:rsidRDefault="00EF66AA" w:rsidP="00011EED">
      <w:pPr>
        <w:spacing w:before="0"/>
        <w:ind w:right="91"/>
        <w:jc w:val="center"/>
        <w:rPr>
          <w:i/>
          <w:szCs w:val="24"/>
        </w:rPr>
      </w:pPr>
      <w:r w:rsidRPr="00CA50F3">
        <w:rPr>
          <w:i/>
          <w:szCs w:val="24"/>
        </w:rPr>
        <w:t xml:space="preserve">Privacy Amendment </w:t>
      </w:r>
      <w:r w:rsidR="009670D2" w:rsidRPr="00CA50F3">
        <w:rPr>
          <w:i/>
          <w:szCs w:val="24"/>
        </w:rPr>
        <w:t>(2015 Measures No. 1)</w:t>
      </w:r>
      <w:r w:rsidR="007C0B22">
        <w:rPr>
          <w:i/>
          <w:szCs w:val="24"/>
        </w:rPr>
        <w:t xml:space="preserve"> </w:t>
      </w:r>
      <w:r w:rsidRPr="00CA50F3">
        <w:rPr>
          <w:i/>
          <w:szCs w:val="24"/>
        </w:rPr>
        <w:t>Regulation 2015</w:t>
      </w:r>
    </w:p>
    <w:p w:rsidR="00011EED" w:rsidRPr="00BF6232" w:rsidRDefault="00011EED" w:rsidP="00011EED">
      <w:pPr>
        <w:spacing w:before="0"/>
        <w:ind w:left="720" w:right="91" w:firstLine="720"/>
        <w:rPr>
          <w:i/>
          <w:szCs w:val="24"/>
        </w:rPr>
      </w:pPr>
    </w:p>
    <w:p w:rsidR="00A06207" w:rsidRDefault="005E5319" w:rsidP="00A06207">
      <w:pPr>
        <w:spacing w:before="0"/>
        <w:ind w:right="91"/>
        <w:rPr>
          <w:szCs w:val="24"/>
        </w:rPr>
      </w:pPr>
      <w:r>
        <w:rPr>
          <w:szCs w:val="24"/>
        </w:rPr>
        <w:t xml:space="preserve">The </w:t>
      </w:r>
      <w:r>
        <w:rPr>
          <w:i/>
          <w:szCs w:val="24"/>
        </w:rPr>
        <w:t>Privacy Act 1988</w:t>
      </w:r>
      <w:r>
        <w:rPr>
          <w:szCs w:val="24"/>
        </w:rPr>
        <w:t xml:space="preserve"> (</w:t>
      </w:r>
      <w:proofErr w:type="spellStart"/>
      <w:r>
        <w:rPr>
          <w:szCs w:val="24"/>
        </w:rPr>
        <w:t>Cth</w:t>
      </w:r>
      <w:proofErr w:type="spellEnd"/>
      <w:r>
        <w:rPr>
          <w:szCs w:val="24"/>
        </w:rPr>
        <w:t xml:space="preserve">) (Privacy Act) establishes, among other things, the Australian Privacy Principles (APPs) which regulate the collection, use, disclosure and storage of personal information by APP entities. </w:t>
      </w:r>
      <w:r w:rsidR="00A06207" w:rsidRPr="00A06207">
        <w:rPr>
          <w:szCs w:val="24"/>
        </w:rPr>
        <w:t>Section 100(1) of the Privacy Act provides that the Governor-General may make Regulations prescribing matters required or permitted by the Act to be prescribed, or necessary or convenient to be prescribed, for carrying out or giving effect to the Act.</w:t>
      </w:r>
    </w:p>
    <w:p w:rsidR="00A06207" w:rsidRPr="00A06207" w:rsidRDefault="00A06207" w:rsidP="00A06207">
      <w:pPr>
        <w:spacing w:before="0"/>
        <w:ind w:right="91"/>
        <w:rPr>
          <w:szCs w:val="24"/>
        </w:rPr>
      </w:pPr>
    </w:p>
    <w:p w:rsidR="005E5319" w:rsidRDefault="00A06207" w:rsidP="00A06207">
      <w:pPr>
        <w:spacing w:before="0"/>
        <w:ind w:right="91"/>
        <w:rPr>
          <w:szCs w:val="24"/>
        </w:rPr>
      </w:pPr>
      <w:r w:rsidRPr="00A06207">
        <w:rPr>
          <w:szCs w:val="24"/>
        </w:rPr>
        <w:t xml:space="preserve">Item 19 of Schedule 6 of </w:t>
      </w:r>
      <w:r w:rsidRPr="007C0B22">
        <w:rPr>
          <w:i/>
          <w:szCs w:val="24"/>
        </w:rPr>
        <w:t>the Privacy Amendment (Enhancing Privacy Protection) Act 2012</w:t>
      </w:r>
      <w:r w:rsidR="007C0B22">
        <w:rPr>
          <w:szCs w:val="24"/>
        </w:rPr>
        <w:t xml:space="preserve"> </w:t>
      </w:r>
      <w:r w:rsidRPr="00A06207">
        <w:rPr>
          <w:szCs w:val="24"/>
        </w:rPr>
        <w:t>provides that the Governor General may make regulations dealing with matters of a transitional, application or saving nature relating to the amendments made by this Act.</w:t>
      </w:r>
    </w:p>
    <w:p w:rsidR="00427268" w:rsidRDefault="00427268" w:rsidP="00413AA0">
      <w:pPr>
        <w:spacing w:before="0"/>
        <w:ind w:right="91"/>
        <w:rPr>
          <w:szCs w:val="24"/>
        </w:rPr>
      </w:pPr>
    </w:p>
    <w:p w:rsidR="00427268" w:rsidRDefault="00FF549C" w:rsidP="00413AA0">
      <w:pPr>
        <w:spacing w:before="0"/>
        <w:ind w:right="91"/>
        <w:rPr>
          <w:i/>
          <w:szCs w:val="24"/>
        </w:rPr>
      </w:pPr>
      <w:r>
        <w:rPr>
          <w:i/>
          <w:szCs w:val="24"/>
        </w:rPr>
        <w:t>External dispute resolution membership obligation for credit reporting</w:t>
      </w:r>
    </w:p>
    <w:p w:rsidR="00FF549C" w:rsidRDefault="00FF549C" w:rsidP="00413AA0">
      <w:pPr>
        <w:spacing w:before="0"/>
        <w:ind w:right="91"/>
        <w:rPr>
          <w:i/>
          <w:szCs w:val="24"/>
        </w:rPr>
      </w:pPr>
    </w:p>
    <w:p w:rsidR="00FF549C" w:rsidRDefault="00FF549C" w:rsidP="00FF549C">
      <w:pPr>
        <w:spacing w:before="0"/>
        <w:ind w:right="91"/>
      </w:pPr>
      <w:r>
        <w:rPr>
          <w:szCs w:val="24"/>
        </w:rPr>
        <w:t xml:space="preserve">Pursuant to </w:t>
      </w:r>
      <w:r w:rsidRPr="00BF6232">
        <w:rPr>
          <w:szCs w:val="24"/>
        </w:rPr>
        <w:t>subparagraph 21D(2)(a)(</w:t>
      </w:r>
      <w:proofErr w:type="spellStart"/>
      <w:r w:rsidRPr="00BF6232">
        <w:rPr>
          <w:szCs w:val="24"/>
        </w:rPr>
        <w:t>i</w:t>
      </w:r>
      <w:proofErr w:type="spellEnd"/>
      <w:r w:rsidRPr="00BF6232">
        <w:rPr>
          <w:szCs w:val="24"/>
        </w:rPr>
        <w:t>) of the</w:t>
      </w:r>
      <w:r>
        <w:rPr>
          <w:szCs w:val="24"/>
        </w:rPr>
        <w:t xml:space="preserve"> Privacy Act</w:t>
      </w:r>
      <w:r w:rsidRPr="00BF6232">
        <w:rPr>
          <w:szCs w:val="24"/>
        </w:rPr>
        <w:t xml:space="preserve">, credit providers </w:t>
      </w:r>
      <w:r w:rsidRPr="00BF6232">
        <w:t xml:space="preserve">are required to be members of an external dispute resolution (EDR) scheme recognised by the Australian Information Commissioner in order to </w:t>
      </w:r>
      <w:r w:rsidRPr="00BF6232">
        <w:rPr>
          <w:szCs w:val="24"/>
        </w:rPr>
        <w:t>disclose credit information about an individual to a credit reporting body</w:t>
      </w:r>
      <w:r w:rsidRPr="00BF6232">
        <w:t xml:space="preserve"> and thereby participate in the credit reporting system.  The purpose of this requirement is to </w:t>
      </w:r>
      <w:r w:rsidR="00475193">
        <w:t xml:space="preserve">ensure that consumers have access to a convenient, speedy and independent avenue of redress for complaints or other issues that might arise between the individual and the organisation on credit reporting matters. </w:t>
      </w:r>
      <w:r w:rsidR="00664A97">
        <w:t xml:space="preserve"> </w:t>
      </w:r>
      <w:r w:rsidRPr="00BF6232">
        <w:t xml:space="preserve">Utilities (water, gas and electricity providers) and commercial credit providers (to the extent that they access the consumer credit reporting system) are considered credit providers under the Privacy Act.  </w:t>
      </w:r>
    </w:p>
    <w:p w:rsidR="00221545" w:rsidRDefault="00221545" w:rsidP="00FF549C">
      <w:pPr>
        <w:spacing w:before="0"/>
        <w:ind w:right="91"/>
      </w:pPr>
    </w:p>
    <w:p w:rsidR="00221545" w:rsidRDefault="00221545" w:rsidP="00FF549C">
      <w:pPr>
        <w:spacing w:before="0"/>
        <w:ind w:right="91"/>
      </w:pPr>
      <w:r>
        <w:t xml:space="preserve">Since the commencement of the privacy reforms on 12 March 2014, </w:t>
      </w:r>
      <w:r w:rsidRPr="00BF6232">
        <w:t xml:space="preserve">any utility or commercial credit provider that is not a member of a recognised EDR scheme </w:t>
      </w:r>
      <w:r w:rsidR="00D74C72">
        <w:t xml:space="preserve">would not be </w:t>
      </w:r>
      <w:r w:rsidRPr="00BF6232">
        <w:t xml:space="preserve">able to participate in the credit reporting system. </w:t>
      </w:r>
      <w:r>
        <w:t xml:space="preserve"> </w:t>
      </w:r>
      <w:r w:rsidRPr="00BF6232">
        <w:t xml:space="preserve">This means that the utility or commercial credit provider </w:t>
      </w:r>
      <w:r w:rsidR="0031239F">
        <w:t>would</w:t>
      </w:r>
      <w:r w:rsidR="0031239F" w:rsidRPr="00BF6232">
        <w:t xml:space="preserve"> </w:t>
      </w:r>
      <w:r w:rsidRPr="00BF6232">
        <w:t xml:space="preserve">not be permitted to provide particular types of personal information (including identification information as well as credit information) about an individual to a credit reporting body, nor </w:t>
      </w:r>
      <w:r w:rsidR="0031239F">
        <w:t>would</w:t>
      </w:r>
      <w:r w:rsidR="0031239F" w:rsidRPr="00BF6232">
        <w:t xml:space="preserve"> </w:t>
      </w:r>
      <w:r w:rsidRPr="00BF6232">
        <w:t>the utility be able to access credit reporting information about any individual</w:t>
      </w:r>
      <w:r w:rsidR="00D74C72">
        <w:t xml:space="preserve">.  However, the </w:t>
      </w:r>
      <w:r w:rsidR="00D74C72">
        <w:rPr>
          <w:i/>
        </w:rPr>
        <w:t>Privacy Amendment (External Dispute Resolution Scheme—Transitional) Regulation 2014</w:t>
      </w:r>
      <w:r w:rsidR="00D74C72">
        <w:t xml:space="preserve"> provided a temporary exemption for </w:t>
      </w:r>
      <w:r w:rsidR="00D74C72" w:rsidRPr="00BF6232">
        <w:rPr>
          <w:szCs w:val="24"/>
        </w:rPr>
        <w:t xml:space="preserve">utilities (providers of water, gas, and electricity services) </w:t>
      </w:r>
      <w:r w:rsidR="00D74C72">
        <w:rPr>
          <w:szCs w:val="24"/>
        </w:rPr>
        <w:t xml:space="preserve">and commercial credit providers </w:t>
      </w:r>
      <w:r w:rsidR="00D74C72" w:rsidRPr="00BF6232">
        <w:rPr>
          <w:szCs w:val="24"/>
        </w:rPr>
        <w:t>in Australia from the requirement to be a member of an EDR scheme in order to disclose information to a credit reporting body.</w:t>
      </w:r>
      <w:r w:rsidR="00D74C72">
        <w:rPr>
          <w:szCs w:val="24"/>
        </w:rPr>
        <w:t xml:space="preserve">  This temporary exemption expired on 11 March 2015. </w:t>
      </w:r>
    </w:p>
    <w:p w:rsidR="00FF549C" w:rsidRPr="00FF549C" w:rsidRDefault="00FF549C" w:rsidP="00413AA0">
      <w:pPr>
        <w:spacing w:before="0"/>
        <w:ind w:right="91"/>
        <w:rPr>
          <w:szCs w:val="24"/>
        </w:rPr>
      </w:pPr>
    </w:p>
    <w:p w:rsidR="00FF549C" w:rsidRDefault="00FF549C" w:rsidP="00413AA0">
      <w:pPr>
        <w:spacing w:before="0"/>
        <w:ind w:right="91"/>
        <w:rPr>
          <w:i/>
          <w:szCs w:val="24"/>
        </w:rPr>
      </w:pPr>
      <w:r>
        <w:rPr>
          <w:i/>
          <w:szCs w:val="24"/>
        </w:rPr>
        <w:t>Exemption for utilities</w:t>
      </w:r>
    </w:p>
    <w:p w:rsidR="00664A97" w:rsidRDefault="00664A97" w:rsidP="00664A97">
      <w:pPr>
        <w:tabs>
          <w:tab w:val="left" w:pos="426"/>
        </w:tabs>
      </w:pPr>
      <w:r>
        <w:t xml:space="preserve">All Australian jurisdictions require utilities in that jurisdiction to participate in existing dispute resolution arrangements, in most cases through an energy and water </w:t>
      </w:r>
      <w:r>
        <w:lastRenderedPageBreak/>
        <w:t xml:space="preserve">ombudsman service.  </w:t>
      </w:r>
      <w:r w:rsidR="00FF4EBA">
        <w:t>Utilities ombudsman schemes in NSW, Victoria and Western Australia have been recognised by the Australian Information Commissioner in line with the process for recognition set out in section 35A of the Privacy Act.  Other</w:t>
      </w:r>
      <w:r>
        <w:t xml:space="preserve"> State and T</w:t>
      </w:r>
      <w:r w:rsidR="00FF4EBA">
        <w:t xml:space="preserve">erritory ombudsman services have identified the need to make certain legislative amendments or other arrangements in order to enable recognition of their EDR schemes, however these arrangements will not be able to take effect prior to the expiration of the current temporary exemption from the EDR membership obligation on 11 March 2015.  This applies to the </w:t>
      </w:r>
      <w:r>
        <w:t>ACT, the Northern Ter</w:t>
      </w:r>
      <w:r w:rsidR="00FF4EBA">
        <w:t>ritory, Queensland</w:t>
      </w:r>
      <w:r w:rsidR="00B002A1">
        <w:t>, South Australia</w:t>
      </w:r>
      <w:r w:rsidR="00FF4EBA">
        <w:t xml:space="preserve"> and Tasmania. </w:t>
      </w:r>
    </w:p>
    <w:p w:rsidR="00664A97" w:rsidRPr="007D5297" w:rsidRDefault="00FF4EBA" w:rsidP="007D5297">
      <w:pPr>
        <w:tabs>
          <w:tab w:val="left" w:pos="426"/>
        </w:tabs>
      </w:pPr>
      <w:r>
        <w:t>The Regulation grants a time-limited extension to 1 January 2016 of the exemption from the EDR membership obligation for utilities in jurisdictions that are making progress toward</w:t>
      </w:r>
      <w:r w:rsidR="00B002A1">
        <w:t>, but do not yet have, a recognised EDR scheme.  This time-limited extension enable</w:t>
      </w:r>
      <w:r w:rsidR="00A06207">
        <w:t>s</w:t>
      </w:r>
      <w:r w:rsidR="00B002A1">
        <w:t xml:space="preserve"> those utilities to continue to access the credit reporting system whilst necessary legislative changes are made. </w:t>
      </w:r>
    </w:p>
    <w:p w:rsidR="00FF549C" w:rsidRDefault="00FF549C" w:rsidP="00413AA0">
      <w:pPr>
        <w:spacing w:before="0"/>
        <w:ind w:right="91"/>
        <w:rPr>
          <w:i/>
          <w:szCs w:val="24"/>
        </w:rPr>
      </w:pPr>
    </w:p>
    <w:p w:rsidR="00FF549C" w:rsidRPr="00FF549C" w:rsidRDefault="00FF549C" w:rsidP="00413AA0">
      <w:pPr>
        <w:spacing w:before="0"/>
        <w:ind w:right="91"/>
        <w:rPr>
          <w:i/>
          <w:szCs w:val="24"/>
        </w:rPr>
      </w:pPr>
      <w:r>
        <w:rPr>
          <w:i/>
          <w:szCs w:val="24"/>
        </w:rPr>
        <w:t>Exemption for commercial credit providers</w:t>
      </w:r>
    </w:p>
    <w:p w:rsidR="007D5297" w:rsidRDefault="007D5297" w:rsidP="007D5297">
      <w:pPr>
        <w:tabs>
          <w:tab w:val="left" w:pos="426"/>
        </w:tabs>
      </w:pPr>
      <w:r w:rsidRPr="006D6A7E">
        <w:t>Prior to the commencement of the reforms to the Privacy Act in March 2014, commercial credit providers were granted a temporary exemption from the EDR membership obligation as it was not clear that any EDR scheme providers were in a position to accept membe</w:t>
      </w:r>
      <w:r w:rsidRPr="000B1B44">
        <w:t>rship from commercial credit providers.  This exemption is provi</w:t>
      </w:r>
      <w:r w:rsidRPr="006D6A7E">
        <w:t xml:space="preserve">ded in sub-regulation 23(2) of the </w:t>
      </w:r>
      <w:r w:rsidRPr="006D6A7E">
        <w:rPr>
          <w:i/>
        </w:rPr>
        <w:t>Privacy Regulation 2013</w:t>
      </w:r>
      <w:r w:rsidRPr="006D6A7E">
        <w:t xml:space="preserve"> and expired on 11</w:t>
      </w:r>
      <w:r w:rsidR="001D6583">
        <w:t> </w:t>
      </w:r>
      <w:r w:rsidRPr="006D6A7E">
        <w:t>March 2015.</w:t>
      </w:r>
      <w:r>
        <w:t xml:space="preserve">  </w:t>
      </w:r>
    </w:p>
    <w:p w:rsidR="006D6A7E" w:rsidRDefault="001D6583" w:rsidP="006D6A7E">
      <w:pPr>
        <w:tabs>
          <w:tab w:val="left" w:pos="426"/>
        </w:tabs>
      </w:pPr>
      <w:r>
        <w:t>T</w:t>
      </w:r>
      <w:r w:rsidR="006D6A7E">
        <w:t xml:space="preserve">argeted consultation </w:t>
      </w:r>
      <w:r>
        <w:t xml:space="preserve">was undertaken </w:t>
      </w:r>
      <w:r w:rsidR="006D6A7E">
        <w:t>with stakeholders, including industry representatives, privacy and consumer advocates and an EDR scheme provider,</w:t>
      </w:r>
      <w:r>
        <w:t xml:space="preserve"> to determine whether the temporary exemption should be allowed to lapse or whether it should be replaced with a permanent exemption.  </w:t>
      </w:r>
      <w:r w:rsidR="00E242D9">
        <w:t xml:space="preserve">Significant issues considered included the </w:t>
      </w:r>
      <w:r w:rsidR="006D6A7E">
        <w:t xml:space="preserve">potential costs to industry, the lack of clear evidence of a consumer </w:t>
      </w:r>
      <w:r>
        <w:t>detriment</w:t>
      </w:r>
      <w:r w:rsidR="006D6A7E">
        <w:t>, and current industry practices</w:t>
      </w:r>
      <w:r w:rsidR="00E242D9">
        <w:t>.</w:t>
      </w:r>
      <w:r w:rsidR="006D6A7E">
        <w:t xml:space="preserve"> </w:t>
      </w:r>
      <w:r w:rsidR="00A80091">
        <w:t xml:space="preserve"> </w:t>
      </w:r>
      <w:r w:rsidR="00370D79">
        <w:t xml:space="preserve">It was noted that the temporary exemption only applied to those credit providers whose sole business is the provision of commercial credit.  Financial institutions which provided both consumer and commercial credit services remained subject to EDR membership obligations and </w:t>
      </w:r>
      <w:r w:rsidR="00BE6A6D">
        <w:t>we</w:t>
      </w:r>
      <w:r w:rsidR="00370D79">
        <w:t xml:space="preserve">re not able to rely upon the exemption.  </w:t>
      </w:r>
      <w:r w:rsidR="00BE6A6D">
        <w:t xml:space="preserve">In practice, all major financial institutions </w:t>
      </w:r>
      <w:r w:rsidR="00E46771">
        <w:t>are subject to EDR membership obligations for credit reporting purposes</w:t>
      </w:r>
      <w:r w:rsidR="00C94FA1">
        <w:t>, which means that the majority of financial institutions providing commercial credit are already members of an appropriate EDR scheme</w:t>
      </w:r>
      <w:r w:rsidR="00E46771">
        <w:t xml:space="preserve">.  Only relatively small credit providers were caught by the temporary exemption.  In relation to these commercial credit providers, an EDR membership obligation would present a significant red tape regulatory burden without a clear benefit to consumers.  It was also noted that credit reporting bodies remain subject to the EDR membership obligation, and that this provides an alternative avenue </w:t>
      </w:r>
      <w:r w:rsidR="00707DB0">
        <w:t xml:space="preserve">for consumers to exercise correction rights and seek redress in relation to </w:t>
      </w:r>
      <w:r w:rsidR="00C94FA1">
        <w:t>any commercial credit information that is recorded on their</w:t>
      </w:r>
      <w:r w:rsidR="00707DB0">
        <w:t xml:space="preserve"> consumer cred</w:t>
      </w:r>
      <w:r w:rsidR="00C94FA1">
        <w:t>it report</w:t>
      </w:r>
      <w:r w:rsidR="00707DB0">
        <w:t>.  I</w:t>
      </w:r>
      <w:r w:rsidR="00E242D9">
        <w:t xml:space="preserve">t was decided that, in the absence of any </w:t>
      </w:r>
      <w:r w:rsidR="00BF243C">
        <w:t xml:space="preserve">clear </w:t>
      </w:r>
      <w:r w:rsidR="00E242D9">
        <w:t xml:space="preserve">evidence of consumer detriment or changes in the </w:t>
      </w:r>
      <w:r w:rsidR="00C94FA1">
        <w:t xml:space="preserve">broader </w:t>
      </w:r>
      <w:r w:rsidR="00E242D9">
        <w:t>regulatory environment, the temporary</w:t>
      </w:r>
      <w:r w:rsidR="006D6A7E">
        <w:t xml:space="preserve"> exemption for commercial credit providers from the EDR obligation should be </w:t>
      </w:r>
      <w:r w:rsidR="00E242D9">
        <w:t>replaced with a permanent exemption</w:t>
      </w:r>
      <w:r w:rsidR="006D6A7E">
        <w:t>.</w:t>
      </w:r>
    </w:p>
    <w:p w:rsidR="00FF549C" w:rsidRPr="00BF6232" w:rsidRDefault="00FF549C" w:rsidP="00CA50F3">
      <w:pPr>
        <w:tabs>
          <w:tab w:val="left" w:pos="6521"/>
        </w:tabs>
        <w:ind w:right="91"/>
        <w:rPr>
          <w:szCs w:val="24"/>
        </w:rPr>
      </w:pPr>
      <w:r w:rsidRPr="00BF6232">
        <w:rPr>
          <w:szCs w:val="24"/>
        </w:rPr>
        <w:t>Details of the Regulation</w:t>
      </w:r>
      <w:r>
        <w:rPr>
          <w:szCs w:val="24"/>
        </w:rPr>
        <w:t>s</w:t>
      </w:r>
      <w:r w:rsidRPr="00BF6232">
        <w:rPr>
          <w:szCs w:val="24"/>
        </w:rPr>
        <w:t xml:space="preserve"> are set out in </w:t>
      </w:r>
      <w:r w:rsidRPr="00BF6232">
        <w:rPr>
          <w:szCs w:val="24"/>
          <w:u w:val="single"/>
        </w:rPr>
        <w:t>Attachment A</w:t>
      </w:r>
      <w:r w:rsidRPr="00BF6232">
        <w:rPr>
          <w:szCs w:val="24"/>
        </w:rPr>
        <w:t>.</w:t>
      </w:r>
    </w:p>
    <w:p w:rsidR="00FF549C" w:rsidRDefault="00FF549C" w:rsidP="00FF549C">
      <w:pPr>
        <w:tabs>
          <w:tab w:val="left" w:pos="6521"/>
        </w:tabs>
        <w:ind w:right="91"/>
      </w:pPr>
      <w:r w:rsidRPr="00BF6232">
        <w:lastRenderedPageBreak/>
        <w:t xml:space="preserve">A Statement of Compatibility with Human Rights is set out in </w:t>
      </w:r>
      <w:r w:rsidRPr="00BF6232">
        <w:rPr>
          <w:u w:val="single"/>
        </w:rPr>
        <w:t>Attachment B</w:t>
      </w:r>
      <w:r w:rsidRPr="00BF6232">
        <w:t xml:space="preserve"> prepared in accordance with Part 3 of the </w:t>
      </w:r>
      <w:r w:rsidRPr="00BF6232">
        <w:rPr>
          <w:i/>
        </w:rPr>
        <w:t>Human Rights (Parliamentary Scrutiny Act) 2011</w:t>
      </w:r>
      <w:r w:rsidRPr="00BF6232">
        <w:t xml:space="preserve">. </w:t>
      </w:r>
    </w:p>
    <w:p w:rsidR="00FF549C" w:rsidRPr="000949AB" w:rsidRDefault="00FF549C" w:rsidP="00FF549C">
      <w:pPr>
        <w:tabs>
          <w:tab w:val="left" w:pos="6521"/>
        </w:tabs>
        <w:ind w:right="91"/>
        <w:rPr>
          <w:szCs w:val="24"/>
        </w:rPr>
      </w:pPr>
      <w:r>
        <w:rPr>
          <w:szCs w:val="24"/>
        </w:rPr>
        <w:t xml:space="preserve">Consistent with the requirements of the </w:t>
      </w:r>
      <w:r>
        <w:rPr>
          <w:i/>
          <w:szCs w:val="24"/>
        </w:rPr>
        <w:t xml:space="preserve">Legislative Instruments Act 2003 </w:t>
      </w:r>
      <w:r>
        <w:rPr>
          <w:szCs w:val="24"/>
        </w:rPr>
        <w:t>the</w:t>
      </w:r>
      <w:r w:rsidRPr="000949AB">
        <w:rPr>
          <w:szCs w:val="24"/>
        </w:rPr>
        <w:t xml:space="preserve"> </w:t>
      </w:r>
      <w:r>
        <w:rPr>
          <w:szCs w:val="24"/>
        </w:rPr>
        <w:t xml:space="preserve">following were consulted in making the </w:t>
      </w:r>
      <w:r w:rsidRPr="000949AB">
        <w:rPr>
          <w:szCs w:val="24"/>
        </w:rPr>
        <w:t>Regulation</w:t>
      </w:r>
      <w:r>
        <w:rPr>
          <w:szCs w:val="24"/>
        </w:rPr>
        <w:t xml:space="preserve">s: </w:t>
      </w:r>
      <w:r w:rsidRPr="000949AB">
        <w:rPr>
          <w:szCs w:val="24"/>
        </w:rPr>
        <w:t>commercial cred</w:t>
      </w:r>
      <w:r w:rsidR="00A80091">
        <w:rPr>
          <w:szCs w:val="24"/>
        </w:rPr>
        <w:t xml:space="preserve">it providers and their representatives including peak bodies such as </w:t>
      </w:r>
      <w:r w:rsidRPr="000949AB">
        <w:rPr>
          <w:szCs w:val="24"/>
        </w:rPr>
        <w:t>the Australian Retail Credit Association and the Australian Finance Conference</w:t>
      </w:r>
      <w:r w:rsidR="00A80091">
        <w:rPr>
          <w:szCs w:val="24"/>
        </w:rPr>
        <w:t>; EDR scheme providers; and privacy and consumer credit advocates</w:t>
      </w:r>
      <w:r w:rsidRPr="000949AB">
        <w:rPr>
          <w:szCs w:val="24"/>
        </w:rPr>
        <w:t xml:space="preserve">. </w:t>
      </w:r>
      <w:r>
        <w:rPr>
          <w:szCs w:val="24"/>
        </w:rPr>
        <w:t>C</w:t>
      </w:r>
      <w:r w:rsidRPr="000949AB">
        <w:rPr>
          <w:szCs w:val="24"/>
        </w:rPr>
        <w:t>onsultation was also undertaken with certain State and Territory energy and water ombudsmen,</w:t>
      </w:r>
      <w:r>
        <w:rPr>
          <w:szCs w:val="24"/>
        </w:rPr>
        <w:t xml:space="preserve"> relevant State and Territory departments responsible for energy and water and relevant State and Territory departments of the Attorney-General</w:t>
      </w:r>
      <w:r w:rsidR="001D6583">
        <w:rPr>
          <w:szCs w:val="24"/>
        </w:rPr>
        <w:t>, as well as</w:t>
      </w:r>
      <w:r>
        <w:rPr>
          <w:szCs w:val="24"/>
        </w:rPr>
        <w:t xml:space="preserve"> </w:t>
      </w:r>
      <w:r w:rsidRPr="000949AB">
        <w:rPr>
          <w:szCs w:val="24"/>
        </w:rPr>
        <w:t xml:space="preserve">the Office of the Australian Information Commissioner. </w:t>
      </w:r>
    </w:p>
    <w:p w:rsidR="00FF549C" w:rsidRPr="000949AB" w:rsidRDefault="00FF549C" w:rsidP="00FF549C">
      <w:pPr>
        <w:tabs>
          <w:tab w:val="left" w:pos="6521"/>
        </w:tabs>
        <w:ind w:right="91"/>
        <w:rPr>
          <w:szCs w:val="24"/>
        </w:rPr>
      </w:pPr>
      <w:r w:rsidRPr="000949AB">
        <w:rPr>
          <w:szCs w:val="24"/>
        </w:rPr>
        <w:t>The Office of Best Practice Regulation was consulted on this Regulation and advised that no Regulation Impact Statement was required.</w:t>
      </w:r>
    </w:p>
    <w:p w:rsidR="00FF549C" w:rsidRPr="00BF6232" w:rsidRDefault="00FF549C" w:rsidP="00FF549C">
      <w:pPr>
        <w:tabs>
          <w:tab w:val="left" w:pos="6521"/>
        </w:tabs>
        <w:spacing w:before="0"/>
        <w:ind w:right="91"/>
        <w:rPr>
          <w:szCs w:val="24"/>
        </w:rPr>
      </w:pPr>
    </w:p>
    <w:p w:rsidR="00FF549C" w:rsidRPr="00BF6232" w:rsidRDefault="00FF549C" w:rsidP="00FF549C">
      <w:pPr>
        <w:tabs>
          <w:tab w:val="left" w:pos="6521"/>
        </w:tabs>
        <w:spacing w:before="0"/>
        <w:ind w:right="91"/>
        <w:rPr>
          <w:szCs w:val="24"/>
        </w:rPr>
      </w:pPr>
      <w:r w:rsidRPr="00BF6232">
        <w:rPr>
          <w:szCs w:val="24"/>
        </w:rPr>
        <w:t>The Regulation</w:t>
      </w:r>
      <w:r>
        <w:rPr>
          <w:szCs w:val="24"/>
        </w:rPr>
        <w:t xml:space="preserve"> </w:t>
      </w:r>
      <w:r w:rsidR="00A06207">
        <w:rPr>
          <w:szCs w:val="24"/>
        </w:rPr>
        <w:t>is</w:t>
      </w:r>
      <w:r w:rsidRPr="00BF6232">
        <w:rPr>
          <w:szCs w:val="24"/>
        </w:rPr>
        <w:t xml:space="preserve"> a legislative instrument for the purposes of the </w:t>
      </w:r>
      <w:r w:rsidRPr="00BF6232">
        <w:rPr>
          <w:i/>
          <w:szCs w:val="24"/>
        </w:rPr>
        <w:t>Legislative Instruments Act 2003</w:t>
      </w:r>
      <w:r w:rsidRPr="00BF6232">
        <w:rPr>
          <w:szCs w:val="24"/>
        </w:rPr>
        <w:t>.</w:t>
      </w:r>
    </w:p>
    <w:p w:rsidR="00FF549C" w:rsidRDefault="00FF549C" w:rsidP="00CA50F3">
      <w:pPr>
        <w:tabs>
          <w:tab w:val="left" w:pos="6521"/>
        </w:tabs>
        <w:ind w:right="91"/>
        <w:rPr>
          <w:szCs w:val="24"/>
        </w:rPr>
      </w:pPr>
      <w:r w:rsidRPr="00BF6232">
        <w:rPr>
          <w:szCs w:val="24"/>
        </w:rPr>
        <w:t>The Regulation commence</w:t>
      </w:r>
      <w:r>
        <w:rPr>
          <w:szCs w:val="24"/>
        </w:rPr>
        <w:t xml:space="preserve">d on the day after </w:t>
      </w:r>
      <w:r w:rsidR="00A06207">
        <w:rPr>
          <w:szCs w:val="24"/>
        </w:rPr>
        <w:t>it was</w:t>
      </w:r>
      <w:r>
        <w:rPr>
          <w:szCs w:val="24"/>
        </w:rPr>
        <w:t xml:space="preserve"> registered.  </w:t>
      </w:r>
    </w:p>
    <w:p w:rsidR="00413AA0" w:rsidRDefault="006A5076" w:rsidP="00CA50F3">
      <w:pPr>
        <w:ind w:right="91"/>
        <w:rPr>
          <w:szCs w:val="24"/>
        </w:rPr>
      </w:pPr>
      <w:r>
        <w:rPr>
          <w:szCs w:val="24"/>
        </w:rPr>
        <w:t>---</w:t>
      </w:r>
    </w:p>
    <w:p w:rsidR="00011EED" w:rsidRPr="00BF6232" w:rsidRDefault="00011EED" w:rsidP="00011EED">
      <w:pPr>
        <w:tabs>
          <w:tab w:val="left" w:pos="6521"/>
        </w:tabs>
        <w:spacing w:before="0"/>
        <w:ind w:right="91"/>
        <w:rPr>
          <w:szCs w:val="24"/>
        </w:rPr>
      </w:pPr>
    </w:p>
    <w:p w:rsidR="00011EED" w:rsidRPr="00BF6232" w:rsidRDefault="00011EED" w:rsidP="00CA50F3">
      <w:pPr>
        <w:tabs>
          <w:tab w:val="left" w:pos="3969"/>
          <w:tab w:val="left" w:pos="5245"/>
        </w:tabs>
        <w:spacing w:before="0"/>
        <w:ind w:right="91"/>
        <w:jc w:val="right"/>
        <w:rPr>
          <w:szCs w:val="24"/>
          <w:u w:val="single"/>
        </w:rPr>
      </w:pPr>
      <w:r w:rsidRPr="00BF6232">
        <w:rPr>
          <w:szCs w:val="24"/>
        </w:rPr>
        <w:br w:type="page"/>
      </w:r>
      <w:r w:rsidRPr="00BF6232">
        <w:rPr>
          <w:b/>
          <w:szCs w:val="24"/>
          <w:u w:val="single"/>
        </w:rPr>
        <w:t>ATTACHMENT A</w:t>
      </w:r>
    </w:p>
    <w:p w:rsidR="00011EED" w:rsidRPr="00BF6232" w:rsidRDefault="00011EED" w:rsidP="00011EED">
      <w:pPr>
        <w:spacing w:before="0"/>
        <w:ind w:right="91"/>
        <w:jc w:val="right"/>
        <w:rPr>
          <w:szCs w:val="24"/>
        </w:rPr>
      </w:pPr>
    </w:p>
    <w:p w:rsidR="00011EED" w:rsidRPr="00BF6232" w:rsidRDefault="00011EED" w:rsidP="00011EED">
      <w:pPr>
        <w:spacing w:before="0"/>
        <w:ind w:right="91"/>
        <w:rPr>
          <w:szCs w:val="24"/>
          <w:u w:val="single"/>
        </w:rPr>
      </w:pPr>
      <w:r w:rsidRPr="00BF6232">
        <w:rPr>
          <w:b/>
          <w:i/>
          <w:szCs w:val="24"/>
          <w:u w:val="single"/>
        </w:rPr>
        <w:t>Privacy Amendment (</w:t>
      </w:r>
      <w:r w:rsidR="003447D5">
        <w:rPr>
          <w:b/>
          <w:i/>
          <w:szCs w:val="24"/>
          <w:u w:val="single"/>
        </w:rPr>
        <w:t>2015 Measures No. 1</w:t>
      </w:r>
      <w:r w:rsidRPr="00BF6232">
        <w:rPr>
          <w:b/>
          <w:i/>
          <w:szCs w:val="24"/>
          <w:u w:val="single"/>
        </w:rPr>
        <w:t>) Regulation 201</w:t>
      </w:r>
      <w:r w:rsidR="00A06D85">
        <w:rPr>
          <w:b/>
          <w:i/>
          <w:szCs w:val="24"/>
          <w:u w:val="single"/>
        </w:rPr>
        <w:t>5</w:t>
      </w:r>
    </w:p>
    <w:p w:rsidR="00011EED" w:rsidRPr="00BF6232" w:rsidRDefault="00011EED" w:rsidP="00011EED">
      <w:pPr>
        <w:spacing w:before="0"/>
        <w:ind w:right="91"/>
        <w:rPr>
          <w:szCs w:val="24"/>
          <w:u w:val="single"/>
        </w:rPr>
      </w:pPr>
    </w:p>
    <w:p w:rsidR="00011EED" w:rsidRPr="00BF6232" w:rsidRDefault="00011EED" w:rsidP="00011EED">
      <w:pPr>
        <w:spacing w:before="0"/>
        <w:ind w:right="91"/>
        <w:rPr>
          <w:b/>
          <w:szCs w:val="24"/>
        </w:rPr>
      </w:pPr>
      <w:r w:rsidRPr="00BF6232">
        <w:rPr>
          <w:b/>
          <w:szCs w:val="24"/>
        </w:rPr>
        <w:t>Preliminary</w:t>
      </w:r>
    </w:p>
    <w:p w:rsidR="00011EED" w:rsidRPr="00BF6232" w:rsidRDefault="00011EED" w:rsidP="00011EED">
      <w:pPr>
        <w:spacing w:before="0"/>
        <w:ind w:right="91"/>
        <w:rPr>
          <w:szCs w:val="24"/>
          <w:u w:val="single"/>
        </w:rPr>
      </w:pPr>
    </w:p>
    <w:p w:rsidR="00011EED" w:rsidRPr="000B1B44" w:rsidRDefault="00011EED" w:rsidP="00011EED">
      <w:pPr>
        <w:spacing w:before="0"/>
        <w:ind w:right="91"/>
        <w:rPr>
          <w:szCs w:val="24"/>
          <w:u w:val="single"/>
        </w:rPr>
      </w:pPr>
      <w:r w:rsidRPr="000B1B44">
        <w:rPr>
          <w:szCs w:val="24"/>
          <w:u w:val="single"/>
        </w:rPr>
        <w:t xml:space="preserve">Section </w:t>
      </w:r>
      <w:r w:rsidRPr="00CA50F3">
        <w:rPr>
          <w:szCs w:val="24"/>
          <w:u w:val="single"/>
        </w:rPr>
        <w:t>1</w:t>
      </w:r>
      <w:r w:rsidRPr="000B1B44">
        <w:rPr>
          <w:szCs w:val="24"/>
          <w:u w:val="single"/>
        </w:rPr>
        <w:t xml:space="preserve"> – Name of Regulation</w:t>
      </w:r>
    </w:p>
    <w:p w:rsidR="00011EED" w:rsidRPr="000B1B44" w:rsidRDefault="00011EED" w:rsidP="00011EED">
      <w:pPr>
        <w:spacing w:before="0"/>
        <w:ind w:right="91"/>
        <w:rPr>
          <w:szCs w:val="24"/>
        </w:rPr>
      </w:pPr>
    </w:p>
    <w:p w:rsidR="00011EED" w:rsidRPr="000B1B44" w:rsidRDefault="00011EED" w:rsidP="00011EED">
      <w:pPr>
        <w:spacing w:before="0"/>
        <w:ind w:right="91"/>
        <w:rPr>
          <w:szCs w:val="24"/>
        </w:rPr>
      </w:pPr>
      <w:r w:rsidRPr="000B1B44">
        <w:rPr>
          <w:szCs w:val="24"/>
        </w:rPr>
        <w:t xml:space="preserve">This section provides that the title of the Regulation is the </w:t>
      </w:r>
      <w:r w:rsidRPr="000B1B44">
        <w:rPr>
          <w:i/>
          <w:szCs w:val="24"/>
        </w:rPr>
        <w:t>Privacy Amendment (</w:t>
      </w:r>
      <w:r w:rsidR="003447D5" w:rsidRPr="000B1B44">
        <w:rPr>
          <w:i/>
          <w:szCs w:val="24"/>
        </w:rPr>
        <w:t>2015 Measures No. 1</w:t>
      </w:r>
      <w:r w:rsidRPr="000B1B44">
        <w:rPr>
          <w:i/>
          <w:szCs w:val="24"/>
        </w:rPr>
        <w:t>) Regulation 201</w:t>
      </w:r>
      <w:r w:rsidR="00A06D85" w:rsidRPr="000B1B44">
        <w:rPr>
          <w:i/>
          <w:szCs w:val="24"/>
        </w:rPr>
        <w:t>5</w:t>
      </w:r>
      <w:r w:rsidRPr="000B1B44">
        <w:rPr>
          <w:i/>
          <w:szCs w:val="24"/>
        </w:rPr>
        <w:t>.</w:t>
      </w:r>
    </w:p>
    <w:p w:rsidR="00011EED" w:rsidRPr="000B1B44" w:rsidRDefault="00011EED" w:rsidP="00011EED">
      <w:pPr>
        <w:spacing w:before="0"/>
        <w:ind w:right="91"/>
        <w:rPr>
          <w:szCs w:val="24"/>
          <w:u w:val="single"/>
        </w:rPr>
      </w:pPr>
    </w:p>
    <w:p w:rsidR="00011EED" w:rsidRPr="000B1B44" w:rsidRDefault="00011EED" w:rsidP="00011EED">
      <w:pPr>
        <w:spacing w:before="0"/>
        <w:ind w:right="91"/>
        <w:rPr>
          <w:szCs w:val="24"/>
          <w:u w:val="single"/>
        </w:rPr>
      </w:pPr>
      <w:r w:rsidRPr="000B1B44">
        <w:rPr>
          <w:szCs w:val="24"/>
          <w:u w:val="single"/>
        </w:rPr>
        <w:t xml:space="preserve">Section 2 </w:t>
      </w:r>
      <w:r w:rsidRPr="00CA50F3">
        <w:rPr>
          <w:szCs w:val="24"/>
          <w:u w:val="single"/>
        </w:rPr>
        <w:t>–</w:t>
      </w:r>
      <w:r w:rsidRPr="000B1B44">
        <w:rPr>
          <w:szCs w:val="24"/>
          <w:u w:val="single"/>
        </w:rPr>
        <w:t xml:space="preserve"> Commencement</w:t>
      </w:r>
    </w:p>
    <w:p w:rsidR="00011EED" w:rsidRPr="000B1B44" w:rsidRDefault="00011EED" w:rsidP="00011EED">
      <w:pPr>
        <w:spacing w:before="0"/>
        <w:ind w:right="91"/>
        <w:rPr>
          <w:szCs w:val="24"/>
        </w:rPr>
      </w:pPr>
    </w:p>
    <w:p w:rsidR="00011EED" w:rsidRPr="000B1B44" w:rsidRDefault="00011EED" w:rsidP="00011EED">
      <w:pPr>
        <w:spacing w:before="0"/>
        <w:ind w:right="91"/>
        <w:rPr>
          <w:szCs w:val="24"/>
        </w:rPr>
      </w:pPr>
      <w:r w:rsidRPr="000B1B44">
        <w:rPr>
          <w:szCs w:val="24"/>
        </w:rPr>
        <w:t xml:space="preserve">This section provides that the Regulation commences on </w:t>
      </w:r>
      <w:r w:rsidR="00A06D85" w:rsidRPr="000B1B44">
        <w:rPr>
          <w:szCs w:val="24"/>
        </w:rPr>
        <w:t xml:space="preserve">the day after </w:t>
      </w:r>
      <w:r w:rsidR="00A06207">
        <w:rPr>
          <w:szCs w:val="24"/>
        </w:rPr>
        <w:t>it is</w:t>
      </w:r>
      <w:r w:rsidR="00A06D85" w:rsidRPr="000B1B44">
        <w:rPr>
          <w:szCs w:val="24"/>
        </w:rPr>
        <w:t xml:space="preserve"> registered. </w:t>
      </w:r>
    </w:p>
    <w:p w:rsidR="00011EED" w:rsidRPr="000B1B44" w:rsidRDefault="00011EED" w:rsidP="00011EED">
      <w:pPr>
        <w:spacing w:before="0"/>
        <w:ind w:right="91"/>
        <w:rPr>
          <w:szCs w:val="24"/>
        </w:rPr>
      </w:pPr>
    </w:p>
    <w:p w:rsidR="00011EED" w:rsidRPr="000B1B44" w:rsidRDefault="00011EED" w:rsidP="00011EED">
      <w:pPr>
        <w:spacing w:before="0"/>
        <w:ind w:right="91"/>
        <w:rPr>
          <w:szCs w:val="24"/>
          <w:u w:val="single"/>
        </w:rPr>
      </w:pPr>
      <w:r w:rsidRPr="000B1B44">
        <w:rPr>
          <w:szCs w:val="24"/>
          <w:u w:val="single"/>
        </w:rPr>
        <w:t>Section 3 – Authority</w:t>
      </w:r>
    </w:p>
    <w:p w:rsidR="00011EED" w:rsidRPr="000B1B44" w:rsidRDefault="00011EED" w:rsidP="00011EED">
      <w:pPr>
        <w:spacing w:before="0"/>
        <w:ind w:right="91"/>
        <w:rPr>
          <w:szCs w:val="24"/>
        </w:rPr>
      </w:pPr>
    </w:p>
    <w:p w:rsidR="00011EED" w:rsidRPr="000B1B44" w:rsidRDefault="006D6A7E" w:rsidP="00011EED">
      <w:pPr>
        <w:spacing w:before="0"/>
        <w:ind w:right="91"/>
        <w:rPr>
          <w:szCs w:val="24"/>
          <w:u w:val="single"/>
        </w:rPr>
      </w:pPr>
      <w:r w:rsidRPr="000B1B44">
        <w:rPr>
          <w:szCs w:val="24"/>
        </w:rPr>
        <w:t>This section provide</w:t>
      </w:r>
      <w:r w:rsidR="001034DD">
        <w:rPr>
          <w:szCs w:val="24"/>
        </w:rPr>
        <w:t>s</w:t>
      </w:r>
      <w:r w:rsidRPr="000B1B44">
        <w:rPr>
          <w:szCs w:val="24"/>
        </w:rPr>
        <w:t xml:space="preserve"> that the Regulation is made under the </w:t>
      </w:r>
      <w:r w:rsidRPr="00CA50F3">
        <w:rPr>
          <w:i/>
          <w:szCs w:val="24"/>
        </w:rPr>
        <w:t>Privacy Act 1988</w:t>
      </w:r>
      <w:r w:rsidR="000E2589">
        <w:rPr>
          <w:szCs w:val="24"/>
        </w:rPr>
        <w:t xml:space="preserve"> and the </w:t>
      </w:r>
      <w:r w:rsidR="000E2589">
        <w:rPr>
          <w:i/>
          <w:szCs w:val="24"/>
        </w:rPr>
        <w:t>Privacy Amendment (Enhancing Privacy Protection) Act 2012</w:t>
      </w:r>
      <w:r w:rsidR="000E2589">
        <w:rPr>
          <w:szCs w:val="24"/>
        </w:rPr>
        <w:t>.</w:t>
      </w:r>
    </w:p>
    <w:p w:rsidR="00011EED" w:rsidRPr="000B1B44" w:rsidRDefault="00A80091" w:rsidP="00CA50F3">
      <w:pPr>
        <w:ind w:right="91"/>
        <w:rPr>
          <w:szCs w:val="24"/>
        </w:rPr>
      </w:pPr>
      <w:r>
        <w:rPr>
          <w:szCs w:val="24"/>
          <w:u w:val="single"/>
        </w:rPr>
        <w:t>Section 4 – Schedules</w:t>
      </w:r>
    </w:p>
    <w:p w:rsidR="00011EED" w:rsidRPr="000B1B44" w:rsidRDefault="00011EED" w:rsidP="00011EED">
      <w:pPr>
        <w:spacing w:before="0"/>
        <w:ind w:right="91"/>
        <w:rPr>
          <w:szCs w:val="24"/>
        </w:rPr>
      </w:pPr>
    </w:p>
    <w:p w:rsidR="00011EED" w:rsidRPr="000B1B44" w:rsidRDefault="00011EED" w:rsidP="00011EED">
      <w:pPr>
        <w:spacing w:before="0"/>
        <w:ind w:right="91"/>
        <w:rPr>
          <w:szCs w:val="24"/>
        </w:rPr>
      </w:pPr>
      <w:r w:rsidRPr="000B1B44">
        <w:rPr>
          <w:szCs w:val="24"/>
        </w:rPr>
        <w:t xml:space="preserve">This section provides that amendments or repeals have effect according to the </w:t>
      </w:r>
      <w:r w:rsidR="00A80091">
        <w:rPr>
          <w:szCs w:val="24"/>
        </w:rPr>
        <w:t>terms set out in the Schedule</w:t>
      </w:r>
      <w:r w:rsidRPr="000B1B44">
        <w:rPr>
          <w:szCs w:val="24"/>
        </w:rPr>
        <w:t xml:space="preserve">. </w:t>
      </w:r>
    </w:p>
    <w:p w:rsidR="006D6A7E" w:rsidRPr="000B1B44" w:rsidRDefault="006D6A7E" w:rsidP="00011EED">
      <w:pPr>
        <w:spacing w:before="0"/>
        <w:ind w:right="91"/>
        <w:rPr>
          <w:szCs w:val="24"/>
        </w:rPr>
      </w:pPr>
    </w:p>
    <w:p w:rsidR="006D6A7E" w:rsidRPr="000B1B44" w:rsidRDefault="006D6A7E" w:rsidP="006D6A7E">
      <w:pPr>
        <w:spacing w:before="0"/>
        <w:ind w:right="91"/>
        <w:rPr>
          <w:szCs w:val="24"/>
          <w:u w:val="single"/>
        </w:rPr>
      </w:pPr>
      <w:r w:rsidRPr="000B1B44">
        <w:rPr>
          <w:szCs w:val="24"/>
          <w:u w:val="single"/>
        </w:rPr>
        <w:t>Section 13A</w:t>
      </w:r>
    </w:p>
    <w:p w:rsidR="006D6A7E" w:rsidRPr="000B1B44" w:rsidRDefault="006D6A7E" w:rsidP="006D6A7E">
      <w:pPr>
        <w:spacing w:before="0"/>
        <w:ind w:right="91"/>
        <w:rPr>
          <w:szCs w:val="24"/>
          <w:u w:val="single"/>
        </w:rPr>
      </w:pPr>
    </w:p>
    <w:p w:rsidR="006D6A7E" w:rsidRPr="000B1B44" w:rsidRDefault="006D6A7E" w:rsidP="00011EED">
      <w:pPr>
        <w:spacing w:before="0"/>
        <w:ind w:right="91"/>
        <w:rPr>
          <w:szCs w:val="24"/>
        </w:rPr>
      </w:pPr>
      <w:r w:rsidRPr="000B1B44">
        <w:rPr>
          <w:szCs w:val="24"/>
        </w:rPr>
        <w:t>This section provides that sub-paragraph 21D(2)(a)(</w:t>
      </w:r>
      <w:proofErr w:type="spellStart"/>
      <w:r w:rsidRPr="000B1B44">
        <w:rPr>
          <w:szCs w:val="24"/>
        </w:rPr>
        <w:t>i</w:t>
      </w:r>
      <w:proofErr w:type="spellEnd"/>
      <w:r w:rsidRPr="000B1B44">
        <w:rPr>
          <w:szCs w:val="24"/>
        </w:rPr>
        <w:t>) of the Privacy Act does not apply in relation to a disclosure of credit information by a commercial credit provider if the disclosure is made in connection with the provision of commercial credit.</w:t>
      </w:r>
      <w:r w:rsidR="009867F2" w:rsidRPr="009867F2">
        <w:t xml:space="preserve"> </w:t>
      </w:r>
      <w:r w:rsidR="009867F2" w:rsidRPr="009867F2">
        <w:rPr>
          <w:szCs w:val="24"/>
        </w:rPr>
        <w:t xml:space="preserve">This section </w:t>
      </w:r>
      <w:r w:rsidR="009867F2">
        <w:rPr>
          <w:szCs w:val="24"/>
        </w:rPr>
        <w:t>replaces</w:t>
      </w:r>
      <w:r w:rsidR="009867F2" w:rsidRPr="009867F2">
        <w:rPr>
          <w:szCs w:val="24"/>
        </w:rPr>
        <w:t xml:space="preserve"> the temporary exemption from the EDR membership obligation </w:t>
      </w:r>
      <w:r w:rsidR="00784FA6">
        <w:rPr>
          <w:szCs w:val="24"/>
        </w:rPr>
        <w:t xml:space="preserve">previously </w:t>
      </w:r>
      <w:r w:rsidR="009867F2" w:rsidRPr="009867F2">
        <w:rPr>
          <w:szCs w:val="24"/>
        </w:rPr>
        <w:t xml:space="preserve">provided to commercial credit providers in sub-section 23(2) of the regulations </w:t>
      </w:r>
      <w:r w:rsidR="009867F2">
        <w:rPr>
          <w:szCs w:val="24"/>
        </w:rPr>
        <w:t>and makes the exemption ongoing.</w:t>
      </w:r>
    </w:p>
    <w:p w:rsidR="00E7048C" w:rsidRDefault="00E7048C" w:rsidP="006672F5">
      <w:pPr>
        <w:spacing w:before="0"/>
        <w:ind w:right="91"/>
      </w:pPr>
    </w:p>
    <w:p w:rsidR="00BF1FF8" w:rsidRPr="000B1B44" w:rsidRDefault="00BF1FF8" w:rsidP="00666345">
      <w:pPr>
        <w:spacing w:before="0"/>
        <w:ind w:right="91"/>
      </w:pPr>
      <w:r w:rsidRPr="000B1B44">
        <w:rPr>
          <w:u w:val="single"/>
        </w:rPr>
        <w:t xml:space="preserve">Section </w:t>
      </w:r>
      <w:r w:rsidRPr="00CA50F3">
        <w:rPr>
          <w:u w:val="single"/>
        </w:rPr>
        <w:t>23</w:t>
      </w:r>
      <w:r w:rsidR="00ED2F61" w:rsidRPr="000B1B44">
        <w:rPr>
          <w:u w:val="single"/>
        </w:rPr>
        <w:t xml:space="preserve"> – Membership of recognised external dispute resolution</w:t>
      </w:r>
    </w:p>
    <w:p w:rsidR="00ED2F61" w:rsidRPr="000B1B44" w:rsidRDefault="00ED2F61" w:rsidP="00BF1FF8">
      <w:pPr>
        <w:spacing w:before="0"/>
        <w:ind w:right="91"/>
      </w:pPr>
    </w:p>
    <w:p w:rsidR="00662A59" w:rsidRDefault="00ED2F61" w:rsidP="00011EED">
      <w:pPr>
        <w:spacing w:before="0"/>
        <w:ind w:right="91"/>
      </w:pPr>
      <w:r w:rsidRPr="000B1B44">
        <w:t>Sub-section 23(1) provides that sub-paragraph 21D(2)(a)(</w:t>
      </w:r>
      <w:proofErr w:type="spellStart"/>
      <w:r w:rsidRPr="000B1B44">
        <w:t>i</w:t>
      </w:r>
      <w:proofErr w:type="spellEnd"/>
      <w:r w:rsidRPr="000B1B44">
        <w:t>) of the Privacy Act does not apply in relation</w:t>
      </w:r>
      <w:r>
        <w:t xml:space="preserve"> to a disclosure of credit information by a credit provider that is an energy or water utility operating in the ACT, the Northern Territory, Queensland, South Australia or Tasmania.  This sub-section is time-limited to end on 1 January 2016</w:t>
      </w:r>
      <w:r w:rsidR="00A06207">
        <w:t xml:space="preserve"> by subsection 23(2</w:t>
      </w:r>
      <w:r w:rsidR="006672F5">
        <w:t>)</w:t>
      </w:r>
      <w:r>
        <w:t>.</w:t>
      </w:r>
    </w:p>
    <w:p w:rsidR="00011EED" w:rsidRPr="00BF6232" w:rsidRDefault="00011EED" w:rsidP="00011EED">
      <w:pPr>
        <w:spacing w:before="0" w:after="200" w:line="276" w:lineRule="auto"/>
      </w:pPr>
      <w:r w:rsidRPr="00BF6232">
        <w:br w:type="page"/>
      </w:r>
    </w:p>
    <w:p w:rsidR="00011EED" w:rsidRPr="00BF6232" w:rsidRDefault="00011EED" w:rsidP="00011EED">
      <w:pPr>
        <w:spacing w:before="360" w:after="120"/>
        <w:jc w:val="right"/>
        <w:rPr>
          <w:b/>
        </w:rPr>
      </w:pPr>
      <w:r w:rsidRPr="00BF6232">
        <w:rPr>
          <w:b/>
          <w:szCs w:val="24"/>
          <w:u w:val="single"/>
        </w:rPr>
        <w:t>ATTACHMENT B</w:t>
      </w:r>
    </w:p>
    <w:p w:rsidR="00011EED" w:rsidRPr="00BF6232" w:rsidRDefault="00011EED" w:rsidP="00011EED">
      <w:pPr>
        <w:spacing w:before="360" w:after="120"/>
        <w:jc w:val="center"/>
        <w:rPr>
          <w:b/>
        </w:rPr>
      </w:pPr>
      <w:r w:rsidRPr="00BF6232">
        <w:rPr>
          <w:b/>
        </w:rPr>
        <w:t>Statement of Compatibility with Human Rights</w:t>
      </w:r>
    </w:p>
    <w:p w:rsidR="00011EED" w:rsidRPr="00BF6232" w:rsidRDefault="00011EED" w:rsidP="00011EED">
      <w:pPr>
        <w:spacing w:before="120" w:after="120"/>
        <w:jc w:val="center"/>
        <w:rPr>
          <w:i/>
        </w:rPr>
      </w:pPr>
      <w:r w:rsidRPr="00BF6232">
        <w:t>Prepared in accordance with Part 3 of the</w:t>
      </w:r>
      <w:r w:rsidRPr="00BF6232">
        <w:rPr>
          <w:i/>
        </w:rPr>
        <w:t xml:space="preserve"> Human Rights (Parliamentary Scrutiny) Act 2011</w:t>
      </w:r>
    </w:p>
    <w:p w:rsidR="00011EED" w:rsidRPr="00BF6232" w:rsidRDefault="00011EED" w:rsidP="00011EED">
      <w:pPr>
        <w:spacing w:before="120" w:after="120"/>
        <w:jc w:val="center"/>
      </w:pPr>
      <w:r w:rsidRPr="00BF6232">
        <w:rPr>
          <w:b/>
        </w:rPr>
        <w:t>Privacy Regulation 2013</w:t>
      </w:r>
    </w:p>
    <w:p w:rsidR="00011EED" w:rsidRPr="00BF6232" w:rsidRDefault="00011EED" w:rsidP="00011EED">
      <w:pPr>
        <w:spacing w:before="120" w:after="120"/>
      </w:pPr>
      <w:r w:rsidRPr="00BF6232">
        <w:t xml:space="preserve">This Legislative Instrument is compatible with the human rights and freedoms recognised or declared in the international instruments listed in section 3 of the </w:t>
      </w:r>
      <w:r w:rsidRPr="00BF6232">
        <w:rPr>
          <w:i/>
        </w:rPr>
        <w:t>Human Rights (Parliamentary Scrutiny) Act 2011</w:t>
      </w:r>
      <w:r w:rsidRPr="00BF6232">
        <w:t xml:space="preserve">. </w:t>
      </w:r>
    </w:p>
    <w:p w:rsidR="00011EED" w:rsidRPr="00BF6232" w:rsidRDefault="00011EED" w:rsidP="00011EED">
      <w:pPr>
        <w:spacing w:before="120" w:after="120"/>
        <w:jc w:val="both"/>
        <w:rPr>
          <w:b/>
        </w:rPr>
      </w:pPr>
      <w:r w:rsidRPr="00BF6232">
        <w:rPr>
          <w:b/>
        </w:rPr>
        <w:t>Overview of the Legislative Instrument</w:t>
      </w:r>
    </w:p>
    <w:p w:rsidR="00011EED" w:rsidRPr="00BF6232" w:rsidRDefault="00011EED" w:rsidP="00011EED">
      <w:pPr>
        <w:spacing w:before="0"/>
        <w:ind w:right="91"/>
        <w:rPr>
          <w:szCs w:val="24"/>
        </w:rPr>
      </w:pPr>
      <w:r w:rsidRPr="00BF6232">
        <w:rPr>
          <w:szCs w:val="24"/>
        </w:rPr>
        <w:t xml:space="preserve">The </w:t>
      </w:r>
      <w:r w:rsidRPr="00BF6232">
        <w:rPr>
          <w:i/>
          <w:szCs w:val="24"/>
        </w:rPr>
        <w:t>Privacy Amendment (</w:t>
      </w:r>
      <w:r w:rsidR="006672F5">
        <w:rPr>
          <w:i/>
          <w:szCs w:val="24"/>
        </w:rPr>
        <w:t>2015 Measures No.1</w:t>
      </w:r>
      <w:r w:rsidRPr="00BF6232">
        <w:rPr>
          <w:i/>
          <w:szCs w:val="24"/>
        </w:rPr>
        <w:t xml:space="preserve">) Regulation </w:t>
      </w:r>
      <w:r w:rsidR="00E019CF">
        <w:rPr>
          <w:i/>
          <w:szCs w:val="24"/>
        </w:rPr>
        <w:t>2015</w:t>
      </w:r>
      <w:r w:rsidRPr="00BF6232">
        <w:rPr>
          <w:i/>
          <w:szCs w:val="24"/>
        </w:rPr>
        <w:t xml:space="preserve"> </w:t>
      </w:r>
      <w:r w:rsidR="00E41711">
        <w:rPr>
          <w:szCs w:val="24"/>
        </w:rPr>
        <w:t xml:space="preserve">(the Regulation) </w:t>
      </w:r>
      <w:r w:rsidR="00E019CF">
        <w:rPr>
          <w:szCs w:val="24"/>
        </w:rPr>
        <w:t xml:space="preserve">amends Part </w:t>
      </w:r>
      <w:r w:rsidR="00E019CF" w:rsidRPr="00E019CF">
        <w:rPr>
          <w:szCs w:val="24"/>
        </w:rPr>
        <w:t>5</w:t>
      </w:r>
      <w:r w:rsidR="00E019CF">
        <w:rPr>
          <w:szCs w:val="24"/>
        </w:rPr>
        <w:t xml:space="preserve"> of the </w:t>
      </w:r>
      <w:r w:rsidR="00E019CF" w:rsidRPr="00BF6232">
        <w:rPr>
          <w:i/>
          <w:szCs w:val="24"/>
        </w:rPr>
        <w:t>Privacy Regulation 2013</w:t>
      </w:r>
      <w:r w:rsidR="00E019CF">
        <w:rPr>
          <w:szCs w:val="24"/>
        </w:rPr>
        <w:t xml:space="preserve"> by extending the transitional regulation </w:t>
      </w:r>
      <w:r w:rsidR="00E019CF" w:rsidRPr="00CA50F3">
        <w:rPr>
          <w:szCs w:val="24"/>
        </w:rPr>
        <w:t>23</w:t>
      </w:r>
      <w:r w:rsidR="00E019CF" w:rsidRPr="000B1B44">
        <w:rPr>
          <w:szCs w:val="24"/>
        </w:rPr>
        <w:t xml:space="preserve"> titled</w:t>
      </w:r>
      <w:r w:rsidR="00E019CF">
        <w:rPr>
          <w:szCs w:val="24"/>
        </w:rPr>
        <w:t>, ‘</w:t>
      </w:r>
      <w:r w:rsidR="00E019CF" w:rsidRPr="00BF6232">
        <w:rPr>
          <w:szCs w:val="24"/>
        </w:rPr>
        <w:t>Membership of r</w:t>
      </w:r>
      <w:r w:rsidR="00E019CF" w:rsidRPr="00BF6232">
        <w:t>ecognised external dispute resolution schemes</w:t>
      </w:r>
      <w:r w:rsidR="00E019CF">
        <w:t>’ to 1 January 2016 for energy and water utilities operating in the ACT, the Northern Territory, Queensland, South Australia or Tasmania</w:t>
      </w:r>
      <w:r w:rsidR="000A1D60">
        <w:t xml:space="preserve">. </w:t>
      </w:r>
      <w:r w:rsidRPr="00BF6232">
        <w:rPr>
          <w:szCs w:val="24"/>
        </w:rPr>
        <w:t xml:space="preserve">The effect of the Regulation is to </w:t>
      </w:r>
      <w:r w:rsidR="00B23E79">
        <w:rPr>
          <w:szCs w:val="24"/>
        </w:rPr>
        <w:t xml:space="preserve">extend the transitional exemption for </w:t>
      </w:r>
      <w:r w:rsidRPr="00BF6232">
        <w:rPr>
          <w:szCs w:val="24"/>
        </w:rPr>
        <w:t>utilities (providers of water, gas, and electricity services) in Australia from the requirement to be a member of an external dispute resolution (EDR) scheme in order to disclose information to a credit reporting body</w:t>
      </w:r>
      <w:r w:rsidR="000A1D60">
        <w:rPr>
          <w:szCs w:val="24"/>
        </w:rPr>
        <w:t xml:space="preserve">. </w:t>
      </w:r>
      <w:r w:rsidR="00E41711">
        <w:rPr>
          <w:szCs w:val="24"/>
        </w:rPr>
        <w:t>The Regulation</w:t>
      </w:r>
      <w:r w:rsidR="00784FA6">
        <w:rPr>
          <w:szCs w:val="24"/>
        </w:rPr>
        <w:t xml:space="preserve"> also</w:t>
      </w:r>
      <w:r w:rsidR="000A1D60">
        <w:rPr>
          <w:szCs w:val="24"/>
        </w:rPr>
        <w:t xml:space="preserve"> </w:t>
      </w:r>
      <w:r w:rsidR="00E41711">
        <w:rPr>
          <w:szCs w:val="24"/>
        </w:rPr>
        <w:t xml:space="preserve">amends Part 1 of the </w:t>
      </w:r>
      <w:r w:rsidR="00E41711">
        <w:rPr>
          <w:i/>
          <w:szCs w:val="24"/>
        </w:rPr>
        <w:t xml:space="preserve">Privacy Regulation </w:t>
      </w:r>
      <w:r w:rsidR="00E41711" w:rsidRPr="00E41711">
        <w:rPr>
          <w:i/>
          <w:szCs w:val="24"/>
        </w:rPr>
        <w:t>2013</w:t>
      </w:r>
      <w:r w:rsidR="00E41711">
        <w:rPr>
          <w:szCs w:val="24"/>
        </w:rPr>
        <w:t xml:space="preserve"> by </w:t>
      </w:r>
      <w:r w:rsidR="000A1D60" w:rsidRPr="00E41711">
        <w:rPr>
          <w:szCs w:val="24"/>
        </w:rPr>
        <w:t>cr</w:t>
      </w:r>
      <w:r w:rsidR="00E41711">
        <w:rPr>
          <w:szCs w:val="24"/>
        </w:rPr>
        <w:t>eating</w:t>
      </w:r>
      <w:r w:rsidR="000A1D60">
        <w:rPr>
          <w:szCs w:val="24"/>
        </w:rPr>
        <w:t xml:space="preserve"> regulation 13</w:t>
      </w:r>
      <w:r w:rsidR="00BA065E">
        <w:rPr>
          <w:szCs w:val="24"/>
        </w:rPr>
        <w:t>A</w:t>
      </w:r>
      <w:r w:rsidR="000A1D60">
        <w:rPr>
          <w:szCs w:val="24"/>
        </w:rPr>
        <w:t xml:space="preserve"> which provides</w:t>
      </w:r>
      <w:r w:rsidR="000A1D60" w:rsidRPr="000A1D60">
        <w:rPr>
          <w:szCs w:val="24"/>
        </w:rPr>
        <w:t xml:space="preserve"> that sub-paragraph 21D(2)(a)(</w:t>
      </w:r>
      <w:proofErr w:type="spellStart"/>
      <w:r w:rsidR="000A1D60" w:rsidRPr="000A1D60">
        <w:rPr>
          <w:szCs w:val="24"/>
        </w:rPr>
        <w:t>i</w:t>
      </w:r>
      <w:proofErr w:type="spellEnd"/>
      <w:r w:rsidR="000A1D60" w:rsidRPr="000A1D60">
        <w:rPr>
          <w:szCs w:val="24"/>
        </w:rPr>
        <w:t xml:space="preserve">) of the </w:t>
      </w:r>
      <w:r w:rsidR="000A1D60" w:rsidRPr="00E41711">
        <w:rPr>
          <w:i/>
          <w:szCs w:val="24"/>
        </w:rPr>
        <w:t>Privacy Act</w:t>
      </w:r>
      <w:r w:rsidR="00E41711">
        <w:rPr>
          <w:i/>
          <w:szCs w:val="24"/>
        </w:rPr>
        <w:t xml:space="preserve"> 1988</w:t>
      </w:r>
      <w:r w:rsidR="000A1D60" w:rsidRPr="000A1D60">
        <w:rPr>
          <w:szCs w:val="24"/>
        </w:rPr>
        <w:t xml:space="preserve"> does not apply in relation to a disclosure of credit information by a commercial credit provider if the disclosure is made in connection with the provision of commercial credit</w:t>
      </w:r>
      <w:r w:rsidR="000A1D60">
        <w:rPr>
          <w:szCs w:val="24"/>
        </w:rPr>
        <w:t xml:space="preserve"> </w:t>
      </w:r>
      <w:r w:rsidRPr="00BF6232">
        <w:rPr>
          <w:szCs w:val="24"/>
        </w:rPr>
        <w:t>.</w:t>
      </w:r>
      <w:r w:rsidR="00BA065E">
        <w:rPr>
          <w:szCs w:val="24"/>
        </w:rPr>
        <w:t xml:space="preserve">The effect of this is to </w:t>
      </w:r>
      <w:r w:rsidR="00BA065E" w:rsidRPr="00BA065E">
        <w:rPr>
          <w:szCs w:val="24"/>
        </w:rPr>
        <w:t>make</w:t>
      </w:r>
      <w:r w:rsidR="00BA065E">
        <w:rPr>
          <w:szCs w:val="24"/>
        </w:rPr>
        <w:t xml:space="preserve"> ongoing</w:t>
      </w:r>
      <w:r w:rsidR="00BA065E" w:rsidRPr="00BA065E">
        <w:rPr>
          <w:szCs w:val="24"/>
        </w:rPr>
        <w:t xml:space="preserve"> </w:t>
      </w:r>
      <w:r w:rsidR="00BA065E">
        <w:rPr>
          <w:szCs w:val="24"/>
        </w:rPr>
        <w:t xml:space="preserve">the </w:t>
      </w:r>
      <w:r w:rsidR="00BA065E" w:rsidRPr="00BA065E">
        <w:rPr>
          <w:szCs w:val="24"/>
        </w:rPr>
        <w:t xml:space="preserve">exemption </w:t>
      </w:r>
      <w:r w:rsidR="00BA065E">
        <w:rPr>
          <w:szCs w:val="24"/>
        </w:rPr>
        <w:t xml:space="preserve">for </w:t>
      </w:r>
      <w:r w:rsidR="00BA065E" w:rsidRPr="00BA065E">
        <w:rPr>
          <w:szCs w:val="24"/>
        </w:rPr>
        <w:t xml:space="preserve">commercial credit providers </w:t>
      </w:r>
      <w:r w:rsidR="00BA065E" w:rsidRPr="00BA065E">
        <w:t xml:space="preserve">from the requirement to be a member of an </w:t>
      </w:r>
      <w:r w:rsidR="00BA065E">
        <w:t>EDR</w:t>
      </w:r>
      <w:r w:rsidR="00BA065E" w:rsidRPr="00BA065E">
        <w:t xml:space="preserve"> scheme in order to disclose information to a credit reporting body.</w:t>
      </w:r>
      <w:r w:rsidR="00784FA6">
        <w:t xml:space="preserve"> Section 13A replaces </w:t>
      </w:r>
      <w:r w:rsidR="00784FA6" w:rsidRPr="00784FA6">
        <w:t>the temporary exemption from the EDR membership obligation</w:t>
      </w:r>
      <w:r w:rsidR="00784FA6">
        <w:t xml:space="preserve"> previously</w:t>
      </w:r>
      <w:r w:rsidR="00784FA6" w:rsidRPr="00784FA6">
        <w:t xml:space="preserve"> provided to commercial credit providers in sub-section 23(2) of the </w:t>
      </w:r>
      <w:r w:rsidR="00E41711">
        <w:t>Privacy Regulation</w:t>
      </w:r>
      <w:r w:rsidR="00784FA6" w:rsidRPr="00784FA6">
        <w:t xml:space="preserve"> and makes the exemption ongoing</w:t>
      </w:r>
      <w:r w:rsidR="00784FA6">
        <w:t>.</w:t>
      </w:r>
    </w:p>
    <w:p w:rsidR="00011EED" w:rsidRPr="00BF6232" w:rsidRDefault="00011EED" w:rsidP="00011EED">
      <w:pPr>
        <w:spacing w:before="120" w:after="120"/>
        <w:rPr>
          <w:b/>
        </w:rPr>
      </w:pPr>
      <w:r w:rsidRPr="00BF6232">
        <w:rPr>
          <w:b/>
        </w:rPr>
        <w:t>Human rights implications</w:t>
      </w:r>
    </w:p>
    <w:p w:rsidR="00FA21A4" w:rsidRDefault="00011EED" w:rsidP="00011EED">
      <w:pPr>
        <w:keepLines/>
        <w:spacing w:before="0"/>
        <w:ind w:right="91"/>
      </w:pPr>
      <w:r w:rsidRPr="00BF6232">
        <w:t>This Legislative Instrument engages the right to the protection against arbitrary interference with privacy, protected in Article 17 of the International Covenant on Civil and Political Rights (ICCPR).  The right to privacy in Article 17 of the ICCPR prohibits unlawful or arbitrary interferences with a person’s privacy, fam</w:t>
      </w:r>
      <w:r w:rsidR="00FA21A4">
        <w:t xml:space="preserve">ily, home and correspondence.  </w:t>
      </w:r>
      <w:r w:rsidRPr="00BF6232">
        <w:t xml:space="preserve">In order for an interference with a right not to be ‘arbitrary’, the interference must be for a reason consistent with the relevant Convention and reasonable in the particular circumstances.  </w:t>
      </w:r>
    </w:p>
    <w:p w:rsidR="000054AA" w:rsidRDefault="00011EED" w:rsidP="00416AF3">
      <w:pPr>
        <w:spacing w:before="0"/>
        <w:ind w:right="91"/>
        <w:rPr>
          <w:szCs w:val="24"/>
        </w:rPr>
      </w:pPr>
      <w:r w:rsidRPr="00BF6232">
        <w:t xml:space="preserve">The Regulation engages with the use and disclosure of credit information, which may include consumer credit and commercial credit information.  </w:t>
      </w:r>
      <w:r w:rsidR="00416AF3">
        <w:t>By providing that</w:t>
      </w:r>
      <w:r w:rsidRPr="00BF6232">
        <w:t xml:space="preserve"> the exemption</w:t>
      </w:r>
      <w:r w:rsidRPr="00BF6232">
        <w:rPr>
          <w:szCs w:val="24"/>
        </w:rPr>
        <w:t xml:space="preserve"> </w:t>
      </w:r>
      <w:r w:rsidR="00416AF3">
        <w:rPr>
          <w:szCs w:val="24"/>
        </w:rPr>
        <w:t>for utilities (</w:t>
      </w:r>
      <w:r w:rsidR="00416AF3" w:rsidRPr="00BF6232">
        <w:rPr>
          <w:szCs w:val="24"/>
        </w:rPr>
        <w:t xml:space="preserve">providers of water, gas, and electricity services) </w:t>
      </w:r>
      <w:r w:rsidRPr="00BF6232">
        <w:rPr>
          <w:szCs w:val="24"/>
        </w:rPr>
        <w:t xml:space="preserve">from the EDR </w:t>
      </w:r>
      <w:r w:rsidR="00416AF3">
        <w:rPr>
          <w:szCs w:val="24"/>
        </w:rPr>
        <w:t>membership obligation</w:t>
      </w:r>
      <w:r w:rsidRPr="00BF6232">
        <w:rPr>
          <w:szCs w:val="24"/>
        </w:rPr>
        <w:t xml:space="preserve"> is</w:t>
      </w:r>
      <w:r w:rsidR="00FA21A4">
        <w:rPr>
          <w:szCs w:val="24"/>
        </w:rPr>
        <w:t xml:space="preserve"> time</w:t>
      </w:r>
      <w:r w:rsidRPr="00BF6232">
        <w:t xml:space="preserve"> limited </w:t>
      </w:r>
      <w:r w:rsidR="00416AF3">
        <w:t>to 1 </w:t>
      </w:r>
      <w:r w:rsidR="00FA21A4">
        <w:t>January 2016</w:t>
      </w:r>
      <w:r w:rsidR="00416AF3">
        <w:t>,</w:t>
      </w:r>
      <w:r w:rsidR="00FA21A4">
        <w:t xml:space="preserve"> and </w:t>
      </w:r>
      <w:r w:rsidR="00416AF3">
        <w:t xml:space="preserve">by limiting the application of the exemption </w:t>
      </w:r>
      <w:r w:rsidRPr="00BF6232">
        <w:t xml:space="preserve">to </w:t>
      </w:r>
      <w:r w:rsidR="00416AF3" w:rsidRPr="00BF6232">
        <w:t xml:space="preserve">only </w:t>
      </w:r>
      <w:r w:rsidRPr="00BF6232">
        <w:t xml:space="preserve">those </w:t>
      </w:r>
      <w:r w:rsidR="00416AF3">
        <w:rPr>
          <w:szCs w:val="24"/>
        </w:rPr>
        <w:t xml:space="preserve">utilities </w:t>
      </w:r>
      <w:r w:rsidR="00FA21A4">
        <w:rPr>
          <w:szCs w:val="24"/>
        </w:rPr>
        <w:t xml:space="preserve">operating in </w:t>
      </w:r>
      <w:r w:rsidR="00FA21A4">
        <w:t>the ACT, the Northern Territory, Queensland, South Australia or Tasmania</w:t>
      </w:r>
      <w:r w:rsidR="00416AF3">
        <w:t>,</w:t>
      </w:r>
      <w:r w:rsidR="00FA21A4">
        <w:t xml:space="preserve"> </w:t>
      </w:r>
      <w:r w:rsidRPr="00BF6232">
        <w:t>the Regulation ensures that consumers are not disadvantaged simply because of th</w:t>
      </w:r>
      <w:r w:rsidR="00FA21A4">
        <w:t>eir jurisdiction of residence.</w:t>
      </w:r>
      <w:r w:rsidR="00E41711">
        <w:t xml:space="preserve"> </w:t>
      </w:r>
      <w:r w:rsidRPr="00BF6232">
        <w:rPr>
          <w:szCs w:val="24"/>
        </w:rPr>
        <w:t>The measures are time limited, reasonable, necessary and proportionate as they ensure that a discrete subset of personal data is used for the purpose of providing ess</w:t>
      </w:r>
      <w:r w:rsidR="000054AA">
        <w:rPr>
          <w:szCs w:val="24"/>
        </w:rPr>
        <w:t>ential services to Australians.</w:t>
      </w:r>
    </w:p>
    <w:p w:rsidR="00011EED" w:rsidRPr="00BF6232" w:rsidRDefault="000054AA" w:rsidP="00011EED">
      <w:pPr>
        <w:keepLines/>
        <w:spacing w:before="0"/>
        <w:ind w:right="91"/>
      </w:pPr>
      <w:r>
        <w:rPr>
          <w:szCs w:val="24"/>
        </w:rPr>
        <w:t xml:space="preserve">In making the </w:t>
      </w:r>
      <w:r w:rsidRPr="007C281E">
        <w:t>temporary exemption for commercial credit providers from the EDR obligation</w:t>
      </w:r>
      <w:r>
        <w:t xml:space="preserve"> ongoing the Regulation</w:t>
      </w:r>
      <w:r w:rsidRPr="007C281E">
        <w:t xml:space="preserve"> </w:t>
      </w:r>
      <w:r w:rsidR="000B1B44">
        <w:t>takes</w:t>
      </w:r>
      <w:r w:rsidR="000B1B44" w:rsidRPr="009427B0">
        <w:t xml:space="preserve"> into account </w:t>
      </w:r>
      <w:r w:rsidRPr="000054AA">
        <w:t xml:space="preserve">the potential costs to commercial credit providers </w:t>
      </w:r>
      <w:r>
        <w:t xml:space="preserve">of </w:t>
      </w:r>
      <w:r w:rsidR="00416AF3">
        <w:t>compliance with the</w:t>
      </w:r>
      <w:r>
        <w:t xml:space="preserve"> EDR obligation as well as the </w:t>
      </w:r>
      <w:r w:rsidR="007C281E" w:rsidRPr="007C281E">
        <w:t>absence of any evidence of consumer detriment</w:t>
      </w:r>
      <w:r>
        <w:t xml:space="preserve"> and thereby</w:t>
      </w:r>
      <w:r w:rsidR="00BA065E" w:rsidRPr="00CA50F3">
        <w:t xml:space="preserve"> ensures that </w:t>
      </w:r>
      <w:r w:rsidR="00BA065E" w:rsidRPr="00CA50F3">
        <w:rPr>
          <w:szCs w:val="24"/>
        </w:rPr>
        <w:t>legitimate commercial activity that facilitates consumer lending and transactions can take place in appropriate circumstances</w:t>
      </w:r>
      <w:r w:rsidR="00BA065E" w:rsidRPr="000B1B44">
        <w:rPr>
          <w:szCs w:val="24"/>
        </w:rPr>
        <w:t>.</w:t>
      </w:r>
      <w:r w:rsidR="00BA065E" w:rsidRPr="00BF6232">
        <w:rPr>
          <w:szCs w:val="24"/>
        </w:rPr>
        <w:t xml:space="preserve"> </w:t>
      </w:r>
      <w:r w:rsidR="00BA065E" w:rsidRPr="00BF6232">
        <w:t xml:space="preserve"> </w:t>
      </w:r>
      <w:r w:rsidR="00011EED" w:rsidRPr="00BF6232">
        <w:rPr>
          <w:szCs w:val="24"/>
        </w:rPr>
        <w:t xml:space="preserve">These are legitimate objectives consistent with the </w:t>
      </w:r>
      <w:r w:rsidR="00FA21A4">
        <w:rPr>
          <w:szCs w:val="24"/>
        </w:rPr>
        <w:t>Privacy</w:t>
      </w:r>
      <w:r w:rsidR="00011EED" w:rsidRPr="00BF6232">
        <w:rPr>
          <w:szCs w:val="24"/>
        </w:rPr>
        <w:t xml:space="preserve"> Act.</w:t>
      </w:r>
    </w:p>
    <w:p w:rsidR="00011EED" w:rsidRPr="00BF6232" w:rsidRDefault="00011EED" w:rsidP="00011EED">
      <w:pPr>
        <w:spacing w:before="120" w:after="120"/>
        <w:rPr>
          <w:b/>
        </w:rPr>
      </w:pPr>
      <w:r w:rsidRPr="00BF6232">
        <w:rPr>
          <w:b/>
        </w:rPr>
        <w:t>Conclusion</w:t>
      </w:r>
    </w:p>
    <w:p w:rsidR="00902845" w:rsidRDefault="00011EED" w:rsidP="00723E33">
      <w:pPr>
        <w:spacing w:before="120" w:after="120"/>
      </w:pPr>
      <w:r w:rsidRPr="00BF6232">
        <w:t>This Legislative Instrument engages with the right to privacy, through the use and disclosure of personal data, and does so in a reasonable and proportionate way.</w:t>
      </w:r>
      <w:r>
        <w:t xml:space="preserve"> </w:t>
      </w:r>
    </w:p>
    <w:sectPr w:rsidR="00902845" w:rsidSect="009670D2">
      <w:headerReference w:type="even" r:id="rId7"/>
      <w:headerReference w:type="default" r:id="rId8"/>
      <w:footerReference w:type="first" r:id="rId9"/>
      <w:pgSz w:w="11907" w:h="16840" w:code="9"/>
      <w:pgMar w:top="1134" w:right="1797" w:bottom="1134" w:left="1797" w:header="720" w:footer="794"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B22" w:rsidRDefault="007C0B22">
      <w:pPr>
        <w:spacing w:before="0"/>
      </w:pPr>
      <w:r>
        <w:separator/>
      </w:r>
    </w:p>
  </w:endnote>
  <w:endnote w:type="continuationSeparator" w:id="0">
    <w:p w:rsidR="007C0B22" w:rsidRDefault="007C0B2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B22" w:rsidRDefault="007C0B2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B22" w:rsidRDefault="007C0B22">
      <w:pPr>
        <w:spacing w:before="0"/>
      </w:pPr>
      <w:r>
        <w:separator/>
      </w:r>
    </w:p>
  </w:footnote>
  <w:footnote w:type="continuationSeparator" w:id="0">
    <w:p w:rsidR="007C0B22" w:rsidRDefault="007C0B22">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B22" w:rsidRDefault="007C0B22" w:rsidP="009670D2">
    <w:pPr>
      <w:pStyle w:val="Header"/>
      <w:jc w:val="center"/>
    </w:pPr>
    <w:r>
      <w:t>2</w:t>
    </w:r>
  </w:p>
  <w:p w:rsidR="007C0B22" w:rsidRDefault="007C0B22" w:rsidP="009670D2">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0620826"/>
      <w:docPartObj>
        <w:docPartGallery w:val="Page Numbers (Top of Page)"/>
        <w:docPartUnique/>
      </w:docPartObj>
    </w:sdtPr>
    <w:sdtEndPr>
      <w:rPr>
        <w:noProof/>
      </w:rPr>
    </w:sdtEndPr>
    <w:sdtContent>
      <w:p w:rsidR="007C0B22" w:rsidRDefault="007C0B22">
        <w:pPr>
          <w:pStyle w:val="Header"/>
          <w:jc w:val="center"/>
        </w:pPr>
        <w:r>
          <w:fldChar w:fldCharType="begin"/>
        </w:r>
        <w:r>
          <w:instrText xml:space="preserve"> PAGE   \* MERGEFORMAT </w:instrText>
        </w:r>
        <w:r>
          <w:fldChar w:fldCharType="separate"/>
        </w:r>
        <w:r w:rsidR="00A37A75">
          <w:rPr>
            <w:noProof/>
          </w:rPr>
          <w:t>2</w:t>
        </w:r>
        <w:r>
          <w:rPr>
            <w:noProof/>
          </w:rPr>
          <w:fldChar w:fldCharType="end"/>
        </w:r>
      </w:p>
    </w:sdtContent>
  </w:sdt>
  <w:p w:rsidR="007C0B22" w:rsidRDefault="007C0B22" w:rsidP="009670D2">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EED"/>
    <w:rsid w:val="000054AA"/>
    <w:rsid w:val="00011EED"/>
    <w:rsid w:val="00070728"/>
    <w:rsid w:val="000949AB"/>
    <w:rsid w:val="000A1D60"/>
    <w:rsid w:val="000A318D"/>
    <w:rsid w:val="000B1B44"/>
    <w:rsid w:val="000C3BA4"/>
    <w:rsid w:val="000E2589"/>
    <w:rsid w:val="001034DD"/>
    <w:rsid w:val="001B1684"/>
    <w:rsid w:val="001D6583"/>
    <w:rsid w:val="001F2761"/>
    <w:rsid w:val="00221545"/>
    <w:rsid w:val="0031239F"/>
    <w:rsid w:val="00330679"/>
    <w:rsid w:val="003447D5"/>
    <w:rsid w:val="0036344B"/>
    <w:rsid w:val="00370D79"/>
    <w:rsid w:val="003A311F"/>
    <w:rsid w:val="00413AA0"/>
    <w:rsid w:val="00416AF3"/>
    <w:rsid w:val="00427268"/>
    <w:rsid w:val="00475193"/>
    <w:rsid w:val="004E119E"/>
    <w:rsid w:val="00521348"/>
    <w:rsid w:val="0057462B"/>
    <w:rsid w:val="005E5319"/>
    <w:rsid w:val="00662A59"/>
    <w:rsid w:val="00663F47"/>
    <w:rsid w:val="00664A97"/>
    <w:rsid w:val="00666345"/>
    <w:rsid w:val="006672F5"/>
    <w:rsid w:val="006A5076"/>
    <w:rsid w:val="006D6A7E"/>
    <w:rsid w:val="00707DB0"/>
    <w:rsid w:val="00723E33"/>
    <w:rsid w:val="00784FA6"/>
    <w:rsid w:val="007C0B22"/>
    <w:rsid w:val="007C281E"/>
    <w:rsid w:val="007D5297"/>
    <w:rsid w:val="00815B55"/>
    <w:rsid w:val="00902845"/>
    <w:rsid w:val="009670D2"/>
    <w:rsid w:val="009867F2"/>
    <w:rsid w:val="009C1D7C"/>
    <w:rsid w:val="00A06207"/>
    <w:rsid w:val="00A06D85"/>
    <w:rsid w:val="00A37A75"/>
    <w:rsid w:val="00A80091"/>
    <w:rsid w:val="00AF2DBF"/>
    <w:rsid w:val="00B002A1"/>
    <w:rsid w:val="00B23E79"/>
    <w:rsid w:val="00B840C0"/>
    <w:rsid w:val="00BA065E"/>
    <w:rsid w:val="00BA6E6E"/>
    <w:rsid w:val="00BC739F"/>
    <w:rsid w:val="00BE6A6D"/>
    <w:rsid w:val="00BF1FF8"/>
    <w:rsid w:val="00BF243C"/>
    <w:rsid w:val="00C94FA1"/>
    <w:rsid w:val="00CA50F3"/>
    <w:rsid w:val="00D11799"/>
    <w:rsid w:val="00D45BC2"/>
    <w:rsid w:val="00D51C95"/>
    <w:rsid w:val="00D74C72"/>
    <w:rsid w:val="00D77C09"/>
    <w:rsid w:val="00DF69BA"/>
    <w:rsid w:val="00E019CF"/>
    <w:rsid w:val="00E158D4"/>
    <w:rsid w:val="00E242D9"/>
    <w:rsid w:val="00E41711"/>
    <w:rsid w:val="00E46771"/>
    <w:rsid w:val="00E51D16"/>
    <w:rsid w:val="00E56EFD"/>
    <w:rsid w:val="00E7048C"/>
    <w:rsid w:val="00EB24FE"/>
    <w:rsid w:val="00ED2F61"/>
    <w:rsid w:val="00EF66AA"/>
    <w:rsid w:val="00FA21A4"/>
    <w:rsid w:val="00FA49D0"/>
    <w:rsid w:val="00FA5538"/>
    <w:rsid w:val="00FF4EBA"/>
    <w:rsid w:val="00FF54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EED"/>
    <w:pPr>
      <w:spacing w:before="240" w:after="0" w:line="240" w:lineRule="auto"/>
    </w:pPr>
    <w:rPr>
      <w:rFonts w:ascii="Times New Roman" w:eastAsia="Times New Roman" w:hAnsi="Times New Roman" w:cs="Times New Roman"/>
      <w:sz w:val="2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11EED"/>
    <w:pPr>
      <w:tabs>
        <w:tab w:val="center" w:pos="4153"/>
        <w:tab w:val="right" w:pos="8306"/>
      </w:tabs>
    </w:pPr>
  </w:style>
  <w:style w:type="character" w:customStyle="1" w:styleId="FooterChar">
    <w:name w:val="Footer Char"/>
    <w:basedOn w:val="DefaultParagraphFont"/>
    <w:link w:val="Footer"/>
    <w:rsid w:val="00011EED"/>
    <w:rPr>
      <w:rFonts w:ascii="Times New Roman" w:eastAsia="Times New Roman" w:hAnsi="Times New Roman" w:cs="Times New Roman"/>
      <w:sz w:val="24"/>
      <w:szCs w:val="20"/>
      <w:lang w:eastAsia="en-AU"/>
    </w:rPr>
  </w:style>
  <w:style w:type="paragraph" w:styleId="Header">
    <w:name w:val="header"/>
    <w:basedOn w:val="Normal"/>
    <w:link w:val="HeaderChar"/>
    <w:uiPriority w:val="99"/>
    <w:rsid w:val="00011EED"/>
    <w:pPr>
      <w:tabs>
        <w:tab w:val="center" w:pos="4153"/>
        <w:tab w:val="right" w:pos="8306"/>
      </w:tabs>
    </w:pPr>
  </w:style>
  <w:style w:type="character" w:customStyle="1" w:styleId="HeaderChar">
    <w:name w:val="Header Char"/>
    <w:basedOn w:val="DefaultParagraphFont"/>
    <w:link w:val="Header"/>
    <w:uiPriority w:val="99"/>
    <w:rsid w:val="00011EED"/>
    <w:rPr>
      <w:rFonts w:ascii="Times New Roman" w:eastAsia="Times New Roman" w:hAnsi="Times New Roman" w:cs="Times New Roman"/>
      <w:sz w:val="24"/>
      <w:szCs w:val="20"/>
      <w:lang w:eastAsia="en-AU"/>
    </w:rPr>
  </w:style>
  <w:style w:type="paragraph" w:styleId="BalloonText">
    <w:name w:val="Balloon Text"/>
    <w:basedOn w:val="Normal"/>
    <w:link w:val="BalloonTextChar"/>
    <w:uiPriority w:val="99"/>
    <w:semiHidden/>
    <w:unhideWhenUsed/>
    <w:rsid w:val="00BA6E6E"/>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E6E"/>
    <w:rPr>
      <w:rFonts w:ascii="Tahoma" w:eastAsia="Times New Roman" w:hAnsi="Tahoma" w:cs="Tahoma"/>
      <w:sz w:val="16"/>
      <w:szCs w:val="16"/>
      <w:lang w:eastAsia="en-AU"/>
    </w:rPr>
  </w:style>
  <w:style w:type="paragraph" w:styleId="NormalWeb">
    <w:name w:val="Normal (Web)"/>
    <w:basedOn w:val="Normal"/>
    <w:rsid w:val="00427268"/>
    <w:pPr>
      <w:spacing w:before="100" w:beforeAutospacing="1" w:after="100" w:afterAutospacing="1"/>
    </w:pPr>
    <w:rPr>
      <w:szCs w:val="24"/>
    </w:rPr>
  </w:style>
  <w:style w:type="character" w:styleId="CommentReference">
    <w:name w:val="annotation reference"/>
    <w:basedOn w:val="DefaultParagraphFont"/>
    <w:uiPriority w:val="99"/>
    <w:semiHidden/>
    <w:unhideWhenUsed/>
    <w:rsid w:val="00D11799"/>
    <w:rPr>
      <w:sz w:val="16"/>
      <w:szCs w:val="16"/>
    </w:rPr>
  </w:style>
  <w:style w:type="paragraph" w:styleId="CommentText">
    <w:name w:val="annotation text"/>
    <w:basedOn w:val="Normal"/>
    <w:link w:val="CommentTextChar"/>
    <w:uiPriority w:val="99"/>
    <w:semiHidden/>
    <w:unhideWhenUsed/>
    <w:rsid w:val="00D11799"/>
    <w:rPr>
      <w:sz w:val="20"/>
    </w:rPr>
  </w:style>
  <w:style w:type="character" w:customStyle="1" w:styleId="CommentTextChar">
    <w:name w:val="Comment Text Char"/>
    <w:basedOn w:val="DefaultParagraphFont"/>
    <w:link w:val="CommentText"/>
    <w:uiPriority w:val="99"/>
    <w:semiHidden/>
    <w:rsid w:val="00D1179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D11799"/>
    <w:rPr>
      <w:b/>
      <w:bCs/>
    </w:rPr>
  </w:style>
  <w:style w:type="character" w:customStyle="1" w:styleId="CommentSubjectChar">
    <w:name w:val="Comment Subject Char"/>
    <w:basedOn w:val="CommentTextChar"/>
    <w:link w:val="CommentSubject"/>
    <w:uiPriority w:val="99"/>
    <w:semiHidden/>
    <w:rsid w:val="00D11799"/>
    <w:rPr>
      <w:rFonts w:ascii="Times New Roman" w:eastAsia="Times New Roman" w:hAnsi="Times New Roman" w:cs="Times New Roman"/>
      <w:b/>
      <w:bCs/>
      <w:sz w:val="20"/>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EED"/>
    <w:pPr>
      <w:spacing w:before="240" w:after="0" w:line="240" w:lineRule="auto"/>
    </w:pPr>
    <w:rPr>
      <w:rFonts w:ascii="Times New Roman" w:eastAsia="Times New Roman" w:hAnsi="Times New Roman" w:cs="Times New Roman"/>
      <w:sz w:val="2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11EED"/>
    <w:pPr>
      <w:tabs>
        <w:tab w:val="center" w:pos="4153"/>
        <w:tab w:val="right" w:pos="8306"/>
      </w:tabs>
    </w:pPr>
  </w:style>
  <w:style w:type="character" w:customStyle="1" w:styleId="FooterChar">
    <w:name w:val="Footer Char"/>
    <w:basedOn w:val="DefaultParagraphFont"/>
    <w:link w:val="Footer"/>
    <w:rsid w:val="00011EED"/>
    <w:rPr>
      <w:rFonts w:ascii="Times New Roman" w:eastAsia="Times New Roman" w:hAnsi="Times New Roman" w:cs="Times New Roman"/>
      <w:sz w:val="24"/>
      <w:szCs w:val="20"/>
      <w:lang w:eastAsia="en-AU"/>
    </w:rPr>
  </w:style>
  <w:style w:type="paragraph" w:styleId="Header">
    <w:name w:val="header"/>
    <w:basedOn w:val="Normal"/>
    <w:link w:val="HeaderChar"/>
    <w:uiPriority w:val="99"/>
    <w:rsid w:val="00011EED"/>
    <w:pPr>
      <w:tabs>
        <w:tab w:val="center" w:pos="4153"/>
        <w:tab w:val="right" w:pos="8306"/>
      </w:tabs>
    </w:pPr>
  </w:style>
  <w:style w:type="character" w:customStyle="1" w:styleId="HeaderChar">
    <w:name w:val="Header Char"/>
    <w:basedOn w:val="DefaultParagraphFont"/>
    <w:link w:val="Header"/>
    <w:uiPriority w:val="99"/>
    <w:rsid w:val="00011EED"/>
    <w:rPr>
      <w:rFonts w:ascii="Times New Roman" w:eastAsia="Times New Roman" w:hAnsi="Times New Roman" w:cs="Times New Roman"/>
      <w:sz w:val="24"/>
      <w:szCs w:val="20"/>
      <w:lang w:eastAsia="en-AU"/>
    </w:rPr>
  </w:style>
  <w:style w:type="paragraph" w:styleId="BalloonText">
    <w:name w:val="Balloon Text"/>
    <w:basedOn w:val="Normal"/>
    <w:link w:val="BalloonTextChar"/>
    <w:uiPriority w:val="99"/>
    <w:semiHidden/>
    <w:unhideWhenUsed/>
    <w:rsid w:val="00BA6E6E"/>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E6E"/>
    <w:rPr>
      <w:rFonts w:ascii="Tahoma" w:eastAsia="Times New Roman" w:hAnsi="Tahoma" w:cs="Tahoma"/>
      <w:sz w:val="16"/>
      <w:szCs w:val="16"/>
      <w:lang w:eastAsia="en-AU"/>
    </w:rPr>
  </w:style>
  <w:style w:type="paragraph" w:styleId="NormalWeb">
    <w:name w:val="Normal (Web)"/>
    <w:basedOn w:val="Normal"/>
    <w:rsid w:val="00427268"/>
    <w:pPr>
      <w:spacing w:before="100" w:beforeAutospacing="1" w:after="100" w:afterAutospacing="1"/>
    </w:pPr>
    <w:rPr>
      <w:szCs w:val="24"/>
    </w:rPr>
  </w:style>
  <w:style w:type="character" w:styleId="CommentReference">
    <w:name w:val="annotation reference"/>
    <w:basedOn w:val="DefaultParagraphFont"/>
    <w:uiPriority w:val="99"/>
    <w:semiHidden/>
    <w:unhideWhenUsed/>
    <w:rsid w:val="00D11799"/>
    <w:rPr>
      <w:sz w:val="16"/>
      <w:szCs w:val="16"/>
    </w:rPr>
  </w:style>
  <w:style w:type="paragraph" w:styleId="CommentText">
    <w:name w:val="annotation text"/>
    <w:basedOn w:val="Normal"/>
    <w:link w:val="CommentTextChar"/>
    <w:uiPriority w:val="99"/>
    <w:semiHidden/>
    <w:unhideWhenUsed/>
    <w:rsid w:val="00D11799"/>
    <w:rPr>
      <w:sz w:val="20"/>
    </w:rPr>
  </w:style>
  <w:style w:type="character" w:customStyle="1" w:styleId="CommentTextChar">
    <w:name w:val="Comment Text Char"/>
    <w:basedOn w:val="DefaultParagraphFont"/>
    <w:link w:val="CommentText"/>
    <w:uiPriority w:val="99"/>
    <w:semiHidden/>
    <w:rsid w:val="00D1179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D11799"/>
    <w:rPr>
      <w:b/>
      <w:bCs/>
    </w:rPr>
  </w:style>
  <w:style w:type="character" w:customStyle="1" w:styleId="CommentSubjectChar">
    <w:name w:val="Comment Subject Char"/>
    <w:basedOn w:val="CommentTextChar"/>
    <w:link w:val="CommentSubject"/>
    <w:uiPriority w:val="99"/>
    <w:semiHidden/>
    <w:rsid w:val="00D11799"/>
    <w:rPr>
      <w:rFonts w:ascii="Times New Roman" w:eastAsia="Times New Roman" w:hAnsi="Times New Roman" w:cs="Times New Roman"/>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1935</Words>
  <Characters>11033</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12943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teowan</dc:creator>
  <cp:lastModifiedBy>van Meurs, Tina</cp:lastModifiedBy>
  <cp:revision>2</cp:revision>
  <cp:lastPrinted>2015-01-27T03:41:00Z</cp:lastPrinted>
  <dcterms:created xsi:type="dcterms:W3CDTF">2015-02-24T01:36:00Z</dcterms:created>
  <dcterms:modified xsi:type="dcterms:W3CDTF">2015-02-24T01:36:00Z</dcterms:modified>
</cp:coreProperties>
</file>