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7150" w14:textId="77777777" w:rsidR="00642871" w:rsidRDefault="00642871" w:rsidP="00EC4E91">
      <w:pPr>
        <w:widowControl w:val="0"/>
        <w:spacing w:line="1800" w:lineRule="atLeast"/>
        <w:rPr>
          <w:sz w:val="26"/>
        </w:rPr>
      </w:pPr>
      <w:r>
        <w:rPr>
          <w:noProof/>
          <w:sz w:val="26"/>
        </w:rPr>
        <w:drawing>
          <wp:inline distT="0" distB="0" distL="0" distR="0" wp14:anchorId="34BAB7DF" wp14:editId="7A2CBB8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C3BCE10" w14:textId="77777777" w:rsidR="00642871" w:rsidRDefault="00642871" w:rsidP="00EC4E91">
      <w:pPr>
        <w:pStyle w:val="Title"/>
        <w:widowControl w:val="0"/>
        <w:pBdr>
          <w:bottom w:val="single" w:sz="2" w:space="3" w:color="auto"/>
        </w:pBdr>
        <w:spacing w:before="480"/>
      </w:pPr>
      <w:r>
        <w:t>Radiocommunications Taxes Collection (Penalties on Unpaid Tax) Determination 2015</w:t>
      </w:r>
    </w:p>
    <w:p w14:paraId="0D5CFC4B" w14:textId="77777777" w:rsidR="00642871" w:rsidRDefault="00642871" w:rsidP="00EC4E91">
      <w:pPr>
        <w:widowControl w:val="0"/>
        <w:spacing w:before="600" w:line="300" w:lineRule="atLeast"/>
        <w:jc w:val="both"/>
      </w:pPr>
      <w:r>
        <w:t xml:space="preserve">The AUSTRALIAN COMMUNICATIONS AND MEDIA AUTHORITY makes this Determination under subsection 7A (1) of the </w:t>
      </w:r>
      <w:r>
        <w:rPr>
          <w:i/>
        </w:rPr>
        <w:t>Radiocommunications Taxes Collection Act 1983</w:t>
      </w:r>
      <w:r>
        <w:t>.</w:t>
      </w:r>
    </w:p>
    <w:p w14:paraId="2E617ABF" w14:textId="77777777" w:rsidR="00300616" w:rsidRDefault="00642871" w:rsidP="00300616">
      <w:pPr>
        <w:widowControl w:val="0"/>
        <w:tabs>
          <w:tab w:val="center" w:pos="3119"/>
        </w:tabs>
        <w:spacing w:before="600" w:after="600" w:line="300" w:lineRule="atLeast"/>
        <w:rPr>
          <w:i/>
        </w:rPr>
      </w:pPr>
      <w:r>
        <w:t xml:space="preserve">Dated    </w:t>
      </w:r>
      <w:r w:rsidR="004B2876" w:rsidRPr="00E97EAC">
        <w:rPr>
          <w:i/>
        </w:rPr>
        <w:t>17</w:t>
      </w:r>
      <w:r w:rsidR="004B2876" w:rsidRPr="00E97EAC">
        <w:rPr>
          <w:i/>
          <w:vertAlign w:val="superscript"/>
        </w:rPr>
        <w:t>th</w:t>
      </w:r>
      <w:r w:rsidR="004B2876" w:rsidRPr="00E97EAC">
        <w:rPr>
          <w:i/>
        </w:rPr>
        <w:t xml:space="preserve"> February 2015</w:t>
      </w:r>
    </w:p>
    <w:p w14:paraId="62261343" w14:textId="5CA40A7A" w:rsidR="00642871" w:rsidRDefault="00642871" w:rsidP="00300616">
      <w:pPr>
        <w:widowControl w:val="0"/>
        <w:tabs>
          <w:tab w:val="center" w:pos="3119"/>
        </w:tabs>
        <w:spacing w:before="600" w:after="600" w:line="300" w:lineRule="atLeast"/>
        <w:jc w:val="right"/>
      </w:pPr>
      <w:r>
        <w:tab/>
      </w:r>
      <w:r>
        <w:tab/>
      </w:r>
      <w:r>
        <w:tab/>
      </w:r>
      <w:r>
        <w:tab/>
      </w:r>
      <w:r>
        <w:tab/>
      </w:r>
      <w:r>
        <w:tab/>
      </w:r>
      <w:r>
        <w:tab/>
      </w:r>
      <w:r>
        <w:tab/>
      </w:r>
      <w:r>
        <w:tab/>
      </w:r>
      <w:r>
        <w:tab/>
      </w:r>
      <w:r>
        <w:tab/>
      </w:r>
      <w:r>
        <w:tab/>
      </w:r>
      <w:r w:rsidRPr="00E97EAC">
        <w:rPr>
          <w:i/>
        </w:rPr>
        <w:tab/>
      </w:r>
      <w:r w:rsidR="00110A0D" w:rsidRPr="00E97EAC">
        <w:rPr>
          <w:i/>
        </w:rPr>
        <w:t>Chris Chapman</w:t>
      </w:r>
      <w:r w:rsidR="00110A0D">
        <w:t xml:space="preserve"> </w:t>
      </w:r>
      <w:r w:rsidR="00F9378E">
        <w:br/>
      </w:r>
      <w:r w:rsidR="00110A0D">
        <w:t>[signed</w:t>
      </w:r>
      <w:proofErr w:type="gramStart"/>
      <w:r w:rsidR="00110A0D">
        <w:t>]</w:t>
      </w:r>
      <w:proofErr w:type="gramEnd"/>
      <w:r w:rsidR="00110A0D">
        <w:br/>
      </w:r>
      <w:r>
        <w:t>Member</w:t>
      </w:r>
      <w:r w:rsidR="00B97215">
        <w:t xml:space="preserve"> </w:t>
      </w:r>
      <w:r w:rsidR="00E97EAC">
        <w:br/>
      </w:r>
      <w:r w:rsidR="00E97EAC">
        <w:br/>
      </w:r>
      <w:r w:rsidR="00E97EAC">
        <w:br/>
      </w:r>
      <w:r w:rsidR="00F9378E" w:rsidRPr="00E97EAC">
        <w:rPr>
          <w:i/>
        </w:rPr>
        <w:t>Richard Bean</w:t>
      </w:r>
      <w:r w:rsidR="00F9378E">
        <w:t xml:space="preserve"> </w:t>
      </w:r>
      <w:r w:rsidR="00F9378E">
        <w:br/>
        <w:t xml:space="preserve">[signed] </w:t>
      </w:r>
      <w:r w:rsidR="00F9378E">
        <w:br/>
      </w:r>
      <w:r>
        <w:t>Member/</w:t>
      </w:r>
      <w:r w:rsidRPr="00E97EAC">
        <w:rPr>
          <w:strike/>
        </w:rPr>
        <w:t>General Manager</w:t>
      </w:r>
    </w:p>
    <w:p w14:paraId="69BDD691" w14:textId="77777777" w:rsidR="00642871" w:rsidRDefault="00642871" w:rsidP="00EC4E91">
      <w:pPr>
        <w:widowControl w:val="0"/>
        <w:tabs>
          <w:tab w:val="center" w:pos="3119"/>
        </w:tabs>
        <w:spacing w:before="840" w:line="300" w:lineRule="atLeast"/>
      </w:pPr>
      <w:r>
        <w:t>Australian Communications and Media Authority</w:t>
      </w:r>
    </w:p>
    <w:p w14:paraId="32DD61BA" w14:textId="77777777" w:rsidR="00642871" w:rsidRDefault="00642871" w:rsidP="00EC4E91">
      <w:pPr>
        <w:widowControl w:val="0"/>
        <w:pBdr>
          <w:top w:val="single" w:sz="2" w:space="1" w:color="auto"/>
        </w:pBdr>
        <w:tabs>
          <w:tab w:val="center" w:pos="3119"/>
        </w:tabs>
        <w:spacing w:before="240" w:after="600" w:line="300" w:lineRule="atLeast"/>
      </w:pPr>
    </w:p>
    <w:p w14:paraId="71FAE95E" w14:textId="77777777" w:rsidR="00642871" w:rsidRDefault="00642871" w:rsidP="00EC4E91">
      <w:pPr>
        <w:widowControl w:val="0"/>
        <w:sectPr w:rsidR="00642871" w:rsidSect="000F7A76">
          <w:headerReference w:type="even" r:id="rId8"/>
          <w:headerReference w:type="default" r:id="rId9"/>
          <w:footerReference w:type="even" r:id="rId10"/>
          <w:footerReference w:type="default" r:id="rId11"/>
          <w:headerReference w:type="first" r:id="rId12"/>
          <w:footerReference w:type="first" r:id="rId13"/>
          <w:pgSz w:w="11900" w:h="16840"/>
          <w:pgMar w:top="-1276" w:right="2410" w:bottom="-1418" w:left="2410" w:header="567" w:footer="9479" w:gutter="0"/>
          <w:pgNumType w:start="1"/>
          <w:cols w:space="720"/>
          <w:titlePg/>
        </w:sectPr>
      </w:pPr>
      <w:bookmarkStart w:id="0" w:name="_GoBack"/>
      <w:bookmarkEnd w:id="0"/>
    </w:p>
    <w:p w14:paraId="41D7C252" w14:textId="77777777" w:rsidR="00642871" w:rsidRDefault="00642871" w:rsidP="00EC4E91">
      <w:pPr>
        <w:pStyle w:val="HR"/>
        <w:keepNext w:val="0"/>
        <w:widowControl w:val="0"/>
      </w:pPr>
      <w:bookmarkStart w:id="1" w:name="start"/>
      <w:bookmarkStart w:id="2" w:name="_Toc464452117"/>
      <w:bookmarkEnd w:id="1"/>
      <w:r>
        <w:rPr>
          <w:rStyle w:val="CharSectno"/>
        </w:rPr>
        <w:lastRenderedPageBreak/>
        <w:t>1</w:t>
      </w:r>
      <w:r>
        <w:tab/>
        <w:t>Name of Determination</w:t>
      </w:r>
      <w:bookmarkEnd w:id="2"/>
    </w:p>
    <w:p w14:paraId="0D469158" w14:textId="7C0ED607" w:rsidR="00642871" w:rsidRDefault="00642871" w:rsidP="00EC4E91">
      <w:pPr>
        <w:pStyle w:val="R1"/>
        <w:widowControl w:val="0"/>
      </w:pPr>
      <w:r>
        <w:tab/>
      </w:r>
      <w:r>
        <w:tab/>
        <w:t xml:space="preserve">This Determination is the </w:t>
      </w:r>
      <w:r>
        <w:rPr>
          <w:i/>
        </w:rPr>
        <w:t xml:space="preserve">Radiocommunications Taxes Collection (Penalties on Unpaid Tax) </w:t>
      </w:r>
      <w:r w:rsidR="000F0A3D">
        <w:rPr>
          <w:i/>
        </w:rPr>
        <w:t xml:space="preserve">Determination </w:t>
      </w:r>
      <w:r>
        <w:rPr>
          <w:i/>
        </w:rPr>
        <w:t>2015</w:t>
      </w:r>
      <w:r>
        <w:t>.</w:t>
      </w:r>
    </w:p>
    <w:p w14:paraId="6742905E" w14:textId="77777777" w:rsidR="00642871" w:rsidRDefault="00642871" w:rsidP="00EC4E91">
      <w:pPr>
        <w:pStyle w:val="HR"/>
        <w:keepNext w:val="0"/>
        <w:widowControl w:val="0"/>
      </w:pPr>
      <w:bookmarkStart w:id="3" w:name="_Toc464452118"/>
      <w:r>
        <w:rPr>
          <w:rStyle w:val="CharSectno"/>
        </w:rPr>
        <w:t>2</w:t>
      </w:r>
      <w:r>
        <w:tab/>
        <w:t>Commencement</w:t>
      </w:r>
      <w:bookmarkEnd w:id="3"/>
    </w:p>
    <w:p w14:paraId="7FA95736" w14:textId="77777777" w:rsidR="00642871" w:rsidRDefault="00642871" w:rsidP="00EC4E91">
      <w:pPr>
        <w:pStyle w:val="R1"/>
        <w:widowControl w:val="0"/>
      </w:pPr>
      <w:r>
        <w:tab/>
      </w:r>
      <w:r>
        <w:tab/>
        <w:t>This Determination commences on the day after it is registered.</w:t>
      </w:r>
    </w:p>
    <w:p w14:paraId="1E83B67E" w14:textId="1BD0B9C8" w:rsidR="00642871" w:rsidRPr="00857941" w:rsidRDefault="00642871" w:rsidP="00EC4E91">
      <w:pPr>
        <w:widowControl w:val="0"/>
        <w:spacing w:before="120"/>
        <w:ind w:left="992"/>
      </w:pPr>
      <w:r w:rsidRPr="00327613">
        <w:rPr>
          <w:sz w:val="20"/>
        </w:rPr>
        <w:t>Note   </w:t>
      </w:r>
      <w:r>
        <w:rPr>
          <w:sz w:val="20"/>
        </w:rPr>
        <w:t xml:space="preserve">All legislative instruments and compilations are registered on the Federal Register of Legislative Instruments kept under the </w:t>
      </w:r>
      <w:r>
        <w:rPr>
          <w:i/>
          <w:sz w:val="20"/>
        </w:rPr>
        <w:t>Legislative Instruments Act 2003.</w:t>
      </w:r>
      <w:r>
        <w:rPr>
          <w:sz w:val="20"/>
        </w:rPr>
        <w:t xml:space="preserve"> </w:t>
      </w:r>
    </w:p>
    <w:p w14:paraId="3DFCCDA0" w14:textId="77777777" w:rsidR="00642871" w:rsidRDefault="00642871" w:rsidP="00EC4E91">
      <w:pPr>
        <w:pStyle w:val="HR"/>
        <w:keepNext w:val="0"/>
        <w:widowControl w:val="0"/>
        <w:rPr>
          <w:rStyle w:val="CharSectno"/>
        </w:rPr>
      </w:pPr>
      <w:r w:rsidRPr="00781087">
        <w:rPr>
          <w:rStyle w:val="CharSectno"/>
        </w:rPr>
        <w:t>3</w:t>
      </w:r>
      <w:r w:rsidRPr="00781087">
        <w:rPr>
          <w:rStyle w:val="CharSectno"/>
        </w:rPr>
        <w:tab/>
        <w:t>Revocation</w:t>
      </w:r>
    </w:p>
    <w:p w14:paraId="26694267" w14:textId="77777777" w:rsidR="00642871" w:rsidRPr="00781087" w:rsidRDefault="00642871" w:rsidP="00EC4E91">
      <w:pPr>
        <w:pStyle w:val="R1"/>
        <w:widowControl w:val="0"/>
      </w:pPr>
      <w:r>
        <w:tab/>
      </w:r>
      <w:r>
        <w:tab/>
        <w:t xml:space="preserve">The </w:t>
      </w:r>
      <w:r>
        <w:rPr>
          <w:i/>
        </w:rPr>
        <w:t>Radiocommunications Taxes Collection (Penalties on Unpaid Tax) Determination 1999</w:t>
      </w:r>
      <w:r>
        <w:t xml:space="preserve"> (FRLI No.F2005B00395) is revoked.</w:t>
      </w:r>
    </w:p>
    <w:p w14:paraId="2F2523A3" w14:textId="77777777" w:rsidR="00642871" w:rsidRDefault="00642871" w:rsidP="00EC4E91">
      <w:pPr>
        <w:pStyle w:val="HR"/>
        <w:keepNext w:val="0"/>
        <w:widowControl w:val="0"/>
      </w:pPr>
      <w:bookmarkStart w:id="4" w:name="_Toc464452119"/>
      <w:r>
        <w:t>4</w:t>
      </w:r>
      <w:r>
        <w:tab/>
        <w:t>Definitions</w:t>
      </w:r>
      <w:bookmarkEnd w:id="4"/>
    </w:p>
    <w:p w14:paraId="3ED50339" w14:textId="77777777" w:rsidR="00642871" w:rsidRDefault="00642871" w:rsidP="00EC4E91">
      <w:pPr>
        <w:pStyle w:val="R1"/>
        <w:widowControl w:val="0"/>
      </w:pPr>
      <w:r>
        <w:tab/>
      </w:r>
      <w:r>
        <w:tab/>
        <w:t>In this Determination:</w:t>
      </w:r>
    </w:p>
    <w:p w14:paraId="0CE987D6" w14:textId="77777777" w:rsidR="00642871" w:rsidRDefault="00642871" w:rsidP="00EC4E91">
      <w:pPr>
        <w:pStyle w:val="definition"/>
        <w:widowControl w:val="0"/>
      </w:pPr>
      <w:r>
        <w:rPr>
          <w:b/>
          <w:i/>
        </w:rPr>
        <w:t xml:space="preserve">AAT </w:t>
      </w:r>
      <w:r>
        <w:t>means the Administrative Appeals Tribunal.</w:t>
      </w:r>
    </w:p>
    <w:p w14:paraId="760CE652" w14:textId="77777777" w:rsidR="00642871" w:rsidRPr="00781087" w:rsidRDefault="00642871" w:rsidP="00EC4E91">
      <w:pPr>
        <w:pStyle w:val="definition"/>
        <w:widowControl w:val="0"/>
      </w:pPr>
      <w:r>
        <w:rPr>
          <w:b/>
          <w:i/>
        </w:rPr>
        <w:t xml:space="preserve">ACMA </w:t>
      </w:r>
      <w:r>
        <w:t>means the Australian Communications and Media Authority.</w:t>
      </w:r>
    </w:p>
    <w:p w14:paraId="67ECBFDD" w14:textId="77777777" w:rsidR="00642871" w:rsidRDefault="00642871" w:rsidP="00EC4E91">
      <w:pPr>
        <w:pStyle w:val="definition"/>
        <w:widowControl w:val="0"/>
      </w:pPr>
      <w:proofErr w:type="gramStart"/>
      <w:r>
        <w:rPr>
          <w:b/>
          <w:i/>
        </w:rPr>
        <w:t>penalty</w:t>
      </w:r>
      <w:proofErr w:type="gramEnd"/>
      <w:r>
        <w:rPr>
          <w:b/>
          <w:i/>
        </w:rPr>
        <w:t xml:space="preserve"> interest </w:t>
      </w:r>
      <w:r>
        <w:t>means penalty interest mentioned in subsection 6 (2).</w:t>
      </w:r>
    </w:p>
    <w:p w14:paraId="008966AB" w14:textId="77777777" w:rsidR="00642871" w:rsidRDefault="00642871" w:rsidP="00EC4E91">
      <w:pPr>
        <w:pStyle w:val="definition"/>
        <w:widowControl w:val="0"/>
      </w:pPr>
      <w:proofErr w:type="gramStart"/>
      <w:r>
        <w:rPr>
          <w:b/>
          <w:i/>
        </w:rPr>
        <w:t>tax</w:t>
      </w:r>
      <w:proofErr w:type="gramEnd"/>
      <w:r>
        <w:rPr>
          <w:b/>
          <w:i/>
        </w:rPr>
        <w:t xml:space="preserve"> </w:t>
      </w:r>
      <w:r>
        <w:t>means tax payable under a Tax Act.</w:t>
      </w:r>
    </w:p>
    <w:p w14:paraId="32345862" w14:textId="77777777" w:rsidR="00642871" w:rsidRDefault="00642871" w:rsidP="00EC4E91">
      <w:pPr>
        <w:pStyle w:val="definition"/>
        <w:widowControl w:val="0"/>
      </w:pPr>
      <w:r>
        <w:rPr>
          <w:b/>
          <w:i/>
        </w:rPr>
        <w:t xml:space="preserve">Tax Act </w:t>
      </w:r>
      <w:r>
        <w:t>means either of the following Acts:</w:t>
      </w:r>
    </w:p>
    <w:p w14:paraId="1D2F6C2A" w14:textId="77777777" w:rsidR="00642871" w:rsidRDefault="00642871" w:rsidP="00EC4E91">
      <w:pPr>
        <w:pStyle w:val="P1"/>
        <w:widowControl w:val="0"/>
      </w:pPr>
      <w:r>
        <w:tab/>
        <w:t>(a)</w:t>
      </w:r>
      <w:r>
        <w:tab/>
      </w:r>
      <w:proofErr w:type="gramStart"/>
      <w:r>
        <w:t>the</w:t>
      </w:r>
      <w:proofErr w:type="gramEnd"/>
      <w:r>
        <w:t xml:space="preserve"> </w:t>
      </w:r>
      <w:r>
        <w:rPr>
          <w:i/>
        </w:rPr>
        <w:t>Radiocommunications (Receiver Licence Tax) Act 1983</w:t>
      </w:r>
      <w:r>
        <w:t>;</w:t>
      </w:r>
    </w:p>
    <w:p w14:paraId="3F554DF4" w14:textId="77777777" w:rsidR="00642871" w:rsidRDefault="00642871" w:rsidP="00EC4E91">
      <w:pPr>
        <w:pStyle w:val="P1"/>
        <w:widowControl w:val="0"/>
        <w:rPr>
          <w:u w:val="single"/>
        </w:rPr>
      </w:pPr>
      <w:r>
        <w:tab/>
        <w:t>(b)</w:t>
      </w:r>
      <w:r>
        <w:tab/>
      </w:r>
      <w:proofErr w:type="gramStart"/>
      <w:r>
        <w:t>the</w:t>
      </w:r>
      <w:proofErr w:type="gramEnd"/>
      <w:r>
        <w:rPr>
          <w:i/>
        </w:rPr>
        <w:t xml:space="preserve"> Radiocommunications (Transmitter Licence Tax) Act 1983</w:t>
      </w:r>
      <w:r>
        <w:t>.</w:t>
      </w:r>
    </w:p>
    <w:p w14:paraId="469C5ECC" w14:textId="77777777" w:rsidR="00642871" w:rsidRDefault="00642871" w:rsidP="00EC4E91">
      <w:pPr>
        <w:pStyle w:val="HR"/>
        <w:keepNext w:val="0"/>
        <w:widowControl w:val="0"/>
      </w:pPr>
      <w:bookmarkStart w:id="5" w:name="_Toc464452120"/>
      <w:r>
        <w:t>5</w:t>
      </w:r>
      <w:r>
        <w:tab/>
        <w:t>Application of this Determination</w:t>
      </w:r>
      <w:bookmarkEnd w:id="5"/>
    </w:p>
    <w:p w14:paraId="6213F65D" w14:textId="77777777" w:rsidR="00586FAC" w:rsidRDefault="00642871" w:rsidP="00EC4E91">
      <w:pPr>
        <w:pStyle w:val="R1"/>
        <w:widowControl w:val="0"/>
      </w:pPr>
      <w:r>
        <w:tab/>
        <w:t>(1)</w:t>
      </w:r>
      <w:r>
        <w:tab/>
        <w:t>This Determination applies to amounts of tax that become payable under a Tax Act</w:t>
      </w:r>
      <w:r w:rsidR="00586FAC">
        <w:t>:</w:t>
      </w:r>
    </w:p>
    <w:p w14:paraId="7FA88055" w14:textId="4EC02C43" w:rsidR="00586FAC" w:rsidRDefault="00586FAC" w:rsidP="00EC4E91">
      <w:pPr>
        <w:pStyle w:val="R1"/>
        <w:widowControl w:val="0"/>
      </w:pPr>
      <w:r>
        <w:tab/>
      </w:r>
      <w:r>
        <w:tab/>
        <w:t xml:space="preserve">(a) </w:t>
      </w:r>
      <w:proofErr w:type="gramStart"/>
      <w:r w:rsidR="00642871">
        <w:t>on</w:t>
      </w:r>
      <w:proofErr w:type="gramEnd"/>
      <w:r w:rsidR="00642871">
        <w:t xml:space="preserve"> or before the commencement of this Determination</w:t>
      </w:r>
      <w:r>
        <w:t>; or</w:t>
      </w:r>
    </w:p>
    <w:p w14:paraId="77ED8F79" w14:textId="3D6EF1B6" w:rsidR="00642871" w:rsidRDefault="00586FAC" w:rsidP="00EC4E91">
      <w:pPr>
        <w:pStyle w:val="R1"/>
        <w:widowControl w:val="0"/>
      </w:pPr>
      <w:r>
        <w:tab/>
      </w:r>
      <w:r>
        <w:tab/>
        <w:t xml:space="preserve">(b) </w:t>
      </w:r>
      <w:proofErr w:type="gramStart"/>
      <w:r>
        <w:t>after</w:t>
      </w:r>
      <w:proofErr w:type="gramEnd"/>
      <w:r>
        <w:t xml:space="preserve"> the commencement of this Determination.</w:t>
      </w:r>
    </w:p>
    <w:p w14:paraId="6FA60D37" w14:textId="643BB81E" w:rsidR="00642871" w:rsidRDefault="00642871" w:rsidP="00EC4E91">
      <w:pPr>
        <w:pStyle w:val="R2"/>
        <w:widowControl w:val="0"/>
      </w:pPr>
      <w:r>
        <w:tab/>
        <w:t>(2)</w:t>
      </w:r>
      <w:r>
        <w:tab/>
      </w:r>
      <w:r w:rsidR="00586FAC">
        <w:t>For the purposes of paragraph (a), t</w:t>
      </w:r>
      <w:r>
        <w:t>his Determination applies to the amounts of tax from the end of the day before this Determination commences.</w:t>
      </w:r>
    </w:p>
    <w:p w14:paraId="5055E559" w14:textId="77777777" w:rsidR="00642871" w:rsidRDefault="00642871" w:rsidP="00EC4E91">
      <w:pPr>
        <w:pStyle w:val="HR"/>
        <w:keepNext w:val="0"/>
        <w:widowControl w:val="0"/>
      </w:pPr>
      <w:bookmarkStart w:id="6" w:name="_Toc464452121"/>
      <w:r>
        <w:t>6</w:t>
      </w:r>
      <w:r>
        <w:tab/>
        <w:t>Penalty interest on overdue tax</w:t>
      </w:r>
      <w:bookmarkEnd w:id="6"/>
    </w:p>
    <w:p w14:paraId="0A4C769B" w14:textId="77777777" w:rsidR="00642871" w:rsidRDefault="00642871" w:rsidP="00EC4E91">
      <w:pPr>
        <w:pStyle w:val="R1"/>
        <w:widowControl w:val="0"/>
      </w:pPr>
      <w:r>
        <w:tab/>
        <w:t>(1)</w:t>
      </w:r>
      <w:r>
        <w:tab/>
        <w:t>This section applies if a person:</w:t>
      </w:r>
    </w:p>
    <w:p w14:paraId="326EC1AC" w14:textId="77777777" w:rsidR="00642871" w:rsidRDefault="00642871" w:rsidP="00EC4E91">
      <w:pPr>
        <w:pStyle w:val="P1"/>
        <w:widowControl w:val="0"/>
      </w:pPr>
      <w:r>
        <w:tab/>
        <w:t>(a)</w:t>
      </w:r>
      <w:r>
        <w:tab/>
      </w:r>
      <w:proofErr w:type="gramStart"/>
      <w:r>
        <w:t>is</w:t>
      </w:r>
      <w:proofErr w:type="gramEnd"/>
      <w:r>
        <w:t xml:space="preserve"> required to pay an amount of tax; and</w:t>
      </w:r>
    </w:p>
    <w:p w14:paraId="35739372" w14:textId="77777777" w:rsidR="00EC4E91" w:rsidRDefault="00642871" w:rsidP="00EC4E91">
      <w:pPr>
        <w:pStyle w:val="P1"/>
        <w:widowControl w:val="0"/>
        <w:sectPr w:rsidR="00EC4E91" w:rsidSect="00642871">
          <w:headerReference w:type="default" r:id="rId14"/>
          <w:footerReference w:type="default" r:id="rId15"/>
          <w:type w:val="continuous"/>
          <w:pgSz w:w="11901" w:h="16840"/>
          <w:pgMar w:top="-1276" w:right="2410" w:bottom="-1560" w:left="2410" w:header="709" w:footer="531" w:gutter="0"/>
          <w:cols w:space="720"/>
        </w:sectPr>
      </w:pPr>
      <w:r>
        <w:tab/>
        <w:t>(b)</w:t>
      </w:r>
      <w:r>
        <w:tab/>
      </w:r>
      <w:proofErr w:type="gramStart"/>
      <w:r>
        <w:t>does</w:t>
      </w:r>
      <w:proofErr w:type="gramEnd"/>
      <w:r>
        <w:t xml:space="preserve"> not pay the amount by its due day.</w:t>
      </w:r>
    </w:p>
    <w:p w14:paraId="24FCB0E5" w14:textId="77777777" w:rsidR="00EC4E91" w:rsidRDefault="00642871" w:rsidP="00EC4E91">
      <w:pPr>
        <w:pStyle w:val="R2"/>
        <w:widowControl w:val="0"/>
      </w:pPr>
      <w:r>
        <w:lastRenderedPageBreak/>
        <w:tab/>
        <w:t>(2)</w:t>
      </w:r>
      <w:r>
        <w:tab/>
        <w:t>The person is liable to pay interest (</w:t>
      </w:r>
      <w:r>
        <w:rPr>
          <w:b/>
          <w:i/>
        </w:rPr>
        <w:t>penalty interest</w:t>
      </w:r>
      <w:r>
        <w:t>) on the amount by way of penalty.</w:t>
      </w:r>
    </w:p>
    <w:p w14:paraId="06F8F328" w14:textId="0D1B0B13" w:rsidR="00642871" w:rsidRDefault="00642871" w:rsidP="00EC4E91">
      <w:pPr>
        <w:pStyle w:val="R2"/>
        <w:widowControl w:val="0"/>
      </w:pPr>
      <w:r>
        <w:tab/>
        <w:t>(3)</w:t>
      </w:r>
      <w:r>
        <w:tab/>
        <w:t>Penalty interest is:</w:t>
      </w:r>
    </w:p>
    <w:p w14:paraId="1794F9FC" w14:textId="77777777" w:rsidR="00642871" w:rsidRDefault="00642871" w:rsidP="00EC4E91">
      <w:pPr>
        <w:pStyle w:val="P1"/>
        <w:widowControl w:val="0"/>
      </w:pPr>
      <w:r>
        <w:tab/>
        <w:t>(a)</w:t>
      </w:r>
      <w:r>
        <w:tab/>
      </w:r>
      <w:proofErr w:type="gramStart"/>
      <w:r>
        <w:t>payable</w:t>
      </w:r>
      <w:proofErr w:type="gramEnd"/>
      <w:r>
        <w:t xml:space="preserve"> to the ACMA; and</w:t>
      </w:r>
    </w:p>
    <w:p w14:paraId="4946F1B8" w14:textId="77777777" w:rsidR="00642871" w:rsidRDefault="00642871" w:rsidP="00EC4E91">
      <w:pPr>
        <w:pStyle w:val="P1"/>
        <w:widowControl w:val="0"/>
      </w:pPr>
      <w:r>
        <w:tab/>
        <w:t>(b)</w:t>
      </w:r>
      <w:r>
        <w:tab/>
      </w:r>
      <w:proofErr w:type="gramStart"/>
      <w:r>
        <w:t>a</w:t>
      </w:r>
      <w:proofErr w:type="gramEnd"/>
      <w:r>
        <w:t xml:space="preserve"> debt due to the Commonwealth.</w:t>
      </w:r>
    </w:p>
    <w:p w14:paraId="41B3EA06" w14:textId="77777777" w:rsidR="00642871" w:rsidRDefault="00642871" w:rsidP="00EC4E91">
      <w:pPr>
        <w:pStyle w:val="HR"/>
        <w:keepNext w:val="0"/>
        <w:widowControl w:val="0"/>
      </w:pPr>
      <w:bookmarkStart w:id="7" w:name="_Toc464452122"/>
      <w:r>
        <w:t>7</w:t>
      </w:r>
      <w:r>
        <w:tab/>
        <w:t>Rate of penalty interest</w:t>
      </w:r>
      <w:bookmarkEnd w:id="7"/>
    </w:p>
    <w:p w14:paraId="2E25BB47" w14:textId="77777777" w:rsidR="00642871" w:rsidRDefault="00642871" w:rsidP="00EC4E91">
      <w:pPr>
        <w:pStyle w:val="R1"/>
        <w:widowControl w:val="0"/>
      </w:pPr>
      <w:r>
        <w:tab/>
      </w:r>
      <w:r>
        <w:tab/>
        <w:t xml:space="preserve">The rate at which penalty interest is payable for a day is the same rate as the general interest charge rate worked out under section </w:t>
      </w:r>
      <w:r w:rsidRPr="000600B2">
        <w:t xml:space="preserve">8AAD of the </w:t>
      </w:r>
      <w:r w:rsidRPr="000600B2">
        <w:rPr>
          <w:i/>
        </w:rPr>
        <w:t>Taxation Administration Act 1953</w:t>
      </w:r>
      <w:r w:rsidRPr="000600B2">
        <w:t>.</w:t>
      </w:r>
    </w:p>
    <w:p w14:paraId="788E5720" w14:textId="77777777" w:rsidR="00642871" w:rsidRDefault="00642871" w:rsidP="00EC4E91">
      <w:pPr>
        <w:pStyle w:val="HR"/>
        <w:keepNext w:val="0"/>
        <w:widowControl w:val="0"/>
      </w:pPr>
      <w:bookmarkStart w:id="8" w:name="_Toc464452123"/>
      <w:r>
        <w:t>8</w:t>
      </w:r>
      <w:r>
        <w:tab/>
        <w:t>Payment of penalty interest</w:t>
      </w:r>
      <w:bookmarkEnd w:id="8"/>
    </w:p>
    <w:p w14:paraId="07B159A5" w14:textId="77777777" w:rsidR="00642871" w:rsidRDefault="00642871" w:rsidP="00EC4E91">
      <w:pPr>
        <w:pStyle w:val="R1"/>
        <w:widowControl w:val="0"/>
      </w:pPr>
      <w:r>
        <w:tab/>
      </w:r>
      <w:r>
        <w:tab/>
        <w:t>Penalty interest is payable from the first day after the amount of tax becomes payable.</w:t>
      </w:r>
    </w:p>
    <w:p w14:paraId="39C8BB86" w14:textId="77777777" w:rsidR="00642871" w:rsidRDefault="00642871" w:rsidP="00EC4E91">
      <w:pPr>
        <w:pStyle w:val="HR"/>
        <w:keepNext w:val="0"/>
        <w:widowControl w:val="0"/>
      </w:pPr>
      <w:bookmarkStart w:id="9" w:name="_Toc464452124"/>
      <w:r>
        <w:t>9</w:t>
      </w:r>
      <w:r>
        <w:tab/>
        <w:t>Attribution of payments made to the ACMA</w:t>
      </w:r>
      <w:bookmarkEnd w:id="9"/>
    </w:p>
    <w:p w14:paraId="64CEE070" w14:textId="77777777" w:rsidR="00642871" w:rsidRDefault="00642871" w:rsidP="00EC4E91">
      <w:pPr>
        <w:pStyle w:val="R1"/>
        <w:widowControl w:val="0"/>
      </w:pPr>
      <w:r>
        <w:tab/>
        <w:t>(1)</w:t>
      </w:r>
      <w:r>
        <w:tab/>
        <w:t>This section applies if a person:</w:t>
      </w:r>
    </w:p>
    <w:p w14:paraId="6F8523F1" w14:textId="77777777" w:rsidR="00642871" w:rsidRDefault="00642871" w:rsidP="00EC4E91">
      <w:pPr>
        <w:pStyle w:val="P1"/>
        <w:widowControl w:val="0"/>
      </w:pPr>
      <w:r>
        <w:tab/>
        <w:t>(</w:t>
      </w:r>
      <w:proofErr w:type="gramStart"/>
      <w:r>
        <w:t>a</w:t>
      </w:r>
      <w:proofErr w:type="gramEnd"/>
      <w:r>
        <w:t>)</w:t>
      </w:r>
      <w:r>
        <w:tab/>
        <w:t>is liable to pay an amount of tax; and</w:t>
      </w:r>
    </w:p>
    <w:p w14:paraId="61C0CD09" w14:textId="77777777" w:rsidR="00642871" w:rsidRDefault="00642871" w:rsidP="00EC4E91">
      <w:pPr>
        <w:pStyle w:val="P1"/>
        <w:widowControl w:val="0"/>
      </w:pPr>
      <w:r>
        <w:tab/>
        <w:t>(</w:t>
      </w:r>
      <w:proofErr w:type="gramStart"/>
      <w:r>
        <w:t>b</w:t>
      </w:r>
      <w:proofErr w:type="gramEnd"/>
      <w:r>
        <w:t>)</w:t>
      </w:r>
      <w:r>
        <w:tab/>
        <w:t>is liable to pay an amount of penalty interest; and</w:t>
      </w:r>
    </w:p>
    <w:p w14:paraId="3C86AF1B" w14:textId="77777777" w:rsidR="00642871" w:rsidRDefault="00642871" w:rsidP="00EC4E91">
      <w:pPr>
        <w:pStyle w:val="P1"/>
        <w:widowControl w:val="0"/>
      </w:pPr>
      <w:r>
        <w:tab/>
        <w:t>(c)</w:t>
      </w:r>
      <w:r>
        <w:tab/>
      </w:r>
      <w:proofErr w:type="gramStart"/>
      <w:r>
        <w:t>pays</w:t>
      </w:r>
      <w:proofErr w:type="gramEnd"/>
      <w:r>
        <w:t xml:space="preserve"> an amount of money to the ACMA without any appropriation by the person or the ACMA as to the tax and the penalty interest.</w:t>
      </w:r>
    </w:p>
    <w:p w14:paraId="15F87AAC" w14:textId="77777777" w:rsidR="00642871" w:rsidRDefault="00642871" w:rsidP="00EC4E91">
      <w:pPr>
        <w:pStyle w:val="R2"/>
        <w:widowControl w:val="0"/>
      </w:pPr>
      <w:r>
        <w:tab/>
        <w:t>(2)</w:t>
      </w:r>
      <w:r>
        <w:tab/>
        <w:t>The person’s payment is to be credited to the amount of penalty interest first, and is to be credited to the amount of tax only if all of the amount of penalty tax is paid.</w:t>
      </w:r>
    </w:p>
    <w:p w14:paraId="7886E67B" w14:textId="77777777" w:rsidR="00642871" w:rsidRDefault="00642871" w:rsidP="00EC4E91">
      <w:pPr>
        <w:pStyle w:val="HR"/>
        <w:keepNext w:val="0"/>
        <w:widowControl w:val="0"/>
      </w:pPr>
      <w:bookmarkStart w:id="10" w:name="_Toc464452125"/>
      <w:r>
        <w:t>10</w:t>
      </w:r>
      <w:r>
        <w:tab/>
        <w:t>Remission of penalty interest: general</w:t>
      </w:r>
      <w:bookmarkEnd w:id="10"/>
    </w:p>
    <w:p w14:paraId="6A450041" w14:textId="77777777" w:rsidR="00642871" w:rsidRDefault="00642871" w:rsidP="00EC4E91">
      <w:pPr>
        <w:pStyle w:val="R1"/>
        <w:widowControl w:val="0"/>
      </w:pPr>
      <w:r>
        <w:tab/>
        <w:t>(1)</w:t>
      </w:r>
      <w:r>
        <w:tab/>
        <w:t>The ACMA may decide:</w:t>
      </w:r>
    </w:p>
    <w:p w14:paraId="7427BC50" w14:textId="77777777" w:rsidR="00642871" w:rsidRDefault="00642871" w:rsidP="00EC4E91">
      <w:pPr>
        <w:pStyle w:val="P1"/>
        <w:widowControl w:val="0"/>
      </w:pPr>
      <w:r>
        <w:tab/>
        <w:t>(a)</w:t>
      </w:r>
      <w:r>
        <w:tab/>
      </w:r>
      <w:proofErr w:type="gramStart"/>
      <w:r>
        <w:t>to</w:t>
      </w:r>
      <w:proofErr w:type="gramEnd"/>
      <w:r>
        <w:t xml:space="preserve"> remit all, or a part, of an amount of penalty interest payable by a person; or</w:t>
      </w:r>
    </w:p>
    <w:p w14:paraId="33704F2F" w14:textId="77777777" w:rsidR="00642871" w:rsidRDefault="00642871" w:rsidP="00EC4E91">
      <w:pPr>
        <w:pStyle w:val="P1"/>
        <w:widowControl w:val="0"/>
      </w:pPr>
      <w:r>
        <w:tab/>
        <w:t>(b)</w:t>
      </w:r>
      <w:r>
        <w:tab/>
      </w:r>
      <w:proofErr w:type="gramStart"/>
      <w:r>
        <w:t>not</w:t>
      </w:r>
      <w:proofErr w:type="gramEnd"/>
      <w:r>
        <w:t xml:space="preserve"> to remit any part of an amount of penalty interest payable by a person.</w:t>
      </w:r>
    </w:p>
    <w:p w14:paraId="769A9D4E" w14:textId="77777777" w:rsidR="00642871" w:rsidRDefault="00642871" w:rsidP="00EC4E91">
      <w:pPr>
        <w:pStyle w:val="R2"/>
        <w:widowControl w:val="0"/>
      </w:pPr>
      <w:r>
        <w:tab/>
        <w:t>(2)</w:t>
      </w:r>
      <w:r>
        <w:tab/>
        <w:t>The person may apply to the ACMA, in writing or orally, to remit all or part of the amount.</w:t>
      </w:r>
    </w:p>
    <w:p w14:paraId="2491B45F" w14:textId="77777777" w:rsidR="00642871" w:rsidRDefault="00642871" w:rsidP="00EC4E91">
      <w:pPr>
        <w:pStyle w:val="R2"/>
        <w:widowControl w:val="0"/>
      </w:pPr>
      <w:r>
        <w:tab/>
        <w:t>(3)</w:t>
      </w:r>
      <w:r>
        <w:tab/>
        <w:t>However:</w:t>
      </w:r>
    </w:p>
    <w:p w14:paraId="04C15DE2" w14:textId="77777777" w:rsidR="00642871" w:rsidRDefault="00642871" w:rsidP="00EC4E91">
      <w:pPr>
        <w:pStyle w:val="P1"/>
        <w:widowControl w:val="0"/>
      </w:pPr>
      <w:r>
        <w:tab/>
        <w:t>(a)</w:t>
      </w:r>
      <w:r>
        <w:tab/>
      </w:r>
      <w:proofErr w:type="gramStart"/>
      <w:r>
        <w:t>the</w:t>
      </w:r>
      <w:proofErr w:type="gramEnd"/>
      <w:r>
        <w:t xml:space="preserve"> ACMA may make a decision under subsection (1) whether or not it has received an application for remission; and</w:t>
      </w:r>
    </w:p>
    <w:p w14:paraId="093B5184" w14:textId="77777777" w:rsidR="00642871" w:rsidRDefault="00642871" w:rsidP="00EC4E91">
      <w:pPr>
        <w:pStyle w:val="P1"/>
        <w:widowControl w:val="0"/>
      </w:pPr>
      <w:r>
        <w:tab/>
        <w:t>(b)</w:t>
      </w:r>
      <w:r>
        <w:tab/>
      </w:r>
      <w:proofErr w:type="gramStart"/>
      <w:r>
        <w:t>the</w:t>
      </w:r>
      <w:proofErr w:type="gramEnd"/>
      <w:r>
        <w:t xml:space="preserve"> ACMA may remit all or part of the amount only for a reason set out in section 11.</w:t>
      </w:r>
    </w:p>
    <w:p w14:paraId="2BD1B539" w14:textId="77777777" w:rsidR="00EC4E91" w:rsidRDefault="00642871" w:rsidP="00EC4E91">
      <w:pPr>
        <w:pStyle w:val="R2"/>
        <w:widowControl w:val="0"/>
        <w:sectPr w:rsidR="00EC4E91" w:rsidSect="00642871">
          <w:headerReference w:type="default" r:id="rId16"/>
          <w:type w:val="continuous"/>
          <w:pgSz w:w="11901" w:h="16840"/>
          <w:pgMar w:top="-1276" w:right="2410" w:bottom="-1560" w:left="2410" w:header="709" w:footer="531" w:gutter="0"/>
          <w:cols w:space="720"/>
        </w:sectPr>
      </w:pPr>
      <w:r>
        <w:tab/>
        <w:t>(4)</w:t>
      </w:r>
      <w:r>
        <w:tab/>
        <w:t>If a person applies to the ACMA to remit all or part of an amount of penalty interest, the ACMA must make a decision under subsection (1):</w:t>
      </w:r>
    </w:p>
    <w:p w14:paraId="4071E24F" w14:textId="77777777" w:rsidR="00642871" w:rsidRDefault="00642871" w:rsidP="00EC4E91">
      <w:pPr>
        <w:pStyle w:val="P1"/>
        <w:widowControl w:val="0"/>
      </w:pPr>
      <w:r>
        <w:lastRenderedPageBreak/>
        <w:tab/>
        <w:t>(a)</w:t>
      </w:r>
      <w:r>
        <w:tab/>
      </w:r>
      <w:proofErr w:type="gramStart"/>
      <w:r>
        <w:t>within</w:t>
      </w:r>
      <w:proofErr w:type="gramEnd"/>
      <w:r>
        <w:t xml:space="preserve"> 90 days after receiving the application; or</w:t>
      </w:r>
    </w:p>
    <w:p w14:paraId="65B501E0" w14:textId="2CD16989" w:rsidR="00642871" w:rsidRDefault="00642871" w:rsidP="00EC4E91">
      <w:pPr>
        <w:pStyle w:val="P1"/>
        <w:widowControl w:val="0"/>
      </w:pPr>
      <w:r>
        <w:tab/>
        <w:t>(b)</w:t>
      </w:r>
      <w:r>
        <w:tab/>
        <w:t>if the ACMA has asked the person in writing, within the 90 days, to give the ACMA further information about the</w:t>
      </w:r>
      <w:r w:rsidR="008D3213">
        <w:t xml:space="preserve"> </w:t>
      </w:r>
      <w:r>
        <w:t>application — within 90 days after receiving the further information.</w:t>
      </w:r>
    </w:p>
    <w:p w14:paraId="6C15E07D" w14:textId="77777777" w:rsidR="00642871" w:rsidRDefault="00642871" w:rsidP="00EC4E91">
      <w:pPr>
        <w:pStyle w:val="R2"/>
        <w:widowControl w:val="0"/>
      </w:pPr>
      <w:r>
        <w:tab/>
        <w:t>(5)</w:t>
      </w:r>
      <w:r>
        <w:tab/>
        <w:t>If the ACMA does not tell the person about its decision within the appropriate 90 day period under subsection (4), the ACMA is taken to have made a decision under paragraph (1) (b) not to remit any part of the amount of penalty interest.</w:t>
      </w:r>
    </w:p>
    <w:p w14:paraId="1E520DC1" w14:textId="77777777" w:rsidR="00642871" w:rsidRDefault="00642871" w:rsidP="00EC4E91">
      <w:pPr>
        <w:pStyle w:val="HR"/>
        <w:keepNext w:val="0"/>
        <w:widowControl w:val="0"/>
      </w:pPr>
      <w:bookmarkStart w:id="11" w:name="_Toc464452126"/>
      <w:r>
        <w:rPr>
          <w:rStyle w:val="CharSectno"/>
        </w:rPr>
        <w:t>11</w:t>
      </w:r>
      <w:r>
        <w:tab/>
        <w:t>Remission of penalty interest: reasons</w:t>
      </w:r>
      <w:bookmarkEnd w:id="11"/>
    </w:p>
    <w:p w14:paraId="4CE65FC8" w14:textId="77777777" w:rsidR="00642871" w:rsidRDefault="00642871" w:rsidP="00EC4E91">
      <w:pPr>
        <w:pStyle w:val="R1"/>
        <w:widowControl w:val="0"/>
      </w:pPr>
      <w:r>
        <w:tab/>
        <w:t>(1)</w:t>
      </w:r>
      <w:r>
        <w:tab/>
        <w:t>A reason for remission is that the ACMA is satisfied that:</w:t>
      </w:r>
    </w:p>
    <w:p w14:paraId="3CF55E1D" w14:textId="77777777" w:rsidR="00642871" w:rsidRDefault="00642871" w:rsidP="00EC4E91">
      <w:pPr>
        <w:pStyle w:val="P1"/>
        <w:widowControl w:val="0"/>
      </w:pPr>
      <w:r>
        <w:tab/>
        <w:t>(a)</w:t>
      </w:r>
      <w:r>
        <w:tab/>
        <w:t>the circumstances that contributed to the delay in payment of the tax were not due to an act or omission of the person, and were not caused, directly or indirectly, by an act or omission of the person; and</w:t>
      </w:r>
    </w:p>
    <w:p w14:paraId="2C284BF0" w14:textId="77777777" w:rsidR="00642871" w:rsidRDefault="00642871" w:rsidP="00EC4E91">
      <w:pPr>
        <w:pStyle w:val="P1"/>
        <w:widowControl w:val="0"/>
      </w:pPr>
      <w:r>
        <w:tab/>
        <w:t>(b)</w:t>
      </w:r>
      <w:r>
        <w:tab/>
      </w:r>
      <w:proofErr w:type="gramStart"/>
      <w:r>
        <w:t>the</w:t>
      </w:r>
      <w:proofErr w:type="gramEnd"/>
      <w:r>
        <w:t xml:space="preserve"> person has taken reasonable action to mitigate the circumstances or their effects.</w:t>
      </w:r>
    </w:p>
    <w:p w14:paraId="20F60204" w14:textId="77777777" w:rsidR="00642871" w:rsidRDefault="00642871" w:rsidP="00EC4E91">
      <w:pPr>
        <w:pStyle w:val="R2"/>
        <w:widowControl w:val="0"/>
      </w:pPr>
      <w:r>
        <w:tab/>
        <w:t>(2)</w:t>
      </w:r>
      <w:r>
        <w:tab/>
        <w:t>A reason for remission is that the ACMA is satisfied that:</w:t>
      </w:r>
    </w:p>
    <w:p w14:paraId="18B82667" w14:textId="77777777" w:rsidR="00642871" w:rsidRDefault="00642871" w:rsidP="00EC4E91">
      <w:pPr>
        <w:pStyle w:val="P1"/>
        <w:widowControl w:val="0"/>
      </w:pPr>
      <w:r>
        <w:tab/>
        <w:t>(a)</w:t>
      </w:r>
      <w:r>
        <w:tab/>
        <w:t>the circumstances that contributed to the delay in payment of the tax were due to an act or omission of the person, or were caused, directly or indirectly, by an act or omission of the person; and</w:t>
      </w:r>
    </w:p>
    <w:p w14:paraId="6BA5F3D0" w14:textId="77777777" w:rsidR="00642871" w:rsidRDefault="00642871" w:rsidP="00EC4E91">
      <w:pPr>
        <w:pStyle w:val="P1"/>
        <w:widowControl w:val="0"/>
      </w:pPr>
      <w:r>
        <w:tab/>
        <w:t>(b)</w:t>
      </w:r>
      <w:r>
        <w:tab/>
      </w:r>
      <w:proofErr w:type="gramStart"/>
      <w:r>
        <w:t>the</w:t>
      </w:r>
      <w:proofErr w:type="gramEnd"/>
      <w:r>
        <w:t xml:space="preserve"> person has taken reasonable action to mitigate the circumstances or their effects; and</w:t>
      </w:r>
    </w:p>
    <w:p w14:paraId="58876DD2" w14:textId="77777777" w:rsidR="00642871" w:rsidRDefault="00642871" w:rsidP="00EC4E91">
      <w:pPr>
        <w:pStyle w:val="P1"/>
        <w:widowControl w:val="0"/>
      </w:pPr>
      <w:r>
        <w:tab/>
        <w:t>(c)</w:t>
      </w:r>
      <w:r>
        <w:tab/>
      </w:r>
      <w:proofErr w:type="gramStart"/>
      <w:r>
        <w:t>having</w:t>
      </w:r>
      <w:proofErr w:type="gramEnd"/>
      <w:r>
        <w:t xml:space="preserve"> regard to the nature of the circumstances, it would be fair and reasonable to remit all or part of the amount.</w:t>
      </w:r>
    </w:p>
    <w:p w14:paraId="5E8CE37C" w14:textId="77777777" w:rsidR="00642871" w:rsidRDefault="00642871" w:rsidP="00EC4E91">
      <w:pPr>
        <w:pStyle w:val="R2"/>
        <w:widowControl w:val="0"/>
      </w:pPr>
      <w:r>
        <w:tab/>
        <w:t>(3)</w:t>
      </w:r>
      <w:r>
        <w:tab/>
        <w:t>A reason for remission is that the ACMA is satisfied that it is not reasonably practicable to attempt to recover penalty interest.</w:t>
      </w:r>
    </w:p>
    <w:p w14:paraId="5DFFEFDA" w14:textId="77777777" w:rsidR="00642871" w:rsidRDefault="00642871" w:rsidP="00EC4E91">
      <w:pPr>
        <w:pStyle w:val="R2"/>
        <w:widowControl w:val="0"/>
      </w:pPr>
      <w:r>
        <w:tab/>
        <w:t>(4)</w:t>
      </w:r>
      <w:r>
        <w:tab/>
        <w:t>A reason for remission is that the ACMA is satisfied that payment of all or part of the amount would cause, or has caused, financial hardship to the person.</w:t>
      </w:r>
    </w:p>
    <w:p w14:paraId="3EA155F0" w14:textId="77777777" w:rsidR="00642871" w:rsidRDefault="00642871" w:rsidP="00EC4E91">
      <w:pPr>
        <w:pStyle w:val="R2"/>
        <w:widowControl w:val="0"/>
      </w:pPr>
      <w:r>
        <w:tab/>
        <w:t>(5)</w:t>
      </w:r>
      <w:r>
        <w:tab/>
        <w:t>A reason for remission is that the ACMA is satisfied that there are other circumstances by reason of which it would be fair and reasonable to remit all or part of the amount.</w:t>
      </w:r>
    </w:p>
    <w:p w14:paraId="4E6AA690" w14:textId="77777777" w:rsidR="00642871" w:rsidRDefault="00642871" w:rsidP="00EC4E91">
      <w:pPr>
        <w:pStyle w:val="HR"/>
        <w:keepNext w:val="0"/>
        <w:widowControl w:val="0"/>
      </w:pPr>
      <w:bookmarkStart w:id="12" w:name="_Toc464452127"/>
      <w:r>
        <w:rPr>
          <w:rStyle w:val="CharSectno"/>
        </w:rPr>
        <w:t>12</w:t>
      </w:r>
      <w:r>
        <w:tab/>
        <w:t>Remission of penalty interest: statements with decision</w:t>
      </w:r>
      <w:bookmarkEnd w:id="12"/>
    </w:p>
    <w:p w14:paraId="6C84BC00" w14:textId="77777777" w:rsidR="00642871" w:rsidRDefault="00642871" w:rsidP="00EC4E91">
      <w:pPr>
        <w:pStyle w:val="R1"/>
        <w:widowControl w:val="0"/>
      </w:pPr>
      <w:r>
        <w:tab/>
        <w:t>(1)</w:t>
      </w:r>
      <w:r>
        <w:tab/>
        <w:t>If the ACMA makes a decision under subsection 10 (1), the ACMA must give the person who is liable to pay penalty interest the written statements mentioned in this section.</w:t>
      </w:r>
    </w:p>
    <w:p w14:paraId="3B2D3619" w14:textId="77777777" w:rsidR="00642871" w:rsidRDefault="00642871" w:rsidP="00EC4E91">
      <w:pPr>
        <w:pStyle w:val="R2"/>
        <w:widowControl w:val="0"/>
      </w:pPr>
      <w:r>
        <w:tab/>
        <w:t>(2)</w:t>
      </w:r>
      <w:r>
        <w:tab/>
        <w:t>The ACMA must give the person a statement of the decision and the reasons for the decision.</w:t>
      </w:r>
    </w:p>
    <w:p w14:paraId="755CB49C" w14:textId="77777777" w:rsidR="00EC4E91" w:rsidRDefault="00642871" w:rsidP="00EC4E91">
      <w:pPr>
        <w:pStyle w:val="R2"/>
        <w:widowControl w:val="0"/>
        <w:sectPr w:rsidR="00EC4E91" w:rsidSect="00642871">
          <w:headerReference w:type="default" r:id="rId17"/>
          <w:type w:val="continuous"/>
          <w:pgSz w:w="11901" w:h="16840"/>
          <w:pgMar w:top="-1276" w:right="2410" w:bottom="-1560" w:left="2410" w:header="709" w:footer="531" w:gutter="0"/>
          <w:cols w:space="720"/>
        </w:sectPr>
      </w:pPr>
      <w:r>
        <w:tab/>
        <w:t>(3)</w:t>
      </w:r>
      <w:r>
        <w:tab/>
        <w:t xml:space="preserve">The ACMA must also give the person a statement to the effect that the person may apply for reconsideration of the decision if </w:t>
      </w:r>
    </w:p>
    <w:p w14:paraId="50813EB7" w14:textId="4CEB2E51" w:rsidR="00642871" w:rsidRDefault="00642871" w:rsidP="00EC4E91">
      <w:pPr>
        <w:pStyle w:val="R2"/>
        <w:widowControl w:val="0"/>
      </w:pPr>
      <w:proofErr w:type="gramStart"/>
      <w:r>
        <w:lastRenderedPageBreak/>
        <w:t>the</w:t>
      </w:r>
      <w:proofErr w:type="gramEnd"/>
      <w:r>
        <w:t xml:space="preserve"> person is dissatisfied with it.</w:t>
      </w:r>
    </w:p>
    <w:p w14:paraId="5383ECCC" w14:textId="4855E84A" w:rsidR="00642871" w:rsidRDefault="00642871" w:rsidP="00EC4E91">
      <w:pPr>
        <w:pStyle w:val="R2"/>
        <w:widowControl w:val="0"/>
      </w:pPr>
      <w:r>
        <w:tab/>
        <w:t>(4)</w:t>
      </w:r>
      <w:r>
        <w:tab/>
        <w:t>The ACMA must also give the person a statement to the effect that, if the person applies for reconsideration and is dissatisfied</w:t>
      </w:r>
      <w:r w:rsidR="008D3213">
        <w:t xml:space="preserve"> </w:t>
      </w:r>
      <w:r>
        <w:t>with the decision on reconsideration, application may be made to the AAT for review of the decision on reconsideration.</w:t>
      </w:r>
    </w:p>
    <w:p w14:paraId="0720434D" w14:textId="77777777" w:rsidR="00642871" w:rsidRDefault="00642871" w:rsidP="00EC4E91">
      <w:pPr>
        <w:pStyle w:val="R2"/>
        <w:widowControl w:val="0"/>
      </w:pPr>
      <w:r>
        <w:tab/>
        <w:t>(5)</w:t>
      </w:r>
      <w:r>
        <w:tab/>
        <w:t>The validity of the decision is not affected by a failure by the ACMA to comply with subsection (2), (3) or (4).</w:t>
      </w:r>
    </w:p>
    <w:p w14:paraId="7BC297BE" w14:textId="77777777" w:rsidR="00642871" w:rsidRDefault="00642871" w:rsidP="00EC4E91">
      <w:pPr>
        <w:pStyle w:val="HR"/>
        <w:keepNext w:val="0"/>
        <w:widowControl w:val="0"/>
      </w:pPr>
      <w:bookmarkStart w:id="13" w:name="_Toc464452128"/>
      <w:r>
        <w:rPr>
          <w:rStyle w:val="CharSectno"/>
        </w:rPr>
        <w:t>13</w:t>
      </w:r>
      <w:r>
        <w:tab/>
        <w:t>Reconsideration: general</w:t>
      </w:r>
      <w:bookmarkEnd w:id="13"/>
    </w:p>
    <w:p w14:paraId="73444BC2" w14:textId="77777777" w:rsidR="00642871" w:rsidRDefault="00642871" w:rsidP="00EC4E91">
      <w:pPr>
        <w:pStyle w:val="R2"/>
        <w:widowControl w:val="0"/>
      </w:pPr>
      <w:r>
        <w:tab/>
        <w:t>(1)</w:t>
      </w:r>
      <w:r>
        <w:tab/>
        <w:t>A person may apply to the ACMA for reconsideration of a decision of the ACMA under subsection 10 (1) if the person is affected by the decision and dissatisfied with it.</w:t>
      </w:r>
    </w:p>
    <w:p w14:paraId="1E1B3582" w14:textId="77777777" w:rsidR="00642871" w:rsidRDefault="00642871" w:rsidP="00EC4E91">
      <w:pPr>
        <w:pStyle w:val="R2"/>
        <w:widowControl w:val="0"/>
      </w:pPr>
      <w:r>
        <w:tab/>
        <w:t>(2)</w:t>
      </w:r>
      <w:r>
        <w:tab/>
        <w:t>The application must:</w:t>
      </w:r>
    </w:p>
    <w:p w14:paraId="14E08296" w14:textId="77777777" w:rsidR="00642871" w:rsidRDefault="00642871" w:rsidP="00EC4E91">
      <w:pPr>
        <w:pStyle w:val="P1"/>
        <w:widowControl w:val="0"/>
      </w:pPr>
      <w:r>
        <w:tab/>
        <w:t>(a)</w:t>
      </w:r>
      <w:r>
        <w:tab/>
      </w:r>
      <w:proofErr w:type="gramStart"/>
      <w:r>
        <w:t>be</w:t>
      </w:r>
      <w:proofErr w:type="gramEnd"/>
      <w:r>
        <w:t xml:space="preserve"> in a form approved in writing by the ACMA; and</w:t>
      </w:r>
    </w:p>
    <w:p w14:paraId="03FE7D7A" w14:textId="77777777" w:rsidR="00642871" w:rsidRDefault="00642871" w:rsidP="00EC4E91">
      <w:pPr>
        <w:pStyle w:val="P1"/>
        <w:widowControl w:val="0"/>
      </w:pPr>
      <w:r>
        <w:tab/>
        <w:t>(b)</w:t>
      </w:r>
      <w:r>
        <w:tab/>
      </w:r>
      <w:proofErr w:type="gramStart"/>
      <w:r>
        <w:t>set</w:t>
      </w:r>
      <w:proofErr w:type="gramEnd"/>
      <w:r>
        <w:t xml:space="preserve"> out the reasons for the application.</w:t>
      </w:r>
    </w:p>
    <w:p w14:paraId="552061A6" w14:textId="77777777" w:rsidR="00642871" w:rsidRDefault="00642871" w:rsidP="00EC4E91">
      <w:pPr>
        <w:pStyle w:val="R2"/>
        <w:widowControl w:val="0"/>
      </w:pPr>
      <w:r>
        <w:tab/>
        <w:t>(3)</w:t>
      </w:r>
      <w:r>
        <w:tab/>
        <w:t>The application must be made within 28 days after the decision is made.</w:t>
      </w:r>
    </w:p>
    <w:p w14:paraId="564EFD36" w14:textId="77777777" w:rsidR="00642871" w:rsidRDefault="00642871" w:rsidP="00EC4E91">
      <w:pPr>
        <w:pStyle w:val="R2"/>
        <w:widowControl w:val="0"/>
      </w:pPr>
      <w:r>
        <w:tab/>
        <w:t>(4)</w:t>
      </w:r>
      <w:r>
        <w:tab/>
        <w:t>However, if the ACMA extends the period (before or after the end of the 28 days), the application must be made before the end of the extended period.</w:t>
      </w:r>
    </w:p>
    <w:p w14:paraId="2F54EDA4" w14:textId="77777777" w:rsidR="00642871" w:rsidRDefault="00642871" w:rsidP="00EC4E91">
      <w:pPr>
        <w:pStyle w:val="R2"/>
        <w:widowControl w:val="0"/>
      </w:pPr>
      <w:r>
        <w:tab/>
        <w:t>(5)</w:t>
      </w:r>
      <w:r>
        <w:tab/>
        <w:t>An approved form of application may provide for the making of a statutory declaration as part of verifying a statement made in the form.</w:t>
      </w:r>
    </w:p>
    <w:p w14:paraId="682D6B11" w14:textId="77777777" w:rsidR="00642871" w:rsidRDefault="00642871" w:rsidP="00EC4E91">
      <w:pPr>
        <w:pStyle w:val="HR"/>
        <w:keepNext w:val="0"/>
        <w:widowControl w:val="0"/>
      </w:pPr>
      <w:bookmarkStart w:id="14" w:name="_Toc464452129"/>
      <w:r>
        <w:rPr>
          <w:rStyle w:val="CharSectno"/>
        </w:rPr>
        <w:t>14</w:t>
      </w:r>
      <w:r>
        <w:tab/>
        <w:t>Reconsideration: decision</w:t>
      </w:r>
      <w:bookmarkEnd w:id="14"/>
    </w:p>
    <w:p w14:paraId="317157C0" w14:textId="77777777" w:rsidR="00642871" w:rsidRDefault="00642871" w:rsidP="00EC4E91">
      <w:pPr>
        <w:pStyle w:val="R1"/>
        <w:widowControl w:val="0"/>
      </w:pPr>
      <w:r>
        <w:tab/>
        <w:t>(1)</w:t>
      </w:r>
      <w:r>
        <w:tab/>
        <w:t>If the ACMA receives an application for reconsideration that complies with section 13, the ACMA must:</w:t>
      </w:r>
    </w:p>
    <w:p w14:paraId="64401BCB" w14:textId="77777777" w:rsidR="00642871" w:rsidRDefault="00642871" w:rsidP="00EC4E91">
      <w:pPr>
        <w:pStyle w:val="P1"/>
        <w:widowControl w:val="0"/>
      </w:pPr>
      <w:r>
        <w:tab/>
        <w:t>(a)</w:t>
      </w:r>
      <w:r>
        <w:tab/>
      </w:r>
      <w:proofErr w:type="gramStart"/>
      <w:r>
        <w:t>reconsider</w:t>
      </w:r>
      <w:proofErr w:type="gramEnd"/>
      <w:r>
        <w:t xml:space="preserve"> the original decision; and</w:t>
      </w:r>
    </w:p>
    <w:p w14:paraId="0A7719AF" w14:textId="77777777" w:rsidR="00642871" w:rsidRDefault="00642871" w:rsidP="00EC4E91">
      <w:pPr>
        <w:pStyle w:val="P1"/>
        <w:widowControl w:val="0"/>
      </w:pPr>
      <w:r>
        <w:tab/>
        <w:t>(b)</w:t>
      </w:r>
      <w:r>
        <w:tab/>
      </w:r>
      <w:proofErr w:type="gramStart"/>
      <w:r>
        <w:t>decide</w:t>
      </w:r>
      <w:proofErr w:type="gramEnd"/>
      <w:r>
        <w:t xml:space="preserve"> to confirm, vary or revoke the decision.</w:t>
      </w:r>
    </w:p>
    <w:p w14:paraId="1621075F" w14:textId="77777777" w:rsidR="00642871" w:rsidRDefault="00642871" w:rsidP="00EC4E91">
      <w:pPr>
        <w:pStyle w:val="R1"/>
        <w:widowControl w:val="0"/>
      </w:pPr>
      <w:r>
        <w:tab/>
        <w:t>(2)</w:t>
      </w:r>
      <w:r>
        <w:tab/>
        <w:t>The ACMA must make a decision on the application within 90 days after receiving it.</w:t>
      </w:r>
    </w:p>
    <w:p w14:paraId="0C249537" w14:textId="77777777" w:rsidR="00642871" w:rsidRDefault="00642871" w:rsidP="00EC4E91">
      <w:pPr>
        <w:pStyle w:val="R2"/>
        <w:widowControl w:val="0"/>
      </w:pPr>
      <w:r>
        <w:tab/>
        <w:t>(3)</w:t>
      </w:r>
      <w:r>
        <w:tab/>
        <w:t>If the ACMA does not tell the person about its decision within the 90 day period, the ACMA is taken to have made a decision under paragraph (1) (b) to confirm the original decision.</w:t>
      </w:r>
    </w:p>
    <w:p w14:paraId="727D2051" w14:textId="77777777" w:rsidR="00642871" w:rsidRDefault="00642871" w:rsidP="00EC4E91">
      <w:pPr>
        <w:pStyle w:val="HR"/>
        <w:keepNext w:val="0"/>
        <w:widowControl w:val="0"/>
      </w:pPr>
      <w:bookmarkStart w:id="15" w:name="_Toc464452130"/>
      <w:r>
        <w:rPr>
          <w:rStyle w:val="CharSectno"/>
        </w:rPr>
        <w:t>15</w:t>
      </w:r>
      <w:r>
        <w:tab/>
        <w:t>Reconsideration: statements with decision</w:t>
      </w:r>
      <w:bookmarkEnd w:id="15"/>
    </w:p>
    <w:p w14:paraId="454DAC40" w14:textId="77777777" w:rsidR="00642871" w:rsidRDefault="00642871" w:rsidP="00EC4E91">
      <w:pPr>
        <w:pStyle w:val="R1"/>
        <w:widowControl w:val="0"/>
      </w:pPr>
      <w:r>
        <w:tab/>
        <w:t>(1)</w:t>
      </w:r>
      <w:r>
        <w:tab/>
        <w:t>The ACMA must give the person who applied for reconsideration the written statements mentioned in this section.</w:t>
      </w:r>
    </w:p>
    <w:p w14:paraId="16DF318E" w14:textId="77777777" w:rsidR="00EC4E91" w:rsidRDefault="00642871" w:rsidP="00EC4E91">
      <w:pPr>
        <w:pStyle w:val="R2"/>
        <w:widowControl w:val="0"/>
        <w:sectPr w:rsidR="00EC4E91" w:rsidSect="00642871">
          <w:headerReference w:type="default" r:id="rId18"/>
          <w:type w:val="continuous"/>
          <w:pgSz w:w="11901" w:h="16840"/>
          <w:pgMar w:top="-1276" w:right="2410" w:bottom="-1560" w:left="2410" w:header="709" w:footer="531" w:gutter="0"/>
          <w:cols w:space="720"/>
        </w:sectPr>
      </w:pPr>
      <w:r>
        <w:tab/>
        <w:t>(2)</w:t>
      </w:r>
      <w:r>
        <w:tab/>
        <w:t>The ACMA must give the person a statement of the decision.</w:t>
      </w:r>
    </w:p>
    <w:p w14:paraId="4FD5F196" w14:textId="564E59FD" w:rsidR="00642871" w:rsidRDefault="00642871" w:rsidP="00EC4E91">
      <w:pPr>
        <w:pStyle w:val="R2"/>
        <w:widowControl w:val="0"/>
      </w:pPr>
    </w:p>
    <w:p w14:paraId="5DA1D544" w14:textId="24CC8D1D" w:rsidR="00642871" w:rsidRDefault="00642871" w:rsidP="00EC4E91">
      <w:pPr>
        <w:pStyle w:val="R2"/>
        <w:keepNext/>
        <w:keepLines/>
      </w:pPr>
      <w:r>
        <w:lastRenderedPageBreak/>
        <w:tab/>
        <w:t>(3)</w:t>
      </w:r>
      <w:r>
        <w:tab/>
        <w:t>The ACMA must also give the person a statement to the effect that, if the person is dissatisfied with the decision on reconsideration, application may be made to the AAT for review of the decision.</w:t>
      </w:r>
    </w:p>
    <w:p w14:paraId="247F8060" w14:textId="77777777" w:rsidR="00642871" w:rsidRDefault="00642871" w:rsidP="00EC4E91">
      <w:pPr>
        <w:pStyle w:val="R2"/>
        <w:keepNext/>
        <w:keepLines/>
        <w:spacing w:before="0"/>
        <w:sectPr w:rsidR="00642871" w:rsidSect="00642871">
          <w:headerReference w:type="default" r:id="rId19"/>
          <w:type w:val="continuous"/>
          <w:pgSz w:w="11901" w:h="16840"/>
          <w:pgMar w:top="-1276" w:right="2410" w:bottom="-1560" w:left="2410" w:header="709" w:footer="531" w:gutter="0"/>
          <w:cols w:space="720"/>
        </w:sectPr>
      </w:pPr>
      <w:r>
        <w:tab/>
        <w:t>(4)</w:t>
      </w:r>
      <w:r>
        <w:tab/>
        <w:t xml:space="preserve">The ACMA must also give the person a statement to the effect that the person may request a statement under section 28 of the </w:t>
      </w:r>
    </w:p>
    <w:p w14:paraId="4A6CA137" w14:textId="77777777" w:rsidR="00642871" w:rsidRDefault="00642871" w:rsidP="00EC4E91">
      <w:pPr>
        <w:pStyle w:val="R2"/>
        <w:widowControl w:val="0"/>
        <w:tabs>
          <w:tab w:val="clear" w:pos="794"/>
        </w:tabs>
        <w:spacing w:before="0"/>
        <w:ind w:firstLine="0"/>
      </w:pPr>
      <w:r>
        <w:rPr>
          <w:i/>
        </w:rPr>
        <w:lastRenderedPageBreak/>
        <w:t>Administrative Appeals Tribunal Act 1975</w:t>
      </w:r>
      <w:r>
        <w:t xml:space="preserve"> in relation to the decision.</w:t>
      </w:r>
    </w:p>
    <w:p w14:paraId="4471999D" w14:textId="77777777" w:rsidR="00642871" w:rsidRDefault="00642871" w:rsidP="00EC4E91">
      <w:pPr>
        <w:pStyle w:val="R2"/>
        <w:widowControl w:val="0"/>
      </w:pPr>
      <w:r>
        <w:tab/>
        <w:t>(5)</w:t>
      </w:r>
      <w:r>
        <w:tab/>
        <w:t>The validity of the decision is not affected by a failure by the ACMA to comply with subsection (2), (3) or (4).</w:t>
      </w:r>
    </w:p>
    <w:p w14:paraId="551F05AF" w14:textId="77777777" w:rsidR="00642871" w:rsidRDefault="00642871" w:rsidP="00EC4E91">
      <w:pPr>
        <w:pStyle w:val="HR"/>
        <w:keepNext w:val="0"/>
        <w:widowControl w:val="0"/>
      </w:pPr>
      <w:bookmarkStart w:id="16" w:name="_Toc464452131"/>
      <w:r>
        <w:rPr>
          <w:rStyle w:val="CharSectno"/>
        </w:rPr>
        <w:t>16</w:t>
      </w:r>
      <w:r>
        <w:tab/>
        <w:t>Application to AAT</w:t>
      </w:r>
      <w:bookmarkEnd w:id="16"/>
    </w:p>
    <w:p w14:paraId="2229E8C3" w14:textId="77777777" w:rsidR="00642871" w:rsidRDefault="00642871" w:rsidP="00EC4E91">
      <w:pPr>
        <w:pStyle w:val="R1"/>
        <w:widowControl w:val="0"/>
      </w:pPr>
      <w:r>
        <w:tab/>
      </w:r>
      <w:r>
        <w:tab/>
        <w:t>Application may be made to the AAT for review of a decision made by the ACMA under paragraph 14 (1) (b).</w:t>
      </w:r>
    </w:p>
    <w:p w14:paraId="3CD340AE" w14:textId="77777777" w:rsidR="00642871" w:rsidRDefault="00642871" w:rsidP="00EC4E91">
      <w:pPr>
        <w:pStyle w:val="HR"/>
        <w:keepNext w:val="0"/>
        <w:widowControl w:val="0"/>
      </w:pPr>
      <w:bookmarkStart w:id="17" w:name="_Toc464452132"/>
      <w:r>
        <w:rPr>
          <w:rStyle w:val="CharSectno"/>
        </w:rPr>
        <w:t>17</w:t>
      </w:r>
      <w:r>
        <w:tab/>
        <w:t>Judgment for payment of tax and penalty interest only</w:t>
      </w:r>
      <w:bookmarkEnd w:id="17"/>
    </w:p>
    <w:p w14:paraId="0F6523C3" w14:textId="77777777" w:rsidR="00642871" w:rsidRDefault="00642871" w:rsidP="00EC4E91">
      <w:pPr>
        <w:pStyle w:val="R1"/>
        <w:widowControl w:val="0"/>
      </w:pPr>
      <w:r>
        <w:tab/>
        <w:t>(1)</w:t>
      </w:r>
      <w:r>
        <w:tab/>
        <w:t>This section applies if:</w:t>
      </w:r>
    </w:p>
    <w:p w14:paraId="3619AD6F" w14:textId="77777777" w:rsidR="00642871" w:rsidRDefault="00642871" w:rsidP="00EC4E91">
      <w:pPr>
        <w:pStyle w:val="P1"/>
        <w:widowControl w:val="0"/>
      </w:pPr>
      <w:r>
        <w:tab/>
        <w:t>(a)</w:t>
      </w:r>
      <w:r>
        <w:tab/>
      </w:r>
      <w:proofErr w:type="gramStart"/>
      <w:r>
        <w:t>judgment</w:t>
      </w:r>
      <w:proofErr w:type="gramEnd"/>
      <w:r>
        <w:t xml:space="preserve"> is given by, or entered in, a court for the payment of an amount of tax; and</w:t>
      </w:r>
    </w:p>
    <w:p w14:paraId="121F3AA4" w14:textId="77777777" w:rsidR="00642871" w:rsidRDefault="00642871" w:rsidP="00EC4E91">
      <w:pPr>
        <w:pStyle w:val="P1"/>
        <w:widowControl w:val="0"/>
      </w:pPr>
      <w:r>
        <w:tab/>
        <w:t>(b)</w:t>
      </w:r>
      <w:r>
        <w:tab/>
      </w:r>
      <w:proofErr w:type="gramStart"/>
      <w:r>
        <w:t>the</w:t>
      </w:r>
      <w:proofErr w:type="gramEnd"/>
      <w:r>
        <w:t xml:space="preserve"> judgment carries interest.</w:t>
      </w:r>
    </w:p>
    <w:p w14:paraId="53196BB6" w14:textId="77777777" w:rsidR="00642871" w:rsidRDefault="00642871" w:rsidP="00EC4E91">
      <w:pPr>
        <w:pStyle w:val="R2"/>
        <w:widowControl w:val="0"/>
      </w:pPr>
      <w:r>
        <w:tab/>
        <w:t>(2)</w:t>
      </w:r>
      <w:r>
        <w:tab/>
        <w:t>However, this section does not apply if section 18 applies.</w:t>
      </w:r>
    </w:p>
    <w:p w14:paraId="1145FF8F" w14:textId="77777777" w:rsidR="00642871" w:rsidRDefault="00642871" w:rsidP="00EC4E91">
      <w:pPr>
        <w:pStyle w:val="R2"/>
        <w:widowControl w:val="0"/>
      </w:pPr>
      <w:r>
        <w:tab/>
        <w:t>(3)</w:t>
      </w:r>
      <w:r>
        <w:tab/>
        <w:t>Penalty interest is not taken to have ceased to be payable only because of the giving or entering of the judgment.</w:t>
      </w:r>
    </w:p>
    <w:p w14:paraId="4569CDA4" w14:textId="77777777" w:rsidR="00642871" w:rsidRDefault="00642871" w:rsidP="00EC4E91">
      <w:pPr>
        <w:pStyle w:val="R2"/>
        <w:widowControl w:val="0"/>
      </w:pPr>
      <w:r>
        <w:tab/>
        <w:t>(4)</w:t>
      </w:r>
      <w:r>
        <w:tab/>
        <w:t>The penalty interest that would, but for this subsection, be payable is reduced by the amount of the judgment interest.</w:t>
      </w:r>
    </w:p>
    <w:p w14:paraId="0702EB5E" w14:textId="77777777" w:rsidR="00642871" w:rsidRDefault="00642871" w:rsidP="00EC4E91">
      <w:pPr>
        <w:pStyle w:val="HR"/>
        <w:keepNext w:val="0"/>
        <w:widowControl w:val="0"/>
      </w:pPr>
      <w:bookmarkStart w:id="18" w:name="_Toc464452133"/>
      <w:r>
        <w:rPr>
          <w:rStyle w:val="CharSectno"/>
        </w:rPr>
        <w:t>18</w:t>
      </w:r>
      <w:r>
        <w:tab/>
        <w:t>Judgment for payment of tax, penalty interest and other amounts</w:t>
      </w:r>
      <w:bookmarkEnd w:id="18"/>
    </w:p>
    <w:p w14:paraId="160C2003" w14:textId="77777777" w:rsidR="00642871" w:rsidRDefault="00642871" w:rsidP="00EC4E91">
      <w:pPr>
        <w:pStyle w:val="R1"/>
        <w:widowControl w:val="0"/>
      </w:pPr>
      <w:r>
        <w:tab/>
        <w:t>(1)</w:t>
      </w:r>
      <w:r>
        <w:tab/>
        <w:t>This section applies if:</w:t>
      </w:r>
    </w:p>
    <w:p w14:paraId="6A34C2AB" w14:textId="77777777" w:rsidR="00642871" w:rsidRDefault="00642871" w:rsidP="00EC4E91">
      <w:pPr>
        <w:pStyle w:val="P1"/>
        <w:widowControl w:val="0"/>
      </w:pPr>
      <w:r>
        <w:tab/>
        <w:t>(a)</w:t>
      </w:r>
      <w:r>
        <w:tab/>
      </w:r>
      <w:proofErr w:type="gramStart"/>
      <w:r>
        <w:t>judgment</w:t>
      </w:r>
      <w:proofErr w:type="gramEnd"/>
      <w:r>
        <w:t xml:space="preserve"> is given by, or entered in, a court for the payment of an </w:t>
      </w:r>
      <w:r w:rsidRPr="00710802">
        <w:t>amount that includes</w:t>
      </w:r>
      <w:r>
        <w:t xml:space="preserve"> an amount of tax; and</w:t>
      </w:r>
    </w:p>
    <w:p w14:paraId="051D0114" w14:textId="77777777" w:rsidR="00642871" w:rsidRDefault="00642871" w:rsidP="00EC4E91">
      <w:pPr>
        <w:pStyle w:val="P1"/>
        <w:widowControl w:val="0"/>
      </w:pPr>
      <w:r>
        <w:tab/>
        <w:t>(b)</w:t>
      </w:r>
      <w:r>
        <w:tab/>
      </w:r>
      <w:proofErr w:type="gramStart"/>
      <w:r>
        <w:t>the</w:t>
      </w:r>
      <w:proofErr w:type="gramEnd"/>
      <w:r>
        <w:t xml:space="preserve"> judgment carries interest.</w:t>
      </w:r>
    </w:p>
    <w:p w14:paraId="44BEFF68" w14:textId="77777777" w:rsidR="00642871" w:rsidRDefault="00642871" w:rsidP="00EC4E91">
      <w:pPr>
        <w:pStyle w:val="R2"/>
        <w:widowControl w:val="0"/>
      </w:pPr>
      <w:r>
        <w:tab/>
        <w:t>(2)</w:t>
      </w:r>
      <w:r>
        <w:tab/>
        <w:t>Penalty interest is not taken to have ceased to be payable only because of the giving or entering of the judgment.</w:t>
      </w:r>
    </w:p>
    <w:p w14:paraId="04D2AE30" w14:textId="62A9F0E1" w:rsidR="00642871" w:rsidRDefault="00642871" w:rsidP="00EC4E91">
      <w:pPr>
        <w:pStyle w:val="R2"/>
        <w:widowControl w:val="0"/>
      </w:pPr>
      <w:r>
        <w:tab/>
        <w:t>(3)</w:t>
      </w:r>
      <w:r>
        <w:tab/>
        <w:t>The penalty interest that would, but for this subsection, be payable is reduced by</w:t>
      </w:r>
      <w:r w:rsidR="0032690F">
        <w:t xml:space="preserve"> </w:t>
      </w:r>
      <w:r>
        <w:t>an amount that is the same proportion to the amount of the judgment interest as the amount of the tax is to the amount of the judgment debt.</w:t>
      </w:r>
    </w:p>
    <w:p w14:paraId="21711452" w14:textId="77777777" w:rsidR="00642871" w:rsidRDefault="00642871" w:rsidP="00EC4E91">
      <w:pPr>
        <w:pStyle w:val="HR"/>
        <w:keepNext w:val="0"/>
        <w:widowControl w:val="0"/>
      </w:pPr>
      <w:bookmarkStart w:id="19" w:name="_Toc464452134"/>
      <w:r>
        <w:rPr>
          <w:rStyle w:val="CharSectno"/>
        </w:rPr>
        <w:t>19</w:t>
      </w:r>
      <w:r>
        <w:tab/>
        <w:t>Rounding of amount of penalty interest</w:t>
      </w:r>
      <w:bookmarkEnd w:id="19"/>
    </w:p>
    <w:p w14:paraId="2E006AD8" w14:textId="77777777" w:rsidR="00EC4E91" w:rsidRDefault="00642871" w:rsidP="00EC4E91">
      <w:pPr>
        <w:pStyle w:val="R1"/>
        <w:widowControl w:val="0"/>
        <w:sectPr w:rsidR="00EC4E91" w:rsidSect="00642871">
          <w:headerReference w:type="default" r:id="rId20"/>
          <w:type w:val="continuous"/>
          <w:pgSz w:w="11901" w:h="16840"/>
          <w:pgMar w:top="-1276" w:right="2410" w:bottom="-1560" w:left="2410" w:header="709" w:footer="531" w:gutter="0"/>
          <w:cols w:space="720"/>
        </w:sectPr>
      </w:pPr>
      <w:r>
        <w:tab/>
      </w:r>
      <w:r>
        <w:tab/>
        <w:t>If an amount of penalty interest ends in a part of a whole cent, the part of the cent is to be dealt with as follows:</w:t>
      </w:r>
    </w:p>
    <w:p w14:paraId="0A256010" w14:textId="6A2BD111" w:rsidR="00642871" w:rsidRDefault="00642871" w:rsidP="00EC4E91">
      <w:pPr>
        <w:pStyle w:val="R1"/>
        <w:widowControl w:val="0"/>
      </w:pPr>
    </w:p>
    <w:p w14:paraId="56E30A39" w14:textId="77777777" w:rsidR="00642871" w:rsidRDefault="00642871" w:rsidP="00EC4E91">
      <w:pPr>
        <w:pStyle w:val="P1"/>
        <w:widowControl w:val="0"/>
      </w:pPr>
      <w:r>
        <w:tab/>
        <w:t>(a)</w:t>
      </w:r>
      <w:r>
        <w:tab/>
      </w:r>
      <w:proofErr w:type="gramStart"/>
      <w:r>
        <w:t>if</w:t>
      </w:r>
      <w:proofErr w:type="gramEnd"/>
      <w:r>
        <w:t xml:space="preserve"> the part of the cent is at least 0.5 of a cent, it is taken to be rounded up to 1 cent;</w:t>
      </w:r>
    </w:p>
    <w:p w14:paraId="5F0C0053" w14:textId="77777777" w:rsidR="00642871" w:rsidRDefault="00642871" w:rsidP="00EC4E91">
      <w:pPr>
        <w:pStyle w:val="P1"/>
        <w:widowControl w:val="0"/>
      </w:pPr>
      <w:r>
        <w:tab/>
        <w:t>(b)</w:t>
      </w:r>
      <w:r>
        <w:tab/>
      </w:r>
      <w:proofErr w:type="gramStart"/>
      <w:r>
        <w:t>in</w:t>
      </w:r>
      <w:proofErr w:type="gramEnd"/>
      <w:r>
        <w:t xml:space="preserve"> any other case, the part of the cent is to be disregarded.</w:t>
      </w:r>
    </w:p>
    <w:p w14:paraId="6A756543" w14:textId="77777777" w:rsidR="00D05B54" w:rsidRDefault="00D05B54" w:rsidP="00EC4E91">
      <w:pPr>
        <w:widowControl w:val="0"/>
      </w:pPr>
    </w:p>
    <w:sectPr w:rsidR="00D05B54" w:rsidSect="00EC4E91">
      <w:headerReference w:type="default" r:id="rId21"/>
      <w:pgSz w:w="11901" w:h="16840"/>
      <w:pgMar w:top="-1276" w:right="2410" w:bottom="-1560" w:left="2410" w:header="709" w:footer="5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5929" w14:textId="77777777" w:rsidR="004E5D29" w:rsidRDefault="004E5D29" w:rsidP="00642871">
      <w:r>
        <w:separator/>
      </w:r>
    </w:p>
  </w:endnote>
  <w:endnote w:type="continuationSeparator" w:id="0">
    <w:p w14:paraId="363D2D3F" w14:textId="77777777" w:rsidR="004E5D29" w:rsidRDefault="004E5D29" w:rsidP="0064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02E7" w14:textId="77777777" w:rsidR="00F03088" w:rsidRDefault="008177F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AD02" w14:textId="77777777" w:rsidR="00642871" w:rsidRDefault="00642871" w:rsidP="00642871">
    <w:pPr>
      <w:pStyle w:val="Footer"/>
      <w:pBdr>
        <w:top w:val="single" w:sz="4" w:space="1" w:color="auto"/>
      </w:pBdr>
      <w:tabs>
        <w:tab w:val="clear" w:pos="3600"/>
        <w:tab w:val="clear" w:pos="7200"/>
        <w:tab w:val="left" w:pos="1530"/>
      </w:tabs>
      <w:jc w:val="center"/>
      <w:rPr>
        <w:i/>
        <w:sz w:val="18"/>
        <w:szCs w:val="18"/>
      </w:rPr>
    </w:pPr>
    <w:r>
      <w:rPr>
        <w:i/>
        <w:sz w:val="18"/>
        <w:szCs w:val="18"/>
      </w:rPr>
      <w:t xml:space="preserve">Radiocommunications Taxes Collection (Penalties on Unpaid </w:t>
    </w:r>
  </w:p>
  <w:p w14:paraId="3CC814D9" w14:textId="77777777" w:rsidR="00F03088" w:rsidRPr="00642871" w:rsidRDefault="00642871" w:rsidP="00642871">
    <w:pPr>
      <w:pStyle w:val="Footer"/>
      <w:pBdr>
        <w:top w:val="single" w:sz="4" w:space="1" w:color="auto"/>
      </w:pBdr>
      <w:tabs>
        <w:tab w:val="clear" w:pos="3600"/>
        <w:tab w:val="clear" w:pos="7200"/>
        <w:tab w:val="left" w:pos="1530"/>
      </w:tabs>
      <w:jc w:val="center"/>
      <w:rPr>
        <w:i/>
        <w:sz w:val="18"/>
        <w:szCs w:val="18"/>
      </w:rPr>
    </w:pPr>
    <w:r>
      <w:rPr>
        <w:i/>
        <w:sz w:val="18"/>
        <w:szCs w:val="18"/>
      </w:rPr>
      <w:t>Tax) Determination</w:t>
    </w:r>
    <w:r w:rsidRPr="00642871">
      <w:rPr>
        <w:i/>
        <w:sz w:val="18"/>
        <w:szCs w:val="18"/>
      </w:rPr>
      <w:t xml:space="preserve"> 2015</w:t>
    </w:r>
  </w:p>
  <w:p w14:paraId="62D48A9E" w14:textId="77777777" w:rsidR="00642871" w:rsidRPr="00642871" w:rsidRDefault="00642871" w:rsidP="00642871">
    <w:pPr>
      <w:pStyle w:val="Footer"/>
      <w:pBdr>
        <w:top w:val="single" w:sz="4" w:space="1" w:color="auto"/>
      </w:pBdr>
      <w:tabs>
        <w:tab w:val="clear" w:pos="3600"/>
        <w:tab w:val="clear" w:pos="7200"/>
        <w:tab w:val="left" w:pos="1530"/>
      </w:tabs>
      <w:jc w:val="right"/>
      <w:rPr>
        <w:rFonts w:cs="Arial"/>
        <w:sz w:val="20"/>
      </w:rPr>
    </w:pPr>
    <w:r w:rsidRPr="00642871">
      <w:rPr>
        <w:rFonts w:cs="Arial"/>
        <w:sz w:val="20"/>
      </w:rPr>
      <w:fldChar w:fldCharType="begin"/>
    </w:r>
    <w:r w:rsidRPr="00642871">
      <w:rPr>
        <w:rFonts w:cs="Arial"/>
        <w:sz w:val="20"/>
      </w:rPr>
      <w:instrText xml:space="preserve"> PAGE   \* MERGEFORMAT </w:instrText>
    </w:r>
    <w:r w:rsidRPr="00642871">
      <w:rPr>
        <w:rFonts w:cs="Arial"/>
        <w:sz w:val="20"/>
      </w:rPr>
      <w:fldChar w:fldCharType="separate"/>
    </w:r>
    <w:r w:rsidR="00EC4E91">
      <w:rPr>
        <w:rFonts w:cs="Arial"/>
        <w:noProof/>
        <w:sz w:val="20"/>
      </w:rPr>
      <w:t>3</w:t>
    </w:r>
    <w:r w:rsidRPr="00642871">
      <w:rPr>
        <w:rFonts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A7B04" w14:textId="77777777" w:rsidR="00F03088" w:rsidRDefault="008177F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F7BB" w14:textId="77777777" w:rsidR="000F0A3D" w:rsidRDefault="000F0A3D" w:rsidP="00642871">
    <w:pPr>
      <w:pStyle w:val="Footer"/>
      <w:pBdr>
        <w:top w:val="single" w:sz="4" w:space="1" w:color="auto"/>
      </w:pBdr>
      <w:tabs>
        <w:tab w:val="clear" w:pos="3600"/>
        <w:tab w:val="clear" w:pos="7200"/>
        <w:tab w:val="left" w:pos="1530"/>
      </w:tabs>
      <w:jc w:val="center"/>
      <w:rPr>
        <w:i/>
        <w:sz w:val="18"/>
        <w:szCs w:val="18"/>
      </w:rPr>
    </w:pPr>
    <w:r>
      <w:rPr>
        <w:i/>
        <w:sz w:val="18"/>
        <w:szCs w:val="18"/>
      </w:rPr>
      <w:t xml:space="preserve">Radiocommunications Taxes Collection (Penalties on Unpaid </w:t>
    </w:r>
  </w:p>
  <w:p w14:paraId="25A09D19" w14:textId="77777777" w:rsidR="000F0A3D" w:rsidRPr="00642871" w:rsidRDefault="000F0A3D" w:rsidP="00642871">
    <w:pPr>
      <w:pStyle w:val="Footer"/>
      <w:pBdr>
        <w:top w:val="single" w:sz="4" w:space="1" w:color="auto"/>
      </w:pBdr>
      <w:tabs>
        <w:tab w:val="clear" w:pos="3600"/>
        <w:tab w:val="clear" w:pos="7200"/>
        <w:tab w:val="left" w:pos="1530"/>
      </w:tabs>
      <w:jc w:val="center"/>
      <w:rPr>
        <w:i/>
        <w:sz w:val="18"/>
        <w:szCs w:val="18"/>
      </w:rPr>
    </w:pPr>
    <w:r>
      <w:rPr>
        <w:i/>
        <w:sz w:val="18"/>
        <w:szCs w:val="18"/>
      </w:rPr>
      <w:t>Tax) Determination</w:t>
    </w:r>
    <w:r w:rsidRPr="00642871">
      <w:rPr>
        <w:i/>
        <w:sz w:val="18"/>
        <w:szCs w:val="18"/>
      </w:rPr>
      <w:t xml:space="preserve"> 2015</w:t>
    </w:r>
  </w:p>
  <w:p w14:paraId="1DB78B98" w14:textId="77777777" w:rsidR="000F0A3D" w:rsidRPr="00642871" w:rsidRDefault="000F0A3D" w:rsidP="00642871">
    <w:pPr>
      <w:pStyle w:val="Footer"/>
      <w:pBdr>
        <w:top w:val="single" w:sz="4" w:space="1" w:color="auto"/>
      </w:pBdr>
      <w:tabs>
        <w:tab w:val="clear" w:pos="3600"/>
        <w:tab w:val="clear" w:pos="7200"/>
        <w:tab w:val="left" w:pos="1530"/>
      </w:tabs>
      <w:jc w:val="right"/>
      <w:rPr>
        <w:rFonts w:cs="Arial"/>
        <w:sz w:val="20"/>
      </w:rPr>
    </w:pPr>
    <w:r w:rsidRPr="00642871">
      <w:rPr>
        <w:rFonts w:cs="Arial"/>
        <w:sz w:val="20"/>
      </w:rPr>
      <w:fldChar w:fldCharType="begin"/>
    </w:r>
    <w:r w:rsidRPr="00642871">
      <w:rPr>
        <w:rFonts w:cs="Arial"/>
        <w:sz w:val="20"/>
      </w:rPr>
      <w:instrText xml:space="preserve"> PAGE   \* MERGEFORMAT </w:instrText>
    </w:r>
    <w:r w:rsidRPr="00642871">
      <w:rPr>
        <w:rFonts w:cs="Arial"/>
        <w:sz w:val="20"/>
      </w:rPr>
      <w:fldChar w:fldCharType="separate"/>
    </w:r>
    <w:r w:rsidR="008177F1">
      <w:rPr>
        <w:rFonts w:cs="Arial"/>
        <w:noProof/>
        <w:sz w:val="20"/>
      </w:rPr>
      <w:t>7</w:t>
    </w:r>
    <w:r w:rsidRPr="00642871">
      <w:rPr>
        <w:rFonts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B9F46" w14:textId="77777777" w:rsidR="004E5D29" w:rsidRDefault="004E5D29" w:rsidP="00642871">
      <w:r>
        <w:separator/>
      </w:r>
    </w:p>
  </w:footnote>
  <w:footnote w:type="continuationSeparator" w:id="0">
    <w:p w14:paraId="455B2388" w14:textId="77777777" w:rsidR="004E5D29" w:rsidRDefault="004E5D29" w:rsidP="00642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383F" w14:textId="77777777" w:rsidR="00EC4E91" w:rsidRDefault="00EC4E9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3CD0" w14:textId="528261D2" w:rsidR="00EC4E91" w:rsidRPr="000F7A76" w:rsidRDefault="00EC4E9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384E" w14:textId="77777777" w:rsidR="00EC4E91" w:rsidRDefault="00EC4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914C1" w14:textId="77777777" w:rsidR="00EC4E91" w:rsidRDefault="00EC4E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EE00" w14:textId="588A5743" w:rsidR="00642871" w:rsidRPr="000F7A76" w:rsidRDefault="0064287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 xml:space="preserve">ection </w:t>
    </w:r>
    <w:r w:rsidR="00EC4E91">
      <w:rPr>
        <w:rFonts w:ascii="Arial" w:hAnsi="Arial" w:cs="Arial"/>
        <w:b/>
        <w:sz w:val="18"/>
        <w:szCs w:val="18"/>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852B" w14:textId="4B0CEB3F" w:rsidR="00EC4E91" w:rsidRPr="000F7A76" w:rsidRDefault="00EC4E9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EEB9" w14:textId="67BCB150" w:rsidR="00EC4E91" w:rsidRPr="000F7A76" w:rsidRDefault="00EC4E9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9A20" w14:textId="2D351920" w:rsidR="00EC4E91" w:rsidRPr="000F7A76" w:rsidRDefault="00EC4E9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CBCA" w14:textId="32FE8B1E" w:rsidR="00EC4E91" w:rsidRPr="000F7A76" w:rsidRDefault="00EC4E9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A720" w14:textId="77777777" w:rsidR="00642871" w:rsidRPr="000F7A76" w:rsidRDefault="00642871" w:rsidP="000F7A76">
    <w:pPr>
      <w:widowControl w:val="0"/>
      <w:pBdr>
        <w:bottom w:val="single" w:sz="4" w:space="1" w:color="auto"/>
      </w:pBdr>
      <w:tabs>
        <w:tab w:val="center" w:pos="3629"/>
        <w:tab w:val="right" w:pos="7258"/>
      </w:tabs>
      <w:jc w:val="right"/>
      <w:rPr>
        <w:rFonts w:ascii="Arial" w:hAnsi="Arial" w:cs="Arial"/>
        <w:b/>
        <w:sz w:val="18"/>
        <w:szCs w:val="18"/>
      </w:rPr>
    </w:pPr>
    <w:r w:rsidRPr="000F7A76">
      <w:rPr>
        <w:rFonts w:ascii="Arial" w:hAnsi="Arial" w:cs="Arial"/>
        <w:b/>
        <w:sz w:val="18"/>
        <w:szCs w:val="18"/>
      </w:rPr>
      <w:t>S</w:t>
    </w:r>
    <w:r>
      <w:rPr>
        <w:rFonts w:ascii="Arial" w:hAnsi="Arial" w:cs="Arial"/>
        <w:b/>
        <w:sz w:val="18"/>
        <w:szCs w:val="18"/>
      </w:rPr>
      <w:t>ection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71"/>
    <w:rsid w:val="00010D3B"/>
    <w:rsid w:val="000876F8"/>
    <w:rsid w:val="000B3AFD"/>
    <w:rsid w:val="000C24AF"/>
    <w:rsid w:val="000F0A3D"/>
    <w:rsid w:val="00110A0D"/>
    <w:rsid w:val="001276E8"/>
    <w:rsid w:val="001855A9"/>
    <w:rsid w:val="001A1F86"/>
    <w:rsid w:val="00300616"/>
    <w:rsid w:val="0032690F"/>
    <w:rsid w:val="00384EC3"/>
    <w:rsid w:val="003957EA"/>
    <w:rsid w:val="003B2209"/>
    <w:rsid w:val="004B2876"/>
    <w:rsid w:val="004E5D29"/>
    <w:rsid w:val="00586FAC"/>
    <w:rsid w:val="005C251E"/>
    <w:rsid w:val="00623DFD"/>
    <w:rsid w:val="00642871"/>
    <w:rsid w:val="006D7CE0"/>
    <w:rsid w:val="00710802"/>
    <w:rsid w:val="008177F1"/>
    <w:rsid w:val="00853D13"/>
    <w:rsid w:val="008D3213"/>
    <w:rsid w:val="008F3E9E"/>
    <w:rsid w:val="009D5A30"/>
    <w:rsid w:val="00A811B7"/>
    <w:rsid w:val="00AE5914"/>
    <w:rsid w:val="00B97215"/>
    <w:rsid w:val="00C46EAB"/>
    <w:rsid w:val="00CB64F4"/>
    <w:rsid w:val="00D05B54"/>
    <w:rsid w:val="00D7387D"/>
    <w:rsid w:val="00D8391F"/>
    <w:rsid w:val="00E2738F"/>
    <w:rsid w:val="00E97EAC"/>
    <w:rsid w:val="00EC4E91"/>
    <w:rsid w:val="00F9378E"/>
    <w:rsid w:val="00FB65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DE82B2"/>
  <w15:chartTrackingRefBased/>
  <w15:docId w15:val="{BE316D02-E805-467E-9356-F23912B5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71"/>
    <w:rPr>
      <w:rFonts w:eastAsia="Times New Roman"/>
      <w:sz w:val="24"/>
      <w:lang w:eastAsia="en-AU"/>
    </w:rPr>
  </w:style>
  <w:style w:type="paragraph" w:styleId="Heading1">
    <w:name w:val="heading 1"/>
    <w:basedOn w:val="Normal"/>
    <w:next w:val="Normal"/>
    <w:link w:val="Heading1Char"/>
    <w:qFormat/>
    <w:rsid w:val="00384EC3"/>
    <w:pPr>
      <w:keepNext/>
      <w:spacing w:before="240" w:after="60"/>
      <w:outlineLvl w:val="0"/>
    </w:pPr>
    <w:rPr>
      <w:rFonts w:ascii="Arial" w:eastAsiaTheme="minorEastAsia" w:hAnsi="Arial" w:cs="Arial"/>
      <w:b/>
      <w:bCs/>
      <w:kern w:val="32"/>
      <w:sz w:val="32"/>
      <w:szCs w:val="32"/>
    </w:rPr>
  </w:style>
  <w:style w:type="paragraph" w:styleId="Heading2">
    <w:name w:val="heading 2"/>
    <w:basedOn w:val="Normal"/>
    <w:next w:val="Normal"/>
    <w:link w:val="Heading2Char"/>
    <w:qFormat/>
    <w:rsid w:val="00384EC3"/>
    <w:pPr>
      <w:keepNext/>
      <w:spacing w:before="240" w:after="60"/>
      <w:outlineLvl w:val="1"/>
    </w:pPr>
    <w:rPr>
      <w:rFonts w:ascii="Arial" w:eastAsiaTheme="minorEastAsia" w:hAnsi="Arial" w:cs="Arial"/>
      <w:b/>
      <w:bCs/>
      <w:i/>
      <w:iCs/>
      <w:sz w:val="28"/>
      <w:szCs w:val="28"/>
    </w:rPr>
  </w:style>
  <w:style w:type="paragraph" w:styleId="Heading3">
    <w:name w:val="heading 3"/>
    <w:basedOn w:val="Normal"/>
    <w:next w:val="Normal"/>
    <w:link w:val="Heading3Char"/>
    <w:qFormat/>
    <w:rsid w:val="00384EC3"/>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rsid w:val="00384EC3"/>
    <w:pPr>
      <w:keepNext/>
      <w:spacing w:before="240" w:after="60"/>
      <w:outlineLvl w:val="3"/>
    </w:pPr>
    <w:rPr>
      <w:rFonts w:eastAsiaTheme="minorEastAsia"/>
      <w:b/>
      <w:bCs/>
      <w:sz w:val="28"/>
      <w:szCs w:val="28"/>
    </w:rPr>
  </w:style>
  <w:style w:type="paragraph" w:styleId="Heading5">
    <w:name w:val="heading 5"/>
    <w:basedOn w:val="Normal"/>
    <w:next w:val="Normal"/>
    <w:link w:val="Heading5Char"/>
    <w:qFormat/>
    <w:rsid w:val="00384EC3"/>
    <w:p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384EC3"/>
    <w:pPr>
      <w:spacing w:before="240" w:after="60"/>
      <w:outlineLvl w:val="5"/>
    </w:pPr>
    <w:rPr>
      <w:rFonts w:eastAsiaTheme="minorEastAsia"/>
      <w:b/>
      <w:bCs/>
      <w:sz w:val="22"/>
      <w:szCs w:val="22"/>
    </w:rPr>
  </w:style>
  <w:style w:type="paragraph" w:styleId="Heading7">
    <w:name w:val="heading 7"/>
    <w:basedOn w:val="Normal"/>
    <w:next w:val="Normal"/>
    <w:link w:val="Heading7Char"/>
    <w:qFormat/>
    <w:rsid w:val="00384EC3"/>
    <w:pPr>
      <w:spacing w:before="240" w:after="60"/>
      <w:outlineLvl w:val="6"/>
    </w:pPr>
    <w:rPr>
      <w:rFonts w:eastAsiaTheme="minorEastAsia"/>
      <w:szCs w:val="24"/>
    </w:rPr>
  </w:style>
  <w:style w:type="paragraph" w:styleId="Heading8">
    <w:name w:val="heading 8"/>
    <w:basedOn w:val="Normal"/>
    <w:next w:val="Normal"/>
    <w:link w:val="Heading8Char"/>
    <w:qFormat/>
    <w:rsid w:val="00384EC3"/>
    <w:pPr>
      <w:spacing w:before="240" w:after="60"/>
      <w:outlineLvl w:val="7"/>
    </w:pPr>
    <w:rPr>
      <w:rFonts w:eastAsiaTheme="minorEastAsia"/>
      <w:i/>
      <w:iCs/>
      <w:szCs w:val="24"/>
    </w:rPr>
  </w:style>
  <w:style w:type="paragraph" w:styleId="Heading9">
    <w:name w:val="heading 9"/>
    <w:basedOn w:val="Normal"/>
    <w:next w:val="Normal"/>
    <w:link w:val="Heading9Char"/>
    <w:qFormat/>
    <w:rsid w:val="00384EC3"/>
    <w:pPr>
      <w:spacing w:before="240" w:after="60"/>
      <w:outlineLvl w:val="8"/>
    </w:pPr>
    <w:rPr>
      <w:rFonts w:ascii="Arial" w:eastAsiaTheme="min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EC3"/>
    <w:rPr>
      <w:rFonts w:ascii="Arial" w:hAnsi="Arial" w:cs="Arial"/>
      <w:b/>
      <w:bCs/>
      <w:kern w:val="32"/>
      <w:sz w:val="32"/>
      <w:szCs w:val="32"/>
      <w:lang w:eastAsia="en-AU"/>
    </w:rPr>
  </w:style>
  <w:style w:type="character" w:customStyle="1" w:styleId="Heading2Char">
    <w:name w:val="Heading 2 Char"/>
    <w:basedOn w:val="DefaultParagraphFont"/>
    <w:link w:val="Heading2"/>
    <w:rsid w:val="00384EC3"/>
    <w:rPr>
      <w:rFonts w:ascii="Arial" w:hAnsi="Arial" w:cs="Arial"/>
      <w:b/>
      <w:bCs/>
      <w:i/>
      <w:iCs/>
      <w:sz w:val="28"/>
      <w:szCs w:val="28"/>
      <w:lang w:eastAsia="en-AU"/>
    </w:rPr>
  </w:style>
  <w:style w:type="character" w:customStyle="1" w:styleId="Heading3Char">
    <w:name w:val="Heading 3 Char"/>
    <w:basedOn w:val="DefaultParagraphFont"/>
    <w:link w:val="Heading3"/>
    <w:rsid w:val="00384EC3"/>
    <w:rPr>
      <w:rFonts w:ascii="Arial" w:hAnsi="Arial" w:cs="Arial"/>
      <w:b/>
      <w:bCs/>
      <w:sz w:val="26"/>
      <w:szCs w:val="26"/>
      <w:lang w:eastAsia="en-AU"/>
    </w:rPr>
  </w:style>
  <w:style w:type="character" w:customStyle="1" w:styleId="Heading4Char">
    <w:name w:val="Heading 4 Char"/>
    <w:basedOn w:val="DefaultParagraphFont"/>
    <w:link w:val="Heading4"/>
    <w:rsid w:val="00384EC3"/>
    <w:rPr>
      <w:b/>
      <w:bCs/>
      <w:sz w:val="28"/>
      <w:szCs w:val="28"/>
      <w:lang w:eastAsia="en-AU"/>
    </w:rPr>
  </w:style>
  <w:style w:type="character" w:customStyle="1" w:styleId="Heading5Char">
    <w:name w:val="Heading 5 Char"/>
    <w:basedOn w:val="DefaultParagraphFont"/>
    <w:link w:val="Heading5"/>
    <w:rsid w:val="00384EC3"/>
    <w:rPr>
      <w:b/>
      <w:bCs/>
      <w:i/>
      <w:iCs/>
      <w:sz w:val="26"/>
      <w:szCs w:val="26"/>
      <w:lang w:eastAsia="en-AU"/>
    </w:rPr>
  </w:style>
  <w:style w:type="character" w:customStyle="1" w:styleId="Heading6Char">
    <w:name w:val="Heading 6 Char"/>
    <w:basedOn w:val="DefaultParagraphFont"/>
    <w:link w:val="Heading6"/>
    <w:rsid w:val="00384EC3"/>
    <w:rPr>
      <w:b/>
      <w:bCs/>
      <w:sz w:val="22"/>
      <w:szCs w:val="22"/>
      <w:lang w:eastAsia="en-AU"/>
    </w:rPr>
  </w:style>
  <w:style w:type="character" w:customStyle="1" w:styleId="Heading7Char">
    <w:name w:val="Heading 7 Char"/>
    <w:basedOn w:val="DefaultParagraphFont"/>
    <w:link w:val="Heading7"/>
    <w:rsid w:val="00384EC3"/>
    <w:rPr>
      <w:sz w:val="24"/>
      <w:szCs w:val="24"/>
      <w:lang w:eastAsia="en-AU"/>
    </w:rPr>
  </w:style>
  <w:style w:type="character" w:customStyle="1" w:styleId="Heading8Char">
    <w:name w:val="Heading 8 Char"/>
    <w:basedOn w:val="DefaultParagraphFont"/>
    <w:link w:val="Heading8"/>
    <w:rsid w:val="00384EC3"/>
    <w:rPr>
      <w:i/>
      <w:iCs/>
      <w:sz w:val="24"/>
      <w:szCs w:val="24"/>
      <w:lang w:eastAsia="en-AU"/>
    </w:rPr>
  </w:style>
  <w:style w:type="character" w:customStyle="1" w:styleId="Heading9Char">
    <w:name w:val="Heading 9 Char"/>
    <w:basedOn w:val="DefaultParagraphFont"/>
    <w:link w:val="Heading9"/>
    <w:rsid w:val="00384EC3"/>
    <w:rPr>
      <w:rFonts w:ascii="Arial" w:hAnsi="Arial" w:cs="Arial"/>
      <w:sz w:val="22"/>
      <w:szCs w:val="22"/>
      <w:lang w:eastAsia="en-AU"/>
    </w:rPr>
  </w:style>
  <w:style w:type="paragraph" w:styleId="Caption">
    <w:name w:val="caption"/>
    <w:basedOn w:val="Normal"/>
    <w:next w:val="Normal"/>
    <w:qFormat/>
    <w:rsid w:val="00384EC3"/>
    <w:pPr>
      <w:spacing w:before="120" w:after="120"/>
    </w:pPr>
    <w:rPr>
      <w:rFonts w:eastAsiaTheme="minorEastAsia"/>
      <w:b/>
      <w:bCs/>
      <w:sz w:val="20"/>
    </w:rPr>
  </w:style>
  <w:style w:type="paragraph" w:styleId="Title">
    <w:name w:val="Title"/>
    <w:basedOn w:val="Normal"/>
    <w:link w:val="TitleChar"/>
    <w:qFormat/>
    <w:rsid w:val="00384EC3"/>
    <w:pPr>
      <w:spacing w:before="240" w:after="60"/>
    </w:pPr>
    <w:rPr>
      <w:rFonts w:ascii="Arial" w:eastAsiaTheme="minorEastAsia" w:hAnsi="Arial" w:cs="Arial"/>
      <w:b/>
      <w:bCs/>
      <w:sz w:val="40"/>
      <w:szCs w:val="40"/>
    </w:rPr>
  </w:style>
  <w:style w:type="character" w:customStyle="1" w:styleId="TitleChar">
    <w:name w:val="Title Char"/>
    <w:basedOn w:val="DefaultParagraphFont"/>
    <w:link w:val="Title"/>
    <w:rsid w:val="00384EC3"/>
    <w:rPr>
      <w:rFonts w:ascii="Arial" w:hAnsi="Arial" w:cs="Arial"/>
      <w:b/>
      <w:bCs/>
      <w:sz w:val="40"/>
      <w:szCs w:val="40"/>
      <w:lang w:eastAsia="en-AU"/>
    </w:rPr>
  </w:style>
  <w:style w:type="paragraph" w:styleId="Subtitle">
    <w:name w:val="Subtitle"/>
    <w:basedOn w:val="Normal"/>
    <w:link w:val="SubtitleChar"/>
    <w:qFormat/>
    <w:rsid w:val="00384EC3"/>
    <w:pPr>
      <w:spacing w:after="60"/>
      <w:jc w:val="center"/>
      <w:outlineLvl w:val="1"/>
    </w:pPr>
    <w:rPr>
      <w:rFonts w:ascii="Arial" w:eastAsiaTheme="minorEastAsia" w:hAnsi="Arial" w:cs="Arial"/>
      <w:szCs w:val="24"/>
    </w:rPr>
  </w:style>
  <w:style w:type="character" w:customStyle="1" w:styleId="SubtitleChar">
    <w:name w:val="Subtitle Char"/>
    <w:basedOn w:val="DefaultParagraphFont"/>
    <w:link w:val="Subtitle"/>
    <w:rsid w:val="00384EC3"/>
    <w:rPr>
      <w:rFonts w:ascii="Arial" w:hAnsi="Arial" w:cs="Arial"/>
      <w:sz w:val="24"/>
      <w:szCs w:val="24"/>
      <w:lang w:eastAsia="en-AU"/>
    </w:rPr>
  </w:style>
  <w:style w:type="character" w:styleId="Strong">
    <w:name w:val="Strong"/>
    <w:basedOn w:val="DefaultParagraphFont"/>
    <w:qFormat/>
    <w:rsid w:val="00384EC3"/>
    <w:rPr>
      <w:b/>
      <w:bCs/>
    </w:rPr>
  </w:style>
  <w:style w:type="character" w:styleId="Emphasis">
    <w:name w:val="Emphasis"/>
    <w:basedOn w:val="DefaultParagraphFont"/>
    <w:qFormat/>
    <w:rsid w:val="00384EC3"/>
    <w:rPr>
      <w:i/>
      <w:iCs/>
    </w:rPr>
  </w:style>
  <w:style w:type="paragraph" w:customStyle="1" w:styleId="P1">
    <w:name w:val="P1"/>
    <w:aliases w:val="(a)"/>
    <w:basedOn w:val="R1"/>
    <w:rsid w:val="00642871"/>
    <w:pPr>
      <w:tabs>
        <w:tab w:val="clear" w:pos="794"/>
        <w:tab w:val="clear" w:pos="964"/>
        <w:tab w:val="right" w:pos="1191"/>
        <w:tab w:val="left" w:pos="1644"/>
      </w:tabs>
      <w:spacing w:before="60"/>
      <w:ind w:left="1418" w:hanging="1418"/>
    </w:pPr>
  </w:style>
  <w:style w:type="paragraph" w:customStyle="1" w:styleId="R1">
    <w:name w:val="R1"/>
    <w:aliases w:val="1. or 1.(1)"/>
    <w:basedOn w:val="Normal"/>
    <w:next w:val="R2"/>
    <w:rsid w:val="00642871"/>
    <w:pPr>
      <w:tabs>
        <w:tab w:val="right" w:pos="794"/>
        <w:tab w:val="left" w:pos="964"/>
      </w:tabs>
      <w:spacing w:before="120" w:line="260" w:lineRule="exact"/>
      <w:ind w:left="964" w:hanging="964"/>
      <w:jc w:val="both"/>
    </w:pPr>
  </w:style>
  <w:style w:type="paragraph" w:customStyle="1" w:styleId="R2">
    <w:name w:val="R2"/>
    <w:aliases w:val="(2)"/>
    <w:basedOn w:val="R1"/>
    <w:rsid w:val="00642871"/>
    <w:pPr>
      <w:spacing w:before="180"/>
    </w:pPr>
  </w:style>
  <w:style w:type="character" w:customStyle="1" w:styleId="CharSectno">
    <w:name w:val="CharSectno"/>
    <w:rsid w:val="00642871"/>
    <w:rPr>
      <w:rFonts w:ascii="Arial" w:hAnsi="Arial"/>
    </w:rPr>
  </w:style>
  <w:style w:type="paragraph" w:customStyle="1" w:styleId="definition">
    <w:name w:val="definition"/>
    <w:basedOn w:val="Normal"/>
    <w:rsid w:val="00642871"/>
    <w:pPr>
      <w:spacing w:before="80" w:line="260" w:lineRule="exact"/>
      <w:ind w:left="964"/>
      <w:jc w:val="both"/>
    </w:pPr>
  </w:style>
  <w:style w:type="paragraph" w:customStyle="1" w:styleId="HR">
    <w:name w:val="HR"/>
    <w:aliases w:val="Regulation Heading"/>
    <w:basedOn w:val="Normal"/>
    <w:next w:val="R1"/>
    <w:rsid w:val="00642871"/>
    <w:pPr>
      <w:keepNext/>
      <w:spacing w:before="360"/>
      <w:ind w:left="964" w:hanging="964"/>
    </w:pPr>
    <w:rPr>
      <w:rFonts w:ascii="Arial" w:hAnsi="Arial"/>
      <w:b/>
    </w:rPr>
  </w:style>
  <w:style w:type="paragraph" w:styleId="Footer">
    <w:name w:val="footer"/>
    <w:link w:val="FooterChar"/>
    <w:uiPriority w:val="99"/>
    <w:rsid w:val="00642871"/>
    <w:pPr>
      <w:tabs>
        <w:tab w:val="center" w:pos="3600"/>
        <w:tab w:val="right" w:pos="7200"/>
      </w:tabs>
      <w:jc w:val="both"/>
    </w:pPr>
    <w:rPr>
      <w:rFonts w:ascii="Arial" w:eastAsia="Times New Roman" w:hAnsi="Arial"/>
      <w:sz w:val="12"/>
      <w:lang w:eastAsia="en-AU"/>
    </w:rPr>
  </w:style>
  <w:style w:type="character" w:customStyle="1" w:styleId="FooterChar">
    <w:name w:val="Footer Char"/>
    <w:basedOn w:val="DefaultParagraphFont"/>
    <w:link w:val="Footer"/>
    <w:uiPriority w:val="99"/>
    <w:rsid w:val="00642871"/>
    <w:rPr>
      <w:rFonts w:ascii="Arial" w:eastAsia="Times New Roman" w:hAnsi="Arial"/>
      <w:sz w:val="12"/>
      <w:lang w:eastAsia="en-AU"/>
    </w:rPr>
  </w:style>
  <w:style w:type="paragraph" w:styleId="Header">
    <w:name w:val="header"/>
    <w:basedOn w:val="Normal"/>
    <w:link w:val="HeaderChar"/>
    <w:uiPriority w:val="99"/>
    <w:unhideWhenUsed/>
    <w:rsid w:val="00642871"/>
    <w:pPr>
      <w:tabs>
        <w:tab w:val="center" w:pos="4513"/>
        <w:tab w:val="right" w:pos="9026"/>
      </w:tabs>
    </w:pPr>
  </w:style>
  <w:style w:type="character" w:customStyle="1" w:styleId="HeaderChar">
    <w:name w:val="Header Char"/>
    <w:basedOn w:val="DefaultParagraphFont"/>
    <w:link w:val="Header"/>
    <w:uiPriority w:val="99"/>
    <w:rsid w:val="00642871"/>
    <w:rPr>
      <w:rFonts w:eastAsia="Times New Roman"/>
      <w:sz w:val="24"/>
      <w:lang w:eastAsia="en-AU"/>
    </w:rPr>
  </w:style>
  <w:style w:type="paragraph" w:styleId="BalloonText">
    <w:name w:val="Balloon Text"/>
    <w:basedOn w:val="Normal"/>
    <w:link w:val="BalloonTextChar"/>
    <w:uiPriority w:val="99"/>
    <w:semiHidden/>
    <w:unhideWhenUsed/>
    <w:rsid w:val="00087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F8"/>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0876F8"/>
    <w:rPr>
      <w:sz w:val="16"/>
      <w:szCs w:val="16"/>
    </w:rPr>
  </w:style>
  <w:style w:type="paragraph" w:styleId="CommentText">
    <w:name w:val="annotation text"/>
    <w:basedOn w:val="Normal"/>
    <w:link w:val="CommentTextChar"/>
    <w:uiPriority w:val="99"/>
    <w:semiHidden/>
    <w:unhideWhenUsed/>
    <w:rsid w:val="000876F8"/>
    <w:rPr>
      <w:sz w:val="20"/>
    </w:rPr>
  </w:style>
  <w:style w:type="character" w:customStyle="1" w:styleId="CommentTextChar">
    <w:name w:val="Comment Text Char"/>
    <w:basedOn w:val="DefaultParagraphFont"/>
    <w:link w:val="CommentText"/>
    <w:uiPriority w:val="99"/>
    <w:semiHidden/>
    <w:rsid w:val="000876F8"/>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876F8"/>
    <w:rPr>
      <w:b/>
      <w:bCs/>
    </w:rPr>
  </w:style>
  <w:style w:type="character" w:customStyle="1" w:styleId="CommentSubjectChar">
    <w:name w:val="Comment Subject Char"/>
    <w:basedOn w:val="CommentTextChar"/>
    <w:link w:val="CommentSubject"/>
    <w:uiPriority w:val="99"/>
    <w:semiHidden/>
    <w:rsid w:val="000876F8"/>
    <w:rPr>
      <w:rFonts w:eastAsia="Times New Roman"/>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1634-34C1-42FC-922F-C4BA0085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Helen Turnbull</cp:lastModifiedBy>
  <cp:revision>3</cp:revision>
  <dcterms:created xsi:type="dcterms:W3CDTF">2015-02-19T00:48:00Z</dcterms:created>
  <dcterms:modified xsi:type="dcterms:W3CDTF">2015-02-19T00:48:00Z</dcterms:modified>
</cp:coreProperties>
</file>