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B8" w:rsidRPr="005C1660" w:rsidRDefault="00A34AB8" w:rsidP="00A34AB8">
      <w:pPr>
        <w:jc w:val="center"/>
        <w:rPr>
          <w:rFonts w:cs="Arial"/>
          <w:b/>
          <w:i/>
          <w:sz w:val="22"/>
          <w:szCs w:val="22"/>
        </w:rPr>
      </w:pPr>
      <w:r w:rsidRPr="005C1660">
        <w:rPr>
          <w:rFonts w:cs="Arial"/>
          <w:b/>
          <w:sz w:val="22"/>
          <w:szCs w:val="22"/>
          <w:u w:val="single"/>
        </w:rPr>
        <w:t>EXPLANATORY STATEMENT</w:t>
      </w:r>
      <w:r w:rsidRPr="005C1660">
        <w:rPr>
          <w:rFonts w:cs="Arial"/>
          <w:b/>
          <w:sz w:val="22"/>
          <w:szCs w:val="22"/>
          <w:u w:val="single"/>
        </w:rPr>
        <w:br/>
      </w:r>
      <w:r w:rsidRPr="005C1660">
        <w:rPr>
          <w:rFonts w:cs="Arial"/>
          <w:b/>
          <w:sz w:val="22"/>
          <w:szCs w:val="22"/>
          <w:u w:val="single"/>
        </w:rPr>
        <w:br/>
      </w:r>
      <w:r w:rsidRPr="005C1660">
        <w:rPr>
          <w:rFonts w:cs="Arial"/>
          <w:b/>
          <w:i/>
          <w:sz w:val="22"/>
          <w:szCs w:val="22"/>
        </w:rPr>
        <w:t>Telecommunications (Carrier Licence Charges) Act 1997</w:t>
      </w:r>
    </w:p>
    <w:p w:rsidR="00A34AB8" w:rsidRPr="005C1660" w:rsidRDefault="00A34AB8" w:rsidP="00A34AB8">
      <w:pPr>
        <w:spacing w:before="240"/>
        <w:jc w:val="center"/>
        <w:rPr>
          <w:rFonts w:cs="Arial"/>
          <w:b/>
          <w:sz w:val="22"/>
          <w:szCs w:val="22"/>
        </w:rPr>
      </w:pPr>
      <w:r w:rsidRPr="005C1660">
        <w:rPr>
          <w:rFonts w:cs="Arial"/>
          <w:b/>
          <w:sz w:val="22"/>
          <w:szCs w:val="22"/>
        </w:rPr>
        <w:t>Determination under Paragraph 15(1</w:t>
      </w:r>
      <w:proofErr w:type="gramStart"/>
      <w:r w:rsidRPr="005C1660">
        <w:rPr>
          <w:rFonts w:cs="Arial"/>
          <w:b/>
          <w:sz w:val="22"/>
          <w:szCs w:val="22"/>
        </w:rPr>
        <w:t>)(</w:t>
      </w:r>
      <w:proofErr w:type="gramEnd"/>
      <w:r w:rsidRPr="005C1660">
        <w:rPr>
          <w:rFonts w:cs="Arial"/>
          <w:b/>
          <w:sz w:val="22"/>
          <w:szCs w:val="22"/>
        </w:rPr>
        <w:t xml:space="preserve">b) No. 1 of 2015 </w:t>
      </w:r>
    </w:p>
    <w:p w:rsidR="00A34AB8" w:rsidRPr="005C1660" w:rsidRDefault="00A34AB8" w:rsidP="00A34AB8">
      <w:pPr>
        <w:spacing w:before="240"/>
        <w:jc w:val="center"/>
        <w:rPr>
          <w:rFonts w:cs="Arial"/>
          <w:b/>
          <w:sz w:val="22"/>
          <w:szCs w:val="22"/>
        </w:rPr>
      </w:pPr>
      <w:r w:rsidRPr="005C1660">
        <w:rPr>
          <w:rFonts w:cs="Arial"/>
          <w:b/>
          <w:sz w:val="22"/>
          <w:szCs w:val="22"/>
        </w:rPr>
        <w:t>Issued by the Australian Competition &amp; Consumer Commission</w:t>
      </w:r>
      <w:r w:rsidRPr="005C1660">
        <w:rPr>
          <w:rFonts w:cs="Arial"/>
          <w:b/>
          <w:sz w:val="22"/>
          <w:szCs w:val="22"/>
        </w:rPr>
        <w:br/>
      </w:r>
    </w:p>
    <w:p w:rsidR="00A34AB8" w:rsidRPr="005C1660" w:rsidRDefault="00A34AB8" w:rsidP="00A34AB8">
      <w:pPr>
        <w:rPr>
          <w:rFonts w:cs="Arial"/>
          <w:sz w:val="22"/>
          <w:szCs w:val="22"/>
        </w:rPr>
      </w:pPr>
      <w:r w:rsidRPr="005C1660">
        <w:rPr>
          <w:rFonts w:cs="Arial"/>
          <w:b/>
          <w:sz w:val="22"/>
          <w:szCs w:val="22"/>
        </w:rPr>
        <w:t>Legislative Provisions</w:t>
      </w:r>
      <w:r w:rsidRPr="005C1660">
        <w:rPr>
          <w:rFonts w:cs="Arial"/>
          <w:b/>
          <w:sz w:val="22"/>
          <w:szCs w:val="22"/>
        </w:rPr>
        <w:br/>
      </w:r>
      <w:r w:rsidRPr="005C1660">
        <w:rPr>
          <w:rFonts w:cs="Arial"/>
          <w:b/>
          <w:sz w:val="22"/>
          <w:szCs w:val="22"/>
        </w:rPr>
        <w:br/>
      </w:r>
      <w:proofErr w:type="gramStart"/>
      <w:r w:rsidRPr="005C1660">
        <w:rPr>
          <w:rFonts w:cs="Arial"/>
          <w:sz w:val="22"/>
          <w:szCs w:val="22"/>
        </w:rPr>
        <w:t>The</w:t>
      </w:r>
      <w:proofErr w:type="gramEnd"/>
      <w:r w:rsidRPr="005C1660">
        <w:rPr>
          <w:rFonts w:cs="Arial"/>
          <w:sz w:val="22"/>
          <w:szCs w:val="22"/>
        </w:rPr>
        <w:t xml:space="preserve"> </w:t>
      </w:r>
      <w:r w:rsidRPr="005C1660">
        <w:rPr>
          <w:rFonts w:cs="Arial"/>
          <w:i/>
          <w:sz w:val="22"/>
          <w:szCs w:val="22"/>
        </w:rPr>
        <w:t>Telecommunications (Carrier Licence Charges) Act 1997</w:t>
      </w:r>
      <w:r w:rsidRPr="005C1660">
        <w:rPr>
          <w:rFonts w:cs="Arial"/>
          <w:sz w:val="22"/>
          <w:szCs w:val="22"/>
        </w:rPr>
        <w:t xml:space="preserve"> (the Act) sets out the method of calculating annual charges that apply to the carrier licences held by telecommunications carriers.  Subsection 15(1) of the Act provides that the total of charges that are imposed on carrier licences in force at the beginning of a financial year must not exceed the sum of:</w:t>
      </w:r>
    </w:p>
    <w:p w:rsidR="00A34AB8" w:rsidRPr="005C1660" w:rsidRDefault="00A34AB8" w:rsidP="00A34AB8">
      <w:pPr>
        <w:numPr>
          <w:ilvl w:val="0"/>
          <w:numId w:val="37"/>
        </w:numPr>
        <w:spacing w:before="0" w:after="0"/>
        <w:ind w:left="1080" w:hanging="643"/>
        <w:jc w:val="both"/>
        <w:rPr>
          <w:rFonts w:cs="Arial"/>
          <w:sz w:val="22"/>
          <w:szCs w:val="22"/>
        </w:rPr>
      </w:pPr>
      <w:r w:rsidRPr="005C1660">
        <w:rPr>
          <w:rFonts w:cs="Arial"/>
          <w:sz w:val="22"/>
          <w:szCs w:val="22"/>
        </w:rPr>
        <w:t>the amount determined, by a written instrument made by the ACMA, to be the proportion of the ACMA's costs for the immediately preceding financial year that is attributable to the ACMA's telecommunications functions and powers; and</w:t>
      </w:r>
    </w:p>
    <w:p w:rsidR="00A34AB8" w:rsidRPr="005C1660" w:rsidRDefault="00A34AB8" w:rsidP="00A34AB8">
      <w:pPr>
        <w:numPr>
          <w:ilvl w:val="0"/>
          <w:numId w:val="37"/>
        </w:numPr>
        <w:spacing w:before="0" w:after="0"/>
        <w:ind w:left="1080" w:hanging="643"/>
        <w:jc w:val="both"/>
        <w:rPr>
          <w:rFonts w:cs="Arial"/>
          <w:sz w:val="22"/>
          <w:szCs w:val="22"/>
        </w:rPr>
      </w:pPr>
      <w:r w:rsidRPr="005C1660">
        <w:rPr>
          <w:rFonts w:cs="Arial"/>
          <w:sz w:val="22"/>
          <w:szCs w:val="22"/>
        </w:rPr>
        <w:t>the amount determined, by a written instrument made by the ACCC, to be the proportion of the ACCC's costs for the immediately preceding financial year that is attributable to the ACCC's telecommunications functions and powers; and</w:t>
      </w:r>
    </w:p>
    <w:p w:rsidR="00A34AB8" w:rsidRPr="005C1660" w:rsidRDefault="00A34AB8" w:rsidP="00A34AB8">
      <w:pPr>
        <w:numPr>
          <w:ilvl w:val="0"/>
          <w:numId w:val="37"/>
        </w:numPr>
        <w:spacing w:before="0" w:after="0"/>
        <w:ind w:left="1080" w:hanging="643"/>
        <w:jc w:val="both"/>
        <w:rPr>
          <w:rFonts w:cs="Arial"/>
          <w:sz w:val="22"/>
          <w:szCs w:val="22"/>
        </w:rPr>
      </w:pPr>
      <w:r w:rsidRPr="005C1660">
        <w:rPr>
          <w:rFonts w:cs="Arial"/>
          <w:sz w:val="22"/>
          <w:szCs w:val="22"/>
        </w:rPr>
        <w:t>the amount determined, by a written instrument made by the ACMA, to be the proportion of the Commonwealth's contribution to the budget of the International Telecommunication Union for the calendar year in which the beginning of the financial year occurs that is to be recovered from carriers; and</w:t>
      </w:r>
    </w:p>
    <w:p w:rsidR="00A34AB8" w:rsidRPr="005C1660" w:rsidRDefault="00A34AB8" w:rsidP="00A34AB8">
      <w:pPr>
        <w:tabs>
          <w:tab w:val="left" w:pos="1080"/>
        </w:tabs>
        <w:ind w:left="1080" w:hanging="643"/>
        <w:jc w:val="both"/>
        <w:rPr>
          <w:rFonts w:cs="Arial"/>
          <w:sz w:val="22"/>
          <w:szCs w:val="22"/>
        </w:rPr>
      </w:pPr>
      <w:r w:rsidRPr="005C1660">
        <w:rPr>
          <w:rFonts w:cs="Arial"/>
          <w:sz w:val="22"/>
          <w:szCs w:val="22"/>
        </w:rPr>
        <w:t>(ca)</w:t>
      </w:r>
      <w:r w:rsidRPr="005C1660">
        <w:rPr>
          <w:rFonts w:cs="Arial"/>
          <w:sz w:val="22"/>
          <w:szCs w:val="22"/>
        </w:rPr>
        <w:tab/>
        <w:t xml:space="preserve">the amount determined, by a written instrument made by the ACMA, to be the sum of the amounts paid under section 136C of the </w:t>
      </w:r>
      <w:r w:rsidRPr="005C1660">
        <w:rPr>
          <w:rFonts w:cs="Arial"/>
          <w:i/>
          <w:sz w:val="22"/>
          <w:szCs w:val="22"/>
        </w:rPr>
        <w:t>Telecommunications Act 1997</w:t>
      </w:r>
      <w:r w:rsidRPr="005C1660">
        <w:rPr>
          <w:rFonts w:cs="Arial"/>
          <w:sz w:val="22"/>
          <w:szCs w:val="22"/>
        </w:rPr>
        <w:t xml:space="preserve"> during the immediately preceding financial year; and</w:t>
      </w:r>
    </w:p>
    <w:p w:rsidR="00A34AB8" w:rsidRPr="005C1660" w:rsidRDefault="00A34AB8" w:rsidP="00A34AB8">
      <w:pPr>
        <w:numPr>
          <w:ilvl w:val="0"/>
          <w:numId w:val="37"/>
        </w:numPr>
        <w:spacing w:before="0" w:after="0"/>
        <w:ind w:left="1080" w:hanging="643"/>
        <w:jc w:val="both"/>
        <w:rPr>
          <w:rFonts w:cs="Arial"/>
          <w:sz w:val="22"/>
          <w:szCs w:val="22"/>
        </w:rPr>
      </w:pPr>
      <w:proofErr w:type="gramStart"/>
      <w:r w:rsidRPr="005C1660">
        <w:rPr>
          <w:rFonts w:cs="Arial"/>
          <w:sz w:val="22"/>
          <w:szCs w:val="22"/>
        </w:rPr>
        <w:t>the</w:t>
      </w:r>
      <w:proofErr w:type="gramEnd"/>
      <w:r w:rsidRPr="005C1660">
        <w:rPr>
          <w:rFonts w:cs="Arial"/>
          <w:sz w:val="22"/>
          <w:szCs w:val="22"/>
        </w:rPr>
        <w:t xml:space="preserve"> amount determined, in a written instrument made by the Minister, to be the estimated total amount of grants likely to be made during the financial year under section 593 of the </w:t>
      </w:r>
      <w:r w:rsidRPr="005C1660">
        <w:rPr>
          <w:rFonts w:cs="Arial"/>
          <w:i/>
          <w:sz w:val="22"/>
          <w:szCs w:val="22"/>
        </w:rPr>
        <w:t>Telecommunications Act 1997</w:t>
      </w:r>
      <w:r w:rsidRPr="005C1660">
        <w:rPr>
          <w:rFonts w:cs="Arial"/>
          <w:sz w:val="22"/>
          <w:szCs w:val="22"/>
        </w:rPr>
        <w:t>.</w:t>
      </w:r>
    </w:p>
    <w:p w:rsidR="009D6B46" w:rsidRPr="00A34AB8" w:rsidRDefault="00A34AB8" w:rsidP="00A34AB8">
      <w:pPr>
        <w:spacing w:before="0" w:after="0"/>
        <w:rPr>
          <w:rFonts w:cs="Arial"/>
          <w:sz w:val="22"/>
          <w:szCs w:val="22"/>
        </w:rPr>
      </w:pPr>
      <w:r w:rsidRPr="005C1660">
        <w:rPr>
          <w:rFonts w:cs="Arial"/>
          <w:sz w:val="22"/>
          <w:szCs w:val="22"/>
        </w:rPr>
        <w:br/>
        <w:t>Paragraph 15(4)(b) of the Act defines “costs” and provides that in relation to the ACCC, costs means an amount that, in accordance with accrual-based accounting principles, is treated as a cost of the ACCC.  This amount has been calculated in accordance with those principles.</w:t>
      </w:r>
      <w:r w:rsidRPr="005C1660">
        <w:rPr>
          <w:rFonts w:cs="Arial"/>
          <w:sz w:val="22"/>
          <w:szCs w:val="22"/>
        </w:rPr>
        <w:br/>
      </w:r>
      <w:r w:rsidRPr="005C1660">
        <w:rPr>
          <w:rFonts w:cs="Arial"/>
          <w:sz w:val="22"/>
          <w:szCs w:val="22"/>
        </w:rPr>
        <w:br/>
        <w:t xml:space="preserve">A Determination made under subsection 15(1) of the Act is a legislative instrument for the purposes of the </w:t>
      </w:r>
      <w:r w:rsidRPr="005C1660">
        <w:rPr>
          <w:rFonts w:cs="Arial"/>
          <w:i/>
          <w:sz w:val="22"/>
          <w:szCs w:val="22"/>
        </w:rPr>
        <w:t>Legislative Instruments Act 2003</w:t>
      </w:r>
      <w:r w:rsidRPr="005C1660">
        <w:rPr>
          <w:rFonts w:cs="Arial"/>
          <w:sz w:val="22"/>
          <w:szCs w:val="22"/>
        </w:rPr>
        <w:t>.</w:t>
      </w:r>
      <w:r w:rsidRPr="005C1660">
        <w:rPr>
          <w:rFonts w:cs="Arial"/>
          <w:sz w:val="22"/>
          <w:szCs w:val="22"/>
        </w:rPr>
        <w:br/>
      </w:r>
      <w:r w:rsidRPr="005C1660">
        <w:rPr>
          <w:rFonts w:cs="Arial"/>
          <w:sz w:val="22"/>
          <w:szCs w:val="22"/>
        </w:rPr>
        <w:br/>
      </w:r>
      <w:r w:rsidRPr="005C1660">
        <w:rPr>
          <w:rFonts w:cs="Arial"/>
          <w:b/>
          <w:sz w:val="22"/>
          <w:szCs w:val="22"/>
        </w:rPr>
        <w:t>Purpose</w:t>
      </w:r>
      <w:r w:rsidRPr="005C1660">
        <w:rPr>
          <w:rFonts w:cs="Arial"/>
          <w:b/>
          <w:sz w:val="22"/>
          <w:szCs w:val="22"/>
        </w:rPr>
        <w:br/>
      </w:r>
      <w:r w:rsidRPr="005C1660">
        <w:rPr>
          <w:rFonts w:cs="Arial"/>
          <w:b/>
          <w:sz w:val="22"/>
          <w:szCs w:val="22"/>
        </w:rPr>
        <w:br/>
      </w:r>
      <w:r w:rsidRPr="005C1660">
        <w:rPr>
          <w:rFonts w:cs="Arial"/>
          <w:sz w:val="22"/>
          <w:szCs w:val="22"/>
        </w:rPr>
        <w:t>The Determination has been made for the purposes of paragraph 15(1</w:t>
      </w:r>
      <w:proofErr w:type="gramStart"/>
      <w:r w:rsidRPr="005C1660">
        <w:rPr>
          <w:rFonts w:cs="Arial"/>
          <w:sz w:val="22"/>
          <w:szCs w:val="22"/>
        </w:rPr>
        <w:t>)(</w:t>
      </w:r>
      <w:proofErr w:type="gramEnd"/>
      <w:r w:rsidRPr="005C1660">
        <w:rPr>
          <w:rFonts w:cs="Arial"/>
          <w:sz w:val="22"/>
          <w:szCs w:val="22"/>
        </w:rPr>
        <w:t>b) of the Act. The determination provides that $14,974,676 is the amount determined to be the proportion of ACCC’s cost for the 2013-14 financial year that is attributable to the ACCC’s telecommunications functions and powers.</w:t>
      </w:r>
      <w:r w:rsidRPr="005C1660">
        <w:rPr>
          <w:rFonts w:cs="Arial"/>
          <w:sz w:val="22"/>
          <w:szCs w:val="22"/>
        </w:rPr>
        <w:br/>
      </w:r>
      <w:r w:rsidRPr="005C1660">
        <w:rPr>
          <w:rFonts w:cs="Arial"/>
          <w:b/>
          <w:sz w:val="22"/>
          <w:szCs w:val="22"/>
        </w:rPr>
        <w:br/>
        <w:t>Consultation</w:t>
      </w:r>
      <w:bookmarkStart w:id="0" w:name="_GoBack"/>
      <w:bookmarkEnd w:id="0"/>
      <w:r w:rsidRPr="005C1660">
        <w:rPr>
          <w:rFonts w:cs="Arial"/>
          <w:b/>
          <w:sz w:val="22"/>
          <w:szCs w:val="22"/>
        </w:rPr>
        <w:br/>
      </w:r>
      <w:r w:rsidRPr="005C1660">
        <w:rPr>
          <w:rFonts w:cs="Arial"/>
          <w:b/>
          <w:sz w:val="22"/>
          <w:szCs w:val="22"/>
        </w:rPr>
        <w:br/>
      </w:r>
      <w:r w:rsidRPr="005C1660">
        <w:rPr>
          <w:rFonts w:cs="Arial"/>
          <w:sz w:val="22"/>
          <w:szCs w:val="22"/>
        </w:rPr>
        <w:t>The ACCC did not consult in the calculation of the costs that are attributable to the ACCC’s telecommunications functions and powers under paragraph 15(1</w:t>
      </w:r>
      <w:proofErr w:type="gramStart"/>
      <w:r w:rsidRPr="005C1660">
        <w:rPr>
          <w:rFonts w:cs="Arial"/>
          <w:sz w:val="22"/>
          <w:szCs w:val="22"/>
        </w:rPr>
        <w:t>)(</w:t>
      </w:r>
      <w:proofErr w:type="gramEnd"/>
      <w:r w:rsidRPr="005C1660">
        <w:rPr>
          <w:rFonts w:cs="Arial"/>
          <w:sz w:val="22"/>
          <w:szCs w:val="22"/>
        </w:rPr>
        <w:t>b) of the Act.  Consultation was not undertaken as the calculation of costs is based on actual costs incurred directly by the ACCC in undertaking its regulatory role.  This methodology is the same as in prior years.</w:t>
      </w:r>
      <w:r w:rsidRPr="005C1660">
        <w:rPr>
          <w:rFonts w:cs="Arial"/>
          <w:sz w:val="22"/>
          <w:szCs w:val="22"/>
        </w:rPr>
        <w:br/>
      </w:r>
    </w:p>
    <w:sectPr w:rsidR="009D6B46" w:rsidRPr="00A34AB8" w:rsidSect="00A34AB8">
      <w:pgSz w:w="11906" w:h="16838"/>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B8" w:rsidRDefault="00A34AB8" w:rsidP="004B4412">
      <w:pPr>
        <w:spacing w:before="0"/>
      </w:pPr>
      <w:r>
        <w:separator/>
      </w:r>
    </w:p>
  </w:endnote>
  <w:endnote w:type="continuationSeparator" w:id="0">
    <w:p w:rsidR="00A34AB8" w:rsidRDefault="00A34AB8"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B8" w:rsidRDefault="00A34AB8" w:rsidP="004B4412">
      <w:pPr>
        <w:spacing w:before="0"/>
      </w:pPr>
      <w:r>
        <w:separator/>
      </w:r>
    </w:p>
  </w:footnote>
  <w:footnote w:type="continuationSeparator" w:id="0">
    <w:p w:rsidR="00A34AB8" w:rsidRDefault="00A34AB8" w:rsidP="004B44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CCD3A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741816"/>
    <w:lvl w:ilvl="0">
      <w:start w:val="1"/>
      <w:numFmt w:val="lowerLetter"/>
      <w:pStyle w:val="ListNumber2"/>
      <w:lvlText w:val="%1)"/>
      <w:lvlJc w:val="left"/>
      <w:pPr>
        <w:ind w:left="360" w:hanging="360"/>
      </w:p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C004CC0"/>
    <w:lvl w:ilvl="0">
      <w:start w:val="1"/>
      <w:numFmt w:val="decimal"/>
      <w:pStyle w:val="ListNumber"/>
      <w:lvlText w:val="%1."/>
      <w:lvlJc w:val="left"/>
      <w:pPr>
        <w:tabs>
          <w:tab w:val="num" w:pos="360"/>
        </w:tabs>
        <w:ind w:left="360" w:hanging="360"/>
      </w:pPr>
    </w:lvl>
  </w:abstractNum>
  <w:abstractNum w:abstractNumId="9">
    <w:nsid w:val="07E80C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641ED1"/>
    <w:multiLevelType w:val="hybridMultilevel"/>
    <w:tmpl w:val="8520B998"/>
    <w:lvl w:ilvl="0" w:tplc="92E4D2C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DD2542B"/>
    <w:multiLevelType w:val="hybridMultilevel"/>
    <w:tmpl w:val="60FAC388"/>
    <w:lvl w:ilvl="0" w:tplc="50264BE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FC3577"/>
    <w:multiLevelType w:val="multilevel"/>
    <w:tmpl w:val="8AE4EE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3E73B6"/>
    <w:multiLevelType w:val="hybridMultilevel"/>
    <w:tmpl w:val="80220B84"/>
    <w:lvl w:ilvl="0" w:tplc="F5987420">
      <w:start w:val="1"/>
      <w:numFmt w:val="decimal"/>
      <w:pStyle w:val="Numberedlist"/>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nsid w:val="143A16BA"/>
    <w:multiLevelType w:val="hybridMultilevel"/>
    <w:tmpl w:val="B4582D26"/>
    <w:lvl w:ilvl="0" w:tplc="7270CC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9B737F8"/>
    <w:multiLevelType w:val="multilevel"/>
    <w:tmpl w:val="6FB04A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4418" w:hanging="1440"/>
      </w:pPr>
      <w:rPr>
        <w:rFonts w:hint="default"/>
      </w:rPr>
    </w:lvl>
    <w:lvl w:ilvl="8">
      <w:start w:val="1"/>
      <w:numFmt w:val="decimal"/>
      <w:lvlText w:val="%1.%2.%3.%4.%5.%6.%7.%8.%9"/>
      <w:lvlJc w:val="left"/>
      <w:pPr>
        <w:ind w:left="1584" w:hanging="1584"/>
      </w:pPr>
      <w:rPr>
        <w:rFonts w:hint="default"/>
      </w:rPr>
    </w:lvl>
  </w:abstractNum>
  <w:abstractNum w:abstractNumId="16">
    <w:nsid w:val="1AA433CB"/>
    <w:multiLevelType w:val="singleLevel"/>
    <w:tmpl w:val="F1A0227C"/>
    <w:lvl w:ilvl="0">
      <w:start w:val="1"/>
      <w:numFmt w:val="lowerLetter"/>
      <w:lvlText w:val="%1)"/>
      <w:legacy w:legacy="1" w:legacySpace="0" w:legacyIndent="283"/>
      <w:lvlJc w:val="left"/>
      <w:pPr>
        <w:ind w:left="720" w:hanging="283"/>
      </w:pPr>
    </w:lvl>
  </w:abstractNum>
  <w:abstractNum w:abstractNumId="17">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8">
    <w:nsid w:val="20DC4589"/>
    <w:multiLevelType w:val="hybridMultilevel"/>
    <w:tmpl w:val="CE309D86"/>
    <w:lvl w:ilvl="0" w:tplc="272AF908">
      <w:start w:val="1"/>
      <w:numFmt w:val="bullet"/>
      <w:lvlText w:val=""/>
      <w:lvlJc w:val="left"/>
      <w:pPr>
        <w:ind w:left="720" w:hanging="360"/>
      </w:pPr>
      <w:rPr>
        <w:rFonts w:ascii="Symbol" w:hAnsi="Symbol" w:hint="default"/>
      </w:rPr>
    </w:lvl>
    <w:lvl w:ilvl="1" w:tplc="57C8130E" w:tentative="1">
      <w:start w:val="1"/>
      <w:numFmt w:val="bullet"/>
      <w:lvlText w:val="o"/>
      <w:lvlJc w:val="left"/>
      <w:pPr>
        <w:ind w:left="1440" w:hanging="360"/>
      </w:pPr>
      <w:rPr>
        <w:rFonts w:ascii="Courier New" w:hAnsi="Courier New" w:cs="Courier New" w:hint="default"/>
      </w:rPr>
    </w:lvl>
    <w:lvl w:ilvl="2" w:tplc="5C8AAD36" w:tentative="1">
      <w:start w:val="1"/>
      <w:numFmt w:val="bullet"/>
      <w:lvlText w:val=""/>
      <w:lvlJc w:val="left"/>
      <w:pPr>
        <w:ind w:left="2160" w:hanging="360"/>
      </w:pPr>
      <w:rPr>
        <w:rFonts w:ascii="Wingdings" w:hAnsi="Wingdings" w:hint="default"/>
      </w:rPr>
    </w:lvl>
    <w:lvl w:ilvl="3" w:tplc="724C6AB0" w:tentative="1">
      <w:start w:val="1"/>
      <w:numFmt w:val="bullet"/>
      <w:lvlText w:val=""/>
      <w:lvlJc w:val="left"/>
      <w:pPr>
        <w:ind w:left="2880" w:hanging="360"/>
      </w:pPr>
      <w:rPr>
        <w:rFonts w:ascii="Symbol" w:hAnsi="Symbol" w:hint="default"/>
      </w:rPr>
    </w:lvl>
    <w:lvl w:ilvl="4" w:tplc="6FB25FB4" w:tentative="1">
      <w:start w:val="1"/>
      <w:numFmt w:val="bullet"/>
      <w:lvlText w:val="o"/>
      <w:lvlJc w:val="left"/>
      <w:pPr>
        <w:ind w:left="3600" w:hanging="360"/>
      </w:pPr>
      <w:rPr>
        <w:rFonts w:ascii="Courier New" w:hAnsi="Courier New" w:cs="Courier New" w:hint="default"/>
      </w:rPr>
    </w:lvl>
    <w:lvl w:ilvl="5" w:tplc="F5C2DFB0" w:tentative="1">
      <w:start w:val="1"/>
      <w:numFmt w:val="bullet"/>
      <w:lvlText w:val=""/>
      <w:lvlJc w:val="left"/>
      <w:pPr>
        <w:ind w:left="4320" w:hanging="360"/>
      </w:pPr>
      <w:rPr>
        <w:rFonts w:ascii="Wingdings" w:hAnsi="Wingdings" w:hint="default"/>
      </w:rPr>
    </w:lvl>
    <w:lvl w:ilvl="6" w:tplc="E8EC3EF6" w:tentative="1">
      <w:start w:val="1"/>
      <w:numFmt w:val="bullet"/>
      <w:lvlText w:val=""/>
      <w:lvlJc w:val="left"/>
      <w:pPr>
        <w:ind w:left="5040" w:hanging="360"/>
      </w:pPr>
      <w:rPr>
        <w:rFonts w:ascii="Symbol" w:hAnsi="Symbol" w:hint="default"/>
      </w:rPr>
    </w:lvl>
    <w:lvl w:ilvl="7" w:tplc="B2DE8D52" w:tentative="1">
      <w:start w:val="1"/>
      <w:numFmt w:val="bullet"/>
      <w:lvlText w:val="o"/>
      <w:lvlJc w:val="left"/>
      <w:pPr>
        <w:ind w:left="5760" w:hanging="360"/>
      </w:pPr>
      <w:rPr>
        <w:rFonts w:ascii="Courier New" w:hAnsi="Courier New" w:cs="Courier New" w:hint="default"/>
      </w:rPr>
    </w:lvl>
    <w:lvl w:ilvl="8" w:tplc="1C986682" w:tentative="1">
      <w:start w:val="1"/>
      <w:numFmt w:val="bullet"/>
      <w:lvlText w:val=""/>
      <w:lvlJc w:val="left"/>
      <w:pPr>
        <w:ind w:left="6480" w:hanging="360"/>
      </w:pPr>
      <w:rPr>
        <w:rFonts w:ascii="Wingdings" w:hAnsi="Wingdings" w:hint="default"/>
      </w:rPr>
    </w:lvl>
  </w:abstractNum>
  <w:abstractNum w:abstractNumId="19">
    <w:nsid w:val="238563B5"/>
    <w:multiLevelType w:val="multilevel"/>
    <w:tmpl w:val="7DF81E34"/>
    <w:lvl w:ilvl="0">
      <w:start w:val="1"/>
      <w:numFmt w:val="lowerLetter"/>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24E259F"/>
    <w:multiLevelType w:val="hybridMultilevel"/>
    <w:tmpl w:val="DF0C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18074A"/>
    <w:multiLevelType w:val="hybridMultilevel"/>
    <w:tmpl w:val="C8E20904"/>
    <w:lvl w:ilvl="0" w:tplc="0C090001">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nsid w:val="429046A0"/>
    <w:multiLevelType w:val="multilevel"/>
    <w:tmpl w:val="9A30B4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065F76"/>
    <w:multiLevelType w:val="hybridMultilevel"/>
    <w:tmpl w:val="68D2BB3C"/>
    <w:lvl w:ilvl="0" w:tplc="A5BC9C30">
      <w:start w:val="1"/>
      <w:numFmt w:val="lowerLetter"/>
      <w:lvlText w:val="%1)"/>
      <w:lvlJc w:val="left"/>
      <w:pPr>
        <w:ind w:left="1003" w:hanging="360"/>
      </w:pPr>
    </w:lvl>
    <w:lvl w:ilvl="1" w:tplc="394A4642" w:tentative="1">
      <w:start w:val="1"/>
      <w:numFmt w:val="lowerLetter"/>
      <w:lvlText w:val="%2."/>
      <w:lvlJc w:val="left"/>
      <w:pPr>
        <w:ind w:left="1723" w:hanging="360"/>
      </w:pPr>
    </w:lvl>
    <w:lvl w:ilvl="2" w:tplc="DA3E1F4A" w:tentative="1">
      <w:start w:val="1"/>
      <w:numFmt w:val="lowerRoman"/>
      <w:lvlText w:val="%3."/>
      <w:lvlJc w:val="right"/>
      <w:pPr>
        <w:ind w:left="2443" w:hanging="180"/>
      </w:pPr>
    </w:lvl>
    <w:lvl w:ilvl="3" w:tplc="999EE412" w:tentative="1">
      <w:start w:val="1"/>
      <w:numFmt w:val="decimal"/>
      <w:lvlText w:val="%4."/>
      <w:lvlJc w:val="left"/>
      <w:pPr>
        <w:ind w:left="3163" w:hanging="360"/>
      </w:pPr>
    </w:lvl>
    <w:lvl w:ilvl="4" w:tplc="0C7C376E" w:tentative="1">
      <w:start w:val="1"/>
      <w:numFmt w:val="lowerLetter"/>
      <w:lvlText w:val="%5."/>
      <w:lvlJc w:val="left"/>
      <w:pPr>
        <w:ind w:left="3883" w:hanging="360"/>
      </w:pPr>
    </w:lvl>
    <w:lvl w:ilvl="5" w:tplc="C5F85718" w:tentative="1">
      <w:start w:val="1"/>
      <w:numFmt w:val="lowerRoman"/>
      <w:lvlText w:val="%6."/>
      <w:lvlJc w:val="right"/>
      <w:pPr>
        <w:ind w:left="4603" w:hanging="180"/>
      </w:pPr>
    </w:lvl>
    <w:lvl w:ilvl="6" w:tplc="A13E5A62" w:tentative="1">
      <w:start w:val="1"/>
      <w:numFmt w:val="decimal"/>
      <w:lvlText w:val="%7."/>
      <w:lvlJc w:val="left"/>
      <w:pPr>
        <w:ind w:left="5323" w:hanging="360"/>
      </w:pPr>
    </w:lvl>
    <w:lvl w:ilvl="7" w:tplc="DFD8E418" w:tentative="1">
      <w:start w:val="1"/>
      <w:numFmt w:val="lowerLetter"/>
      <w:lvlText w:val="%8."/>
      <w:lvlJc w:val="left"/>
      <w:pPr>
        <w:ind w:left="6043" w:hanging="360"/>
      </w:pPr>
    </w:lvl>
    <w:lvl w:ilvl="8" w:tplc="1030601A" w:tentative="1">
      <w:start w:val="1"/>
      <w:numFmt w:val="lowerRoman"/>
      <w:lvlText w:val="%9."/>
      <w:lvlJc w:val="right"/>
      <w:pPr>
        <w:ind w:left="6763" w:hanging="180"/>
      </w:pPr>
    </w:lvl>
  </w:abstractNum>
  <w:abstractNum w:abstractNumId="25">
    <w:nsid w:val="461B4F41"/>
    <w:multiLevelType w:val="hybridMultilevel"/>
    <w:tmpl w:val="7B5014C4"/>
    <w:lvl w:ilvl="0" w:tplc="50264B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A0A18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DFC74D7"/>
    <w:multiLevelType w:val="multilevel"/>
    <w:tmpl w:val="D22EEB40"/>
    <w:lvl w:ilvl="0">
      <w:start w:val="1"/>
      <w:numFmt w:val="decimal"/>
      <w:lvlText w:val="%1."/>
      <w:lvlJc w:val="left"/>
      <w:pPr>
        <w:ind w:left="720" w:hanging="360"/>
      </w:pPr>
      <w:rPr>
        <w:rFonts w:hint="default"/>
      </w:rPr>
    </w:lvl>
    <w:lvl w:ilvl="1">
      <w:start w:val="1"/>
      <w:numFmt w:val="decimal"/>
      <w:lvlText w:val="%1.%2."/>
      <w:lvlJc w:val="left"/>
      <w:pPr>
        <w:ind w:left="964" w:hanging="96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7384C50"/>
    <w:multiLevelType w:val="hybridMultilevel"/>
    <w:tmpl w:val="45CCF906"/>
    <w:lvl w:ilvl="0" w:tplc="8FF07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87C44DB"/>
    <w:multiLevelType w:val="hybridMultilevel"/>
    <w:tmpl w:val="A0E28A08"/>
    <w:lvl w:ilvl="0" w:tplc="CA9431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5C457CB"/>
    <w:multiLevelType w:val="hybridMultilevel"/>
    <w:tmpl w:val="8FC6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2">
    <w:nsid w:val="68D461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EB6145"/>
    <w:multiLevelType w:val="hybridMultilevel"/>
    <w:tmpl w:val="DCB0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15"/>
  </w:num>
  <w:num w:numId="3">
    <w:abstractNumId w:val="13"/>
  </w:num>
  <w:num w:numId="4">
    <w:abstractNumId w:val="32"/>
  </w:num>
  <w:num w:numId="5">
    <w:abstractNumId w:val="12"/>
  </w:num>
  <w:num w:numId="6">
    <w:abstractNumId w:val="23"/>
  </w:num>
  <w:num w:numId="7">
    <w:abstractNumId w:val="3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24"/>
  </w:num>
  <w:num w:numId="19">
    <w:abstractNumId w:val="15"/>
    <w:lvlOverride w:ilvl="0">
      <w:startOverride w:val="1"/>
    </w:lvlOverride>
  </w:num>
  <w:num w:numId="20">
    <w:abstractNumId w:val="20"/>
  </w:num>
  <w:num w:numId="21">
    <w:abstractNumId w:val="22"/>
  </w:num>
  <w:num w:numId="22">
    <w:abstractNumId w:val="18"/>
  </w:num>
  <w:num w:numId="23">
    <w:abstractNumId w:val="30"/>
  </w:num>
  <w:num w:numId="24">
    <w:abstractNumId w:val="33"/>
  </w:num>
  <w:num w:numId="25">
    <w:abstractNumId w:val="29"/>
  </w:num>
  <w:num w:numId="26">
    <w:abstractNumId w:val="14"/>
  </w:num>
  <w:num w:numId="27">
    <w:abstractNumId w:val="10"/>
  </w:num>
  <w:num w:numId="28">
    <w:abstractNumId w:val="21"/>
  </w:num>
  <w:num w:numId="29">
    <w:abstractNumId w:val="11"/>
  </w:num>
  <w:num w:numId="30">
    <w:abstractNumId w:val="25"/>
  </w:num>
  <w:num w:numId="31">
    <w:abstractNumId w:val="9"/>
  </w:num>
  <w:num w:numId="32">
    <w:abstractNumId w:val="17"/>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1"/>
  </w:docVars>
  <w:rsids>
    <w:rsidRoot w:val="00A34AB8"/>
    <w:rsid w:val="00021202"/>
    <w:rsid w:val="0003578C"/>
    <w:rsid w:val="00063247"/>
    <w:rsid w:val="00070F9F"/>
    <w:rsid w:val="0007137B"/>
    <w:rsid w:val="00085663"/>
    <w:rsid w:val="00085EBF"/>
    <w:rsid w:val="000D122C"/>
    <w:rsid w:val="000E1819"/>
    <w:rsid w:val="000E6C72"/>
    <w:rsid w:val="00116EB2"/>
    <w:rsid w:val="00124609"/>
    <w:rsid w:val="001573E4"/>
    <w:rsid w:val="00160756"/>
    <w:rsid w:val="0017232E"/>
    <w:rsid w:val="00174102"/>
    <w:rsid w:val="00180157"/>
    <w:rsid w:val="00186F77"/>
    <w:rsid w:val="001926A4"/>
    <w:rsid w:val="001B45A0"/>
    <w:rsid w:val="001D055E"/>
    <w:rsid w:val="001F492E"/>
    <w:rsid w:val="001F6DA3"/>
    <w:rsid w:val="00224DB9"/>
    <w:rsid w:val="00251745"/>
    <w:rsid w:val="00263AC0"/>
    <w:rsid w:val="0026772D"/>
    <w:rsid w:val="00286874"/>
    <w:rsid w:val="00296B65"/>
    <w:rsid w:val="002A7DEF"/>
    <w:rsid w:val="002F7986"/>
    <w:rsid w:val="00307F6D"/>
    <w:rsid w:val="003177A2"/>
    <w:rsid w:val="003271B5"/>
    <w:rsid w:val="00331264"/>
    <w:rsid w:val="00334C8D"/>
    <w:rsid w:val="003518B3"/>
    <w:rsid w:val="003846F1"/>
    <w:rsid w:val="00480B4B"/>
    <w:rsid w:val="00485DC4"/>
    <w:rsid w:val="004B4412"/>
    <w:rsid w:val="004C348C"/>
    <w:rsid w:val="004D55BA"/>
    <w:rsid w:val="00530128"/>
    <w:rsid w:val="00532467"/>
    <w:rsid w:val="00564A4D"/>
    <w:rsid w:val="00571B35"/>
    <w:rsid w:val="00577A09"/>
    <w:rsid w:val="00584D8F"/>
    <w:rsid w:val="005A404D"/>
    <w:rsid w:val="005B1E3C"/>
    <w:rsid w:val="005C26CC"/>
    <w:rsid w:val="00615C6B"/>
    <w:rsid w:val="00632D6D"/>
    <w:rsid w:val="00642C3E"/>
    <w:rsid w:val="00663DAD"/>
    <w:rsid w:val="00676679"/>
    <w:rsid w:val="006B4CF9"/>
    <w:rsid w:val="006B7AC8"/>
    <w:rsid w:val="006D550F"/>
    <w:rsid w:val="00701CAB"/>
    <w:rsid w:val="00707563"/>
    <w:rsid w:val="0072348C"/>
    <w:rsid w:val="00724A37"/>
    <w:rsid w:val="007303C3"/>
    <w:rsid w:val="00743223"/>
    <w:rsid w:val="00746E01"/>
    <w:rsid w:val="00763E5D"/>
    <w:rsid w:val="00767740"/>
    <w:rsid w:val="00777EE6"/>
    <w:rsid w:val="00782EEA"/>
    <w:rsid w:val="007B2C72"/>
    <w:rsid w:val="007C1C53"/>
    <w:rsid w:val="007E4904"/>
    <w:rsid w:val="007E4CB5"/>
    <w:rsid w:val="007F066B"/>
    <w:rsid w:val="008033C4"/>
    <w:rsid w:val="00806C88"/>
    <w:rsid w:val="0081034E"/>
    <w:rsid w:val="008344F6"/>
    <w:rsid w:val="0083510F"/>
    <w:rsid w:val="00851209"/>
    <w:rsid w:val="008837AC"/>
    <w:rsid w:val="008A587D"/>
    <w:rsid w:val="008C5486"/>
    <w:rsid w:val="008E7031"/>
    <w:rsid w:val="009233EE"/>
    <w:rsid w:val="009661DE"/>
    <w:rsid w:val="009856B7"/>
    <w:rsid w:val="009B74B0"/>
    <w:rsid w:val="009D6B46"/>
    <w:rsid w:val="009F4940"/>
    <w:rsid w:val="00A34AB8"/>
    <w:rsid w:val="00A4478A"/>
    <w:rsid w:val="00A44852"/>
    <w:rsid w:val="00A57D04"/>
    <w:rsid w:val="00A60A26"/>
    <w:rsid w:val="00A61598"/>
    <w:rsid w:val="00A84F46"/>
    <w:rsid w:val="00A871F4"/>
    <w:rsid w:val="00AC1B2C"/>
    <w:rsid w:val="00AC3264"/>
    <w:rsid w:val="00AE1BF1"/>
    <w:rsid w:val="00AF0DD2"/>
    <w:rsid w:val="00B13048"/>
    <w:rsid w:val="00B1716D"/>
    <w:rsid w:val="00B17A1D"/>
    <w:rsid w:val="00B207A0"/>
    <w:rsid w:val="00B56E03"/>
    <w:rsid w:val="00B8080B"/>
    <w:rsid w:val="00B87C39"/>
    <w:rsid w:val="00BA4665"/>
    <w:rsid w:val="00BB2FB2"/>
    <w:rsid w:val="00BB3304"/>
    <w:rsid w:val="00BD3446"/>
    <w:rsid w:val="00BE1F1B"/>
    <w:rsid w:val="00BE47B5"/>
    <w:rsid w:val="00C538A9"/>
    <w:rsid w:val="00C53B5A"/>
    <w:rsid w:val="00C54F5A"/>
    <w:rsid w:val="00C86679"/>
    <w:rsid w:val="00CB666B"/>
    <w:rsid w:val="00D01CF0"/>
    <w:rsid w:val="00D0442A"/>
    <w:rsid w:val="00D61388"/>
    <w:rsid w:val="00D61A54"/>
    <w:rsid w:val="00D64DEA"/>
    <w:rsid w:val="00D80893"/>
    <w:rsid w:val="00D92CF1"/>
    <w:rsid w:val="00D92D38"/>
    <w:rsid w:val="00D950F5"/>
    <w:rsid w:val="00DB0F93"/>
    <w:rsid w:val="00DC7981"/>
    <w:rsid w:val="00DE4EFA"/>
    <w:rsid w:val="00DE5520"/>
    <w:rsid w:val="00E04818"/>
    <w:rsid w:val="00E06442"/>
    <w:rsid w:val="00E23993"/>
    <w:rsid w:val="00E25B8C"/>
    <w:rsid w:val="00E65C85"/>
    <w:rsid w:val="00E66199"/>
    <w:rsid w:val="00E755EC"/>
    <w:rsid w:val="00E7624D"/>
    <w:rsid w:val="00EA3D42"/>
    <w:rsid w:val="00EA6B1B"/>
    <w:rsid w:val="00EE28F3"/>
    <w:rsid w:val="00EF5110"/>
    <w:rsid w:val="00F15882"/>
    <w:rsid w:val="00F20BD3"/>
    <w:rsid w:val="00F373A5"/>
    <w:rsid w:val="00F47559"/>
    <w:rsid w:val="00F64C7B"/>
    <w:rsid w:val="00F676DD"/>
    <w:rsid w:val="00F75A26"/>
    <w:rsid w:val="00F83FAD"/>
    <w:rsid w:val="00F952A0"/>
    <w:rsid w:val="00FA3C7F"/>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A34AB8"/>
    <w:pPr>
      <w:spacing w:before="120" w:after="120"/>
    </w:pPr>
    <w:rPr>
      <w:rFonts w:ascii="Arial" w:eastAsia="Times New Roman" w:hAnsi="Arial" w:cs="Times New Roman"/>
      <w:sz w:val="20"/>
      <w:szCs w:val="24"/>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basedOn w:val="Normal"/>
    <w:next w:val="Normal"/>
    <w:link w:val="Heading9Char"/>
    <w:uiPriority w:val="2"/>
    <w:qFormat/>
    <w:rsid w:val="009D6B46"/>
    <w:pPr>
      <w:spacing w:before="240"/>
      <w:outlineLvl w:val="8"/>
    </w:pPr>
    <w:rPr>
      <w:rFonts w:eastAsiaTheme="majorEastAsia" w:cstheme="majorBidi"/>
      <w:i/>
      <w:iCs/>
      <w:color w:val="51626F"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pPr>
    <w:rPr>
      <w:rFonts w:ascii="Lucida Fax" w:hAnsi="Lucida Fax"/>
      <w:color w:val="4F2D7F"/>
      <w:sz w:val="72"/>
      <w:szCs w:val="56"/>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after="60"/>
    </w:p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pPr>
      <w:spacing w:before="0"/>
    </w:pPr>
    <w:rPr>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contextualSpacing/>
    </w:pPr>
    <w:rPr>
      <w:rFonts w:ascii="Lucida Fax" w:hAnsi="Lucida Fax"/>
      <w:b/>
      <w:color w:val="DC5034"/>
      <w:sz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ind w:left="357" w:hanging="357"/>
    </w:pPr>
  </w:style>
  <w:style w:type="paragraph" w:styleId="ListBullet">
    <w:name w:val="List Bullet"/>
    <w:basedOn w:val="Normal"/>
    <w:uiPriority w:val="99"/>
    <w:unhideWhenUsed/>
    <w:rsid w:val="008033C4"/>
    <w:pPr>
      <w:numPr>
        <w:numId w:val="28"/>
      </w:numPr>
      <w:ind w:left="357" w:hanging="357"/>
    </w:p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ind w:left="357" w:hanging="357"/>
    </w:pPr>
    <w:rPr>
      <w:color w:val="000000" w:themeColor="text1" w:themeShade="BF"/>
    </w:rPr>
  </w:style>
  <w:style w:type="paragraph" w:styleId="ListBullet2">
    <w:name w:val="List Bullet 2"/>
    <w:basedOn w:val="Normal"/>
    <w:uiPriority w:val="99"/>
    <w:unhideWhenUsed/>
    <w:rsid w:val="008033C4"/>
    <w:pPr>
      <w:numPr>
        <w:numId w:val="8"/>
      </w:numPr>
      <w:ind w:left="641" w:hanging="357"/>
    </w:pPr>
  </w:style>
  <w:style w:type="paragraph" w:styleId="TOCHeading">
    <w:name w:val="TOC Heading"/>
    <w:basedOn w:val="Normal"/>
    <w:next w:val="Normal"/>
    <w:uiPriority w:val="39"/>
    <w:qFormat/>
    <w:rsid w:val="00E04818"/>
    <w:pPr>
      <w:spacing w:before="480" w:line="276" w:lineRule="auto"/>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ind w:left="714" w:hanging="357"/>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615C6B"/>
    <w:pPr>
      <w:spacing w:before="60"/>
    </w:pPr>
    <w:rPr>
      <w:sz w:val="16"/>
      <w:szCs w:val="20"/>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pPr>
    <w:rPr>
      <w:b/>
      <w:bCs/>
      <w:sz w:val="24"/>
      <w:szCs w:val="18"/>
    </w:rPr>
  </w:style>
  <w:style w:type="paragraph" w:styleId="List">
    <w:name w:val="List"/>
    <w:basedOn w:val="Normal"/>
    <w:uiPriority w:val="99"/>
    <w:unhideWhenUsed/>
    <w:rsid w:val="008033C4"/>
    <w:pPr>
      <w:ind w:left="284" w:hanging="284"/>
    </w:pPr>
  </w:style>
  <w:style w:type="paragraph" w:styleId="List2">
    <w:name w:val="List 2"/>
    <w:basedOn w:val="Normal"/>
    <w:uiPriority w:val="99"/>
    <w:unhideWhenUsed/>
    <w:rsid w:val="008033C4"/>
    <w:pPr>
      <w:ind w:left="568" w:hanging="284"/>
    </w:pPr>
  </w:style>
  <w:style w:type="paragraph" w:styleId="List3">
    <w:name w:val="List 3"/>
    <w:basedOn w:val="Normal"/>
    <w:uiPriority w:val="99"/>
    <w:unhideWhenUsed/>
    <w:rsid w:val="008033C4"/>
    <w:pPr>
      <w:ind w:left="851" w:hanging="284"/>
    </w:pPr>
  </w:style>
  <w:style w:type="paragraph" w:styleId="List4">
    <w:name w:val="List 4"/>
    <w:basedOn w:val="Normal"/>
    <w:uiPriority w:val="99"/>
    <w:unhideWhenUsed/>
    <w:rsid w:val="008033C4"/>
    <w:pPr>
      <w:ind w:left="1135" w:hanging="284"/>
    </w:pPr>
  </w:style>
  <w:style w:type="paragraph" w:styleId="List5">
    <w:name w:val="List 5"/>
    <w:basedOn w:val="Normal"/>
    <w:uiPriority w:val="99"/>
    <w:unhideWhenUsed/>
    <w:rsid w:val="008033C4"/>
    <w:pPr>
      <w:ind w:left="1418" w:hanging="284"/>
    </w:pPr>
  </w:style>
  <w:style w:type="paragraph" w:styleId="ListBullet3">
    <w:name w:val="List Bullet 3"/>
    <w:basedOn w:val="Normal"/>
    <w:uiPriority w:val="99"/>
    <w:unhideWhenUsed/>
    <w:rsid w:val="008033C4"/>
    <w:pPr>
      <w:numPr>
        <w:numId w:val="9"/>
      </w:numPr>
      <w:ind w:left="924" w:hanging="357"/>
    </w:pPr>
  </w:style>
  <w:style w:type="paragraph" w:styleId="ListBullet4">
    <w:name w:val="List Bullet 4"/>
    <w:basedOn w:val="Normal"/>
    <w:uiPriority w:val="99"/>
    <w:unhideWhenUsed/>
    <w:rsid w:val="008033C4"/>
    <w:pPr>
      <w:numPr>
        <w:numId w:val="10"/>
      </w:numPr>
      <w:ind w:left="1208" w:hanging="357"/>
    </w:pPr>
  </w:style>
  <w:style w:type="paragraph" w:styleId="ListBullet5">
    <w:name w:val="List Bullet 5"/>
    <w:basedOn w:val="Normal"/>
    <w:uiPriority w:val="99"/>
    <w:unhideWhenUsed/>
    <w:rsid w:val="008033C4"/>
    <w:pPr>
      <w:numPr>
        <w:numId w:val="11"/>
      </w:numPr>
      <w:ind w:left="1491" w:hanging="357"/>
    </w:pPr>
  </w:style>
  <w:style w:type="paragraph" w:styleId="ListContinue">
    <w:name w:val="List Continue"/>
    <w:basedOn w:val="Normal"/>
    <w:uiPriority w:val="99"/>
    <w:unhideWhenUsed/>
    <w:rsid w:val="0007137B"/>
    <w:pPr>
      <w:ind w:left="284"/>
    </w:pPr>
  </w:style>
  <w:style w:type="paragraph" w:styleId="ListContinue2">
    <w:name w:val="List Continue 2"/>
    <w:basedOn w:val="Normal"/>
    <w:uiPriority w:val="99"/>
    <w:unhideWhenUsed/>
    <w:rsid w:val="008033C4"/>
    <w:pPr>
      <w:ind w:left="567"/>
    </w:pPr>
  </w:style>
  <w:style w:type="paragraph" w:styleId="ListContinue3">
    <w:name w:val="List Continue 3"/>
    <w:basedOn w:val="Normal"/>
    <w:uiPriority w:val="99"/>
    <w:unhideWhenUsed/>
    <w:rsid w:val="0007137B"/>
    <w:pPr>
      <w:ind w:left="851"/>
    </w:pPr>
  </w:style>
  <w:style w:type="paragraph" w:styleId="ListContinue4">
    <w:name w:val="List Continue 4"/>
    <w:basedOn w:val="Normal"/>
    <w:uiPriority w:val="99"/>
    <w:unhideWhenUsed/>
    <w:rsid w:val="008033C4"/>
    <w:pPr>
      <w:ind w:left="1134"/>
    </w:pPr>
  </w:style>
  <w:style w:type="paragraph" w:styleId="ListNumber3">
    <w:name w:val="List Number 3"/>
    <w:basedOn w:val="Normal"/>
    <w:uiPriority w:val="99"/>
    <w:unhideWhenUsed/>
    <w:rsid w:val="008033C4"/>
    <w:pPr>
      <w:numPr>
        <w:numId w:val="14"/>
      </w:numPr>
      <w:ind w:left="924" w:hanging="357"/>
    </w:pPr>
  </w:style>
  <w:style w:type="paragraph" w:styleId="ListNumber4">
    <w:name w:val="List Number 4"/>
    <w:basedOn w:val="Normal"/>
    <w:uiPriority w:val="99"/>
    <w:unhideWhenUsed/>
    <w:rsid w:val="008033C4"/>
    <w:pPr>
      <w:numPr>
        <w:numId w:val="15"/>
      </w:numPr>
      <w:ind w:left="1208" w:hanging="357"/>
    </w:pPr>
  </w:style>
  <w:style w:type="paragraph" w:styleId="ListNumber5">
    <w:name w:val="List Number 5"/>
    <w:basedOn w:val="Normal"/>
    <w:uiPriority w:val="99"/>
    <w:unhideWhenUsed/>
    <w:rsid w:val="008033C4"/>
    <w:pPr>
      <w:numPr>
        <w:numId w:val="16"/>
      </w:numPr>
      <w:ind w:left="1491" w:hanging="357"/>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A34AB8"/>
    <w:pPr>
      <w:spacing w:before="120" w:after="120"/>
    </w:pPr>
    <w:rPr>
      <w:rFonts w:ascii="Arial" w:eastAsia="Times New Roman" w:hAnsi="Arial" w:cs="Times New Roman"/>
      <w:sz w:val="20"/>
      <w:szCs w:val="24"/>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basedOn w:val="Normal"/>
    <w:next w:val="Normal"/>
    <w:link w:val="Heading9Char"/>
    <w:uiPriority w:val="2"/>
    <w:qFormat/>
    <w:rsid w:val="009D6B46"/>
    <w:pPr>
      <w:spacing w:before="240"/>
      <w:outlineLvl w:val="8"/>
    </w:pPr>
    <w:rPr>
      <w:rFonts w:eastAsiaTheme="majorEastAsia" w:cstheme="majorBidi"/>
      <w:i/>
      <w:iCs/>
      <w:color w:val="51626F"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pPr>
    <w:rPr>
      <w:rFonts w:ascii="Lucida Fax" w:hAnsi="Lucida Fax"/>
      <w:color w:val="4F2D7F"/>
      <w:sz w:val="72"/>
      <w:szCs w:val="56"/>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after="60"/>
    </w:p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pPr>
      <w:spacing w:before="0"/>
    </w:pPr>
    <w:rPr>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contextualSpacing/>
    </w:pPr>
    <w:rPr>
      <w:rFonts w:ascii="Lucida Fax" w:hAnsi="Lucida Fax"/>
      <w:b/>
      <w:color w:val="DC5034"/>
      <w:sz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ind w:left="357" w:hanging="357"/>
    </w:pPr>
  </w:style>
  <w:style w:type="paragraph" w:styleId="ListBullet">
    <w:name w:val="List Bullet"/>
    <w:basedOn w:val="Normal"/>
    <w:uiPriority w:val="99"/>
    <w:unhideWhenUsed/>
    <w:rsid w:val="008033C4"/>
    <w:pPr>
      <w:numPr>
        <w:numId w:val="28"/>
      </w:numPr>
      <w:ind w:left="357" w:hanging="357"/>
    </w:p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ind w:left="357" w:hanging="357"/>
    </w:pPr>
    <w:rPr>
      <w:color w:val="000000" w:themeColor="text1" w:themeShade="BF"/>
    </w:rPr>
  </w:style>
  <w:style w:type="paragraph" w:styleId="ListBullet2">
    <w:name w:val="List Bullet 2"/>
    <w:basedOn w:val="Normal"/>
    <w:uiPriority w:val="99"/>
    <w:unhideWhenUsed/>
    <w:rsid w:val="008033C4"/>
    <w:pPr>
      <w:numPr>
        <w:numId w:val="8"/>
      </w:numPr>
      <w:ind w:left="641" w:hanging="357"/>
    </w:pPr>
  </w:style>
  <w:style w:type="paragraph" w:styleId="TOCHeading">
    <w:name w:val="TOC Heading"/>
    <w:basedOn w:val="Normal"/>
    <w:next w:val="Normal"/>
    <w:uiPriority w:val="39"/>
    <w:qFormat/>
    <w:rsid w:val="00E04818"/>
    <w:pPr>
      <w:spacing w:before="480" w:line="276" w:lineRule="auto"/>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ind w:left="714" w:hanging="357"/>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615C6B"/>
    <w:pPr>
      <w:spacing w:before="60"/>
    </w:pPr>
    <w:rPr>
      <w:sz w:val="16"/>
      <w:szCs w:val="20"/>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pPr>
    <w:rPr>
      <w:b/>
      <w:bCs/>
      <w:sz w:val="24"/>
      <w:szCs w:val="18"/>
    </w:rPr>
  </w:style>
  <w:style w:type="paragraph" w:styleId="List">
    <w:name w:val="List"/>
    <w:basedOn w:val="Normal"/>
    <w:uiPriority w:val="99"/>
    <w:unhideWhenUsed/>
    <w:rsid w:val="008033C4"/>
    <w:pPr>
      <w:ind w:left="284" w:hanging="284"/>
    </w:pPr>
  </w:style>
  <w:style w:type="paragraph" w:styleId="List2">
    <w:name w:val="List 2"/>
    <w:basedOn w:val="Normal"/>
    <w:uiPriority w:val="99"/>
    <w:unhideWhenUsed/>
    <w:rsid w:val="008033C4"/>
    <w:pPr>
      <w:ind w:left="568" w:hanging="284"/>
    </w:pPr>
  </w:style>
  <w:style w:type="paragraph" w:styleId="List3">
    <w:name w:val="List 3"/>
    <w:basedOn w:val="Normal"/>
    <w:uiPriority w:val="99"/>
    <w:unhideWhenUsed/>
    <w:rsid w:val="008033C4"/>
    <w:pPr>
      <w:ind w:left="851" w:hanging="284"/>
    </w:pPr>
  </w:style>
  <w:style w:type="paragraph" w:styleId="List4">
    <w:name w:val="List 4"/>
    <w:basedOn w:val="Normal"/>
    <w:uiPriority w:val="99"/>
    <w:unhideWhenUsed/>
    <w:rsid w:val="008033C4"/>
    <w:pPr>
      <w:ind w:left="1135" w:hanging="284"/>
    </w:pPr>
  </w:style>
  <w:style w:type="paragraph" w:styleId="List5">
    <w:name w:val="List 5"/>
    <w:basedOn w:val="Normal"/>
    <w:uiPriority w:val="99"/>
    <w:unhideWhenUsed/>
    <w:rsid w:val="008033C4"/>
    <w:pPr>
      <w:ind w:left="1418" w:hanging="284"/>
    </w:pPr>
  </w:style>
  <w:style w:type="paragraph" w:styleId="ListBullet3">
    <w:name w:val="List Bullet 3"/>
    <w:basedOn w:val="Normal"/>
    <w:uiPriority w:val="99"/>
    <w:unhideWhenUsed/>
    <w:rsid w:val="008033C4"/>
    <w:pPr>
      <w:numPr>
        <w:numId w:val="9"/>
      </w:numPr>
      <w:ind w:left="924" w:hanging="357"/>
    </w:pPr>
  </w:style>
  <w:style w:type="paragraph" w:styleId="ListBullet4">
    <w:name w:val="List Bullet 4"/>
    <w:basedOn w:val="Normal"/>
    <w:uiPriority w:val="99"/>
    <w:unhideWhenUsed/>
    <w:rsid w:val="008033C4"/>
    <w:pPr>
      <w:numPr>
        <w:numId w:val="10"/>
      </w:numPr>
      <w:ind w:left="1208" w:hanging="357"/>
    </w:pPr>
  </w:style>
  <w:style w:type="paragraph" w:styleId="ListBullet5">
    <w:name w:val="List Bullet 5"/>
    <w:basedOn w:val="Normal"/>
    <w:uiPriority w:val="99"/>
    <w:unhideWhenUsed/>
    <w:rsid w:val="008033C4"/>
    <w:pPr>
      <w:numPr>
        <w:numId w:val="11"/>
      </w:numPr>
      <w:ind w:left="1491" w:hanging="357"/>
    </w:pPr>
  </w:style>
  <w:style w:type="paragraph" w:styleId="ListContinue">
    <w:name w:val="List Continue"/>
    <w:basedOn w:val="Normal"/>
    <w:uiPriority w:val="99"/>
    <w:unhideWhenUsed/>
    <w:rsid w:val="0007137B"/>
    <w:pPr>
      <w:ind w:left="284"/>
    </w:pPr>
  </w:style>
  <w:style w:type="paragraph" w:styleId="ListContinue2">
    <w:name w:val="List Continue 2"/>
    <w:basedOn w:val="Normal"/>
    <w:uiPriority w:val="99"/>
    <w:unhideWhenUsed/>
    <w:rsid w:val="008033C4"/>
    <w:pPr>
      <w:ind w:left="567"/>
    </w:pPr>
  </w:style>
  <w:style w:type="paragraph" w:styleId="ListContinue3">
    <w:name w:val="List Continue 3"/>
    <w:basedOn w:val="Normal"/>
    <w:uiPriority w:val="99"/>
    <w:unhideWhenUsed/>
    <w:rsid w:val="0007137B"/>
    <w:pPr>
      <w:ind w:left="851"/>
    </w:pPr>
  </w:style>
  <w:style w:type="paragraph" w:styleId="ListContinue4">
    <w:name w:val="List Continue 4"/>
    <w:basedOn w:val="Normal"/>
    <w:uiPriority w:val="99"/>
    <w:unhideWhenUsed/>
    <w:rsid w:val="008033C4"/>
    <w:pPr>
      <w:ind w:left="1134"/>
    </w:pPr>
  </w:style>
  <w:style w:type="paragraph" w:styleId="ListNumber3">
    <w:name w:val="List Number 3"/>
    <w:basedOn w:val="Normal"/>
    <w:uiPriority w:val="99"/>
    <w:unhideWhenUsed/>
    <w:rsid w:val="008033C4"/>
    <w:pPr>
      <w:numPr>
        <w:numId w:val="14"/>
      </w:numPr>
      <w:ind w:left="924" w:hanging="357"/>
    </w:pPr>
  </w:style>
  <w:style w:type="paragraph" w:styleId="ListNumber4">
    <w:name w:val="List Number 4"/>
    <w:basedOn w:val="Normal"/>
    <w:uiPriority w:val="99"/>
    <w:unhideWhenUsed/>
    <w:rsid w:val="008033C4"/>
    <w:pPr>
      <w:numPr>
        <w:numId w:val="15"/>
      </w:numPr>
      <w:ind w:left="1208" w:hanging="357"/>
    </w:pPr>
  </w:style>
  <w:style w:type="paragraph" w:styleId="ListNumber5">
    <w:name w:val="List Number 5"/>
    <w:basedOn w:val="Normal"/>
    <w:uiPriority w:val="99"/>
    <w:unhideWhenUsed/>
    <w:rsid w:val="008033C4"/>
    <w:pPr>
      <w:numPr>
        <w:numId w:val="16"/>
      </w:numPr>
      <w:ind w:left="1491" w:hanging="357"/>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6DCE9-699C-4B66-96A4-EED60817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A83A9977</Template>
  <TotalTime>3</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Wen, Chang</dc:creator>
  <cp:lastModifiedBy>Wen, Chang</cp:lastModifiedBy>
  <cp:revision>1</cp:revision>
  <dcterms:created xsi:type="dcterms:W3CDTF">2015-02-12T05:48:00Z</dcterms:created>
  <dcterms:modified xsi:type="dcterms:W3CDTF">2015-02-12T05:53:00Z</dcterms:modified>
</cp:coreProperties>
</file>