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F1" w:rsidRDefault="002509F1" w:rsidP="002F5D49">
      <w:pPr>
        <w:spacing w:before="360" w:afterLines="100"/>
        <w:jc w:val="center"/>
        <w:rPr>
          <w:b/>
          <w:bCs/>
          <w:lang w:eastAsia="en-AU"/>
        </w:rPr>
      </w:pPr>
      <w:r>
        <w:rPr>
          <w:rFonts w:ascii="Trebuchet MS" w:hAnsi="Trebuchet MS"/>
          <w:noProof/>
          <w:color w:val="38707C"/>
          <w:lang w:eastAsia="en-AU"/>
        </w:rPr>
        <w:drawing>
          <wp:inline distT="0" distB="0" distL="0" distR="0">
            <wp:extent cx="2618740" cy="1953260"/>
            <wp:effectExtent l="19050" t="0" r="0" b="0"/>
            <wp:docPr id="4" name="Picture 4" descr="Australian Government – Department of the Environment – Australian Antarctic Divis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 Department of the Environment – Australian Antarctic Division">
                      <a:hlinkClick r:id="rId11"/>
                    </pic:cNvPr>
                    <pic:cNvPicPr>
                      <a:picLocks noChangeAspect="1" noChangeArrowheads="1"/>
                    </pic:cNvPicPr>
                  </pic:nvPicPr>
                  <pic:blipFill>
                    <a:blip r:embed="rId12" cstate="print"/>
                    <a:srcRect/>
                    <a:stretch>
                      <a:fillRect/>
                    </a:stretch>
                  </pic:blipFill>
                  <pic:spPr bwMode="auto">
                    <a:xfrm>
                      <a:off x="0" y="0"/>
                      <a:ext cx="2618740" cy="1953260"/>
                    </a:xfrm>
                    <a:prstGeom prst="rect">
                      <a:avLst/>
                    </a:prstGeom>
                    <a:noFill/>
                    <a:ln w="9525">
                      <a:noFill/>
                      <a:miter lim="800000"/>
                      <a:headEnd/>
                      <a:tailEnd/>
                    </a:ln>
                  </pic:spPr>
                </pic:pic>
              </a:graphicData>
            </a:graphic>
          </wp:inline>
        </w:drawing>
      </w:r>
    </w:p>
    <w:p w:rsidR="002509F1" w:rsidRDefault="002509F1" w:rsidP="002509F1">
      <w:pPr>
        <w:jc w:val="center"/>
        <w:rPr>
          <w:b/>
          <w:bCs/>
          <w:lang w:eastAsia="en-AU"/>
        </w:rPr>
      </w:pPr>
      <w:r>
        <w:rPr>
          <w:b/>
          <w:bCs/>
          <w:lang w:eastAsia="en-AU"/>
        </w:rPr>
        <w:t>EXPLANATORY STATEMENT</w:t>
      </w:r>
    </w:p>
    <w:p w:rsidR="002509F1" w:rsidRDefault="002509F1" w:rsidP="002509F1">
      <w:pPr>
        <w:jc w:val="center"/>
        <w:rPr>
          <w:b/>
          <w:bCs/>
          <w:lang w:eastAsia="en-AU"/>
        </w:rPr>
      </w:pPr>
    </w:p>
    <w:p w:rsidR="002509F1" w:rsidRDefault="002509F1" w:rsidP="002509F1">
      <w:pPr>
        <w:jc w:val="center"/>
        <w:rPr>
          <w:lang w:eastAsia="en-AU"/>
        </w:rPr>
      </w:pPr>
      <w:r>
        <w:rPr>
          <w:b/>
          <w:bCs/>
          <w:lang w:eastAsia="en-AU"/>
        </w:rPr>
        <w:t>Mawson Station Heritage Management Plan 2014-2019</w:t>
      </w:r>
    </w:p>
    <w:p w:rsidR="005D6EAD" w:rsidRDefault="00143420" w:rsidP="002F5D49">
      <w:pPr>
        <w:spacing w:before="120" w:afterLines="100"/>
        <w:jc w:val="center"/>
        <w:rPr>
          <w:b/>
          <w:lang w:eastAsia="en-AU"/>
        </w:rPr>
      </w:pPr>
      <w:r>
        <w:rPr>
          <w:b/>
          <w:i/>
          <w:lang w:eastAsia="en-AU"/>
        </w:rPr>
        <w:t>Environment Protection and Biodiversity Conservation Act 1999</w:t>
      </w:r>
    </w:p>
    <w:p w:rsidR="002509F1" w:rsidRPr="002509F1" w:rsidRDefault="002509F1" w:rsidP="002F5D49">
      <w:pPr>
        <w:spacing w:before="120" w:afterLines="100"/>
        <w:rPr>
          <w:b/>
          <w:lang w:eastAsia="en-AU"/>
        </w:rPr>
      </w:pPr>
      <w:r w:rsidRPr="002509F1">
        <w:rPr>
          <w:b/>
          <w:lang w:eastAsia="en-AU"/>
        </w:rPr>
        <w:t xml:space="preserve">Mawson </w:t>
      </w:r>
      <w:r>
        <w:rPr>
          <w:b/>
          <w:lang w:eastAsia="en-AU"/>
        </w:rPr>
        <w:t>s</w:t>
      </w:r>
      <w:r w:rsidRPr="002509F1">
        <w:rPr>
          <w:b/>
          <w:lang w:eastAsia="en-AU"/>
        </w:rPr>
        <w:t>tation</w:t>
      </w:r>
    </w:p>
    <w:p w:rsidR="002509F1" w:rsidRDefault="002509F1" w:rsidP="002F5D49">
      <w:pPr>
        <w:spacing w:before="120" w:afterLines="100"/>
        <w:rPr>
          <w:lang w:eastAsia="en-AU"/>
        </w:rPr>
      </w:pPr>
      <w:r>
        <w:rPr>
          <w:lang w:eastAsia="en-AU"/>
        </w:rPr>
        <w:t>Mawson station, in Mac.Robertson Land, Australian Antarctic Territory, was established in 1954 and is Australia’s oldest Antarctic station. Mawson</w:t>
      </w:r>
      <w:r w:rsidR="000161D1">
        <w:rPr>
          <w:lang w:eastAsia="en-AU"/>
        </w:rPr>
        <w:t xml:space="preserve"> Station</w:t>
      </w:r>
      <w:r>
        <w:rPr>
          <w:lang w:eastAsia="en-AU"/>
        </w:rPr>
        <w:t xml:space="preserve"> was listed on the Commonwealth Heritage List in 2004. The station demonstrates the evolution of building methods in Antarctica. </w:t>
      </w:r>
    </w:p>
    <w:p w:rsidR="002509F1" w:rsidRDefault="002509F1" w:rsidP="002F5D49">
      <w:pPr>
        <w:spacing w:before="100" w:beforeAutospacing="1" w:afterLines="100"/>
        <w:rPr>
          <w:lang w:eastAsia="en-AU"/>
        </w:rPr>
      </w:pPr>
      <w:r>
        <w:rPr>
          <w:b/>
          <w:bCs/>
          <w:lang w:eastAsia="en-AU"/>
        </w:rPr>
        <w:t>Overview of the Legislative Instrument</w:t>
      </w:r>
    </w:p>
    <w:p w:rsidR="00AE47F0" w:rsidRDefault="000161D1" w:rsidP="002F5D49">
      <w:pPr>
        <w:spacing w:before="100" w:beforeAutospacing="1" w:afterLines="100"/>
        <w:rPr>
          <w:lang w:eastAsia="en-AU"/>
        </w:rPr>
      </w:pPr>
      <w:r>
        <w:rPr>
          <w:lang w:eastAsia="en-AU"/>
        </w:rPr>
        <w:t>Section 341S of t</w:t>
      </w:r>
      <w:r w:rsidR="002509F1">
        <w:rPr>
          <w:lang w:eastAsia="en-AU"/>
        </w:rPr>
        <w:t xml:space="preserve">he </w:t>
      </w:r>
      <w:r w:rsidR="002509F1">
        <w:rPr>
          <w:i/>
          <w:iCs/>
          <w:lang w:eastAsia="en-AU"/>
        </w:rPr>
        <w:t xml:space="preserve">Environment Protection and Biodiversity Conservation Act </w:t>
      </w:r>
      <w:r w:rsidR="002509F1">
        <w:rPr>
          <w:lang w:eastAsia="en-AU"/>
        </w:rPr>
        <w:t xml:space="preserve">1999 </w:t>
      </w:r>
      <w:r w:rsidR="002509F1" w:rsidRPr="000161D1">
        <w:rPr>
          <w:lang w:eastAsia="en-AU"/>
        </w:rPr>
        <w:t>requires</w:t>
      </w:r>
      <w:r w:rsidR="002509F1">
        <w:rPr>
          <w:lang w:eastAsia="en-AU"/>
        </w:rPr>
        <w:t xml:space="preserve"> that </w:t>
      </w:r>
      <w:r>
        <w:rPr>
          <w:lang w:eastAsia="en-AU"/>
        </w:rPr>
        <w:t>the Commonwealth agency that owns or controls a Commonwealth Heritage place must make a written</w:t>
      </w:r>
      <w:r w:rsidR="002509F1">
        <w:rPr>
          <w:lang w:eastAsia="en-AU"/>
        </w:rPr>
        <w:t xml:space="preserve"> management plan to provide for the protection and management of the values of </w:t>
      </w:r>
      <w:r>
        <w:rPr>
          <w:lang w:eastAsia="en-AU"/>
        </w:rPr>
        <w:t>the Commonwealth Heritage place</w:t>
      </w:r>
      <w:r w:rsidR="002509F1">
        <w:rPr>
          <w:lang w:eastAsia="en-AU"/>
        </w:rPr>
        <w:t xml:space="preserve">. This management plan </w:t>
      </w:r>
      <w:r w:rsidR="00C87B6C">
        <w:rPr>
          <w:lang w:eastAsia="en-AU"/>
        </w:rPr>
        <w:t>provides</w:t>
      </w:r>
      <w:r w:rsidR="002509F1">
        <w:rPr>
          <w:lang w:eastAsia="en-AU"/>
        </w:rPr>
        <w:t xml:space="preserve"> such a framework </w:t>
      </w:r>
      <w:r w:rsidR="00143420">
        <w:rPr>
          <w:lang w:eastAsia="en-AU"/>
        </w:rPr>
        <w:t xml:space="preserve">for </w:t>
      </w:r>
      <w:r w:rsidR="002509F1">
        <w:rPr>
          <w:lang w:eastAsia="en-AU"/>
        </w:rPr>
        <w:t xml:space="preserve">Mawson station </w:t>
      </w:r>
      <w:r w:rsidR="00143420">
        <w:rPr>
          <w:lang w:eastAsia="en-AU"/>
        </w:rPr>
        <w:t xml:space="preserve">as it </w:t>
      </w:r>
      <w:r w:rsidR="002509F1">
        <w:rPr>
          <w:lang w:eastAsia="en-AU"/>
        </w:rPr>
        <w:t xml:space="preserve">continues to evolve consistent with the requirements of supporting contemporary scientific endeavour. </w:t>
      </w:r>
    </w:p>
    <w:p w:rsidR="00AE47F0" w:rsidRDefault="002509F1" w:rsidP="002F5D49">
      <w:pPr>
        <w:spacing w:before="100" w:beforeAutospacing="1" w:afterLines="100"/>
        <w:jc w:val="both"/>
        <w:rPr>
          <w:lang w:eastAsia="en-AU"/>
        </w:rPr>
      </w:pPr>
      <w:r>
        <w:rPr>
          <w:lang w:eastAsia="en-AU"/>
        </w:rPr>
        <w:t>This is the first heritage management plan to be prepared for</w:t>
      </w:r>
      <w:r w:rsidR="00143420">
        <w:rPr>
          <w:lang w:eastAsia="en-AU"/>
        </w:rPr>
        <w:t xml:space="preserve"> Mawson Station</w:t>
      </w:r>
      <w:r>
        <w:rPr>
          <w:lang w:eastAsia="en-AU"/>
        </w:rPr>
        <w:t>. This management plan focuses on the buildings associated with the early era of station operations (pre-1980s) and is premised on the availability of only finite resources to conserve representative values and fabric subject to extreme environmental conditions and in a remote locale.</w:t>
      </w:r>
    </w:p>
    <w:p w:rsidR="00AE47F0" w:rsidRDefault="00A76BE4" w:rsidP="002F5D49">
      <w:pPr>
        <w:spacing w:before="100" w:beforeAutospacing="1" w:afterLines="100"/>
        <w:jc w:val="both"/>
        <w:rPr>
          <w:lang w:eastAsia="en-AU"/>
        </w:rPr>
      </w:pPr>
      <w:r>
        <w:rPr>
          <w:lang w:eastAsia="en-AU"/>
        </w:rPr>
        <w:t xml:space="preserve">The management plan addresses all matters prescribed by Schedule 7A of the </w:t>
      </w:r>
      <w:r>
        <w:rPr>
          <w:i/>
          <w:lang w:eastAsia="en-AU"/>
        </w:rPr>
        <w:t>Environment Protection and Biodiversity Conservation Regulations 2000</w:t>
      </w:r>
      <w:r>
        <w:rPr>
          <w:lang w:eastAsia="en-AU"/>
        </w:rPr>
        <w:t xml:space="preserve"> and is not </w:t>
      </w:r>
      <w:r w:rsidR="00143420">
        <w:rPr>
          <w:lang w:eastAsia="en-AU"/>
        </w:rPr>
        <w:t>in</w:t>
      </w:r>
      <w:r>
        <w:rPr>
          <w:lang w:eastAsia="en-AU"/>
        </w:rPr>
        <w:t>consistent with the Commonwealth Heritage Management Principles.</w:t>
      </w:r>
    </w:p>
    <w:p w:rsidR="00AE47F0" w:rsidRDefault="002509F1" w:rsidP="002F5D49">
      <w:pPr>
        <w:spacing w:before="100" w:beforeAutospacing="1" w:afterLines="100"/>
        <w:rPr>
          <w:lang w:eastAsia="en-AU"/>
        </w:rPr>
      </w:pPr>
      <w:r>
        <w:rPr>
          <w:b/>
          <w:bCs/>
          <w:lang w:eastAsia="en-AU"/>
        </w:rPr>
        <w:t>Consultation</w:t>
      </w:r>
    </w:p>
    <w:p w:rsidR="00AE47F0" w:rsidRDefault="002509F1" w:rsidP="002F5D49">
      <w:pPr>
        <w:spacing w:before="100" w:beforeAutospacing="1" w:afterLines="100"/>
        <w:rPr>
          <w:lang w:eastAsia="en-AU"/>
        </w:rPr>
      </w:pPr>
      <w:r>
        <w:rPr>
          <w:lang w:eastAsia="en-AU"/>
        </w:rPr>
        <w:t>On 14 December 201</w:t>
      </w:r>
      <w:r w:rsidR="0035018F">
        <w:rPr>
          <w:lang w:eastAsia="en-AU"/>
        </w:rPr>
        <w:t>3</w:t>
      </w:r>
      <w:bookmarkStart w:id="0" w:name="_GoBack"/>
      <w:bookmarkEnd w:id="0"/>
      <w:r>
        <w:rPr>
          <w:lang w:eastAsia="en-AU"/>
        </w:rPr>
        <w:t>, notices were published inviting comments on the proposal to prepare a draft management plan. The public consultation period closed on 17 January 2014. No submissions were received.  This management plan was also considered by the Australian Heritage Council at its meeting on 11 August 2014</w:t>
      </w:r>
      <w:r w:rsidR="00143420">
        <w:rPr>
          <w:lang w:eastAsia="en-AU"/>
        </w:rPr>
        <w:t>, and advice was provided by the Council to the delegate to the Minister</w:t>
      </w:r>
      <w:r>
        <w:rPr>
          <w:lang w:eastAsia="en-AU"/>
        </w:rPr>
        <w:t>.</w:t>
      </w:r>
      <w:r w:rsidR="00143420">
        <w:rPr>
          <w:lang w:eastAsia="en-AU"/>
        </w:rPr>
        <w:t xml:space="preserve">  This management plan takes account of advice received by the delegate to the Minister on </w:t>
      </w:r>
      <w:r w:rsidR="004409E9">
        <w:rPr>
          <w:lang w:eastAsia="en-AU"/>
        </w:rPr>
        <w:t xml:space="preserve">24 October </w:t>
      </w:r>
      <w:r w:rsidR="00143420">
        <w:rPr>
          <w:lang w:eastAsia="en-AU"/>
        </w:rPr>
        <w:t>2014.</w:t>
      </w:r>
    </w:p>
    <w:p w:rsidR="004B2D00" w:rsidRDefault="004B2D00" w:rsidP="002F5D49">
      <w:pPr>
        <w:spacing w:before="100" w:beforeAutospacing="1" w:afterLines="100"/>
        <w:rPr>
          <w:b/>
          <w:bCs/>
          <w:lang w:eastAsia="en-AU"/>
        </w:rPr>
      </w:pPr>
    </w:p>
    <w:p w:rsidR="00AE47F0" w:rsidRDefault="002509F1" w:rsidP="002F5D49">
      <w:pPr>
        <w:spacing w:before="100" w:beforeAutospacing="1" w:afterLines="100"/>
        <w:rPr>
          <w:lang w:eastAsia="en-AU"/>
        </w:rPr>
      </w:pPr>
      <w:r>
        <w:rPr>
          <w:b/>
          <w:bCs/>
          <w:lang w:eastAsia="en-AU"/>
        </w:rPr>
        <w:lastRenderedPageBreak/>
        <w:t>Period of operation</w:t>
      </w:r>
    </w:p>
    <w:p w:rsidR="00143420" w:rsidRDefault="00143420" w:rsidP="00143420">
      <w:r>
        <w:t xml:space="preserve">The management plan is a legislative instrument for the purposes of the </w:t>
      </w:r>
      <w:r>
        <w:rPr>
          <w:i/>
        </w:rPr>
        <w:t>Legislative Instruments Act 2003</w:t>
      </w:r>
      <w:r>
        <w:t xml:space="preserve"> and commences on the day after it is registered on the Federal Register of Legislative Instruments</w:t>
      </w:r>
      <w:r>
        <w:rPr>
          <w:i/>
        </w:rPr>
        <w:t>.</w:t>
      </w:r>
      <w:r>
        <w:t xml:space="preserve"> </w:t>
      </w:r>
    </w:p>
    <w:p w:rsidR="00143420" w:rsidRDefault="00143420" w:rsidP="00143420"/>
    <w:p w:rsidR="00143420" w:rsidRPr="00143420" w:rsidRDefault="00143420" w:rsidP="00143420">
      <w:r>
        <w:t xml:space="preserve">In accordance with section 341X of the </w:t>
      </w:r>
      <w:r>
        <w:rPr>
          <w:i/>
        </w:rPr>
        <w:t xml:space="preserve">Environment Protection and Biodiversity Conservation Act 1999 </w:t>
      </w:r>
      <w:r>
        <w:t xml:space="preserve">a review must be carried out within five years of the management plan being made. </w:t>
      </w:r>
    </w:p>
    <w:p w:rsidR="00AE47F0" w:rsidRDefault="002509F1" w:rsidP="002F5D49">
      <w:pPr>
        <w:spacing w:before="100" w:beforeAutospacing="1" w:afterLines="100"/>
        <w:rPr>
          <w:lang w:eastAsia="en-AU"/>
        </w:rPr>
      </w:pPr>
      <w:r>
        <w:rPr>
          <w:b/>
          <w:bCs/>
          <w:lang w:eastAsia="en-AU"/>
        </w:rPr>
        <w:t>Regulation impact statement</w:t>
      </w:r>
    </w:p>
    <w:p w:rsidR="00101359" w:rsidRDefault="002509F1" w:rsidP="002509F1">
      <w:pPr>
        <w:rPr>
          <w:lang w:eastAsia="en-AU"/>
        </w:rPr>
      </w:pPr>
      <w:r>
        <w:rPr>
          <w:lang w:eastAsia="en-AU"/>
        </w:rPr>
        <w:t>The Office of Best Practice and Regulation (OBPR) advised that a Regulatory Impact Statement was not required for this management plan (OBPR reference: 16745).</w:t>
      </w:r>
    </w:p>
    <w:p w:rsidR="002509F1" w:rsidRDefault="002509F1" w:rsidP="002509F1">
      <w:pPr>
        <w:rPr>
          <w:lang w:eastAsia="en-AU"/>
        </w:rPr>
      </w:pPr>
    </w:p>
    <w:p w:rsidR="002509F1" w:rsidRDefault="002509F1" w:rsidP="002509F1">
      <w:pPr>
        <w:rPr>
          <w:rFonts w:asciiTheme="minorHAnsi" w:hAnsiTheme="minorHAnsi" w:cstheme="minorHAnsi"/>
          <w:b/>
          <w:sz w:val="24"/>
          <w:szCs w:val="24"/>
        </w:rPr>
      </w:pPr>
    </w:p>
    <w:p w:rsidR="002509F1" w:rsidRPr="002509F1" w:rsidRDefault="002509F1" w:rsidP="002509F1">
      <w:pPr>
        <w:rPr>
          <w:rFonts w:asciiTheme="minorHAnsi" w:hAnsiTheme="minorHAnsi" w:cstheme="minorHAnsi"/>
          <w:b/>
          <w:sz w:val="24"/>
          <w:szCs w:val="24"/>
        </w:rPr>
      </w:pPr>
      <w:r w:rsidRPr="002509F1">
        <w:rPr>
          <w:rFonts w:asciiTheme="minorHAnsi" w:hAnsiTheme="minorHAnsi" w:cstheme="minorHAnsi"/>
          <w:b/>
          <w:sz w:val="24"/>
          <w:szCs w:val="24"/>
        </w:rPr>
        <w:t>Tony Fleming</w:t>
      </w:r>
      <w:r w:rsidRPr="002509F1">
        <w:rPr>
          <w:rFonts w:asciiTheme="minorHAnsi" w:hAnsiTheme="minorHAnsi" w:cstheme="minorHAnsi"/>
          <w:b/>
          <w:sz w:val="24"/>
          <w:szCs w:val="24"/>
        </w:rPr>
        <w:br/>
        <w:t xml:space="preserve">Director </w:t>
      </w:r>
    </w:p>
    <w:p w:rsidR="002509F1" w:rsidRPr="002509F1" w:rsidRDefault="002509F1" w:rsidP="002509F1">
      <w:pPr>
        <w:rPr>
          <w:rFonts w:asciiTheme="minorHAnsi" w:hAnsiTheme="minorHAnsi" w:cstheme="minorHAnsi"/>
          <w:b/>
          <w:sz w:val="24"/>
          <w:szCs w:val="24"/>
        </w:rPr>
      </w:pPr>
      <w:r w:rsidRPr="002509F1">
        <w:rPr>
          <w:rFonts w:asciiTheme="minorHAnsi" w:hAnsiTheme="minorHAnsi" w:cstheme="minorHAnsi"/>
          <w:b/>
          <w:sz w:val="24"/>
          <w:szCs w:val="24"/>
        </w:rPr>
        <w:t>Australian Antarctic Division</w:t>
      </w:r>
    </w:p>
    <w:p w:rsidR="002509F1" w:rsidRPr="002509F1" w:rsidRDefault="002509F1" w:rsidP="002509F1">
      <w:pPr>
        <w:rPr>
          <w:rFonts w:asciiTheme="minorHAnsi" w:hAnsiTheme="minorHAnsi" w:cstheme="minorHAnsi"/>
          <w:b/>
          <w:sz w:val="24"/>
          <w:szCs w:val="24"/>
        </w:rPr>
      </w:pPr>
      <w:r>
        <w:rPr>
          <w:rFonts w:asciiTheme="minorHAnsi" w:hAnsiTheme="minorHAnsi" w:cstheme="minorHAnsi"/>
          <w:b/>
          <w:sz w:val="24"/>
          <w:szCs w:val="24"/>
        </w:rPr>
        <w:t>December</w:t>
      </w:r>
      <w:r w:rsidRPr="002509F1">
        <w:rPr>
          <w:rFonts w:asciiTheme="minorHAnsi" w:hAnsiTheme="minorHAnsi" w:cstheme="minorHAnsi"/>
          <w:b/>
          <w:sz w:val="24"/>
          <w:szCs w:val="24"/>
        </w:rPr>
        <w:t xml:space="preserve"> 2014</w:t>
      </w:r>
    </w:p>
    <w:p w:rsidR="002509F1" w:rsidRDefault="002509F1"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Default="00C35D06" w:rsidP="002509F1"/>
    <w:p w:rsidR="00C35D06" w:rsidRPr="00C35D06" w:rsidRDefault="00C35D06" w:rsidP="00C35D06">
      <w:pPr>
        <w:jc w:val="center"/>
        <w:rPr>
          <w:b/>
        </w:rPr>
      </w:pPr>
      <w:r w:rsidRPr="00C35D06">
        <w:rPr>
          <w:noProof/>
          <w:lang w:eastAsia="en-AU"/>
        </w:rPr>
        <w:lastRenderedPageBreak/>
        <w:drawing>
          <wp:inline distT="0" distB="0" distL="0" distR="0">
            <wp:extent cx="2619375" cy="1952625"/>
            <wp:effectExtent l="19050" t="0" r="0" b="0"/>
            <wp:docPr id="7" name="Picture 7" descr="Australian Government – Department of the Environment – Australian Antarctic Divis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tralian Government – Department of the Environment – Australian Antarctic Division"/>
                    <pic:cNvPicPr>
                      <a:picLocks noChangeAspect="1" noChangeArrowheads="1"/>
                    </pic:cNvPicPr>
                  </pic:nvPicPr>
                  <pic:blipFill>
                    <a:blip r:embed="rId12" cstate="print"/>
                    <a:srcRect/>
                    <a:stretch>
                      <a:fillRect/>
                    </a:stretch>
                  </pic:blipFill>
                  <pic:spPr bwMode="auto">
                    <a:xfrm>
                      <a:off x="0" y="0"/>
                      <a:ext cx="2619375" cy="1952625"/>
                    </a:xfrm>
                    <a:prstGeom prst="rect">
                      <a:avLst/>
                    </a:prstGeom>
                    <a:noFill/>
                    <a:ln w="9525">
                      <a:noFill/>
                      <a:miter lim="800000"/>
                      <a:headEnd/>
                      <a:tailEnd/>
                    </a:ln>
                  </pic:spPr>
                </pic:pic>
              </a:graphicData>
            </a:graphic>
          </wp:inline>
        </w:drawing>
      </w:r>
    </w:p>
    <w:p w:rsidR="00C35D06" w:rsidRPr="00C35D06" w:rsidRDefault="00C35D06" w:rsidP="00C35D06">
      <w:pPr>
        <w:rPr>
          <w:b/>
        </w:rPr>
      </w:pPr>
      <w:r w:rsidRPr="00C35D06">
        <w:rPr>
          <w:b/>
        </w:rPr>
        <w:t>Statement of Compatibility with Human Rights</w:t>
      </w:r>
    </w:p>
    <w:p w:rsidR="00C35D06" w:rsidRPr="00C35D06" w:rsidRDefault="00C35D06" w:rsidP="00C35D06">
      <w:r w:rsidRPr="00C35D06">
        <w:rPr>
          <w:i/>
        </w:rPr>
        <w:t>Prepared in accordance with Part 3 of the Human Rights (Parliamentary Scrutiny) Act 2011</w:t>
      </w:r>
    </w:p>
    <w:p w:rsidR="00C35D06" w:rsidRPr="00C35D06" w:rsidRDefault="00C35D06" w:rsidP="00C35D06"/>
    <w:p w:rsidR="00C35D06" w:rsidRPr="00C35D06" w:rsidRDefault="00C35D06" w:rsidP="00C35D06">
      <w:pPr>
        <w:rPr>
          <w:b/>
        </w:rPr>
      </w:pPr>
      <w:r w:rsidRPr="00C35D06">
        <w:rPr>
          <w:b/>
        </w:rPr>
        <w:t>Mawson Station Heritage Management Plan 2014-2019</w:t>
      </w:r>
    </w:p>
    <w:p w:rsidR="00C35D06" w:rsidRPr="00C35D06" w:rsidRDefault="00C35D06" w:rsidP="00C35D06">
      <w:r w:rsidRPr="00C35D06">
        <w:t xml:space="preserve">This Legislative Instrument is compatible with the human rights and freedoms recognised or declared in the international instruments listed in section 3 of the </w:t>
      </w:r>
      <w:r w:rsidRPr="00C35D06">
        <w:rPr>
          <w:i/>
        </w:rPr>
        <w:t>Human Rights (Parliamentary Scrutiny) Act 2011</w:t>
      </w:r>
      <w:r w:rsidRPr="00C35D06">
        <w:t>.</w:t>
      </w:r>
    </w:p>
    <w:p w:rsidR="00C35D06" w:rsidRPr="00C35D06" w:rsidRDefault="00C35D06" w:rsidP="00C35D06"/>
    <w:p w:rsidR="00C35D06" w:rsidRPr="00C35D06" w:rsidRDefault="00C35D06" w:rsidP="00C35D06">
      <w:pPr>
        <w:rPr>
          <w:b/>
        </w:rPr>
      </w:pPr>
      <w:r w:rsidRPr="00C35D06">
        <w:rPr>
          <w:b/>
        </w:rPr>
        <w:t>Overview of the Legislative Instrument</w:t>
      </w:r>
    </w:p>
    <w:p w:rsidR="00C35D06" w:rsidRPr="00C35D06" w:rsidRDefault="00C35D06" w:rsidP="00C35D06">
      <w:r w:rsidRPr="00C35D06">
        <w:t xml:space="preserve">Section 341S of the </w:t>
      </w:r>
      <w:r w:rsidRPr="00C35D06">
        <w:rPr>
          <w:i/>
          <w:iCs/>
        </w:rPr>
        <w:t xml:space="preserve">Environment Protection and Biodiversity Conservation Act </w:t>
      </w:r>
      <w:r w:rsidRPr="00C35D06">
        <w:t>1999 requires that the Commonwealth agency that owns or controls a Commonwealth Heritage place must make a written management plan to provide for the protection and management of the values of the Commonwealth Heritage place. This management plan provides such a framework for Mawson station as it continues to evolve consistent with the requirements of supporting contemporary scientific endeavour. This management plan focuses on the buildings associated with the early era of station operations and is premised on the availability of only finite resources to conserve representative values and fabric subject to extreme environmental conditions and in a remote locale.</w:t>
      </w:r>
    </w:p>
    <w:p w:rsidR="00C35D06" w:rsidRPr="00C35D06" w:rsidRDefault="00C35D06" w:rsidP="00C35D06"/>
    <w:p w:rsidR="00C35D06" w:rsidRPr="00C35D06" w:rsidRDefault="00C35D06" w:rsidP="00C35D06">
      <w:pPr>
        <w:rPr>
          <w:b/>
        </w:rPr>
      </w:pPr>
      <w:r w:rsidRPr="00C35D06">
        <w:rPr>
          <w:b/>
        </w:rPr>
        <w:t>Human rights implications</w:t>
      </w:r>
    </w:p>
    <w:p w:rsidR="00C35D06" w:rsidRPr="00C35D06" w:rsidRDefault="00C35D06" w:rsidP="00C35D06">
      <w:r w:rsidRPr="00C35D06">
        <w:t>This Legislative Instrument does not engage any of the applicable rights or freedoms.</w:t>
      </w:r>
    </w:p>
    <w:p w:rsidR="00C35D06" w:rsidRPr="00C35D06" w:rsidRDefault="00C35D06" w:rsidP="00C35D06"/>
    <w:p w:rsidR="00C35D06" w:rsidRPr="00C35D06" w:rsidRDefault="00C35D06" w:rsidP="00C35D06">
      <w:pPr>
        <w:rPr>
          <w:b/>
        </w:rPr>
      </w:pPr>
      <w:r w:rsidRPr="00C35D06">
        <w:rPr>
          <w:b/>
        </w:rPr>
        <w:t>Conclusion</w:t>
      </w:r>
    </w:p>
    <w:p w:rsidR="00C35D06" w:rsidRPr="00C35D06" w:rsidRDefault="00C35D06" w:rsidP="00C35D06">
      <w:r w:rsidRPr="00C35D06">
        <w:t>This Legislative Instrument is compatible with human rights as it does not raise any human rights issues.</w:t>
      </w:r>
    </w:p>
    <w:p w:rsidR="00C35D06" w:rsidRPr="00C35D06" w:rsidRDefault="00C35D06" w:rsidP="00C35D06">
      <w:pPr>
        <w:rPr>
          <w:b/>
        </w:rPr>
      </w:pPr>
    </w:p>
    <w:p w:rsidR="00C35D06" w:rsidRPr="00C35D06" w:rsidRDefault="00C35D06" w:rsidP="00C35D06">
      <w:pPr>
        <w:rPr>
          <w:b/>
        </w:rPr>
      </w:pPr>
      <w:r w:rsidRPr="00C35D06">
        <w:rPr>
          <w:b/>
        </w:rPr>
        <w:t>Dr. Tony Fleming</w:t>
      </w:r>
    </w:p>
    <w:p w:rsidR="00C35D06" w:rsidRPr="00C35D06" w:rsidRDefault="00C35D06" w:rsidP="00C35D06">
      <w:pPr>
        <w:rPr>
          <w:b/>
        </w:rPr>
      </w:pPr>
      <w:r w:rsidRPr="00C35D06">
        <w:rPr>
          <w:b/>
        </w:rPr>
        <w:t xml:space="preserve">Director </w:t>
      </w:r>
    </w:p>
    <w:p w:rsidR="00C35D06" w:rsidRPr="00C35D06" w:rsidRDefault="00C35D06" w:rsidP="00C35D06">
      <w:pPr>
        <w:rPr>
          <w:b/>
        </w:rPr>
      </w:pPr>
      <w:r w:rsidRPr="00C35D06">
        <w:rPr>
          <w:b/>
        </w:rPr>
        <w:t>Australian Antarctic Division</w:t>
      </w:r>
    </w:p>
    <w:p w:rsidR="00C35D06" w:rsidRPr="00C35D06" w:rsidRDefault="00C35D06" w:rsidP="00C35D06"/>
    <w:p w:rsidR="00C35D06" w:rsidRPr="00C35D06" w:rsidRDefault="00C35D06" w:rsidP="00C35D06"/>
    <w:p w:rsidR="00C35D06" w:rsidRDefault="00C35D06" w:rsidP="002509F1"/>
    <w:sectPr w:rsidR="00C35D06" w:rsidSect="002509F1">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7D" w:rsidRDefault="0042357D" w:rsidP="0042357D">
      <w:r>
        <w:separator/>
      </w:r>
    </w:p>
  </w:endnote>
  <w:endnote w:type="continuationSeparator" w:id="0">
    <w:p w:rsidR="0042357D" w:rsidRDefault="0042357D" w:rsidP="004235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7D" w:rsidRDefault="00423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7D" w:rsidRDefault="004235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7D" w:rsidRDefault="00423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7D" w:rsidRDefault="0042357D" w:rsidP="0042357D">
      <w:r>
        <w:separator/>
      </w:r>
    </w:p>
  </w:footnote>
  <w:footnote w:type="continuationSeparator" w:id="0">
    <w:p w:rsidR="0042357D" w:rsidRDefault="0042357D" w:rsidP="00423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7D" w:rsidRDefault="00423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7D" w:rsidRDefault="004235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7D" w:rsidRDefault="004235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2509F1"/>
    <w:rsid w:val="000161D1"/>
    <w:rsid w:val="000372D8"/>
    <w:rsid w:val="00143420"/>
    <w:rsid w:val="002509F1"/>
    <w:rsid w:val="00254502"/>
    <w:rsid w:val="002F5D49"/>
    <w:rsid w:val="0035018F"/>
    <w:rsid w:val="003532FF"/>
    <w:rsid w:val="0042357D"/>
    <w:rsid w:val="004409E9"/>
    <w:rsid w:val="004B1F09"/>
    <w:rsid w:val="004B2D00"/>
    <w:rsid w:val="005D6EAD"/>
    <w:rsid w:val="00765F1C"/>
    <w:rsid w:val="00774A73"/>
    <w:rsid w:val="00787A9D"/>
    <w:rsid w:val="007F5A94"/>
    <w:rsid w:val="00834BBC"/>
    <w:rsid w:val="00841B99"/>
    <w:rsid w:val="008706A1"/>
    <w:rsid w:val="008A6DEC"/>
    <w:rsid w:val="008F75D5"/>
    <w:rsid w:val="009434D8"/>
    <w:rsid w:val="009452E8"/>
    <w:rsid w:val="00992E47"/>
    <w:rsid w:val="009F35B5"/>
    <w:rsid w:val="00A54C5A"/>
    <w:rsid w:val="00A76BE4"/>
    <w:rsid w:val="00AB4EFE"/>
    <w:rsid w:val="00AE47F0"/>
    <w:rsid w:val="00C35D06"/>
    <w:rsid w:val="00C87B6C"/>
    <w:rsid w:val="00C94DEE"/>
    <w:rsid w:val="00D76BED"/>
    <w:rsid w:val="00D77BC7"/>
    <w:rsid w:val="00DE6A81"/>
    <w:rsid w:val="00E00C4A"/>
    <w:rsid w:val="00E47A2F"/>
    <w:rsid w:val="00E847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9F1"/>
    <w:rPr>
      <w:rFonts w:ascii="Tahoma" w:hAnsi="Tahoma" w:cs="Tahoma"/>
      <w:sz w:val="16"/>
      <w:szCs w:val="16"/>
    </w:rPr>
  </w:style>
  <w:style w:type="character" w:customStyle="1" w:styleId="BalloonTextChar">
    <w:name w:val="Balloon Text Char"/>
    <w:basedOn w:val="DefaultParagraphFont"/>
    <w:link w:val="BalloonText"/>
    <w:uiPriority w:val="99"/>
    <w:semiHidden/>
    <w:rsid w:val="002509F1"/>
    <w:rPr>
      <w:rFonts w:ascii="Tahoma" w:hAnsi="Tahoma" w:cs="Tahoma"/>
      <w:sz w:val="16"/>
      <w:szCs w:val="16"/>
    </w:rPr>
  </w:style>
  <w:style w:type="character" w:styleId="CommentReference">
    <w:name w:val="annotation reference"/>
    <w:basedOn w:val="DefaultParagraphFont"/>
    <w:uiPriority w:val="99"/>
    <w:semiHidden/>
    <w:unhideWhenUsed/>
    <w:rsid w:val="000161D1"/>
    <w:rPr>
      <w:sz w:val="16"/>
      <w:szCs w:val="16"/>
    </w:rPr>
  </w:style>
  <w:style w:type="paragraph" w:styleId="CommentText">
    <w:name w:val="annotation text"/>
    <w:basedOn w:val="Normal"/>
    <w:link w:val="CommentTextChar"/>
    <w:uiPriority w:val="99"/>
    <w:semiHidden/>
    <w:unhideWhenUsed/>
    <w:rsid w:val="000161D1"/>
    <w:rPr>
      <w:sz w:val="20"/>
      <w:szCs w:val="20"/>
    </w:rPr>
  </w:style>
  <w:style w:type="character" w:customStyle="1" w:styleId="CommentTextChar">
    <w:name w:val="Comment Text Char"/>
    <w:basedOn w:val="DefaultParagraphFont"/>
    <w:link w:val="CommentText"/>
    <w:uiPriority w:val="99"/>
    <w:semiHidden/>
    <w:rsid w:val="000161D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61D1"/>
    <w:rPr>
      <w:b/>
      <w:bCs/>
    </w:rPr>
  </w:style>
  <w:style w:type="character" w:customStyle="1" w:styleId="CommentSubjectChar">
    <w:name w:val="Comment Subject Char"/>
    <w:basedOn w:val="CommentTextChar"/>
    <w:link w:val="CommentSubject"/>
    <w:uiPriority w:val="99"/>
    <w:semiHidden/>
    <w:rsid w:val="000161D1"/>
    <w:rPr>
      <w:rFonts w:ascii="Calibri" w:hAnsi="Calibri" w:cs="Calibri"/>
      <w:b/>
      <w:bCs/>
      <w:sz w:val="20"/>
      <w:szCs w:val="20"/>
    </w:rPr>
  </w:style>
  <w:style w:type="paragraph" w:styleId="Header">
    <w:name w:val="header"/>
    <w:basedOn w:val="Normal"/>
    <w:link w:val="HeaderChar"/>
    <w:uiPriority w:val="99"/>
    <w:semiHidden/>
    <w:unhideWhenUsed/>
    <w:rsid w:val="0042357D"/>
    <w:pPr>
      <w:tabs>
        <w:tab w:val="center" w:pos="4513"/>
        <w:tab w:val="right" w:pos="9026"/>
      </w:tabs>
    </w:pPr>
  </w:style>
  <w:style w:type="character" w:customStyle="1" w:styleId="HeaderChar">
    <w:name w:val="Header Char"/>
    <w:basedOn w:val="DefaultParagraphFont"/>
    <w:link w:val="Header"/>
    <w:uiPriority w:val="99"/>
    <w:semiHidden/>
    <w:rsid w:val="0042357D"/>
    <w:rPr>
      <w:rFonts w:ascii="Calibri" w:hAnsi="Calibri" w:cs="Calibri"/>
    </w:rPr>
  </w:style>
  <w:style w:type="paragraph" w:styleId="Footer">
    <w:name w:val="footer"/>
    <w:basedOn w:val="Normal"/>
    <w:link w:val="FooterChar"/>
    <w:uiPriority w:val="99"/>
    <w:semiHidden/>
    <w:unhideWhenUsed/>
    <w:rsid w:val="0042357D"/>
    <w:pPr>
      <w:tabs>
        <w:tab w:val="center" w:pos="4513"/>
        <w:tab w:val="right" w:pos="9026"/>
      </w:tabs>
    </w:pPr>
  </w:style>
  <w:style w:type="character" w:customStyle="1" w:styleId="FooterChar">
    <w:name w:val="Footer Char"/>
    <w:basedOn w:val="DefaultParagraphFont"/>
    <w:link w:val="Footer"/>
    <w:uiPriority w:val="99"/>
    <w:semiHidden/>
    <w:rsid w:val="0042357D"/>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antarctica.gov.au/information-management/style-guide/logos/AAD_ENV_stacked.tif"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Props1.xml><?xml version="1.0" encoding="utf-8"?>
<ds:datastoreItem xmlns:ds="http://schemas.openxmlformats.org/officeDocument/2006/customXml" ds:itemID="{4E0FB4AE-9024-4C8E-8F31-38068A60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666EBE7-B321-453F-90F7-227371B017F2}">
  <ds:schemaRefs>
    <ds:schemaRef ds:uri="http://schemas.microsoft.com/sharepoint/events"/>
  </ds:schemaRefs>
</ds:datastoreItem>
</file>

<file path=customXml/itemProps3.xml><?xml version="1.0" encoding="utf-8"?>
<ds:datastoreItem xmlns:ds="http://schemas.openxmlformats.org/officeDocument/2006/customXml" ds:itemID="{D5191D28-E1E7-47B7-9C94-1DB005D4A76C}">
  <ds:schemaRefs>
    <ds:schemaRef ds:uri="http://schemas.microsoft.com/office/2006/metadata/customXsn"/>
  </ds:schemaRefs>
</ds:datastoreItem>
</file>

<file path=customXml/itemProps4.xml><?xml version="1.0" encoding="utf-8"?>
<ds:datastoreItem xmlns:ds="http://schemas.openxmlformats.org/officeDocument/2006/customXml" ds:itemID="{FB8C2DCA-964F-4957-B4D3-57DB938C2349}">
  <ds:schemaRefs>
    <ds:schemaRef ds:uri="http://schemas.microsoft.com/sharepoint/v3/contenttype/forms"/>
  </ds:schemaRefs>
</ds:datastoreItem>
</file>

<file path=customXml/itemProps5.xml><?xml version="1.0" encoding="utf-8"?>
<ds:datastoreItem xmlns:ds="http://schemas.openxmlformats.org/officeDocument/2006/customXml" ds:itemID="{7E230E45-D958-445B-B72E-6C0DBA473E5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2015-02-13T00:07:00Z</dcterms:created>
  <dcterms:modified xsi:type="dcterms:W3CDTF">2015-02-13T00:07:00Z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ies>
</file>