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4E" w:rsidRPr="00172BEB" w:rsidRDefault="003B6BEA" w:rsidP="00172BEB">
      <w:pPr>
        <w:pStyle w:val="Heading1"/>
      </w:pPr>
      <w:bookmarkStart w:id="0" w:name="_GoBack"/>
      <w:bookmarkEnd w:id="0"/>
      <w:r>
        <w:rPr>
          <w:lang w:val="en-AU"/>
        </w:rPr>
        <w:t xml:space="preserve">Legislative Instruments (Deferral of </w:t>
      </w:r>
      <w:proofErr w:type="spellStart"/>
      <w:r>
        <w:rPr>
          <w:lang w:val="en-AU"/>
        </w:rPr>
        <w:t>Sunsetting</w:t>
      </w:r>
      <w:proofErr w:type="spellEnd"/>
      <w:r>
        <w:rPr>
          <w:lang w:val="en-AU"/>
        </w:rPr>
        <w:t xml:space="preserve"> – </w:t>
      </w:r>
      <w:r w:rsidR="00A2444D">
        <w:rPr>
          <w:lang w:val="en-AU"/>
        </w:rPr>
        <w:t>Quarantine</w:t>
      </w:r>
      <w:r>
        <w:rPr>
          <w:lang w:val="en-AU"/>
        </w:rPr>
        <w:t xml:space="preserve"> Instruments)</w:t>
      </w:r>
      <w:r w:rsidR="002B7CCA">
        <w:rPr>
          <w:lang w:val="en-AU"/>
        </w:rPr>
        <w:t xml:space="preserve"> Certificate 2015</w:t>
      </w:r>
    </w:p>
    <w:p w:rsidR="00AA6B76" w:rsidRPr="00172BEB" w:rsidRDefault="00BB3F34" w:rsidP="00172BEB">
      <w:pPr>
        <w:pStyle w:val="Heading1"/>
      </w:pPr>
      <w:r w:rsidRPr="00172BEB">
        <w:t>EXPLANATORY STATEMENT</w:t>
      </w:r>
    </w:p>
    <w:p w:rsidR="007E584E" w:rsidRPr="00172BEB" w:rsidRDefault="00723E99" w:rsidP="004A1869">
      <w:pPr>
        <w:spacing w:before="180" w:line="240" w:lineRule="auto"/>
        <w:jc w:val="center"/>
        <w:rPr>
          <w:i/>
        </w:rPr>
      </w:pPr>
      <w:r>
        <w:t>Issued by the</w:t>
      </w:r>
      <w:r w:rsidR="007E584E" w:rsidRPr="00172BEB">
        <w:t xml:space="preserve"> Attorney</w:t>
      </w:r>
      <w:r w:rsidR="00172BEB">
        <w:noBreakHyphen/>
      </w:r>
      <w:r w:rsidR="007E584E" w:rsidRPr="00172BEB">
        <w:t>General</w:t>
      </w:r>
      <w:r w:rsidR="009879EB" w:rsidRPr="00172BEB">
        <w:br/>
        <w:t xml:space="preserve">in compliance with </w:t>
      </w:r>
      <w:r w:rsidR="000870D6" w:rsidRPr="00172BEB">
        <w:t xml:space="preserve">section 26 of </w:t>
      </w:r>
      <w:r w:rsidR="00777D8E" w:rsidRPr="00172BEB">
        <w:t xml:space="preserve">the </w:t>
      </w:r>
      <w:r w:rsidR="00777D8E" w:rsidRPr="00172BEB">
        <w:rPr>
          <w:i/>
        </w:rPr>
        <w:t>Legislative Instruments Act 2003</w:t>
      </w:r>
    </w:p>
    <w:p w:rsidR="00FA086B" w:rsidRPr="00172BEB" w:rsidRDefault="00FA086B" w:rsidP="00FA086B">
      <w:pPr>
        <w:pBdr>
          <w:bottom w:val="single" w:sz="4" w:space="1" w:color="auto"/>
        </w:pBdr>
        <w:spacing w:after="240"/>
        <w:jc w:val="center"/>
      </w:pPr>
    </w:p>
    <w:p w:rsidR="00BB3F34" w:rsidRPr="00172BEB" w:rsidRDefault="00BB3F34" w:rsidP="00172BEB">
      <w:pPr>
        <w:pStyle w:val="Heading2"/>
      </w:pPr>
      <w:r w:rsidRPr="00172BEB">
        <w:t>INTRODUCTION</w:t>
      </w:r>
    </w:p>
    <w:p w:rsidR="008936D5" w:rsidRPr="00172BEB" w:rsidRDefault="00777D8E" w:rsidP="00015921">
      <w:pPr>
        <w:spacing w:before="180" w:line="240" w:lineRule="auto"/>
      </w:pPr>
      <w:r w:rsidRPr="00172BEB">
        <w:t xml:space="preserve">This </w:t>
      </w:r>
      <w:r w:rsidR="009C5651">
        <w:t xml:space="preserve">certificate </w:t>
      </w:r>
      <w:r w:rsidR="00612A82" w:rsidRPr="00172BEB">
        <w:t>w</w:t>
      </w:r>
      <w:r w:rsidRPr="00172BEB">
        <w:t>as made under</w:t>
      </w:r>
      <w:r w:rsidR="003B6BEA">
        <w:t xml:space="preserve"> paragraph</w:t>
      </w:r>
      <w:r w:rsidR="008936D5" w:rsidRPr="00172BEB">
        <w:t xml:space="preserve"> </w:t>
      </w:r>
      <w:r w:rsidR="009C5651">
        <w:t>51</w:t>
      </w:r>
      <w:r w:rsidR="003B6BEA">
        <w:t>(1)(c)</w:t>
      </w:r>
      <w:r w:rsidR="008936D5" w:rsidRPr="00172BEB">
        <w:t xml:space="preserve"> of the </w:t>
      </w:r>
      <w:hyperlink r:id="rId9" w:history="1">
        <w:r w:rsidR="008936D5" w:rsidRPr="00172BEB">
          <w:rPr>
            <w:rStyle w:val="Hyperlink"/>
            <w:i/>
            <w:color w:val="000000"/>
            <w:u w:val="none"/>
          </w:rPr>
          <w:t>Legislative Instruments Act 2003</w:t>
        </w:r>
      </w:hyperlink>
      <w:r w:rsidRPr="00172BEB">
        <w:t xml:space="preserve"> </w:t>
      </w:r>
      <w:r w:rsidR="00667D8F" w:rsidRPr="00172BEB">
        <w:t xml:space="preserve">(the </w:t>
      </w:r>
      <w:proofErr w:type="spellStart"/>
      <w:r w:rsidR="00667D8F" w:rsidRPr="00172BEB">
        <w:t>LIA</w:t>
      </w:r>
      <w:proofErr w:type="spellEnd"/>
      <w:r w:rsidR="00667D8F" w:rsidRPr="00172BEB">
        <w:t xml:space="preserve">) </w:t>
      </w:r>
      <w:r w:rsidRPr="00172BEB">
        <w:t xml:space="preserve">and </w:t>
      </w:r>
      <w:r w:rsidR="00612A82" w:rsidRPr="00172BEB">
        <w:t xml:space="preserve">is </w:t>
      </w:r>
      <w:r w:rsidRPr="00172BEB">
        <w:t>a legislative instrument</w:t>
      </w:r>
      <w:r w:rsidR="00D5761A">
        <w:t xml:space="preserve"> for the purposes of the </w:t>
      </w:r>
      <w:proofErr w:type="spellStart"/>
      <w:r w:rsidR="00D5761A" w:rsidRPr="00E340F1">
        <w:t>LIA</w:t>
      </w:r>
      <w:proofErr w:type="spellEnd"/>
      <w:r w:rsidR="008936D5" w:rsidRPr="00E340F1">
        <w:t>.</w:t>
      </w:r>
      <w:r w:rsidR="00BD0810" w:rsidRPr="00E340F1">
        <w:t xml:space="preserve"> The </w:t>
      </w:r>
      <w:proofErr w:type="spellStart"/>
      <w:r w:rsidR="00BD0810" w:rsidRPr="00E340F1">
        <w:t>LIA</w:t>
      </w:r>
      <w:proofErr w:type="spellEnd"/>
      <w:r w:rsidR="00BD0810" w:rsidRPr="00E340F1">
        <w:t xml:space="preserve"> provides that </w:t>
      </w:r>
      <w:r w:rsidR="00E340F1">
        <w:t>a c</w:t>
      </w:r>
      <w:r w:rsidR="00BD0810" w:rsidRPr="00E340F1">
        <w:t xml:space="preserve">ertificate issued by the Attorney-General under subsection 51(1) of the </w:t>
      </w:r>
      <w:proofErr w:type="spellStart"/>
      <w:r w:rsidR="00BD0810" w:rsidRPr="00E340F1">
        <w:t>LIA</w:t>
      </w:r>
      <w:proofErr w:type="spellEnd"/>
      <w:r w:rsidR="00BD0810" w:rsidRPr="00E340F1">
        <w:t xml:space="preserve"> is not subject to the disallowance provisions of the </w:t>
      </w:r>
      <w:proofErr w:type="spellStart"/>
      <w:r w:rsidR="00BD0810" w:rsidRPr="00E340F1">
        <w:t>LIA</w:t>
      </w:r>
      <w:proofErr w:type="spellEnd"/>
      <w:r w:rsidR="00BD0810" w:rsidRPr="00E340F1">
        <w:t>. Accordingly, a human rights statement of compatibility is not required.</w:t>
      </w:r>
      <w:r w:rsidR="00BD0810">
        <w:t xml:space="preserve">  </w:t>
      </w:r>
    </w:p>
    <w:p w:rsidR="004A68BA" w:rsidRPr="00172BEB" w:rsidRDefault="000B14C7" w:rsidP="00172BEB">
      <w:pPr>
        <w:pStyle w:val="Heading2"/>
      </w:pPr>
      <w:r w:rsidRPr="00172BEB">
        <w:t>OUTLINE</w:t>
      </w:r>
    </w:p>
    <w:p w:rsidR="00A36E42" w:rsidRDefault="00A36E42" w:rsidP="00015921">
      <w:pPr>
        <w:spacing w:before="180" w:line="240" w:lineRule="auto"/>
      </w:pPr>
      <w:r>
        <w:t xml:space="preserve">The purpose of Part 6 </w:t>
      </w:r>
      <w:r w:rsidR="00097769">
        <w:t xml:space="preserve">of the </w:t>
      </w:r>
      <w:proofErr w:type="spellStart"/>
      <w:r w:rsidR="00097769">
        <w:t>LIA</w:t>
      </w:r>
      <w:proofErr w:type="spellEnd"/>
      <w:r w:rsidR="00097769">
        <w:t xml:space="preserve"> on</w:t>
      </w:r>
      <w:r>
        <w:t xml:space="preserve"> </w:t>
      </w:r>
      <w:proofErr w:type="spellStart"/>
      <w:r w:rsidR="00097769">
        <w:t>s</w:t>
      </w:r>
      <w:r>
        <w:t>unsetting</w:t>
      </w:r>
      <w:proofErr w:type="spellEnd"/>
      <w:r>
        <w:t xml:space="preserve"> of legislative instruments is to ensu</w:t>
      </w:r>
      <w:r w:rsidR="00DC077C">
        <w:t>re that legislative instruments</w:t>
      </w:r>
      <w:r>
        <w:t xml:space="preserve"> are kept up to date and only remain in force for so long as they are needed.</w:t>
      </w:r>
    </w:p>
    <w:p w:rsidR="00BD0810" w:rsidRDefault="003B6BEA" w:rsidP="00015921">
      <w:pPr>
        <w:spacing w:before="180" w:line="240" w:lineRule="auto"/>
      </w:pPr>
      <w:r>
        <w:t xml:space="preserve">Paragraph </w:t>
      </w:r>
      <w:r w:rsidR="0015180F">
        <w:t>51</w:t>
      </w:r>
      <w:r>
        <w:t>(1)(c)</w:t>
      </w:r>
      <w:r w:rsidR="0015180F">
        <w:t xml:space="preserve"> </w:t>
      </w:r>
      <w:r w:rsidR="00A4294E" w:rsidRPr="00172BEB">
        <w:t>enable</w:t>
      </w:r>
      <w:r w:rsidR="0015180F">
        <w:t>s</w:t>
      </w:r>
      <w:r w:rsidR="00A4294E" w:rsidRPr="00172BEB">
        <w:t xml:space="preserve"> </w:t>
      </w:r>
      <w:r w:rsidR="00BD0810">
        <w:t xml:space="preserve">the Attorney-General to </w:t>
      </w:r>
      <w:r w:rsidR="0015180F">
        <w:t xml:space="preserve">issue a certificate to </w:t>
      </w:r>
      <w:r w:rsidR="00BD0810">
        <w:t xml:space="preserve">defer </w:t>
      </w:r>
      <w:r w:rsidR="00C97BF7">
        <w:t xml:space="preserve">the </w:t>
      </w:r>
      <w:proofErr w:type="spellStart"/>
      <w:r w:rsidR="00C97BF7">
        <w:t>sunsetting</w:t>
      </w:r>
      <w:proofErr w:type="spellEnd"/>
      <w:r w:rsidR="00C97BF7">
        <w:t xml:space="preserve"> day</w:t>
      </w:r>
      <w:r w:rsidR="0015180F">
        <w:t xml:space="preserve"> for an instrument for a period of six or 12 months. </w:t>
      </w:r>
      <w:r w:rsidR="00BD0810">
        <w:t xml:space="preserve"> </w:t>
      </w:r>
      <w:r w:rsidR="003D7184">
        <w:t>The instrument will then cease</w:t>
      </w:r>
      <w:r w:rsidR="00C97BF7">
        <w:t xml:space="preserve"> to be in force on the day</w:t>
      </w:r>
      <w:r w:rsidR="005837B0">
        <w:t xml:space="preserve"> specified in the cer</w:t>
      </w:r>
      <w:r w:rsidR="004D4C51">
        <w:t>tificate instead of the scheduled</w:t>
      </w:r>
      <w:r w:rsidR="00C97BF7">
        <w:t xml:space="preserve"> </w:t>
      </w:r>
      <w:proofErr w:type="spellStart"/>
      <w:r w:rsidR="00C97BF7">
        <w:t>sunsetting</w:t>
      </w:r>
      <w:proofErr w:type="spellEnd"/>
      <w:r w:rsidR="00C97BF7">
        <w:t xml:space="preserve"> day</w:t>
      </w:r>
      <w:r w:rsidR="005837B0">
        <w:t xml:space="preserve">. </w:t>
      </w:r>
    </w:p>
    <w:p w:rsidR="00E340F1" w:rsidRDefault="00A36E42" w:rsidP="00015921">
      <w:pPr>
        <w:spacing w:before="180" w:line="240" w:lineRule="auto"/>
      </w:pPr>
      <w:r>
        <w:t xml:space="preserve">This allows instruments to continue to be in force </w:t>
      </w:r>
      <w:r w:rsidR="00741DF8">
        <w:t xml:space="preserve">for a further but limited period of time </w:t>
      </w:r>
      <w:r>
        <w:t xml:space="preserve">when they would otherwise sunset. </w:t>
      </w:r>
      <w:r w:rsidR="00741DF8">
        <w:t>This removes the</w:t>
      </w:r>
      <w:r w:rsidR="00B9705F">
        <w:t xml:space="preserve"> administrative burden of remaking</w:t>
      </w:r>
      <w:r w:rsidR="00741DF8">
        <w:t xml:space="preserve"> instruments </w:t>
      </w:r>
      <w:r w:rsidR="004D4C51">
        <w:t xml:space="preserve">which would have </w:t>
      </w:r>
      <w:r w:rsidR="00B9705F">
        <w:t>a</w:t>
      </w:r>
      <w:r w:rsidR="00741DF8">
        <w:t xml:space="preserve"> limited duration when they are already </w:t>
      </w:r>
      <w:r w:rsidR="004D4C51">
        <w:t>fit-for-purpose.</w:t>
      </w:r>
    </w:p>
    <w:p w:rsidR="00504154" w:rsidRPr="00172BEB" w:rsidRDefault="00287DEB" w:rsidP="00172BEB">
      <w:pPr>
        <w:pStyle w:val="Heading2"/>
      </w:pPr>
      <w:r w:rsidRPr="00172BEB">
        <w:t xml:space="preserve">PROCESS </w:t>
      </w:r>
      <w:r w:rsidR="000616D0" w:rsidRPr="00172BEB">
        <w:t xml:space="preserve">BEFORE </w:t>
      </w:r>
      <w:r w:rsidR="005A463D">
        <w:t>CERTIFICATE</w:t>
      </w:r>
      <w:r w:rsidR="00F54989" w:rsidRPr="00172BEB">
        <w:t xml:space="preserve"> WAS MADE </w:t>
      </w:r>
    </w:p>
    <w:p w:rsidR="00504154" w:rsidRPr="00172BEB" w:rsidRDefault="00504154" w:rsidP="00172BEB">
      <w:pPr>
        <w:pStyle w:val="Heading3"/>
      </w:pPr>
      <w:r w:rsidRPr="00172BEB">
        <w:t>Regulatory impact analysis</w:t>
      </w:r>
    </w:p>
    <w:p w:rsidR="00972CC5" w:rsidRPr="00972CC5" w:rsidRDefault="00F7772C" w:rsidP="00972CC5">
      <w:pPr>
        <w:spacing w:before="180" w:line="240" w:lineRule="auto"/>
      </w:pPr>
      <w:r w:rsidRPr="0011395E">
        <w:t xml:space="preserve">Before this </w:t>
      </w:r>
      <w:r w:rsidR="00E340F1">
        <w:t>ce</w:t>
      </w:r>
      <w:r w:rsidR="00D5761A">
        <w:t>rtificate was issued</w:t>
      </w:r>
      <w:r w:rsidRPr="0011395E">
        <w:t>, its expected impact was assessed using the Preliminary Assessment tool approved by the Office of Best Practice Regulation (</w:t>
      </w:r>
      <w:proofErr w:type="spellStart"/>
      <w:r w:rsidRPr="0011395E">
        <w:t>OBPR</w:t>
      </w:r>
      <w:proofErr w:type="spellEnd"/>
      <w:r w:rsidRPr="0011395E">
        <w:t xml:space="preserve">). </w:t>
      </w:r>
      <w:r w:rsidR="00C97BF7">
        <w:t xml:space="preserve">The </w:t>
      </w:r>
      <w:proofErr w:type="spellStart"/>
      <w:r w:rsidR="00C97BF7">
        <w:t>OBPR</w:t>
      </w:r>
      <w:proofErr w:type="spellEnd"/>
      <w:r w:rsidR="00C97BF7">
        <w:t xml:space="preserve"> considered</w:t>
      </w:r>
      <w:r w:rsidR="00972CC5" w:rsidRPr="00972CC5">
        <w:t xml:space="preserve"> that the proposal </w:t>
      </w:r>
      <w:r w:rsidR="00C97BF7">
        <w:t xml:space="preserve">could </w:t>
      </w:r>
      <w:r w:rsidR="00972CC5" w:rsidRPr="00972CC5">
        <w:t xml:space="preserve">be </w:t>
      </w:r>
      <w:r w:rsidR="00C97BF7">
        <w:t>expected</w:t>
      </w:r>
      <w:r w:rsidR="00972CC5" w:rsidRPr="00972CC5">
        <w:t xml:space="preserve"> to have a minor impact on business and community organisations because of the short term of the deferral. Therefore, </w:t>
      </w:r>
      <w:r w:rsidR="00972CC5">
        <w:t xml:space="preserve">a </w:t>
      </w:r>
      <w:proofErr w:type="spellStart"/>
      <w:r w:rsidR="00972CC5">
        <w:t>RIS</w:t>
      </w:r>
      <w:proofErr w:type="spellEnd"/>
      <w:r w:rsidR="00972CC5">
        <w:t xml:space="preserve"> or an agency</w:t>
      </w:r>
      <w:r w:rsidR="00972CC5" w:rsidRPr="00972CC5">
        <w:t xml:space="preserve"> </w:t>
      </w:r>
      <w:r w:rsidR="00097769">
        <w:t>‘</w:t>
      </w:r>
      <w:r w:rsidR="00972CC5" w:rsidRPr="00972CC5">
        <w:t>assessment of the perf</w:t>
      </w:r>
      <w:r w:rsidR="00972CC5">
        <w:t>ormance</w:t>
      </w:r>
      <w:r w:rsidR="00097769">
        <w:t>’</w:t>
      </w:r>
      <w:r w:rsidR="00972CC5">
        <w:t xml:space="preserve"> of the </w:t>
      </w:r>
      <w:r w:rsidR="00C97BF7">
        <w:t>proposal was</w:t>
      </w:r>
      <w:r w:rsidR="00972CC5">
        <w:t xml:space="preserve"> not required.</w:t>
      </w:r>
    </w:p>
    <w:p w:rsidR="00B32D9C" w:rsidRPr="00172BEB" w:rsidRDefault="00A33D0C" w:rsidP="00172BEB">
      <w:pPr>
        <w:pStyle w:val="Heading3"/>
      </w:pPr>
      <w:r w:rsidRPr="00172BEB">
        <w:t xml:space="preserve">Consultation </w:t>
      </w:r>
      <w:r w:rsidR="00273C17" w:rsidRPr="00172BEB">
        <w:t xml:space="preserve">before making </w:t>
      </w:r>
    </w:p>
    <w:p w:rsidR="00273C17" w:rsidRPr="00172BEB" w:rsidRDefault="00E340F1" w:rsidP="00015921">
      <w:pPr>
        <w:spacing w:before="180" w:line="240" w:lineRule="auto"/>
      </w:pPr>
      <w:r>
        <w:t xml:space="preserve">Before this certificate was issued, </w:t>
      </w:r>
      <w:r w:rsidR="00F54989" w:rsidRPr="00172BEB">
        <w:t>the Attorney</w:t>
      </w:r>
      <w:r w:rsidR="00172BEB">
        <w:noBreakHyphen/>
      </w:r>
      <w:r w:rsidR="00F54989" w:rsidRPr="00172BEB">
        <w:t xml:space="preserve">General considered the </w:t>
      </w:r>
      <w:r w:rsidR="00273C17" w:rsidRPr="00172BEB">
        <w:t xml:space="preserve">general </w:t>
      </w:r>
      <w:r w:rsidR="00273C17" w:rsidRPr="0011395E">
        <w:t xml:space="preserve">obligation to consult </w:t>
      </w:r>
      <w:r w:rsidR="00F54989" w:rsidRPr="0011395E">
        <w:t xml:space="preserve">imposed by </w:t>
      </w:r>
      <w:r w:rsidR="00273C17" w:rsidRPr="0011395E">
        <w:t xml:space="preserve">section 17 </w:t>
      </w:r>
      <w:r w:rsidR="00F54989" w:rsidRPr="0011395E">
        <w:t xml:space="preserve">of </w:t>
      </w:r>
      <w:r w:rsidR="00273C17" w:rsidRPr="0011395E">
        <w:t xml:space="preserve">the </w:t>
      </w:r>
      <w:proofErr w:type="spellStart"/>
      <w:r w:rsidR="00273C17" w:rsidRPr="0011395E">
        <w:t>LIA</w:t>
      </w:r>
      <w:proofErr w:type="spellEnd"/>
      <w:r w:rsidR="00273C17" w:rsidRPr="0011395E">
        <w:t xml:space="preserve">, and the specific circumstances where consultation may be unnecessary or inappropriate set out in section 18. </w:t>
      </w:r>
      <w:r w:rsidR="001C1046">
        <w:t xml:space="preserve">Consultation involved the </w:t>
      </w:r>
      <w:r w:rsidR="001A04BC" w:rsidRPr="0011395E">
        <w:t xml:space="preserve">Minister </w:t>
      </w:r>
      <w:r w:rsidR="009E7985" w:rsidRPr="0011395E">
        <w:t>fo</w:t>
      </w:r>
      <w:r>
        <w:t xml:space="preserve">r </w:t>
      </w:r>
      <w:r w:rsidR="00A2444D">
        <w:t>Agriculture</w:t>
      </w:r>
      <w:r>
        <w:t xml:space="preserve"> </w:t>
      </w:r>
      <w:r w:rsidR="003E733B" w:rsidRPr="0011395E">
        <w:t>advis</w:t>
      </w:r>
      <w:r w:rsidR="001C1046">
        <w:t xml:space="preserve">ing </w:t>
      </w:r>
      <w:r w:rsidR="00097769">
        <w:t>the Attorney</w:t>
      </w:r>
      <w:r w:rsidR="00097769">
        <w:noBreakHyphen/>
        <w:t xml:space="preserve">General </w:t>
      </w:r>
      <w:r w:rsidR="00111125">
        <w:t>of the reasons for</w:t>
      </w:r>
      <w:r w:rsidR="00251580">
        <w:t xml:space="preserve"> issuing a certific</w:t>
      </w:r>
      <w:r w:rsidR="00C97BF7">
        <w:t xml:space="preserve">ate to defer the </w:t>
      </w:r>
      <w:proofErr w:type="spellStart"/>
      <w:r w:rsidR="00C97BF7">
        <w:t>sunsetting</w:t>
      </w:r>
      <w:proofErr w:type="spellEnd"/>
      <w:r w:rsidR="00C97BF7">
        <w:t xml:space="preserve"> day</w:t>
      </w:r>
      <w:r w:rsidR="00251580">
        <w:t>s of particular instruments</w:t>
      </w:r>
      <w:r w:rsidR="00111125">
        <w:t>. T</w:t>
      </w:r>
      <w:r w:rsidR="003E733B" w:rsidRPr="0011395E">
        <w:t xml:space="preserve">he </w:t>
      </w:r>
      <w:r>
        <w:t xml:space="preserve">certificate </w:t>
      </w:r>
      <w:r w:rsidR="003E733B" w:rsidRPr="0011395E">
        <w:t>does not significantly alter existing arrangements</w:t>
      </w:r>
      <w:r w:rsidR="001C1046">
        <w:t xml:space="preserve">. Accordingly, further consultation was unnecessary. </w:t>
      </w:r>
    </w:p>
    <w:p w:rsidR="00273C17" w:rsidRPr="00172BEB" w:rsidRDefault="00273C17" w:rsidP="00172BEB">
      <w:pPr>
        <w:pStyle w:val="Heading3"/>
      </w:pPr>
      <w:r w:rsidRPr="00172BEB">
        <w:lastRenderedPageBreak/>
        <w:t xml:space="preserve">Statutory preconditions </w:t>
      </w:r>
      <w:r w:rsidR="005A463D">
        <w:t>relevant to this certificate</w:t>
      </w:r>
    </w:p>
    <w:p w:rsidR="00E340F1" w:rsidRPr="00E340F1" w:rsidRDefault="00E340F1" w:rsidP="00E340F1">
      <w:pPr>
        <w:pStyle w:val="Heading2"/>
        <w:spacing w:before="180"/>
        <w:ind w:left="12" w:hanging="12"/>
        <w:rPr>
          <w:rFonts w:ascii="Times New Roman" w:hAnsi="Times New Roman"/>
          <w:b w:val="0"/>
          <w:sz w:val="22"/>
        </w:rPr>
      </w:pPr>
      <w:r w:rsidRPr="00E340F1">
        <w:rPr>
          <w:rFonts w:ascii="Times New Roman" w:hAnsi="Times New Roman"/>
          <w:b w:val="0"/>
          <w:sz w:val="22"/>
        </w:rPr>
        <w:t>If the Attorney</w:t>
      </w:r>
      <w:r w:rsidR="001C1046">
        <w:rPr>
          <w:rFonts w:ascii="Times New Roman" w:hAnsi="Times New Roman"/>
          <w:b w:val="0"/>
          <w:sz w:val="22"/>
        </w:rPr>
        <w:t>-</w:t>
      </w:r>
      <w:r w:rsidRPr="00E340F1">
        <w:rPr>
          <w:rFonts w:ascii="Times New Roman" w:hAnsi="Times New Roman"/>
          <w:b w:val="0"/>
          <w:sz w:val="22"/>
        </w:rPr>
        <w:t>General is satisfied that the statutory conditions in section 51 of</w:t>
      </w:r>
      <w:r>
        <w:rPr>
          <w:rFonts w:ascii="Times New Roman" w:hAnsi="Times New Roman"/>
          <w:b w:val="0"/>
          <w:sz w:val="22"/>
        </w:rPr>
        <w:t xml:space="preserve"> the </w:t>
      </w:r>
      <w:proofErr w:type="spellStart"/>
      <w:r>
        <w:rPr>
          <w:rFonts w:ascii="Times New Roman" w:hAnsi="Times New Roman"/>
          <w:b w:val="0"/>
          <w:sz w:val="22"/>
        </w:rPr>
        <w:t>LIA</w:t>
      </w:r>
      <w:proofErr w:type="spellEnd"/>
      <w:r>
        <w:rPr>
          <w:rFonts w:ascii="Times New Roman" w:hAnsi="Times New Roman"/>
          <w:b w:val="0"/>
          <w:sz w:val="22"/>
        </w:rPr>
        <w:t xml:space="preserve"> are met, an </w:t>
      </w:r>
      <w:r w:rsidRPr="00E340F1">
        <w:rPr>
          <w:rFonts w:ascii="Times New Roman" w:hAnsi="Times New Roman"/>
          <w:b w:val="0"/>
          <w:sz w:val="22"/>
        </w:rPr>
        <w:t xml:space="preserve">instrument’s </w:t>
      </w:r>
      <w:proofErr w:type="spellStart"/>
      <w:r w:rsidRPr="00E340F1">
        <w:rPr>
          <w:rFonts w:ascii="Times New Roman" w:hAnsi="Times New Roman"/>
          <w:b w:val="0"/>
          <w:sz w:val="22"/>
        </w:rPr>
        <w:t>sunset</w:t>
      </w:r>
      <w:r w:rsidR="00C97BF7">
        <w:rPr>
          <w:rFonts w:ascii="Times New Roman" w:hAnsi="Times New Roman"/>
          <w:b w:val="0"/>
          <w:sz w:val="22"/>
        </w:rPr>
        <w:t>ting</w:t>
      </w:r>
      <w:proofErr w:type="spellEnd"/>
      <w:r w:rsidR="00C97BF7">
        <w:rPr>
          <w:rFonts w:ascii="Times New Roman" w:hAnsi="Times New Roman"/>
          <w:b w:val="0"/>
          <w:sz w:val="22"/>
        </w:rPr>
        <w:t xml:space="preserve"> day</w:t>
      </w:r>
      <w:r w:rsidRPr="00E340F1">
        <w:rPr>
          <w:rFonts w:ascii="Times New Roman" w:hAnsi="Times New Roman"/>
          <w:b w:val="0"/>
          <w:sz w:val="22"/>
        </w:rPr>
        <w:t xml:space="preserve"> can be deferred for either 6 or 12 months by means of </w:t>
      </w:r>
      <w:r w:rsidR="001C1046">
        <w:rPr>
          <w:rFonts w:ascii="Times New Roman" w:hAnsi="Times New Roman"/>
          <w:b w:val="0"/>
          <w:sz w:val="22"/>
        </w:rPr>
        <w:t xml:space="preserve"> </w:t>
      </w:r>
      <w:r w:rsidRPr="00E340F1">
        <w:rPr>
          <w:rFonts w:ascii="Times New Roman" w:hAnsi="Times New Roman"/>
          <w:b w:val="0"/>
          <w:sz w:val="22"/>
        </w:rPr>
        <w:t xml:space="preserve">a certificate made under that section. In terms of process, the </w:t>
      </w:r>
      <w:proofErr w:type="spellStart"/>
      <w:r w:rsidRPr="00E340F1">
        <w:rPr>
          <w:rFonts w:ascii="Times New Roman" w:hAnsi="Times New Roman"/>
          <w:b w:val="0"/>
          <w:sz w:val="22"/>
        </w:rPr>
        <w:t>LIA</w:t>
      </w:r>
      <w:proofErr w:type="spellEnd"/>
      <w:r w:rsidRPr="00E340F1">
        <w:rPr>
          <w:rFonts w:ascii="Times New Roman" w:hAnsi="Times New Roman"/>
          <w:b w:val="0"/>
          <w:sz w:val="22"/>
        </w:rPr>
        <w:t xml:space="preserve"> requires:</w:t>
      </w:r>
    </w:p>
    <w:p w:rsidR="00E340F1" w:rsidRPr="00E340F1" w:rsidRDefault="00E340F1" w:rsidP="00E340F1">
      <w:pPr>
        <w:pStyle w:val="Heading2"/>
        <w:numPr>
          <w:ilvl w:val="0"/>
          <w:numId w:val="48"/>
        </w:numPr>
        <w:spacing w:before="180"/>
        <w:rPr>
          <w:rFonts w:ascii="Times New Roman" w:hAnsi="Times New Roman"/>
          <w:b w:val="0"/>
          <w:sz w:val="22"/>
        </w:rPr>
      </w:pPr>
      <w:r w:rsidRPr="00E340F1">
        <w:rPr>
          <w:rFonts w:ascii="Times New Roman" w:hAnsi="Times New Roman"/>
          <w:b w:val="0"/>
          <w:sz w:val="22"/>
        </w:rPr>
        <w:t xml:space="preserve">the responsible rule maker to apply to </w:t>
      </w:r>
      <w:r w:rsidR="00330049">
        <w:rPr>
          <w:rFonts w:ascii="Times New Roman" w:hAnsi="Times New Roman"/>
          <w:b w:val="0"/>
          <w:sz w:val="22"/>
        </w:rPr>
        <w:t>the Attorney-General in writing</w:t>
      </w:r>
    </w:p>
    <w:p w:rsidR="00E340F1" w:rsidRPr="00E340F1" w:rsidRDefault="00330049" w:rsidP="00E340F1">
      <w:pPr>
        <w:pStyle w:val="Heading2"/>
        <w:numPr>
          <w:ilvl w:val="0"/>
          <w:numId w:val="48"/>
        </w:numPr>
        <w:spacing w:before="180"/>
        <w:rPr>
          <w:rFonts w:ascii="Times New Roman" w:hAnsi="Times New Roman"/>
          <w:b w:val="0"/>
          <w:sz w:val="22"/>
        </w:rPr>
      </w:pPr>
      <w:r>
        <w:rPr>
          <w:rFonts w:ascii="Times New Roman" w:hAnsi="Times New Roman"/>
          <w:b w:val="0"/>
          <w:sz w:val="22"/>
        </w:rPr>
        <w:t>the Attorney-</w:t>
      </w:r>
      <w:r w:rsidR="00E340F1" w:rsidRPr="00E340F1">
        <w:rPr>
          <w:rFonts w:ascii="Times New Roman" w:hAnsi="Times New Roman"/>
          <w:b w:val="0"/>
          <w:sz w:val="22"/>
        </w:rPr>
        <w:t xml:space="preserve">General to be satisfied that the instrument </w:t>
      </w:r>
      <w:r>
        <w:rPr>
          <w:rFonts w:ascii="Times New Roman" w:hAnsi="Times New Roman"/>
          <w:b w:val="0"/>
          <w:sz w:val="22"/>
        </w:rPr>
        <w:t xml:space="preserve">meets the statutory conditions, </w:t>
      </w:r>
      <w:r w:rsidR="00E340F1" w:rsidRPr="00E340F1">
        <w:rPr>
          <w:rFonts w:ascii="Times New Roman" w:hAnsi="Times New Roman"/>
          <w:b w:val="0"/>
          <w:sz w:val="22"/>
        </w:rPr>
        <w:t xml:space="preserve">and </w:t>
      </w:r>
    </w:p>
    <w:p w:rsidR="00E340F1" w:rsidRPr="00E340F1" w:rsidRDefault="00E340F1" w:rsidP="00E340F1">
      <w:pPr>
        <w:pStyle w:val="Heading2"/>
        <w:numPr>
          <w:ilvl w:val="0"/>
          <w:numId w:val="48"/>
        </w:numPr>
        <w:spacing w:before="180"/>
        <w:rPr>
          <w:rFonts w:ascii="Times New Roman" w:hAnsi="Times New Roman"/>
          <w:b w:val="0"/>
          <w:sz w:val="22"/>
        </w:rPr>
      </w:pPr>
      <w:r w:rsidRPr="00E340F1">
        <w:rPr>
          <w:rFonts w:ascii="Times New Roman" w:hAnsi="Times New Roman"/>
          <w:b w:val="0"/>
          <w:sz w:val="22"/>
        </w:rPr>
        <w:t xml:space="preserve">the </w:t>
      </w:r>
      <w:r w:rsidR="00330049">
        <w:rPr>
          <w:rFonts w:ascii="Times New Roman" w:hAnsi="Times New Roman"/>
          <w:b w:val="0"/>
          <w:sz w:val="22"/>
        </w:rPr>
        <w:t>Attorney-</w:t>
      </w:r>
      <w:r w:rsidRPr="00E340F1">
        <w:rPr>
          <w:rFonts w:ascii="Times New Roman" w:hAnsi="Times New Roman"/>
          <w:b w:val="0"/>
          <w:sz w:val="22"/>
        </w:rPr>
        <w:t>General to make a certificate that includes a statement of reasons for the issue of the certificate—this certificate must be registered (</w:t>
      </w:r>
      <w:proofErr w:type="spellStart"/>
      <w:r w:rsidRPr="00E340F1">
        <w:rPr>
          <w:rFonts w:ascii="Times New Roman" w:hAnsi="Times New Roman"/>
          <w:b w:val="0"/>
          <w:sz w:val="22"/>
        </w:rPr>
        <w:t>LIA</w:t>
      </w:r>
      <w:proofErr w:type="spellEnd"/>
      <w:r w:rsidRPr="00E340F1">
        <w:rPr>
          <w:rFonts w:ascii="Times New Roman" w:hAnsi="Times New Roman"/>
          <w:b w:val="0"/>
          <w:sz w:val="22"/>
        </w:rPr>
        <w:t xml:space="preserve"> s 51(3)) but is exempt from disallowance (</w:t>
      </w:r>
      <w:proofErr w:type="spellStart"/>
      <w:r w:rsidRPr="00E340F1">
        <w:rPr>
          <w:rFonts w:ascii="Times New Roman" w:hAnsi="Times New Roman"/>
          <w:b w:val="0"/>
          <w:sz w:val="22"/>
        </w:rPr>
        <w:t>LIA</w:t>
      </w:r>
      <w:proofErr w:type="spellEnd"/>
      <w:r w:rsidRPr="00E340F1">
        <w:rPr>
          <w:rFonts w:ascii="Times New Roman" w:hAnsi="Times New Roman"/>
          <w:b w:val="0"/>
          <w:sz w:val="22"/>
        </w:rPr>
        <w:t xml:space="preserve"> s 44(2), item 43).</w:t>
      </w:r>
    </w:p>
    <w:p w:rsidR="00197F0A" w:rsidRPr="00172BEB" w:rsidRDefault="00197F0A" w:rsidP="00172BEB">
      <w:pPr>
        <w:pStyle w:val="Heading3"/>
      </w:pPr>
      <w:r w:rsidRPr="00172BEB">
        <w:t xml:space="preserve">More information </w:t>
      </w:r>
    </w:p>
    <w:p w:rsidR="00A52304" w:rsidRPr="00172BEB" w:rsidRDefault="00330049" w:rsidP="00015921">
      <w:pPr>
        <w:spacing w:before="180" w:line="240" w:lineRule="auto"/>
      </w:pPr>
      <w:r>
        <w:t xml:space="preserve">The detail of </w:t>
      </w:r>
      <w:r w:rsidR="00A52304" w:rsidRPr="00172BEB">
        <w:t xml:space="preserve">the </w:t>
      </w:r>
      <w:r w:rsidR="00E340F1">
        <w:t>certificate</w:t>
      </w:r>
      <w:r w:rsidR="00A52304" w:rsidRPr="00172BEB">
        <w:t xml:space="preserve"> is provided in </w:t>
      </w:r>
      <w:r w:rsidR="00A52304" w:rsidRPr="00172BEB">
        <w:rPr>
          <w:u w:val="single"/>
        </w:rPr>
        <w:t>Attachment A</w:t>
      </w:r>
      <w:r w:rsidR="00A52304" w:rsidRPr="00172BEB">
        <w:t>.</w:t>
      </w:r>
    </w:p>
    <w:p w:rsidR="00A52304" w:rsidRDefault="00E340F1" w:rsidP="00015921">
      <w:pPr>
        <w:spacing w:before="180" w:line="240" w:lineRule="auto"/>
        <w:rPr>
          <w:color w:val="000000"/>
        </w:rPr>
      </w:pPr>
      <w:r>
        <w:rPr>
          <w:color w:val="000000"/>
        </w:rPr>
        <w:t>A copy</w:t>
      </w:r>
      <w:r w:rsidR="00A52304" w:rsidRPr="00172BEB">
        <w:rPr>
          <w:color w:val="000000"/>
        </w:rPr>
        <w:t xml:space="preserve"> of each instrument </w:t>
      </w:r>
      <w:r>
        <w:rPr>
          <w:color w:val="000000"/>
        </w:rPr>
        <w:t>which is the subject of this certificate, and which will now sunset</w:t>
      </w:r>
      <w:r w:rsidR="00C97BF7">
        <w:rPr>
          <w:color w:val="000000"/>
        </w:rPr>
        <w:t xml:space="preserve"> at a later day</w:t>
      </w:r>
      <w:r w:rsidR="004D4C51">
        <w:rPr>
          <w:color w:val="000000"/>
        </w:rPr>
        <w:t xml:space="preserve"> as specified in this</w:t>
      </w:r>
      <w:r>
        <w:rPr>
          <w:color w:val="000000"/>
        </w:rPr>
        <w:t xml:space="preserve"> certificate, is</w:t>
      </w:r>
      <w:r w:rsidR="00A52304" w:rsidRPr="00172BEB">
        <w:rPr>
          <w:color w:val="000000"/>
        </w:rPr>
        <w:t xml:space="preserve"> available on the whole</w:t>
      </w:r>
      <w:r w:rsidR="00172BEB">
        <w:rPr>
          <w:color w:val="000000"/>
        </w:rPr>
        <w:noBreakHyphen/>
      </w:r>
      <w:r w:rsidR="00A52304" w:rsidRPr="00172BEB">
        <w:rPr>
          <w:color w:val="000000"/>
        </w:rPr>
        <w:t>of</w:t>
      </w:r>
      <w:r w:rsidR="00172BEB">
        <w:rPr>
          <w:color w:val="000000"/>
        </w:rPr>
        <w:noBreakHyphen/>
      </w:r>
      <w:r w:rsidR="00A52304" w:rsidRPr="00172BEB">
        <w:rPr>
          <w:color w:val="000000"/>
        </w:rPr>
        <w:t xml:space="preserve">government </w:t>
      </w:r>
      <w:proofErr w:type="spellStart"/>
      <w:r w:rsidR="00A52304" w:rsidRPr="00172BEB">
        <w:rPr>
          <w:color w:val="000000"/>
        </w:rPr>
        <w:t>ComLaw</w:t>
      </w:r>
      <w:proofErr w:type="spellEnd"/>
      <w:r w:rsidR="00A52304" w:rsidRPr="00172BEB">
        <w:rPr>
          <w:color w:val="000000"/>
        </w:rPr>
        <w:t xml:space="preserve"> website </w:t>
      </w:r>
      <w:r w:rsidR="00FE3981">
        <w:fldChar w:fldCharType="begin"/>
      </w:r>
      <w:r w:rsidR="001C1046">
        <w:instrText>http://www.comlaw.gov.au/</w:instrText>
      </w:r>
      <w:r w:rsidR="00FE3981">
        <w:fldChar w:fldCharType="separate"/>
      </w:r>
      <w:r w:rsidR="00A52304" w:rsidRPr="00172BEB">
        <w:rPr>
          <w:rStyle w:val="Hyperlink"/>
          <w:color w:val="000000"/>
          <w:u w:val="none"/>
        </w:rPr>
        <w:t>http://www.comlaw.gov.au</w:t>
      </w:r>
      <w:r w:rsidR="00FE3981">
        <w:rPr>
          <w:rStyle w:val="Hyperlink"/>
          <w:color w:val="000000"/>
          <w:u w:val="none"/>
        </w:rPr>
        <w:fldChar w:fldCharType="end"/>
      </w:r>
      <w:r w:rsidR="00A52304" w:rsidRPr="00172BEB">
        <w:rPr>
          <w:color w:val="000000"/>
        </w:rPr>
        <w:t>.</w:t>
      </w:r>
    </w:p>
    <w:p w:rsidR="0086565F" w:rsidRDefault="00971C38" w:rsidP="0086565F">
      <w:pPr>
        <w:pStyle w:val="Heading2"/>
        <w:ind w:left="12" w:hanging="12"/>
        <w:jc w:val="right"/>
      </w:pPr>
      <w:r w:rsidRPr="00172BEB">
        <w:rPr>
          <w:rStyle w:val="Heading1Char"/>
        </w:rPr>
        <w:br w:type="page"/>
      </w:r>
      <w:r w:rsidR="0086565F" w:rsidRPr="0086565F">
        <w:rPr>
          <w:rStyle w:val="Heading1Char"/>
          <w:b/>
        </w:rPr>
        <w:lastRenderedPageBreak/>
        <w:t>ATTACHMENT A</w:t>
      </w:r>
    </w:p>
    <w:p w:rsidR="002A4207" w:rsidRPr="00172BEB" w:rsidRDefault="0086565F" w:rsidP="0086565F">
      <w:pPr>
        <w:pStyle w:val="Heading2"/>
        <w:spacing w:before="0"/>
        <w:ind w:left="12" w:hanging="12"/>
      </w:pPr>
      <w:r>
        <w:t>NOTES ON THE CERTIFICATE</w:t>
      </w:r>
      <w:r w:rsidR="00612A82" w:rsidRPr="00172BEB">
        <w:tab/>
      </w:r>
      <w:r w:rsidR="00612A82" w:rsidRPr="00172BEB">
        <w:tab/>
      </w:r>
      <w:r w:rsidR="00612A82" w:rsidRPr="00172BEB">
        <w:tab/>
      </w:r>
      <w:r w:rsidR="00AA6B76" w:rsidRPr="00172BEB">
        <w:tab/>
      </w:r>
      <w:r w:rsidR="00612A82" w:rsidRPr="00172BEB">
        <w:tab/>
        <w:t xml:space="preserve">       </w:t>
      </w:r>
    </w:p>
    <w:p w:rsidR="000F034F" w:rsidRDefault="000F034F" w:rsidP="00172BEB">
      <w:pPr>
        <w:pStyle w:val="Heading3"/>
      </w:pPr>
      <w:r>
        <w:t>Part 1 - Preliminary</w:t>
      </w:r>
    </w:p>
    <w:p w:rsidR="002A4207" w:rsidRPr="00172BEB" w:rsidRDefault="0076329D" w:rsidP="00172BEB">
      <w:pPr>
        <w:pStyle w:val="Heading3"/>
      </w:pPr>
      <w:r w:rsidRPr="00172BEB">
        <w:t>Section</w:t>
      </w:r>
      <w:r w:rsidR="002A4207" w:rsidRPr="00172BEB">
        <w:t xml:space="preserve"> 1</w:t>
      </w:r>
      <w:r w:rsidR="00175DB6" w:rsidRPr="00172BEB">
        <w:tab/>
      </w:r>
      <w:r w:rsidR="009D6CF7" w:rsidRPr="00172BEB">
        <w:t xml:space="preserve">Name of </w:t>
      </w:r>
      <w:r w:rsidR="0019485C">
        <w:t>certificate</w:t>
      </w:r>
    </w:p>
    <w:p w:rsidR="0076329D" w:rsidRPr="00172BEB" w:rsidRDefault="004A1869" w:rsidP="00015921">
      <w:pPr>
        <w:spacing w:before="180" w:line="240" w:lineRule="auto"/>
      </w:pPr>
      <w:r>
        <w:t>T</w:t>
      </w:r>
      <w:r w:rsidR="0076329D" w:rsidRPr="00172BEB">
        <w:t xml:space="preserve">his </w:t>
      </w:r>
      <w:r w:rsidR="00730844" w:rsidRPr="00172BEB">
        <w:t xml:space="preserve">section </w:t>
      </w:r>
      <w:r w:rsidR="00C2130F" w:rsidRPr="00172BEB">
        <w:t xml:space="preserve">provides for the </w:t>
      </w:r>
      <w:r w:rsidR="0019485C">
        <w:t xml:space="preserve">certificate </w:t>
      </w:r>
      <w:r w:rsidR="00C2130F" w:rsidRPr="00172BEB">
        <w:t xml:space="preserve">to be </w:t>
      </w:r>
      <w:r w:rsidR="00E837B0" w:rsidRPr="00172BEB">
        <w:t xml:space="preserve">named </w:t>
      </w:r>
      <w:r w:rsidR="00C2130F" w:rsidRPr="00172BEB">
        <w:t xml:space="preserve">as </w:t>
      </w:r>
      <w:r w:rsidR="00C2130F" w:rsidRPr="0011395E">
        <w:t xml:space="preserve">the </w:t>
      </w:r>
      <w:r w:rsidR="00A44797" w:rsidRPr="00A44797">
        <w:rPr>
          <w:i/>
        </w:rPr>
        <w:t xml:space="preserve">Legislative Instruments (Deferral of </w:t>
      </w:r>
      <w:proofErr w:type="spellStart"/>
      <w:r w:rsidR="00A44797" w:rsidRPr="00A44797">
        <w:rPr>
          <w:i/>
        </w:rPr>
        <w:t>Sunsetting</w:t>
      </w:r>
      <w:proofErr w:type="spellEnd"/>
      <w:r w:rsidR="00A44797" w:rsidRPr="00A44797">
        <w:rPr>
          <w:i/>
        </w:rPr>
        <w:t xml:space="preserve"> – </w:t>
      </w:r>
      <w:r w:rsidR="00A2444D">
        <w:rPr>
          <w:i/>
        </w:rPr>
        <w:t>Quarantine</w:t>
      </w:r>
      <w:r w:rsidR="00A44797" w:rsidRPr="00A44797">
        <w:rPr>
          <w:i/>
        </w:rPr>
        <w:t xml:space="preserve"> Instruments) Certificate</w:t>
      </w:r>
      <w:r w:rsidR="0086565F">
        <w:t xml:space="preserve"> </w:t>
      </w:r>
      <w:r w:rsidR="00A52304" w:rsidRPr="0011395E">
        <w:rPr>
          <w:i/>
        </w:rPr>
        <w:t>201</w:t>
      </w:r>
      <w:r w:rsidR="002B7CCA">
        <w:rPr>
          <w:i/>
        </w:rPr>
        <w:t>5</w:t>
      </w:r>
      <w:r w:rsidR="00A52304" w:rsidRPr="0011395E">
        <w:t>.</w:t>
      </w:r>
      <w:r w:rsidR="0086565F">
        <w:t xml:space="preserve"> The certificate</w:t>
      </w:r>
      <w:r w:rsidR="00E837B0" w:rsidRPr="0011395E">
        <w:t xml:space="preserve"> may be cited by th</w:t>
      </w:r>
      <w:r w:rsidR="00153F8D" w:rsidRPr="0011395E">
        <w:t>at</w:t>
      </w:r>
      <w:r w:rsidR="00E837B0" w:rsidRPr="0011395E">
        <w:t xml:space="preserve"> name.</w:t>
      </w:r>
      <w:r w:rsidR="00E837B0" w:rsidRPr="00172BEB">
        <w:t xml:space="preserve"> </w:t>
      </w:r>
    </w:p>
    <w:p w:rsidR="002A4207" w:rsidRPr="00172BEB" w:rsidRDefault="0076329D" w:rsidP="00172BEB">
      <w:pPr>
        <w:pStyle w:val="Heading3"/>
      </w:pPr>
      <w:r w:rsidRPr="00172BEB">
        <w:t xml:space="preserve">Section 2 </w:t>
      </w:r>
      <w:r w:rsidR="00175DB6" w:rsidRPr="00172BEB">
        <w:tab/>
      </w:r>
      <w:r w:rsidRPr="00172BEB">
        <w:t>Commencement</w:t>
      </w:r>
    </w:p>
    <w:p w:rsidR="009D6CF7" w:rsidRDefault="00A52304" w:rsidP="00015921">
      <w:pPr>
        <w:spacing w:before="180" w:line="240" w:lineRule="auto"/>
      </w:pPr>
      <w:r w:rsidRPr="00172BEB">
        <w:t>This sec</w:t>
      </w:r>
      <w:r w:rsidR="0086565F">
        <w:t xml:space="preserve">tion provides for the certificate </w:t>
      </w:r>
      <w:r w:rsidRPr="00172BEB">
        <w:t>to commence o</w:t>
      </w:r>
      <w:r w:rsidR="009D6CF7" w:rsidRPr="00172BEB">
        <w:t>n</w:t>
      </w:r>
      <w:r w:rsidR="00535828" w:rsidRPr="00172BEB">
        <w:t xml:space="preserve"> </w:t>
      </w:r>
      <w:r w:rsidR="00A44797">
        <w:t>the day after it is registered</w:t>
      </w:r>
      <w:r w:rsidR="0086565F">
        <w:t xml:space="preserve">. </w:t>
      </w:r>
    </w:p>
    <w:p w:rsidR="00A44797" w:rsidRPr="00172BEB" w:rsidRDefault="00A44797" w:rsidP="00A44797">
      <w:pPr>
        <w:pStyle w:val="Heading3"/>
      </w:pPr>
      <w:r>
        <w:t>Section 3</w:t>
      </w:r>
      <w:r w:rsidRPr="00172BEB">
        <w:tab/>
      </w:r>
      <w:r>
        <w:t>Authority</w:t>
      </w:r>
    </w:p>
    <w:p w:rsidR="00A44797" w:rsidRDefault="00A44797" w:rsidP="00A44797">
      <w:pPr>
        <w:spacing w:before="180" w:line="240" w:lineRule="auto"/>
      </w:pPr>
      <w:r w:rsidRPr="00172BEB">
        <w:t>This sec</w:t>
      </w:r>
      <w:r>
        <w:t xml:space="preserve">tion provides that the certificate is </w:t>
      </w:r>
      <w:r w:rsidR="00512E85">
        <w:t xml:space="preserve">made </w:t>
      </w:r>
      <w:r>
        <w:t>under paragr</w:t>
      </w:r>
      <w:r w:rsidR="000F034F">
        <w:t xml:space="preserve">aph 51(1)(c) of the </w:t>
      </w:r>
      <w:r w:rsidR="000F034F" w:rsidRPr="004F3EA1">
        <w:rPr>
          <w:i/>
        </w:rPr>
        <w:t>Legislative Instruments Act 2003</w:t>
      </w:r>
      <w:r w:rsidR="000F034F">
        <w:t xml:space="preserve">. </w:t>
      </w:r>
      <w:r>
        <w:t xml:space="preserve"> </w:t>
      </w:r>
    </w:p>
    <w:p w:rsidR="000F034F" w:rsidRPr="00172BEB" w:rsidRDefault="000F034F" w:rsidP="000F034F">
      <w:pPr>
        <w:pStyle w:val="Heading3"/>
      </w:pPr>
      <w:r>
        <w:t>Section 4</w:t>
      </w:r>
      <w:r w:rsidRPr="00172BEB">
        <w:tab/>
      </w:r>
      <w:r>
        <w:t>Definitions</w:t>
      </w:r>
    </w:p>
    <w:p w:rsidR="000F034F" w:rsidRDefault="000F034F" w:rsidP="000F034F">
      <w:pPr>
        <w:spacing w:before="180" w:line="240" w:lineRule="auto"/>
      </w:pPr>
      <w:r w:rsidRPr="00172BEB">
        <w:t>This sec</w:t>
      </w:r>
      <w:r>
        <w:t xml:space="preserve">tion defines </w:t>
      </w:r>
      <w:r w:rsidR="004F3EA1">
        <w:t>‘</w:t>
      </w:r>
      <w:r w:rsidRPr="004F3EA1">
        <w:rPr>
          <w:i/>
        </w:rPr>
        <w:t>Act</w:t>
      </w:r>
      <w:r w:rsidR="004F3EA1">
        <w:rPr>
          <w:i/>
        </w:rPr>
        <w:t>’</w:t>
      </w:r>
      <w:r>
        <w:t xml:space="preserve"> to mean the </w:t>
      </w:r>
      <w:r w:rsidRPr="000F034F">
        <w:rPr>
          <w:i/>
        </w:rPr>
        <w:t>Legislative Instruments Act 2003</w:t>
      </w:r>
      <w:r>
        <w:t>, for the purposes</w:t>
      </w:r>
      <w:r w:rsidR="004F3EA1">
        <w:t xml:space="preserve"> of</w:t>
      </w:r>
      <w:r>
        <w:t xml:space="preserve"> the certificate. </w:t>
      </w:r>
    </w:p>
    <w:p w:rsidR="00CB0C30" w:rsidRDefault="00CB0C30" w:rsidP="00CB0C30">
      <w:pPr>
        <w:pStyle w:val="Heading3"/>
        <w:spacing w:before="0"/>
      </w:pPr>
    </w:p>
    <w:p w:rsidR="00A44797" w:rsidRPr="00172BEB" w:rsidRDefault="000F034F" w:rsidP="000F034F">
      <w:pPr>
        <w:pStyle w:val="Heading3"/>
      </w:pPr>
      <w:r>
        <w:t xml:space="preserve">Part 2 – Deferral of </w:t>
      </w:r>
      <w:proofErr w:type="spellStart"/>
      <w:r>
        <w:t>sunsetting</w:t>
      </w:r>
      <w:proofErr w:type="spellEnd"/>
      <w:r>
        <w:t xml:space="preserve"> of legislative instruments</w:t>
      </w:r>
    </w:p>
    <w:p w:rsidR="00A44797" w:rsidRPr="00172BEB" w:rsidRDefault="000F034F" w:rsidP="000F034F">
      <w:pPr>
        <w:pStyle w:val="Heading3"/>
      </w:pPr>
      <w:r>
        <w:t xml:space="preserve">Section 5 </w:t>
      </w:r>
      <w:r>
        <w:tab/>
        <w:t>Statement of reasons for issue of certificate</w:t>
      </w:r>
    </w:p>
    <w:p w:rsidR="000F034F" w:rsidRDefault="000F034F" w:rsidP="008B2D6A">
      <w:pPr>
        <w:tabs>
          <w:tab w:val="left" w:pos="4536"/>
        </w:tabs>
        <w:spacing w:before="180"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This section provides the statement of reasons as required by paragraph 51(2)(a) of the Act. </w:t>
      </w:r>
    </w:p>
    <w:p w:rsidR="00B849B5" w:rsidRDefault="000F034F" w:rsidP="008B2D6A">
      <w:pPr>
        <w:tabs>
          <w:tab w:val="left" w:pos="4536"/>
        </w:tabs>
        <w:spacing w:before="180"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The statement of reasons provides that the Attorney-General is satisfied that the </w:t>
      </w:r>
      <w:r w:rsidR="003D7184">
        <w:rPr>
          <w:color w:val="000000"/>
          <w:szCs w:val="22"/>
        </w:rPr>
        <w:t xml:space="preserve">relevant instruments would </w:t>
      </w:r>
      <w:r w:rsidR="00C97BF7">
        <w:rPr>
          <w:color w:val="000000"/>
          <w:szCs w:val="22"/>
        </w:rPr>
        <w:t xml:space="preserve">(apart from the operation of Part 6 of the Act) </w:t>
      </w:r>
      <w:r w:rsidR="003D7184">
        <w:rPr>
          <w:color w:val="000000"/>
          <w:szCs w:val="22"/>
        </w:rPr>
        <w:t xml:space="preserve">be likely to cease to be in force within 12 months after the </w:t>
      </w:r>
      <w:proofErr w:type="spellStart"/>
      <w:r w:rsidR="003D7184">
        <w:rPr>
          <w:color w:val="000000"/>
          <w:szCs w:val="22"/>
        </w:rPr>
        <w:t>sunsetting</w:t>
      </w:r>
      <w:proofErr w:type="spellEnd"/>
      <w:r w:rsidR="003D7184">
        <w:rPr>
          <w:color w:val="000000"/>
          <w:szCs w:val="22"/>
        </w:rPr>
        <w:t xml:space="preserve"> day, as required by subparagraph 51(1)(b)(</w:t>
      </w:r>
      <w:proofErr w:type="spellStart"/>
      <w:r w:rsidR="003D7184">
        <w:rPr>
          <w:color w:val="000000"/>
          <w:szCs w:val="22"/>
        </w:rPr>
        <w:t>i</w:t>
      </w:r>
      <w:proofErr w:type="spellEnd"/>
      <w:r w:rsidR="003D7184">
        <w:rPr>
          <w:color w:val="000000"/>
          <w:szCs w:val="22"/>
        </w:rPr>
        <w:t xml:space="preserve">) of the Act. </w:t>
      </w:r>
    </w:p>
    <w:p w:rsidR="000F034F" w:rsidRDefault="000F034F" w:rsidP="000F034F">
      <w:pPr>
        <w:pStyle w:val="Heading3"/>
        <w:rPr>
          <w:szCs w:val="22"/>
        </w:rPr>
      </w:pPr>
      <w:r>
        <w:rPr>
          <w:szCs w:val="22"/>
        </w:rPr>
        <w:t>Section 6</w:t>
      </w:r>
      <w:r>
        <w:rPr>
          <w:szCs w:val="22"/>
        </w:rPr>
        <w:tab/>
        <w:t xml:space="preserve">Deferral of </w:t>
      </w:r>
      <w:proofErr w:type="spellStart"/>
      <w:r>
        <w:rPr>
          <w:szCs w:val="22"/>
        </w:rPr>
        <w:t>sunsetting</w:t>
      </w:r>
      <w:proofErr w:type="spellEnd"/>
      <w:r>
        <w:rPr>
          <w:szCs w:val="22"/>
        </w:rPr>
        <w:t xml:space="preserve"> of legislative instruments</w:t>
      </w:r>
    </w:p>
    <w:p w:rsidR="000F034F" w:rsidRDefault="000F034F" w:rsidP="000F034F">
      <w:pPr>
        <w:tabs>
          <w:tab w:val="left" w:pos="4536"/>
        </w:tabs>
        <w:spacing w:before="180" w:line="240" w:lineRule="auto"/>
      </w:pPr>
      <w:r>
        <w:t xml:space="preserve">This section provides </w:t>
      </w:r>
      <w:r w:rsidR="003D7184">
        <w:t xml:space="preserve">that the </w:t>
      </w:r>
      <w:r>
        <w:t xml:space="preserve">legislative instruments which are specified </w:t>
      </w:r>
      <w:r w:rsidR="008F235C">
        <w:t>at</w:t>
      </w:r>
      <w:r>
        <w:t xml:space="preserve"> </w:t>
      </w:r>
      <w:r w:rsidR="006F36E9">
        <w:t>subsection 6(</w:t>
      </w:r>
      <w:r>
        <w:t>1</w:t>
      </w:r>
      <w:r w:rsidR="006F36E9">
        <w:t>)</w:t>
      </w:r>
      <w:r>
        <w:t xml:space="preserve"> will now cease to be in force under section 51 of the Act on 1 April 2016. </w:t>
      </w:r>
      <w:r w:rsidR="003D7184">
        <w:t xml:space="preserve"> This is the deferred</w:t>
      </w:r>
      <w:r>
        <w:t xml:space="preserve"> </w:t>
      </w:r>
      <w:proofErr w:type="spellStart"/>
      <w:r>
        <w:t>sunsetting</w:t>
      </w:r>
      <w:proofErr w:type="spellEnd"/>
      <w:r>
        <w:t xml:space="preserve"> </w:t>
      </w:r>
      <w:r w:rsidR="00C97BF7">
        <w:t>day</w:t>
      </w:r>
      <w:r>
        <w:t xml:space="preserve"> </w:t>
      </w:r>
      <w:r w:rsidR="003D7184">
        <w:t>for tho</w:t>
      </w:r>
      <w:r>
        <w:t>se instruments</w:t>
      </w:r>
      <w:r w:rsidR="003D7184">
        <w:t>, which would otherwise sunset on</w:t>
      </w:r>
      <w:r>
        <w:t xml:space="preserve"> </w:t>
      </w:r>
      <w:r w:rsidR="00A2444D">
        <w:t>1 April 2015</w:t>
      </w:r>
      <w:r>
        <w:t>.</w:t>
      </w:r>
    </w:p>
    <w:p w:rsidR="004F3EA1" w:rsidRPr="004F3EA1" w:rsidRDefault="00A2444D" w:rsidP="006F36E9">
      <w:pPr>
        <w:tabs>
          <w:tab w:val="left" w:pos="4536"/>
        </w:tabs>
        <w:spacing w:before="180" w:line="240" w:lineRule="auto"/>
      </w:pPr>
      <w:r>
        <w:t>The legislative i</w:t>
      </w:r>
      <w:r w:rsidR="008F235C">
        <w:t xml:space="preserve">nstrument which is specified at </w:t>
      </w:r>
      <w:r w:rsidR="006F36E9">
        <w:t>subsection 6(2)</w:t>
      </w:r>
      <w:r>
        <w:t xml:space="preserve"> will now cease to be in force under section 51 of the Act on 1 October 2016. This is the deferred </w:t>
      </w:r>
      <w:proofErr w:type="spellStart"/>
      <w:r>
        <w:t>sunsetting</w:t>
      </w:r>
      <w:proofErr w:type="spellEnd"/>
      <w:r>
        <w:t xml:space="preserve"> day for this instrument, which would otherwise sunset on 1 October 2015. </w:t>
      </w:r>
    </w:p>
    <w:sectPr w:rsidR="004F3EA1" w:rsidRPr="004F3EA1" w:rsidSect="000D4EDF">
      <w:headerReference w:type="default" r:id="rId10"/>
      <w:footerReference w:type="even" r:id="rId11"/>
      <w:footerReference w:type="default" r:id="rId12"/>
      <w:footerReference w:type="first" r:id="rId13"/>
      <w:pgSz w:w="11907" w:h="1683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C8D" w:rsidRDefault="002B0C8D" w:rsidP="00AA6B76">
      <w:r>
        <w:separator/>
      </w:r>
    </w:p>
  </w:endnote>
  <w:endnote w:type="continuationSeparator" w:id="0">
    <w:p w:rsidR="002B0C8D" w:rsidRDefault="002B0C8D" w:rsidP="00AA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A93F2B-1831-4D28-996A-DEE1EB8BABCE}"/>
    <w:embedBold r:id="rId2" w:fontKey="{16C3474C-D89D-4D2A-B618-B009F24B1857}"/>
    <w:embedBoldItalic r:id="rId3" w:fontKey="{5A32F453-3C1D-44B0-B4B1-37B6B6C95963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8D" w:rsidRDefault="002B0C8D" w:rsidP="000D4E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2B0C8D" w:rsidRDefault="002B0C8D" w:rsidP="000D4EDF">
    <w:pPr>
      <w:pStyle w:val="Footer"/>
      <w:ind w:right="360"/>
    </w:pPr>
  </w:p>
  <w:p w:rsidR="002B0C8D" w:rsidRPr="00172BEB" w:rsidRDefault="002B0C8D" w:rsidP="00172BEB">
    <w:pPr>
      <w:pStyle w:val="Footer"/>
      <w:ind w:right="360"/>
      <w:jc w:val="right"/>
      <w:rPr>
        <w:i/>
        <w:sz w:val="18"/>
      </w:rPr>
    </w:pPr>
    <w:r>
      <w:rPr>
        <w:i/>
        <w:sz w:val="18"/>
      </w:rPr>
      <w:fldChar w:fldCharType="begin"/>
    </w:r>
    <w:r>
      <w:rPr>
        <w:i/>
        <w:sz w:val="18"/>
      </w:rPr>
      <w:instrText xml:space="preserve"> FILENAME \p \* MERGEFORMAT </w:instrText>
    </w:r>
    <w:r>
      <w:rPr>
        <w:i/>
        <w:sz w:val="18"/>
      </w:rPr>
      <w:fldChar w:fldCharType="separate"/>
    </w:r>
    <w:r>
      <w:rPr>
        <w:i/>
        <w:noProof/>
        <w:sz w:val="18"/>
      </w:rPr>
      <w:t>D:\Users\islamf\AppData\Roaming\Kapish\TRIM Explorer\A7\1\2\3\Att C - ES - S13MV123 track (D13-2188856).DOC</w:t>
    </w:r>
    <w:r>
      <w:rPr>
        <w:i/>
        <w:sz w:val="18"/>
      </w:rPr>
      <w:fldChar w:fldCharType="end"/>
    </w:r>
    <w:r>
      <w:rPr>
        <w:i/>
        <w:sz w:val="18"/>
      </w:rPr>
      <w:t xml:space="preserve"> </w:t>
    </w:r>
    <w:r>
      <w:rPr>
        <w:i/>
        <w:sz w:val="18"/>
      </w:rPr>
      <w:fldChar w:fldCharType="begin"/>
    </w:r>
    <w:r>
      <w:rPr>
        <w:i/>
        <w:sz w:val="18"/>
      </w:rPr>
      <w:instrText xml:space="preserve"> TIME \@ "d/M/yyyy h:mm am/pm" \* MERGEFORMAT </w:instrText>
    </w:r>
    <w:r>
      <w:rPr>
        <w:i/>
        <w:sz w:val="18"/>
      </w:rPr>
      <w:fldChar w:fldCharType="separate"/>
    </w:r>
    <w:r w:rsidR="00302A71">
      <w:rPr>
        <w:i/>
        <w:noProof/>
        <w:sz w:val="18"/>
      </w:rPr>
      <w:t>16/2/2015 4:57 PM</w:t>
    </w:r>
    <w:r>
      <w:rPr>
        <w:i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8D" w:rsidRDefault="002B0C8D" w:rsidP="00120610">
    <w:pPr>
      <w:pStyle w:val="Footer"/>
      <w:tabs>
        <w:tab w:val="clear" w:pos="4153"/>
        <w:tab w:val="clear" w:pos="8306"/>
        <w:tab w:val="left" w:pos="7680"/>
      </w:tabs>
      <w:ind w:right="27"/>
      <w:jc w:val="right"/>
      <w:rPr>
        <w:noProof/>
      </w:rPr>
    </w:pPr>
    <w:r>
      <w:t xml:space="preserve">Explanatory Statement page </w:t>
    </w:r>
    <w:r>
      <w:fldChar w:fldCharType="begin"/>
    </w:r>
    <w:r>
      <w:instrText xml:space="preserve"> PAGE  \* MERGEFORMAT </w:instrText>
    </w:r>
    <w:r>
      <w:fldChar w:fldCharType="separate"/>
    </w:r>
    <w:r w:rsidR="00302A71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302A71">
      <w:fldChar w:fldCharType="begin"/>
    </w:r>
    <w:r w:rsidR="00302A71">
      <w:instrText xml:space="preserve"> NUMPAGES </w:instrText>
    </w:r>
    <w:r w:rsidR="00302A71">
      <w:fldChar w:fldCharType="separate"/>
    </w:r>
    <w:r w:rsidR="00302A71">
      <w:rPr>
        <w:noProof/>
      </w:rPr>
      <w:t>3</w:t>
    </w:r>
    <w:r w:rsidR="00302A71">
      <w:rPr>
        <w:noProof/>
      </w:rPr>
      <w:fldChar w:fldCharType="end"/>
    </w:r>
  </w:p>
  <w:p w:rsidR="002B0C8D" w:rsidRPr="000B0D5F" w:rsidRDefault="002B0C8D" w:rsidP="00A4294E">
    <w:pPr>
      <w:pStyle w:val="Footer"/>
      <w:tabs>
        <w:tab w:val="clear" w:pos="4153"/>
        <w:tab w:val="clear" w:pos="8306"/>
        <w:tab w:val="left" w:pos="7680"/>
      </w:tabs>
      <w:ind w:right="2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8D" w:rsidRDefault="002B0C8D">
    <w:pPr>
      <w:pStyle w:val="Footer"/>
    </w:pPr>
  </w:p>
  <w:p w:rsidR="002B0C8D" w:rsidRPr="00172BEB" w:rsidRDefault="002B0C8D" w:rsidP="00172BEB">
    <w:pPr>
      <w:pStyle w:val="Footer"/>
      <w:rPr>
        <w:i/>
        <w:sz w:val="18"/>
      </w:rPr>
    </w:pPr>
    <w:r>
      <w:rPr>
        <w:i/>
        <w:sz w:val="18"/>
      </w:rPr>
      <w:fldChar w:fldCharType="begin"/>
    </w:r>
    <w:r>
      <w:rPr>
        <w:i/>
        <w:sz w:val="18"/>
      </w:rPr>
      <w:instrText xml:space="preserve"> FILENAME \p \* MERGEFORMAT </w:instrText>
    </w:r>
    <w:r>
      <w:rPr>
        <w:i/>
        <w:sz w:val="18"/>
      </w:rPr>
      <w:fldChar w:fldCharType="separate"/>
    </w:r>
    <w:r>
      <w:rPr>
        <w:i/>
        <w:noProof/>
        <w:sz w:val="18"/>
      </w:rPr>
      <w:t>D:\Users\islamf\AppData\Roaming\Kapish\TRIM Explorer\A7\1\2\3\Att C - ES - S13MV123 track (D13-2188856).DOC</w:t>
    </w:r>
    <w:r>
      <w:rPr>
        <w:i/>
        <w:sz w:val="18"/>
      </w:rPr>
      <w:fldChar w:fldCharType="end"/>
    </w:r>
    <w:r>
      <w:rPr>
        <w:i/>
        <w:sz w:val="18"/>
      </w:rPr>
      <w:t xml:space="preserve"> </w:t>
    </w:r>
    <w:r>
      <w:rPr>
        <w:i/>
        <w:sz w:val="18"/>
      </w:rPr>
      <w:fldChar w:fldCharType="begin"/>
    </w:r>
    <w:r>
      <w:rPr>
        <w:i/>
        <w:sz w:val="18"/>
      </w:rPr>
      <w:instrText xml:space="preserve"> TIME \@ "d/M/yyyy h:mm am/pm" \* MERGEFORMAT </w:instrText>
    </w:r>
    <w:r>
      <w:rPr>
        <w:i/>
        <w:sz w:val="18"/>
      </w:rPr>
      <w:fldChar w:fldCharType="separate"/>
    </w:r>
    <w:r w:rsidR="00302A71">
      <w:rPr>
        <w:i/>
        <w:noProof/>
        <w:sz w:val="18"/>
      </w:rPr>
      <w:t>16/2/2015 4:57 PM</w:t>
    </w:r>
    <w:r>
      <w:rPr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C8D" w:rsidRDefault="002B0C8D" w:rsidP="00AA6B76">
      <w:r>
        <w:separator/>
      </w:r>
    </w:p>
  </w:footnote>
  <w:footnote w:type="continuationSeparator" w:id="0">
    <w:p w:rsidR="002B0C8D" w:rsidRDefault="002B0C8D" w:rsidP="00AA6B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8D" w:rsidRDefault="002B0C8D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B1DFB42" wp14:editId="283D05D8">
              <wp:simplePos x="0" y="0"/>
              <wp:positionH relativeFrom="column">
                <wp:align>center</wp:align>
              </wp:positionH>
              <wp:positionV relativeFrom="page">
                <wp:posOffset>143510</wp:posOffset>
              </wp:positionV>
              <wp:extent cx="4413885" cy="396240"/>
              <wp:effectExtent l="0" t="0" r="5715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885" cy="396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C8D" w:rsidRPr="004A1869" w:rsidRDefault="002B0C8D" w:rsidP="004A186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11.3pt;width:347.55pt;height:31.2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/6mwIAAD4FAAAOAAAAZHJzL2Uyb0RvYy54bWysVF1v0zAUfUfiP1h+75K0addESye2UoQ0&#10;PqSNH3CbOImFYxvbbTIQ/51rp+3KAAkh8uD44/r43nOOfXU9dILsmbFcyYImFzElTJaq4rIp6KeH&#10;zWRJiXUgKxBKsoI+MkuvVy9fXPU6Z1PVKlExQxBE2rzXBW2d03kU2bJlHdgLpZnExVqZDhwOTRNV&#10;BnpE70Q0jeNF1CtTaaNKZi3OrsdFugr4dc1K96GuLXNEFBRzc6E1od36NlpdQd4Y0C0vD2nAP2TR&#10;AZd46AlqDQ7IzvBfoDpeGmVV7S5K1UWqrnnJQg1YTRI/q+a+Bc1CLUiO1Sea7P+DLd/vPxrCq4LO&#10;KJHQoUQPbHDkRg1k5tnptc0x6F5jmBtwGlUOlVp9p8rPlkh124Js2CtjVN8yqDC7xO+MzraOONaD&#10;bPt3qsJjYOdUABpq03nqkAyC6KjS40kZn0qJk2mazJbLOSUlrs2yxTQN0kWQH3drY90bpjriOwU1&#10;qHxAh/2ddT4byI8h/jCrBK82XIgwMM32VhiyB3TJJnyhgGdhQvpgqfy2EXGcwSTxDL/m0w2qf8sS&#10;TPFmmk02i+XlJN2k80l2GS8ncZLdZIs4zdL15rtPMEnzllcVk3dcsqMDk/TvFD7chdE7wYOkL2g2&#10;n3qmAK9TLcBht9MosJXNKNwfS4/D97vSPXVrsO1IUSDPh0HecYf3V/CuoMvTbsi9D17LKoQ44GLs&#10;Rz9XG0RByo7/QGJwjTfKaBk3bAdE8VbaquoR/WMUyosmwUcHO60yXynp8QJjgV92YBgl4q1ED2ZJ&#10;iiYhLgzS+eUUB+Z8ZXu+ArJEqIIiW2P31o2vxE4b3rR40uh6qV6hb2seLPWU1cHteElDMYcHxb8C&#10;5+MQ9fTsrX4AAAD//wMAUEsDBBQABgAIAAAAIQDVEKKb3AAAAAYBAAAPAAAAZHJzL2Rvd25yZXYu&#10;eG1sTI9BT4NAFITvJv6HzTPxYuxSIrSlPBo10Xht7Q94wCuQsm8Juy3037ue9DiZycw3+W42vbry&#10;6DorCMtFBIqlsnUnDcLx++N5Dcp5kpp6K4xwYwe74v4up6y2k+z5evCNCiXiMkJovR8yrV3VsiG3&#10;sANL8E52NOSDHBtdjzSFctPrOIpSbaiTsNDSwO8tV+fDxSCcvqanZDOVn/642r+kb9StSntDfHyY&#10;X7egPM/+Lwy/+AEdisBU2ovUTvUI4YhHiOMUVHDTTbIEVSKskwh0kev/+MUPAAAA//8DAFBLAQIt&#10;ABQABgAIAAAAIQC2gziS/gAAAOEBAAATAAAAAAAAAAAAAAAAAAAAAABbQ29udGVudF9UeXBlc10u&#10;eG1sUEsBAi0AFAAGAAgAAAAhADj9If/WAAAAlAEAAAsAAAAAAAAAAAAAAAAALwEAAF9yZWxzLy5y&#10;ZWxzUEsBAi0AFAAGAAgAAAAhAJ+YH/qbAgAAPgUAAA4AAAAAAAAAAAAAAAAALgIAAGRycy9lMm9E&#10;b2MueG1sUEsBAi0AFAAGAAgAAAAhANUQopvcAAAABgEAAA8AAAAAAAAAAAAAAAAA9QQAAGRycy9k&#10;b3ducmV2LnhtbFBLBQYAAAAABAAEAPMAAAD+BQAAAAA=&#10;" stroked="f">
              <v:textbox>
                <w:txbxContent>
                  <w:p w:rsidR="004A1869" w:rsidRPr="004A1869" w:rsidRDefault="004A1869" w:rsidP="004A1869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C0EC2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8057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9D4CA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7C02D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73840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A8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260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4C15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DA4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E9C45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9643F"/>
    <w:multiLevelType w:val="hybridMultilevel"/>
    <w:tmpl w:val="0734B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39646A"/>
    <w:multiLevelType w:val="hybridMultilevel"/>
    <w:tmpl w:val="0CC2C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DC418A"/>
    <w:multiLevelType w:val="hybridMultilevel"/>
    <w:tmpl w:val="2BA847B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E06820"/>
    <w:multiLevelType w:val="hybridMultilevel"/>
    <w:tmpl w:val="E4682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4F11A2"/>
    <w:multiLevelType w:val="hybridMultilevel"/>
    <w:tmpl w:val="3A38E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302102"/>
    <w:multiLevelType w:val="hybridMultilevel"/>
    <w:tmpl w:val="E2A44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021049"/>
    <w:multiLevelType w:val="hybridMultilevel"/>
    <w:tmpl w:val="F6907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EB0687"/>
    <w:multiLevelType w:val="hybridMultilevel"/>
    <w:tmpl w:val="4A306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pStyle w:val="BodyPara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pStyle w:val="BodySubPara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23A2441D"/>
    <w:multiLevelType w:val="hybridMultilevel"/>
    <w:tmpl w:val="87404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AB1872"/>
    <w:multiLevelType w:val="hybridMultilevel"/>
    <w:tmpl w:val="363C26F4"/>
    <w:name w:val="hd62"/>
    <w:lvl w:ilvl="0" w:tplc="C924F840">
      <w:numFmt w:val="bullet"/>
      <w:lvlText w:val=""/>
      <w:lvlJc w:val="left"/>
      <w:pPr>
        <w:tabs>
          <w:tab w:val="num" w:pos="-284"/>
        </w:tabs>
        <w:ind w:left="567" w:hanging="567"/>
      </w:pPr>
      <w:rPr>
        <w:rFonts w:ascii="Symbol" w:hAnsi="Symbol" w:hint="default"/>
        <w:b w:val="0"/>
        <w:i w:val="0"/>
        <w:sz w:val="20"/>
      </w:rPr>
    </w:lvl>
    <w:lvl w:ilvl="1" w:tplc="985C9240">
      <w:start w:val="1"/>
      <w:numFmt w:val="bullet"/>
      <w:lvlText w:val=""/>
      <w:lvlJc w:val="left"/>
      <w:pPr>
        <w:tabs>
          <w:tab w:val="num" w:pos="513"/>
        </w:tabs>
        <w:ind w:left="513" w:hanging="284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1">
    <w:nsid w:val="2DB24A9E"/>
    <w:multiLevelType w:val="hybridMultilevel"/>
    <w:tmpl w:val="A000C3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312D6B"/>
    <w:multiLevelType w:val="hybridMultilevel"/>
    <w:tmpl w:val="2A382BE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6907CC"/>
    <w:multiLevelType w:val="hybridMultilevel"/>
    <w:tmpl w:val="9EE89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B0783"/>
    <w:multiLevelType w:val="hybridMultilevel"/>
    <w:tmpl w:val="A8DA54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>
    <w:nsid w:val="3EFB6237"/>
    <w:multiLevelType w:val="hybridMultilevel"/>
    <w:tmpl w:val="5B7AF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2B60FB"/>
    <w:multiLevelType w:val="hybridMultilevel"/>
    <w:tmpl w:val="8E084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AB085E"/>
    <w:multiLevelType w:val="hybridMultilevel"/>
    <w:tmpl w:val="48F665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6E4182"/>
    <w:multiLevelType w:val="hybridMultilevel"/>
    <w:tmpl w:val="D35C0F2A"/>
    <w:lvl w:ilvl="0" w:tplc="FD9867E8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2B7E25"/>
    <w:multiLevelType w:val="hybridMultilevel"/>
    <w:tmpl w:val="585C2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4E48B3"/>
    <w:multiLevelType w:val="hybridMultilevel"/>
    <w:tmpl w:val="71F06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6F593E"/>
    <w:multiLevelType w:val="hybridMultilevel"/>
    <w:tmpl w:val="D9D204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2F1FF4"/>
    <w:multiLevelType w:val="hybridMultilevel"/>
    <w:tmpl w:val="73F8587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D821B4F"/>
    <w:multiLevelType w:val="hybridMultilevel"/>
    <w:tmpl w:val="CF905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D4EA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19611F3"/>
    <w:multiLevelType w:val="hybridMultilevel"/>
    <w:tmpl w:val="7C96F3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0A4E69"/>
    <w:multiLevelType w:val="hybridMultilevel"/>
    <w:tmpl w:val="B582A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40DC1"/>
    <w:multiLevelType w:val="hybridMultilevel"/>
    <w:tmpl w:val="ABCAC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3F57F5"/>
    <w:multiLevelType w:val="hybridMultilevel"/>
    <w:tmpl w:val="1610B0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837CA4"/>
    <w:multiLevelType w:val="hybridMultilevel"/>
    <w:tmpl w:val="E618B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E53D0F"/>
    <w:multiLevelType w:val="hybridMultilevel"/>
    <w:tmpl w:val="4AB0A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4C6BF5"/>
    <w:multiLevelType w:val="hybridMultilevel"/>
    <w:tmpl w:val="B1EAE0C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2FB4634"/>
    <w:multiLevelType w:val="hybridMultilevel"/>
    <w:tmpl w:val="ECE6C752"/>
    <w:lvl w:ilvl="0" w:tplc="0C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4">
    <w:nsid w:val="73805553"/>
    <w:multiLevelType w:val="hybridMultilevel"/>
    <w:tmpl w:val="3D02D9F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6D67B9"/>
    <w:multiLevelType w:val="hybridMultilevel"/>
    <w:tmpl w:val="75E42D0E"/>
    <w:lvl w:ilvl="0" w:tplc="C8561164">
      <w:start w:val="5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BE0280"/>
    <w:multiLevelType w:val="hybridMultilevel"/>
    <w:tmpl w:val="336C2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D9004A"/>
    <w:multiLevelType w:val="hybridMultilevel"/>
    <w:tmpl w:val="343E89C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7E7A69"/>
    <w:multiLevelType w:val="hybridMultilevel"/>
    <w:tmpl w:val="DF22C71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4"/>
  </w:num>
  <w:num w:numId="3">
    <w:abstractNumId w:val="22"/>
  </w:num>
  <w:num w:numId="4">
    <w:abstractNumId w:val="42"/>
  </w:num>
  <w:num w:numId="5">
    <w:abstractNumId w:val="48"/>
  </w:num>
  <w:num w:numId="6">
    <w:abstractNumId w:val="33"/>
  </w:num>
  <w:num w:numId="7">
    <w:abstractNumId w:val="28"/>
  </w:num>
  <w:num w:numId="8">
    <w:abstractNumId w:val="12"/>
  </w:num>
  <w:num w:numId="9">
    <w:abstractNumId w:val="29"/>
  </w:num>
  <w:num w:numId="10">
    <w:abstractNumId w:val="46"/>
  </w:num>
  <w:num w:numId="11">
    <w:abstractNumId w:val="15"/>
  </w:num>
  <w:num w:numId="12">
    <w:abstractNumId w:val="24"/>
  </w:num>
  <w:num w:numId="13">
    <w:abstractNumId w:val="26"/>
  </w:num>
  <w:num w:numId="14">
    <w:abstractNumId w:val="30"/>
  </w:num>
  <w:num w:numId="15">
    <w:abstractNumId w:val="40"/>
  </w:num>
  <w:num w:numId="16">
    <w:abstractNumId w:val="13"/>
  </w:num>
  <w:num w:numId="17">
    <w:abstractNumId w:val="43"/>
  </w:num>
  <w:num w:numId="18">
    <w:abstractNumId w:val="34"/>
  </w:num>
  <w:num w:numId="19">
    <w:abstractNumId w:val="23"/>
  </w:num>
  <w:num w:numId="20">
    <w:abstractNumId w:val="32"/>
  </w:num>
  <w:num w:numId="21">
    <w:abstractNumId w:val="41"/>
  </w:num>
  <w:num w:numId="22">
    <w:abstractNumId w:val="39"/>
  </w:num>
  <w:num w:numId="23">
    <w:abstractNumId w:val="10"/>
  </w:num>
  <w:num w:numId="24">
    <w:abstractNumId w:val="38"/>
  </w:num>
  <w:num w:numId="25">
    <w:abstractNumId w:val="27"/>
  </w:num>
  <w:num w:numId="26">
    <w:abstractNumId w:val="17"/>
  </w:num>
  <w:num w:numId="27">
    <w:abstractNumId w:val="14"/>
  </w:num>
  <w:num w:numId="28">
    <w:abstractNumId w:val="19"/>
  </w:num>
  <w:num w:numId="29">
    <w:abstractNumId w:val="16"/>
  </w:num>
  <w:num w:numId="30">
    <w:abstractNumId w:val="36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11"/>
  </w:num>
  <w:num w:numId="42">
    <w:abstractNumId w:val="31"/>
  </w:num>
  <w:num w:numId="43">
    <w:abstractNumId w:val="21"/>
  </w:num>
  <w:num w:numId="44">
    <w:abstractNumId w:val="37"/>
  </w:num>
  <w:num w:numId="45">
    <w:abstractNumId w:val="25"/>
  </w:num>
  <w:num w:numId="46">
    <w:abstractNumId w:val="35"/>
  </w:num>
  <w:num w:numId="47">
    <w:abstractNumId w:val="18"/>
  </w:num>
  <w:num w:numId="48">
    <w:abstractNumId w:val="4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B8"/>
    <w:rsid w:val="0000033C"/>
    <w:rsid w:val="00002019"/>
    <w:rsid w:val="00004D74"/>
    <w:rsid w:val="00015921"/>
    <w:rsid w:val="0002070B"/>
    <w:rsid w:val="00025393"/>
    <w:rsid w:val="00026A7C"/>
    <w:rsid w:val="000329D0"/>
    <w:rsid w:val="000330F8"/>
    <w:rsid w:val="00036DF0"/>
    <w:rsid w:val="0004379A"/>
    <w:rsid w:val="00052AA1"/>
    <w:rsid w:val="0005778C"/>
    <w:rsid w:val="00061076"/>
    <w:rsid w:val="000616CD"/>
    <w:rsid w:val="000616D0"/>
    <w:rsid w:val="00064011"/>
    <w:rsid w:val="000870D6"/>
    <w:rsid w:val="0009436F"/>
    <w:rsid w:val="00095A4C"/>
    <w:rsid w:val="00097769"/>
    <w:rsid w:val="000A11BD"/>
    <w:rsid w:val="000A4219"/>
    <w:rsid w:val="000A504C"/>
    <w:rsid w:val="000B0799"/>
    <w:rsid w:val="000B07DB"/>
    <w:rsid w:val="000B0D5F"/>
    <w:rsid w:val="000B14C7"/>
    <w:rsid w:val="000B40E7"/>
    <w:rsid w:val="000B6FDC"/>
    <w:rsid w:val="000C24C8"/>
    <w:rsid w:val="000C3854"/>
    <w:rsid w:val="000C52EE"/>
    <w:rsid w:val="000D4EDF"/>
    <w:rsid w:val="000E0756"/>
    <w:rsid w:val="000E1FD1"/>
    <w:rsid w:val="000E2406"/>
    <w:rsid w:val="000E249C"/>
    <w:rsid w:val="000F034F"/>
    <w:rsid w:val="000F52D6"/>
    <w:rsid w:val="0010436C"/>
    <w:rsid w:val="00104CCC"/>
    <w:rsid w:val="00105A48"/>
    <w:rsid w:val="00105D5D"/>
    <w:rsid w:val="00107AD7"/>
    <w:rsid w:val="00107AF3"/>
    <w:rsid w:val="00107E87"/>
    <w:rsid w:val="00111125"/>
    <w:rsid w:val="001129CB"/>
    <w:rsid w:val="0011395E"/>
    <w:rsid w:val="00114021"/>
    <w:rsid w:val="00114739"/>
    <w:rsid w:val="00116CB7"/>
    <w:rsid w:val="00120610"/>
    <w:rsid w:val="00120926"/>
    <w:rsid w:val="001331AD"/>
    <w:rsid w:val="001370DF"/>
    <w:rsid w:val="00137853"/>
    <w:rsid w:val="001413D9"/>
    <w:rsid w:val="00144D7F"/>
    <w:rsid w:val="0015180F"/>
    <w:rsid w:val="00151CDD"/>
    <w:rsid w:val="00153F8D"/>
    <w:rsid w:val="001676C2"/>
    <w:rsid w:val="00172BEB"/>
    <w:rsid w:val="00175DB6"/>
    <w:rsid w:val="001760A7"/>
    <w:rsid w:val="0019485C"/>
    <w:rsid w:val="00197F0A"/>
    <w:rsid w:val="001A04BC"/>
    <w:rsid w:val="001A3673"/>
    <w:rsid w:val="001A3A0A"/>
    <w:rsid w:val="001A4592"/>
    <w:rsid w:val="001A7B6D"/>
    <w:rsid w:val="001B4A8B"/>
    <w:rsid w:val="001B6728"/>
    <w:rsid w:val="001B7418"/>
    <w:rsid w:val="001C1046"/>
    <w:rsid w:val="001C1F0D"/>
    <w:rsid w:val="001C57EF"/>
    <w:rsid w:val="001D10AE"/>
    <w:rsid w:val="001D26A1"/>
    <w:rsid w:val="001D5150"/>
    <w:rsid w:val="001E45F3"/>
    <w:rsid w:val="001E76C3"/>
    <w:rsid w:val="001F2754"/>
    <w:rsid w:val="0020111E"/>
    <w:rsid w:val="002036E6"/>
    <w:rsid w:val="00212F8D"/>
    <w:rsid w:val="0021350A"/>
    <w:rsid w:val="00215341"/>
    <w:rsid w:val="00215642"/>
    <w:rsid w:val="002203E5"/>
    <w:rsid w:val="00236647"/>
    <w:rsid w:val="002420D2"/>
    <w:rsid w:val="00251580"/>
    <w:rsid w:val="00271525"/>
    <w:rsid w:val="00273C17"/>
    <w:rsid w:val="002749AB"/>
    <w:rsid w:val="00274B3A"/>
    <w:rsid w:val="00274F60"/>
    <w:rsid w:val="002830A5"/>
    <w:rsid w:val="00283349"/>
    <w:rsid w:val="00284D3C"/>
    <w:rsid w:val="0028517D"/>
    <w:rsid w:val="00287B5F"/>
    <w:rsid w:val="00287DEB"/>
    <w:rsid w:val="00292F8C"/>
    <w:rsid w:val="00293136"/>
    <w:rsid w:val="00294092"/>
    <w:rsid w:val="002A048B"/>
    <w:rsid w:val="002A1CAD"/>
    <w:rsid w:val="002A1DA9"/>
    <w:rsid w:val="002A3CA4"/>
    <w:rsid w:val="002A4207"/>
    <w:rsid w:val="002A5C8B"/>
    <w:rsid w:val="002A7BFE"/>
    <w:rsid w:val="002B0C8D"/>
    <w:rsid w:val="002B2F60"/>
    <w:rsid w:val="002B5DBD"/>
    <w:rsid w:val="002B6BBC"/>
    <w:rsid w:val="002B7CCA"/>
    <w:rsid w:val="002C27A8"/>
    <w:rsid w:val="002C79C2"/>
    <w:rsid w:val="002D397A"/>
    <w:rsid w:val="002F4829"/>
    <w:rsid w:val="00302A71"/>
    <w:rsid w:val="003035E4"/>
    <w:rsid w:val="00306548"/>
    <w:rsid w:val="00312808"/>
    <w:rsid w:val="003133F4"/>
    <w:rsid w:val="003167F1"/>
    <w:rsid w:val="003220D9"/>
    <w:rsid w:val="003237C6"/>
    <w:rsid w:val="003267CB"/>
    <w:rsid w:val="00326D80"/>
    <w:rsid w:val="00330049"/>
    <w:rsid w:val="00331FAE"/>
    <w:rsid w:val="0033567E"/>
    <w:rsid w:val="003402DB"/>
    <w:rsid w:val="00341851"/>
    <w:rsid w:val="00344EAE"/>
    <w:rsid w:val="00350740"/>
    <w:rsid w:val="00352BE0"/>
    <w:rsid w:val="0036472B"/>
    <w:rsid w:val="00372B69"/>
    <w:rsid w:val="00386183"/>
    <w:rsid w:val="0039428A"/>
    <w:rsid w:val="003942A5"/>
    <w:rsid w:val="0039436F"/>
    <w:rsid w:val="003A4206"/>
    <w:rsid w:val="003A61D6"/>
    <w:rsid w:val="003A7338"/>
    <w:rsid w:val="003B4C5B"/>
    <w:rsid w:val="003B514F"/>
    <w:rsid w:val="003B6BEA"/>
    <w:rsid w:val="003B745A"/>
    <w:rsid w:val="003C31E8"/>
    <w:rsid w:val="003C41E9"/>
    <w:rsid w:val="003D7184"/>
    <w:rsid w:val="003E045D"/>
    <w:rsid w:val="003E2D55"/>
    <w:rsid w:val="003E63B2"/>
    <w:rsid w:val="003E733B"/>
    <w:rsid w:val="0040078B"/>
    <w:rsid w:val="00400A1D"/>
    <w:rsid w:val="004016DF"/>
    <w:rsid w:val="00413345"/>
    <w:rsid w:val="00417B07"/>
    <w:rsid w:val="00425F9F"/>
    <w:rsid w:val="004314E7"/>
    <w:rsid w:val="0043603E"/>
    <w:rsid w:val="00450D8D"/>
    <w:rsid w:val="0045410B"/>
    <w:rsid w:val="00455EED"/>
    <w:rsid w:val="004627CF"/>
    <w:rsid w:val="004632E2"/>
    <w:rsid w:val="00464D9C"/>
    <w:rsid w:val="004759B0"/>
    <w:rsid w:val="00495F5A"/>
    <w:rsid w:val="004A1869"/>
    <w:rsid w:val="004A1FEC"/>
    <w:rsid w:val="004A68BA"/>
    <w:rsid w:val="004B2E01"/>
    <w:rsid w:val="004B320E"/>
    <w:rsid w:val="004C2D73"/>
    <w:rsid w:val="004C68BC"/>
    <w:rsid w:val="004C70BF"/>
    <w:rsid w:val="004D4C51"/>
    <w:rsid w:val="004D7DFE"/>
    <w:rsid w:val="004E3198"/>
    <w:rsid w:val="004F103F"/>
    <w:rsid w:val="004F3EA1"/>
    <w:rsid w:val="004F6F5B"/>
    <w:rsid w:val="004F7863"/>
    <w:rsid w:val="005040C8"/>
    <w:rsid w:val="00504154"/>
    <w:rsid w:val="00505E4E"/>
    <w:rsid w:val="00506B2A"/>
    <w:rsid w:val="00506F4F"/>
    <w:rsid w:val="005108EC"/>
    <w:rsid w:val="00512E85"/>
    <w:rsid w:val="0052081B"/>
    <w:rsid w:val="00520A97"/>
    <w:rsid w:val="00522DD4"/>
    <w:rsid w:val="00525DDC"/>
    <w:rsid w:val="00535260"/>
    <w:rsid w:val="00535828"/>
    <w:rsid w:val="005411A4"/>
    <w:rsid w:val="0054147D"/>
    <w:rsid w:val="0054362A"/>
    <w:rsid w:val="00543B54"/>
    <w:rsid w:val="00552DD9"/>
    <w:rsid w:val="0057193C"/>
    <w:rsid w:val="00575DC4"/>
    <w:rsid w:val="005837B0"/>
    <w:rsid w:val="00583B0A"/>
    <w:rsid w:val="00587325"/>
    <w:rsid w:val="00590CF1"/>
    <w:rsid w:val="00591F69"/>
    <w:rsid w:val="00594668"/>
    <w:rsid w:val="00595F0A"/>
    <w:rsid w:val="005A463D"/>
    <w:rsid w:val="005A5A72"/>
    <w:rsid w:val="005B2651"/>
    <w:rsid w:val="005B79EF"/>
    <w:rsid w:val="005E3255"/>
    <w:rsid w:val="005E5530"/>
    <w:rsid w:val="00602492"/>
    <w:rsid w:val="00607CD9"/>
    <w:rsid w:val="00611610"/>
    <w:rsid w:val="00611C1A"/>
    <w:rsid w:val="00612A82"/>
    <w:rsid w:val="00617CA0"/>
    <w:rsid w:val="00621798"/>
    <w:rsid w:val="00626683"/>
    <w:rsid w:val="00631515"/>
    <w:rsid w:val="0063753B"/>
    <w:rsid w:val="00640DEC"/>
    <w:rsid w:val="006568A2"/>
    <w:rsid w:val="006577D3"/>
    <w:rsid w:val="00665B52"/>
    <w:rsid w:val="00665CC8"/>
    <w:rsid w:val="0066676F"/>
    <w:rsid w:val="00667D8F"/>
    <w:rsid w:val="00677766"/>
    <w:rsid w:val="00682CD3"/>
    <w:rsid w:val="00684236"/>
    <w:rsid w:val="00684C75"/>
    <w:rsid w:val="00692BA0"/>
    <w:rsid w:val="00693CC4"/>
    <w:rsid w:val="00695060"/>
    <w:rsid w:val="00697C51"/>
    <w:rsid w:val="006A4857"/>
    <w:rsid w:val="006A5E75"/>
    <w:rsid w:val="006A646B"/>
    <w:rsid w:val="006C6C0C"/>
    <w:rsid w:val="006D3401"/>
    <w:rsid w:val="006E26A6"/>
    <w:rsid w:val="006E63D8"/>
    <w:rsid w:val="006E79E3"/>
    <w:rsid w:val="006F36E9"/>
    <w:rsid w:val="006F73B4"/>
    <w:rsid w:val="0070133D"/>
    <w:rsid w:val="00705638"/>
    <w:rsid w:val="0070753B"/>
    <w:rsid w:val="00707814"/>
    <w:rsid w:val="00712392"/>
    <w:rsid w:val="00712E06"/>
    <w:rsid w:val="007179A8"/>
    <w:rsid w:val="00723E99"/>
    <w:rsid w:val="00726B32"/>
    <w:rsid w:val="0073028F"/>
    <w:rsid w:val="00730844"/>
    <w:rsid w:val="00732EA4"/>
    <w:rsid w:val="00732F1C"/>
    <w:rsid w:val="00734CF8"/>
    <w:rsid w:val="007360DC"/>
    <w:rsid w:val="00741DF8"/>
    <w:rsid w:val="00745C80"/>
    <w:rsid w:val="0074638C"/>
    <w:rsid w:val="0075482C"/>
    <w:rsid w:val="00760D2D"/>
    <w:rsid w:val="0076329D"/>
    <w:rsid w:val="00767548"/>
    <w:rsid w:val="0077586D"/>
    <w:rsid w:val="00777D8E"/>
    <w:rsid w:val="00780765"/>
    <w:rsid w:val="00780CA8"/>
    <w:rsid w:val="00785451"/>
    <w:rsid w:val="00787519"/>
    <w:rsid w:val="00791BD2"/>
    <w:rsid w:val="00794915"/>
    <w:rsid w:val="007A00D1"/>
    <w:rsid w:val="007A31CD"/>
    <w:rsid w:val="007B396E"/>
    <w:rsid w:val="007B3CF3"/>
    <w:rsid w:val="007C57B0"/>
    <w:rsid w:val="007C6EF0"/>
    <w:rsid w:val="007C79C1"/>
    <w:rsid w:val="007D5035"/>
    <w:rsid w:val="007E1008"/>
    <w:rsid w:val="007E2C2F"/>
    <w:rsid w:val="007E5574"/>
    <w:rsid w:val="007E584E"/>
    <w:rsid w:val="007F5FF6"/>
    <w:rsid w:val="00804272"/>
    <w:rsid w:val="008055F0"/>
    <w:rsid w:val="00806AF2"/>
    <w:rsid w:val="00820A62"/>
    <w:rsid w:val="00826D52"/>
    <w:rsid w:val="00827E9D"/>
    <w:rsid w:val="00830F26"/>
    <w:rsid w:val="00831FD2"/>
    <w:rsid w:val="00832E9A"/>
    <w:rsid w:val="00834943"/>
    <w:rsid w:val="00850984"/>
    <w:rsid w:val="008575F2"/>
    <w:rsid w:val="0086087A"/>
    <w:rsid w:val="0086461E"/>
    <w:rsid w:val="008654ED"/>
    <w:rsid w:val="0086565F"/>
    <w:rsid w:val="00865742"/>
    <w:rsid w:val="00870764"/>
    <w:rsid w:val="008761AD"/>
    <w:rsid w:val="008808AD"/>
    <w:rsid w:val="00884AC7"/>
    <w:rsid w:val="00885FEE"/>
    <w:rsid w:val="008907F8"/>
    <w:rsid w:val="00891514"/>
    <w:rsid w:val="00891A4F"/>
    <w:rsid w:val="00892891"/>
    <w:rsid w:val="008936D5"/>
    <w:rsid w:val="00893809"/>
    <w:rsid w:val="008972A5"/>
    <w:rsid w:val="00897614"/>
    <w:rsid w:val="008A4F24"/>
    <w:rsid w:val="008A6876"/>
    <w:rsid w:val="008B2D6A"/>
    <w:rsid w:val="008B39F0"/>
    <w:rsid w:val="008B7751"/>
    <w:rsid w:val="008C389A"/>
    <w:rsid w:val="008C5E9E"/>
    <w:rsid w:val="008C65C9"/>
    <w:rsid w:val="008E33A1"/>
    <w:rsid w:val="008E4939"/>
    <w:rsid w:val="008E6F72"/>
    <w:rsid w:val="008E7082"/>
    <w:rsid w:val="008F1458"/>
    <w:rsid w:val="008F1CC6"/>
    <w:rsid w:val="008F235C"/>
    <w:rsid w:val="008F6046"/>
    <w:rsid w:val="00901499"/>
    <w:rsid w:val="00903561"/>
    <w:rsid w:val="0090739A"/>
    <w:rsid w:val="009113E3"/>
    <w:rsid w:val="00912A3B"/>
    <w:rsid w:val="00912FCD"/>
    <w:rsid w:val="00917081"/>
    <w:rsid w:val="00927D27"/>
    <w:rsid w:val="009330AC"/>
    <w:rsid w:val="009330CA"/>
    <w:rsid w:val="00933FD6"/>
    <w:rsid w:val="009377D7"/>
    <w:rsid w:val="009538F9"/>
    <w:rsid w:val="00953F75"/>
    <w:rsid w:val="00954218"/>
    <w:rsid w:val="00954F0A"/>
    <w:rsid w:val="00957571"/>
    <w:rsid w:val="00957D3B"/>
    <w:rsid w:val="00971C38"/>
    <w:rsid w:val="00972CC5"/>
    <w:rsid w:val="0097675E"/>
    <w:rsid w:val="009833EE"/>
    <w:rsid w:val="00984010"/>
    <w:rsid w:val="009879EB"/>
    <w:rsid w:val="009939F5"/>
    <w:rsid w:val="00995A48"/>
    <w:rsid w:val="00997D90"/>
    <w:rsid w:val="009A0DE6"/>
    <w:rsid w:val="009A7830"/>
    <w:rsid w:val="009B04DA"/>
    <w:rsid w:val="009C514D"/>
    <w:rsid w:val="009C5651"/>
    <w:rsid w:val="009C6619"/>
    <w:rsid w:val="009D0662"/>
    <w:rsid w:val="009D0753"/>
    <w:rsid w:val="009D6030"/>
    <w:rsid w:val="009D6CF7"/>
    <w:rsid w:val="009E578F"/>
    <w:rsid w:val="009E7985"/>
    <w:rsid w:val="009F2ECE"/>
    <w:rsid w:val="009F5E3A"/>
    <w:rsid w:val="009F71C6"/>
    <w:rsid w:val="00A02D3D"/>
    <w:rsid w:val="00A05EBF"/>
    <w:rsid w:val="00A06399"/>
    <w:rsid w:val="00A108CD"/>
    <w:rsid w:val="00A12BA5"/>
    <w:rsid w:val="00A150C6"/>
    <w:rsid w:val="00A15970"/>
    <w:rsid w:val="00A169F5"/>
    <w:rsid w:val="00A21139"/>
    <w:rsid w:val="00A216D4"/>
    <w:rsid w:val="00A2444D"/>
    <w:rsid w:val="00A24669"/>
    <w:rsid w:val="00A251E0"/>
    <w:rsid w:val="00A26464"/>
    <w:rsid w:val="00A33D0C"/>
    <w:rsid w:val="00A33E73"/>
    <w:rsid w:val="00A355B9"/>
    <w:rsid w:val="00A36E42"/>
    <w:rsid w:val="00A37BCB"/>
    <w:rsid w:val="00A4294E"/>
    <w:rsid w:val="00A43187"/>
    <w:rsid w:val="00A442E6"/>
    <w:rsid w:val="00A44797"/>
    <w:rsid w:val="00A47094"/>
    <w:rsid w:val="00A52304"/>
    <w:rsid w:val="00A56153"/>
    <w:rsid w:val="00A6524B"/>
    <w:rsid w:val="00A84C6C"/>
    <w:rsid w:val="00A85E6F"/>
    <w:rsid w:val="00A917C4"/>
    <w:rsid w:val="00A9203A"/>
    <w:rsid w:val="00A933FC"/>
    <w:rsid w:val="00A93601"/>
    <w:rsid w:val="00AA074A"/>
    <w:rsid w:val="00AA6B76"/>
    <w:rsid w:val="00AB0224"/>
    <w:rsid w:val="00AB0647"/>
    <w:rsid w:val="00AC4F2B"/>
    <w:rsid w:val="00AD2D40"/>
    <w:rsid w:val="00AD4624"/>
    <w:rsid w:val="00AD5B6C"/>
    <w:rsid w:val="00AD6855"/>
    <w:rsid w:val="00AD7DD8"/>
    <w:rsid w:val="00AE1148"/>
    <w:rsid w:val="00AE6943"/>
    <w:rsid w:val="00AE69D7"/>
    <w:rsid w:val="00AF2012"/>
    <w:rsid w:val="00AF24EE"/>
    <w:rsid w:val="00AF3545"/>
    <w:rsid w:val="00B04285"/>
    <w:rsid w:val="00B13228"/>
    <w:rsid w:val="00B13E1A"/>
    <w:rsid w:val="00B22A65"/>
    <w:rsid w:val="00B2699E"/>
    <w:rsid w:val="00B32D9C"/>
    <w:rsid w:val="00B34ADB"/>
    <w:rsid w:val="00B36C0A"/>
    <w:rsid w:val="00B42FC9"/>
    <w:rsid w:val="00B44160"/>
    <w:rsid w:val="00B44859"/>
    <w:rsid w:val="00B465B0"/>
    <w:rsid w:val="00B46647"/>
    <w:rsid w:val="00B477D8"/>
    <w:rsid w:val="00B63E84"/>
    <w:rsid w:val="00B64D3A"/>
    <w:rsid w:val="00B764DC"/>
    <w:rsid w:val="00B80C9D"/>
    <w:rsid w:val="00B8363A"/>
    <w:rsid w:val="00B849B5"/>
    <w:rsid w:val="00B8550A"/>
    <w:rsid w:val="00B9611D"/>
    <w:rsid w:val="00B9705F"/>
    <w:rsid w:val="00BA025B"/>
    <w:rsid w:val="00BA0BC4"/>
    <w:rsid w:val="00BA4F99"/>
    <w:rsid w:val="00BA5E58"/>
    <w:rsid w:val="00BA6199"/>
    <w:rsid w:val="00BB3F34"/>
    <w:rsid w:val="00BB6351"/>
    <w:rsid w:val="00BB63D6"/>
    <w:rsid w:val="00BC5C02"/>
    <w:rsid w:val="00BD0810"/>
    <w:rsid w:val="00BD47E7"/>
    <w:rsid w:val="00BF3588"/>
    <w:rsid w:val="00C02446"/>
    <w:rsid w:val="00C16103"/>
    <w:rsid w:val="00C2130F"/>
    <w:rsid w:val="00C34736"/>
    <w:rsid w:val="00C34B0C"/>
    <w:rsid w:val="00C4041E"/>
    <w:rsid w:val="00C406E4"/>
    <w:rsid w:val="00C51B6F"/>
    <w:rsid w:val="00C52964"/>
    <w:rsid w:val="00C6109D"/>
    <w:rsid w:val="00C7476B"/>
    <w:rsid w:val="00C818BF"/>
    <w:rsid w:val="00C923A3"/>
    <w:rsid w:val="00C94600"/>
    <w:rsid w:val="00C97B04"/>
    <w:rsid w:val="00C97BF7"/>
    <w:rsid w:val="00CA2695"/>
    <w:rsid w:val="00CA76FA"/>
    <w:rsid w:val="00CB0C30"/>
    <w:rsid w:val="00CB6C25"/>
    <w:rsid w:val="00CC5A99"/>
    <w:rsid w:val="00CC6236"/>
    <w:rsid w:val="00CD0409"/>
    <w:rsid w:val="00CD28D1"/>
    <w:rsid w:val="00CE013C"/>
    <w:rsid w:val="00CE1D56"/>
    <w:rsid w:val="00CF0366"/>
    <w:rsid w:val="00CF6FEC"/>
    <w:rsid w:val="00D00C69"/>
    <w:rsid w:val="00D1290D"/>
    <w:rsid w:val="00D15554"/>
    <w:rsid w:val="00D1791B"/>
    <w:rsid w:val="00D22167"/>
    <w:rsid w:val="00D229D4"/>
    <w:rsid w:val="00D2438C"/>
    <w:rsid w:val="00D24C84"/>
    <w:rsid w:val="00D27B15"/>
    <w:rsid w:val="00D31224"/>
    <w:rsid w:val="00D3205B"/>
    <w:rsid w:val="00D40FAA"/>
    <w:rsid w:val="00D56428"/>
    <w:rsid w:val="00D5761A"/>
    <w:rsid w:val="00D600F8"/>
    <w:rsid w:val="00D660E7"/>
    <w:rsid w:val="00D66EE9"/>
    <w:rsid w:val="00D7190A"/>
    <w:rsid w:val="00D72617"/>
    <w:rsid w:val="00D72F58"/>
    <w:rsid w:val="00D73023"/>
    <w:rsid w:val="00D84F52"/>
    <w:rsid w:val="00D86AC9"/>
    <w:rsid w:val="00D90DF0"/>
    <w:rsid w:val="00D91414"/>
    <w:rsid w:val="00D9151A"/>
    <w:rsid w:val="00D953A2"/>
    <w:rsid w:val="00DA7039"/>
    <w:rsid w:val="00DB109B"/>
    <w:rsid w:val="00DC077C"/>
    <w:rsid w:val="00DC0D4E"/>
    <w:rsid w:val="00DC3E9E"/>
    <w:rsid w:val="00DC6A6A"/>
    <w:rsid w:val="00DD03B3"/>
    <w:rsid w:val="00DD220C"/>
    <w:rsid w:val="00DE1FDD"/>
    <w:rsid w:val="00DE3BC9"/>
    <w:rsid w:val="00DF1BDF"/>
    <w:rsid w:val="00DF60F9"/>
    <w:rsid w:val="00E0539D"/>
    <w:rsid w:val="00E144FB"/>
    <w:rsid w:val="00E14BB3"/>
    <w:rsid w:val="00E163A1"/>
    <w:rsid w:val="00E20613"/>
    <w:rsid w:val="00E23C06"/>
    <w:rsid w:val="00E27B56"/>
    <w:rsid w:val="00E30D56"/>
    <w:rsid w:val="00E340F1"/>
    <w:rsid w:val="00E3415A"/>
    <w:rsid w:val="00E43E46"/>
    <w:rsid w:val="00E44170"/>
    <w:rsid w:val="00E44FB5"/>
    <w:rsid w:val="00E47A48"/>
    <w:rsid w:val="00E51F23"/>
    <w:rsid w:val="00E52D09"/>
    <w:rsid w:val="00E53478"/>
    <w:rsid w:val="00E53D49"/>
    <w:rsid w:val="00E56D39"/>
    <w:rsid w:val="00E61C70"/>
    <w:rsid w:val="00E6500F"/>
    <w:rsid w:val="00E672F4"/>
    <w:rsid w:val="00E70194"/>
    <w:rsid w:val="00E70244"/>
    <w:rsid w:val="00E7408E"/>
    <w:rsid w:val="00E7658D"/>
    <w:rsid w:val="00E837B0"/>
    <w:rsid w:val="00E84437"/>
    <w:rsid w:val="00E8574F"/>
    <w:rsid w:val="00E85811"/>
    <w:rsid w:val="00E8754C"/>
    <w:rsid w:val="00E93FB9"/>
    <w:rsid w:val="00E97230"/>
    <w:rsid w:val="00EA09BB"/>
    <w:rsid w:val="00EA0DBD"/>
    <w:rsid w:val="00EB0168"/>
    <w:rsid w:val="00EB4854"/>
    <w:rsid w:val="00EC0308"/>
    <w:rsid w:val="00EC3A6F"/>
    <w:rsid w:val="00EC3D39"/>
    <w:rsid w:val="00EC77F2"/>
    <w:rsid w:val="00ED35C1"/>
    <w:rsid w:val="00ED4342"/>
    <w:rsid w:val="00ED534F"/>
    <w:rsid w:val="00ED5756"/>
    <w:rsid w:val="00ED65EB"/>
    <w:rsid w:val="00EE64C7"/>
    <w:rsid w:val="00EE68EC"/>
    <w:rsid w:val="00EF4304"/>
    <w:rsid w:val="00EF472F"/>
    <w:rsid w:val="00EF4C36"/>
    <w:rsid w:val="00F043FD"/>
    <w:rsid w:val="00F046B9"/>
    <w:rsid w:val="00F115DB"/>
    <w:rsid w:val="00F15A66"/>
    <w:rsid w:val="00F17176"/>
    <w:rsid w:val="00F17207"/>
    <w:rsid w:val="00F21429"/>
    <w:rsid w:val="00F26BF1"/>
    <w:rsid w:val="00F3142B"/>
    <w:rsid w:val="00F3222F"/>
    <w:rsid w:val="00F3408E"/>
    <w:rsid w:val="00F54989"/>
    <w:rsid w:val="00F64358"/>
    <w:rsid w:val="00F72DC2"/>
    <w:rsid w:val="00F74834"/>
    <w:rsid w:val="00F75318"/>
    <w:rsid w:val="00F75BB8"/>
    <w:rsid w:val="00F76488"/>
    <w:rsid w:val="00F773BD"/>
    <w:rsid w:val="00F7772C"/>
    <w:rsid w:val="00F81B93"/>
    <w:rsid w:val="00F81E57"/>
    <w:rsid w:val="00F86639"/>
    <w:rsid w:val="00F8672F"/>
    <w:rsid w:val="00F87394"/>
    <w:rsid w:val="00F87B5D"/>
    <w:rsid w:val="00F87EDA"/>
    <w:rsid w:val="00FA0179"/>
    <w:rsid w:val="00FA086B"/>
    <w:rsid w:val="00FA1498"/>
    <w:rsid w:val="00FB131B"/>
    <w:rsid w:val="00FC2922"/>
    <w:rsid w:val="00FC29B1"/>
    <w:rsid w:val="00FC48ED"/>
    <w:rsid w:val="00FD6DF1"/>
    <w:rsid w:val="00FE1C1A"/>
    <w:rsid w:val="00FE3981"/>
    <w:rsid w:val="00FE3F5E"/>
    <w:rsid w:val="00FE407C"/>
    <w:rsid w:val="00FE54B8"/>
    <w:rsid w:val="00FE682A"/>
    <w:rsid w:val="00FF1758"/>
    <w:rsid w:val="00FF35DA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72BEB"/>
    <w:pPr>
      <w:spacing w:line="260" w:lineRule="atLeast"/>
    </w:pPr>
    <w:rPr>
      <w:rFonts w:eastAsia="Calibri"/>
      <w:sz w:val="22"/>
      <w:lang w:eastAsia="en-US"/>
    </w:rPr>
  </w:style>
  <w:style w:type="paragraph" w:styleId="Heading1">
    <w:name w:val="heading 1"/>
    <w:basedOn w:val="Heading2"/>
    <w:next w:val="Normal"/>
    <w:link w:val="Heading1Char"/>
    <w:qFormat/>
    <w:rsid w:val="00AA6B76"/>
    <w:pPr>
      <w:ind w:left="0" w:firstLine="0"/>
      <w:jc w:val="center"/>
      <w:outlineLvl w:val="0"/>
    </w:pPr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Heading2">
    <w:name w:val="heading 2"/>
    <w:basedOn w:val="Normal"/>
    <w:next w:val="Normal"/>
    <w:qFormat/>
    <w:rsid w:val="0036472B"/>
    <w:pPr>
      <w:spacing w:before="360"/>
      <w:ind w:left="1452" w:hanging="1452"/>
      <w:outlineLvl w:val="1"/>
    </w:pPr>
    <w:rPr>
      <w:rFonts w:ascii="Times" w:hAnsi="Times"/>
      <w:b/>
      <w:sz w:val="24"/>
    </w:rPr>
  </w:style>
  <w:style w:type="paragraph" w:styleId="Heading3">
    <w:name w:val="heading 3"/>
    <w:basedOn w:val="Heading2"/>
    <w:next w:val="Normal"/>
    <w:qFormat/>
    <w:rsid w:val="00AA6B76"/>
    <w:pPr>
      <w:keepNext/>
      <w:spacing w:before="28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086B"/>
    <w:pPr>
      <w:keepNext/>
      <w:spacing w:before="240" w:after="60"/>
      <w:outlineLvl w:val="3"/>
    </w:pPr>
    <w:rPr>
      <w:rFonts w:eastAsia="Times New Roman"/>
      <w:b/>
      <w:bCs/>
      <w:sz w:val="24"/>
      <w:szCs w:val="24"/>
      <w:lang w:val="x-none" w:eastAsia="x-none"/>
    </w:rPr>
  </w:style>
  <w:style w:type="paragraph" w:styleId="Heading6">
    <w:name w:val="heading 6"/>
    <w:basedOn w:val="Heading2"/>
    <w:next w:val="Normal"/>
    <w:link w:val="Heading6Char"/>
    <w:rsid w:val="000616D0"/>
    <w:pPr>
      <w:keepLines/>
      <w:tabs>
        <w:tab w:val="left" w:pos="851"/>
      </w:tabs>
      <w:spacing w:before="240"/>
      <w:outlineLvl w:val="5"/>
    </w:pPr>
    <w:rPr>
      <w:rFonts w:eastAsia="Times New Roman" w:cs="Calibri"/>
      <w:i/>
      <w:iCs/>
      <w:color w:val="0000FF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semiHidden/>
    <w:rsid w:val="000616D0"/>
    <w:rPr>
      <w:rFonts w:ascii="Times" w:hAnsi="Times" w:cs="Calibri"/>
      <w:b/>
      <w:i/>
      <w:iCs/>
      <w:color w:val="0000FF"/>
      <w:sz w:val="24"/>
      <w:szCs w:val="24"/>
      <w:lang w:val="en-AU" w:eastAsia="en-AU" w:bidi="ar-SA"/>
    </w:rPr>
  </w:style>
  <w:style w:type="character" w:styleId="CommentReference">
    <w:name w:val="annotation reference"/>
    <w:semiHidden/>
    <w:rsid w:val="00FE54B8"/>
    <w:rPr>
      <w:rFonts w:cs="Times New Roman"/>
      <w:sz w:val="16"/>
      <w:szCs w:val="16"/>
    </w:rPr>
  </w:style>
  <w:style w:type="paragraph" w:styleId="Header">
    <w:name w:val="header"/>
    <w:basedOn w:val="OPCParaBase"/>
    <w:link w:val="HeaderChar"/>
    <w:unhideWhenUsed/>
    <w:rsid w:val="00172BEB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  <w:lang w:val="x-none" w:eastAsia="x-none"/>
    </w:rPr>
  </w:style>
  <w:style w:type="paragraph" w:styleId="CommentText">
    <w:name w:val="annotation text"/>
    <w:basedOn w:val="Normal"/>
    <w:link w:val="CommentTextChar"/>
    <w:semiHidden/>
    <w:rsid w:val="00FE54B8"/>
    <w:pPr>
      <w:tabs>
        <w:tab w:val="left" w:pos="851"/>
      </w:tabs>
      <w:spacing w:before="120" w:after="120"/>
    </w:pPr>
    <w:rPr>
      <w:rFonts w:ascii="Tahoma" w:eastAsia="Times New Roman" w:hAnsi="Tahoma" w:cs="Tahoma"/>
      <w:sz w:val="24"/>
      <w:szCs w:val="24"/>
      <w:lang w:eastAsia="en-AU"/>
    </w:rPr>
  </w:style>
  <w:style w:type="character" w:customStyle="1" w:styleId="CommentTextChar">
    <w:name w:val="Comment Text Char"/>
    <w:link w:val="CommentText"/>
    <w:semiHidden/>
    <w:rsid w:val="00FE54B8"/>
    <w:rPr>
      <w:rFonts w:ascii="Tahoma" w:hAnsi="Tahoma" w:cs="Tahoma"/>
      <w:sz w:val="24"/>
      <w:szCs w:val="24"/>
      <w:lang w:val="en-AU" w:eastAsia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BEB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styleId="Hyperlink">
    <w:name w:val="Hyperlink"/>
    <w:uiPriority w:val="99"/>
    <w:rsid w:val="002A4207"/>
    <w:rPr>
      <w:color w:val="0000FF"/>
      <w:u w:val="single"/>
    </w:rPr>
  </w:style>
  <w:style w:type="paragraph" w:styleId="Footer">
    <w:name w:val="footer"/>
    <w:link w:val="FooterChar"/>
    <w:rsid w:val="00172BEB"/>
    <w:pPr>
      <w:tabs>
        <w:tab w:val="center" w:pos="4153"/>
        <w:tab w:val="right" w:pos="8306"/>
      </w:tabs>
    </w:pPr>
    <w:rPr>
      <w:sz w:val="22"/>
      <w:szCs w:val="24"/>
    </w:rPr>
  </w:style>
  <w:style w:type="table" w:styleId="TableGrid">
    <w:name w:val="Table Grid"/>
    <w:basedOn w:val="TableNormal"/>
    <w:uiPriority w:val="59"/>
    <w:rsid w:val="00F214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A6B76"/>
    <w:rPr>
      <w:b/>
      <w:sz w:val="28"/>
      <w:szCs w:val="24"/>
    </w:rPr>
  </w:style>
  <w:style w:type="paragraph" w:styleId="CommentSubject">
    <w:name w:val="annotation subject"/>
    <w:basedOn w:val="CommentText"/>
    <w:next w:val="CommentText"/>
    <w:semiHidden/>
    <w:rsid w:val="00A06399"/>
    <w:pPr>
      <w:tabs>
        <w:tab w:val="clear" w:pos="851"/>
      </w:tabs>
    </w:pPr>
    <w:rPr>
      <w:rFonts w:ascii="Times New Roman" w:hAnsi="Times New Roman" w:cs="Times New Roman"/>
      <w:b/>
      <w:bCs/>
      <w:sz w:val="20"/>
    </w:rPr>
  </w:style>
  <w:style w:type="character" w:customStyle="1" w:styleId="charst1">
    <w:name w:val="charst1"/>
    <w:basedOn w:val="DefaultParagraphFont"/>
    <w:rsid w:val="00FE3F5E"/>
  </w:style>
  <w:style w:type="paragraph" w:styleId="NormalWeb">
    <w:name w:val="Normal (Web)"/>
    <w:basedOn w:val="Normal"/>
    <w:uiPriority w:val="99"/>
    <w:semiHidden/>
    <w:unhideWhenUsed/>
    <w:rsid w:val="008F1458"/>
    <w:pPr>
      <w:spacing w:before="136" w:after="136"/>
    </w:pPr>
  </w:style>
  <w:style w:type="paragraph" w:customStyle="1" w:styleId="subsection">
    <w:name w:val="subsection"/>
    <w:aliases w:val="ss"/>
    <w:basedOn w:val="OPCParaBase"/>
    <w:rsid w:val="00172BEB"/>
    <w:pPr>
      <w:tabs>
        <w:tab w:val="right" w:pos="1021"/>
      </w:tabs>
      <w:spacing w:before="180" w:line="240" w:lineRule="auto"/>
      <w:ind w:left="1134" w:hanging="1134"/>
    </w:pPr>
  </w:style>
  <w:style w:type="character" w:styleId="FollowedHyperlink">
    <w:name w:val="FollowedHyperlink"/>
    <w:uiPriority w:val="99"/>
    <w:semiHidden/>
    <w:unhideWhenUsed/>
    <w:rsid w:val="00287B5F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FA086B"/>
    <w:rPr>
      <w:rFonts w:eastAsia="Times New Roman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FA086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FA086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tes">
    <w:name w:val="Notes"/>
    <w:basedOn w:val="Normal"/>
    <w:link w:val="NotesChar"/>
    <w:qFormat/>
    <w:rsid w:val="00FA086B"/>
    <w:rPr>
      <w:rFonts w:eastAsia="Times New Roman"/>
      <w:i/>
      <w:szCs w:val="24"/>
      <w:lang w:val="x-none" w:eastAsia="x-none"/>
    </w:rPr>
  </w:style>
  <w:style w:type="character" w:customStyle="1" w:styleId="NotesChar">
    <w:name w:val="Notes Char"/>
    <w:link w:val="Notes"/>
    <w:rsid w:val="00FA086B"/>
    <w:rPr>
      <w:i/>
      <w:sz w:val="22"/>
      <w:szCs w:val="24"/>
    </w:rPr>
  </w:style>
  <w:style w:type="paragraph" w:customStyle="1" w:styleId="BoxText">
    <w:name w:val="BoxText"/>
    <w:aliases w:val="bt"/>
    <w:basedOn w:val="OPCParaBase"/>
    <w:rsid w:val="00172BEB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character" w:styleId="Emphasis">
    <w:name w:val="Emphasis"/>
    <w:uiPriority w:val="20"/>
    <w:qFormat/>
    <w:rsid w:val="000E0756"/>
    <w:rPr>
      <w:i/>
      <w:iCs/>
    </w:rPr>
  </w:style>
  <w:style w:type="character" w:customStyle="1" w:styleId="FooterChar">
    <w:name w:val="Footer Char"/>
    <w:link w:val="Footer"/>
    <w:rsid w:val="00172BEB"/>
    <w:rPr>
      <w:sz w:val="22"/>
      <w:szCs w:val="24"/>
      <w:lang w:bidi="ar-SA"/>
    </w:rPr>
  </w:style>
  <w:style w:type="character" w:styleId="PageNumber">
    <w:name w:val="page number"/>
    <w:rsid w:val="00172BEB"/>
  </w:style>
  <w:style w:type="character" w:customStyle="1" w:styleId="CharAmPartText">
    <w:name w:val="CharAmPartText"/>
    <w:uiPriority w:val="1"/>
    <w:qFormat/>
    <w:rsid w:val="00172BEB"/>
  </w:style>
  <w:style w:type="character" w:customStyle="1" w:styleId="OPCCharBase">
    <w:name w:val="OPCCharBase"/>
    <w:uiPriority w:val="1"/>
    <w:qFormat/>
    <w:rsid w:val="00172BEB"/>
  </w:style>
  <w:style w:type="paragraph" w:customStyle="1" w:styleId="OPCParaBase">
    <w:name w:val="OPCParaBase"/>
    <w:qFormat/>
    <w:rsid w:val="00172BEB"/>
    <w:pPr>
      <w:spacing w:line="260" w:lineRule="atLeast"/>
    </w:pPr>
    <w:rPr>
      <w:sz w:val="22"/>
    </w:rPr>
  </w:style>
  <w:style w:type="paragraph" w:customStyle="1" w:styleId="ShortT">
    <w:name w:val="ShortT"/>
    <w:basedOn w:val="OPCParaBase"/>
    <w:next w:val="Normal"/>
    <w:qFormat/>
    <w:rsid w:val="00172BEB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172BEB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172BEB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172BEB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172BEB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72BEB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72BEB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172BEB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172BEB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172BEB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172BEB"/>
  </w:style>
  <w:style w:type="paragraph" w:customStyle="1" w:styleId="Blocks">
    <w:name w:val="Blocks"/>
    <w:aliases w:val="bb"/>
    <w:basedOn w:val="OPCParaBase"/>
    <w:qFormat/>
    <w:rsid w:val="00172BEB"/>
    <w:pPr>
      <w:spacing w:line="240" w:lineRule="auto"/>
    </w:pPr>
    <w:rPr>
      <w:sz w:val="24"/>
    </w:rPr>
  </w:style>
  <w:style w:type="paragraph" w:customStyle="1" w:styleId="BoxHeadBold">
    <w:name w:val="BoxHeadBold"/>
    <w:aliases w:val="bhb"/>
    <w:basedOn w:val="BoxText"/>
    <w:next w:val="BoxText"/>
    <w:qFormat/>
    <w:rsid w:val="00172BEB"/>
    <w:rPr>
      <w:b/>
    </w:rPr>
  </w:style>
  <w:style w:type="paragraph" w:customStyle="1" w:styleId="BoxHeadItalic">
    <w:name w:val="BoxHeadItalic"/>
    <w:aliases w:val="bhi"/>
    <w:basedOn w:val="BoxText"/>
    <w:next w:val="Normal"/>
    <w:qFormat/>
    <w:rsid w:val="00172BEB"/>
    <w:rPr>
      <w:i/>
    </w:rPr>
  </w:style>
  <w:style w:type="paragraph" w:customStyle="1" w:styleId="BoxList">
    <w:name w:val="BoxList"/>
    <w:aliases w:val="bl"/>
    <w:basedOn w:val="BoxText"/>
    <w:qFormat/>
    <w:rsid w:val="00172BEB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172BEB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172BEB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172BEB"/>
    <w:pPr>
      <w:ind w:left="1985" w:hanging="851"/>
    </w:pPr>
  </w:style>
  <w:style w:type="character" w:customStyle="1" w:styleId="CharAmPartNo">
    <w:name w:val="CharAmPartNo"/>
    <w:uiPriority w:val="1"/>
    <w:qFormat/>
    <w:rsid w:val="00172BEB"/>
  </w:style>
  <w:style w:type="character" w:customStyle="1" w:styleId="CharAmSchNo">
    <w:name w:val="CharAmSchNo"/>
    <w:uiPriority w:val="1"/>
    <w:qFormat/>
    <w:rsid w:val="00172BEB"/>
  </w:style>
  <w:style w:type="character" w:customStyle="1" w:styleId="CharAmSchText">
    <w:name w:val="CharAmSchText"/>
    <w:uiPriority w:val="1"/>
    <w:qFormat/>
    <w:rsid w:val="00172BEB"/>
  </w:style>
  <w:style w:type="character" w:customStyle="1" w:styleId="CharBoldItalic">
    <w:name w:val="CharBoldItalic"/>
    <w:uiPriority w:val="1"/>
    <w:qFormat/>
    <w:rsid w:val="00172BEB"/>
    <w:rPr>
      <w:b/>
      <w:i/>
    </w:rPr>
  </w:style>
  <w:style w:type="character" w:customStyle="1" w:styleId="CharChapNo">
    <w:name w:val="CharChapNo"/>
    <w:uiPriority w:val="1"/>
    <w:qFormat/>
    <w:rsid w:val="00172BEB"/>
  </w:style>
  <w:style w:type="character" w:customStyle="1" w:styleId="CharChapText">
    <w:name w:val="CharChapText"/>
    <w:uiPriority w:val="1"/>
    <w:qFormat/>
    <w:rsid w:val="00172BEB"/>
  </w:style>
  <w:style w:type="character" w:customStyle="1" w:styleId="CharDivNo">
    <w:name w:val="CharDivNo"/>
    <w:uiPriority w:val="1"/>
    <w:qFormat/>
    <w:rsid w:val="00172BEB"/>
  </w:style>
  <w:style w:type="character" w:customStyle="1" w:styleId="CharDivText">
    <w:name w:val="CharDivText"/>
    <w:uiPriority w:val="1"/>
    <w:qFormat/>
    <w:rsid w:val="00172BEB"/>
  </w:style>
  <w:style w:type="character" w:customStyle="1" w:styleId="CharItalic">
    <w:name w:val="CharItalic"/>
    <w:uiPriority w:val="1"/>
    <w:qFormat/>
    <w:rsid w:val="00172BEB"/>
    <w:rPr>
      <w:i/>
    </w:rPr>
  </w:style>
  <w:style w:type="character" w:customStyle="1" w:styleId="CharPartNo">
    <w:name w:val="CharPartNo"/>
    <w:uiPriority w:val="1"/>
    <w:qFormat/>
    <w:rsid w:val="00172BEB"/>
  </w:style>
  <w:style w:type="character" w:customStyle="1" w:styleId="CharPartText">
    <w:name w:val="CharPartText"/>
    <w:uiPriority w:val="1"/>
    <w:qFormat/>
    <w:rsid w:val="00172BEB"/>
  </w:style>
  <w:style w:type="character" w:customStyle="1" w:styleId="CharSectno">
    <w:name w:val="CharSectno"/>
    <w:uiPriority w:val="1"/>
    <w:qFormat/>
    <w:rsid w:val="00172BEB"/>
  </w:style>
  <w:style w:type="character" w:customStyle="1" w:styleId="CharSubdNo">
    <w:name w:val="CharSubdNo"/>
    <w:uiPriority w:val="1"/>
    <w:qFormat/>
    <w:rsid w:val="00172BEB"/>
  </w:style>
  <w:style w:type="character" w:customStyle="1" w:styleId="CharSubdText">
    <w:name w:val="CharSubdText"/>
    <w:uiPriority w:val="1"/>
    <w:qFormat/>
    <w:rsid w:val="00172BEB"/>
  </w:style>
  <w:style w:type="paragraph" w:customStyle="1" w:styleId="CTA--">
    <w:name w:val="CTA --"/>
    <w:basedOn w:val="OPCParaBase"/>
    <w:next w:val="Normal"/>
    <w:rsid w:val="00172BEB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172BEB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172BEB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172BEB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172BEB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172BEB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172BE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172BE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172BE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172BE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172BE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172BE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172BEB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172BEB"/>
    <w:pPr>
      <w:spacing w:before="60" w:line="240" w:lineRule="auto"/>
      <w:jc w:val="right"/>
    </w:pPr>
    <w:rPr>
      <w:sz w:val="20"/>
    </w:rPr>
  </w:style>
  <w:style w:type="paragraph" w:customStyle="1" w:styleId="Definition">
    <w:name w:val="Definition"/>
    <w:aliases w:val="dd"/>
    <w:basedOn w:val="OPCParaBase"/>
    <w:rsid w:val="00172BEB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172BEB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172BEB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172BEB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172BEB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172BEB"/>
    <w:pPr>
      <w:spacing w:line="240" w:lineRule="auto"/>
      <w:ind w:left="1134"/>
    </w:pPr>
    <w:rPr>
      <w:sz w:val="20"/>
    </w:rPr>
  </w:style>
  <w:style w:type="character" w:customStyle="1" w:styleId="HeaderChar">
    <w:name w:val="Header Char"/>
    <w:link w:val="Header"/>
    <w:rsid w:val="00172BEB"/>
    <w:rPr>
      <w:sz w:val="16"/>
    </w:rPr>
  </w:style>
  <w:style w:type="paragraph" w:customStyle="1" w:styleId="House">
    <w:name w:val="House"/>
    <w:basedOn w:val="OPCParaBase"/>
    <w:rsid w:val="00172BEB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172BEB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172BEB"/>
    <w:pPr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172BEB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172BEB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172BEB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172BEB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172BEB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rsid w:val="00172BEB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72BEB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172BEB"/>
    <w:pPr>
      <w:spacing w:line="240" w:lineRule="auto"/>
    </w:pPr>
    <w:rPr>
      <w:sz w:val="10"/>
    </w:rPr>
  </w:style>
  <w:style w:type="paragraph" w:customStyle="1" w:styleId="paragraphsub">
    <w:name w:val="paragraph(sub)"/>
    <w:aliases w:val="aa"/>
    <w:basedOn w:val="OPCParaBase"/>
    <w:rsid w:val="00172BEB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172BEB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172BEB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172BEB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172BEB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172BEB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172BEB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172BEB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172BEB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172BEB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172BEB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172BEB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172BE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172BE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172BEB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172BEB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172BEB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172BEB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172BEB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172BEB"/>
    <w:pPr>
      <w:numPr>
        <w:numId w:val="45"/>
      </w:numPr>
      <w:tabs>
        <w:tab w:val="clear" w:pos="2517"/>
      </w:tabs>
      <w:spacing w:before="60" w:line="198" w:lineRule="exact"/>
      <w:ind w:left="2625"/>
    </w:pPr>
    <w:rPr>
      <w:sz w:val="18"/>
    </w:rPr>
  </w:style>
  <w:style w:type="paragraph" w:customStyle="1" w:styleId="TLPnoteright">
    <w:name w:val="TLPnote(right)"/>
    <w:aliases w:val="nr"/>
    <w:basedOn w:val="OPCParaBase"/>
    <w:rsid w:val="00172BEB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172BEB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172BEB"/>
    <w:pPr>
      <w:keepNext/>
      <w:keepLines/>
      <w:tabs>
        <w:tab w:val="right" w:pos="8998"/>
      </w:tabs>
      <w:spacing w:before="120" w:line="240" w:lineRule="auto"/>
      <w:ind w:left="1474" w:right="868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semiHidden/>
    <w:unhideWhenUsed/>
    <w:rsid w:val="00172BEB"/>
    <w:pPr>
      <w:keepNext/>
      <w:keepLines/>
      <w:tabs>
        <w:tab w:val="right" w:pos="8998"/>
      </w:tabs>
      <w:spacing w:before="120" w:line="240" w:lineRule="auto"/>
      <w:ind w:left="1474" w:right="868" w:hanging="1474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1604" w:right="868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2183" w:right="868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40" w:line="240" w:lineRule="auto"/>
      <w:ind w:left="2280" w:right="868" w:hanging="862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120" w:line="240" w:lineRule="auto"/>
      <w:ind w:left="1344" w:right="868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120" w:line="240" w:lineRule="auto"/>
      <w:ind w:left="1253" w:right="868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1900" w:right="868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172BEB"/>
    <w:pPr>
      <w:keepLines/>
      <w:tabs>
        <w:tab w:val="right" w:pos="8998"/>
      </w:tabs>
      <w:spacing w:before="80" w:line="240" w:lineRule="auto"/>
      <w:ind w:left="851" w:right="868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172BEB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172BEB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172BEB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172BEB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172BEB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Body">
    <w:name w:val="Body"/>
    <w:aliases w:val="b"/>
    <w:basedOn w:val="OPCParaBase"/>
    <w:rsid w:val="00172BEB"/>
    <w:pPr>
      <w:spacing w:before="240" w:line="240" w:lineRule="auto"/>
    </w:pPr>
    <w:rPr>
      <w:sz w:val="24"/>
    </w:rPr>
  </w:style>
  <w:style w:type="paragraph" w:customStyle="1" w:styleId="BodyNum">
    <w:name w:val="BodyNum"/>
    <w:aliases w:val="b1"/>
    <w:basedOn w:val="OPCParaBase"/>
    <w:rsid w:val="00172BEB"/>
    <w:pPr>
      <w:numPr>
        <w:numId w:val="47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172BEB"/>
    <w:pPr>
      <w:numPr>
        <w:ilvl w:val="1"/>
        <w:numId w:val="47"/>
      </w:numPr>
      <w:spacing w:before="240" w:line="240" w:lineRule="auto"/>
    </w:pPr>
    <w:rPr>
      <w:sz w:val="24"/>
    </w:rPr>
  </w:style>
  <w:style w:type="paragraph" w:customStyle="1" w:styleId="BodyParaBullet">
    <w:name w:val="BodyParaBullet"/>
    <w:aliases w:val="bpb"/>
    <w:basedOn w:val="OPCParaBase"/>
    <w:rsid w:val="00172BEB"/>
    <w:pPr>
      <w:numPr>
        <w:ilvl w:val="2"/>
        <w:numId w:val="47"/>
      </w:numPr>
      <w:tabs>
        <w:tab w:val="left" w:pos="2160"/>
      </w:tabs>
      <w:spacing w:before="240" w:line="240" w:lineRule="auto"/>
    </w:pPr>
    <w:rPr>
      <w:sz w:val="24"/>
    </w:rPr>
  </w:style>
  <w:style w:type="paragraph" w:customStyle="1" w:styleId="BodySubPara">
    <w:name w:val="BodySubPara"/>
    <w:aliases w:val="bi"/>
    <w:basedOn w:val="OPCParaBase"/>
    <w:rsid w:val="00172BEB"/>
    <w:pPr>
      <w:numPr>
        <w:ilvl w:val="3"/>
        <w:numId w:val="47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172BEB"/>
    <w:pPr>
      <w:numPr>
        <w:numId w:val="47"/>
      </w:numPr>
    </w:pPr>
  </w:style>
  <w:style w:type="paragraph" w:customStyle="1" w:styleId="Head1">
    <w:name w:val="Head 1"/>
    <w:aliases w:val="1"/>
    <w:basedOn w:val="OPCParaBase"/>
    <w:next w:val="BodyNum"/>
    <w:rsid w:val="00172BE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172BEB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172BEB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paragraph" w:customStyle="1" w:styleId="Head4">
    <w:name w:val="Head 4"/>
    <w:aliases w:val="4"/>
    <w:basedOn w:val="OPCParaBase"/>
    <w:next w:val="BodyNum"/>
    <w:rsid w:val="00172BEB"/>
    <w:pPr>
      <w:keepNext/>
      <w:spacing w:before="240" w:after="60" w:line="240" w:lineRule="auto"/>
      <w:outlineLvl w:val="3"/>
    </w:pPr>
    <w:rPr>
      <w:rFonts w:ascii="Arial" w:hAnsi="Arial"/>
      <w:b/>
      <w:kern w:val="28"/>
    </w:rPr>
  </w:style>
  <w:style w:type="paragraph" w:customStyle="1" w:styleId="Head5">
    <w:name w:val="Head 5"/>
    <w:aliases w:val="5"/>
    <w:basedOn w:val="OPCParaBase"/>
    <w:next w:val="BodyNum"/>
    <w:rsid w:val="00172BEB"/>
    <w:pPr>
      <w:keepNext/>
      <w:spacing w:before="240" w:after="60" w:line="240" w:lineRule="auto"/>
      <w:outlineLvl w:val="4"/>
    </w:pPr>
    <w:rPr>
      <w:rFonts w:ascii="Arial" w:hAnsi="Arial"/>
      <w:b/>
      <w:i/>
      <w:kern w:val="28"/>
    </w:rPr>
  </w:style>
  <w:style w:type="paragraph" w:customStyle="1" w:styleId="noteToPara">
    <w:name w:val="noteToPara"/>
    <w:aliases w:val="ntp"/>
    <w:basedOn w:val="OPCParaBase"/>
    <w:rsid w:val="00172BEB"/>
    <w:pPr>
      <w:spacing w:before="122" w:line="198" w:lineRule="exact"/>
      <w:ind w:left="2353" w:hanging="709"/>
    </w:pPr>
    <w:rPr>
      <w:sz w:val="18"/>
    </w:rPr>
  </w:style>
  <w:style w:type="character" w:customStyle="1" w:styleId="BalloonTextChar">
    <w:name w:val="Balloon Text Char"/>
    <w:link w:val="BalloonText"/>
    <w:uiPriority w:val="99"/>
    <w:semiHidden/>
    <w:rsid w:val="00172BEB"/>
    <w:rPr>
      <w:rFonts w:ascii="Tahoma" w:eastAsia="Calibri" w:hAnsi="Tahoma" w:cs="Tahoma"/>
      <w:sz w:val="16"/>
      <w:szCs w:val="16"/>
      <w:lang w:eastAsia="en-US"/>
    </w:rPr>
  </w:style>
  <w:style w:type="paragraph" w:customStyle="1" w:styleId="MessShortTitle">
    <w:name w:val="MessShortTitle"/>
    <w:basedOn w:val="Head2"/>
    <w:rsid w:val="00172BEB"/>
  </w:style>
  <w:style w:type="paragraph" w:customStyle="1" w:styleId="TableHeading">
    <w:name w:val="TableHeading"/>
    <w:aliases w:val="th"/>
    <w:basedOn w:val="OPCParaBase"/>
    <w:next w:val="Tabletext"/>
    <w:rsid w:val="00172BEB"/>
    <w:pPr>
      <w:spacing w:before="60" w:line="240" w:lineRule="atLeast"/>
    </w:pPr>
    <w:rPr>
      <w:b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151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rsid w:val="00D9151A"/>
    <w:rPr>
      <w:sz w:val="24"/>
      <w:szCs w:val="24"/>
    </w:rPr>
  </w:style>
  <w:style w:type="paragraph" w:customStyle="1" w:styleId="r1">
    <w:name w:val="r1"/>
    <w:basedOn w:val="Normal"/>
    <w:rsid w:val="008A687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1395E"/>
    <w:rPr>
      <w:rFonts w:eastAsia="Calibri"/>
      <w:sz w:val="22"/>
      <w:lang w:eastAsia="en-US"/>
    </w:rPr>
  </w:style>
  <w:style w:type="paragraph" w:customStyle="1" w:styleId="opcbody">
    <w:name w:val="opcbody"/>
    <w:basedOn w:val="Normal"/>
    <w:rsid w:val="003267C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2CC5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2CC5"/>
    <w:rPr>
      <w:rFonts w:ascii="Courier New" w:eastAsia="Calibri" w:hAnsi="Courier New" w:cs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72BEB"/>
    <w:pPr>
      <w:spacing w:line="260" w:lineRule="atLeast"/>
    </w:pPr>
    <w:rPr>
      <w:rFonts w:eastAsia="Calibri"/>
      <w:sz w:val="22"/>
      <w:lang w:eastAsia="en-US"/>
    </w:rPr>
  </w:style>
  <w:style w:type="paragraph" w:styleId="Heading1">
    <w:name w:val="heading 1"/>
    <w:basedOn w:val="Heading2"/>
    <w:next w:val="Normal"/>
    <w:link w:val="Heading1Char"/>
    <w:qFormat/>
    <w:rsid w:val="00AA6B76"/>
    <w:pPr>
      <w:ind w:left="0" w:firstLine="0"/>
      <w:jc w:val="center"/>
      <w:outlineLvl w:val="0"/>
    </w:pPr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Heading2">
    <w:name w:val="heading 2"/>
    <w:basedOn w:val="Normal"/>
    <w:next w:val="Normal"/>
    <w:qFormat/>
    <w:rsid w:val="0036472B"/>
    <w:pPr>
      <w:spacing w:before="360"/>
      <w:ind w:left="1452" w:hanging="1452"/>
      <w:outlineLvl w:val="1"/>
    </w:pPr>
    <w:rPr>
      <w:rFonts w:ascii="Times" w:hAnsi="Times"/>
      <w:b/>
      <w:sz w:val="24"/>
    </w:rPr>
  </w:style>
  <w:style w:type="paragraph" w:styleId="Heading3">
    <w:name w:val="heading 3"/>
    <w:basedOn w:val="Heading2"/>
    <w:next w:val="Normal"/>
    <w:qFormat/>
    <w:rsid w:val="00AA6B76"/>
    <w:pPr>
      <w:keepNext/>
      <w:spacing w:before="28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086B"/>
    <w:pPr>
      <w:keepNext/>
      <w:spacing w:before="240" w:after="60"/>
      <w:outlineLvl w:val="3"/>
    </w:pPr>
    <w:rPr>
      <w:rFonts w:eastAsia="Times New Roman"/>
      <w:b/>
      <w:bCs/>
      <w:sz w:val="24"/>
      <w:szCs w:val="24"/>
      <w:lang w:val="x-none" w:eastAsia="x-none"/>
    </w:rPr>
  </w:style>
  <w:style w:type="paragraph" w:styleId="Heading6">
    <w:name w:val="heading 6"/>
    <w:basedOn w:val="Heading2"/>
    <w:next w:val="Normal"/>
    <w:link w:val="Heading6Char"/>
    <w:rsid w:val="000616D0"/>
    <w:pPr>
      <w:keepLines/>
      <w:tabs>
        <w:tab w:val="left" w:pos="851"/>
      </w:tabs>
      <w:spacing w:before="240"/>
      <w:outlineLvl w:val="5"/>
    </w:pPr>
    <w:rPr>
      <w:rFonts w:eastAsia="Times New Roman" w:cs="Calibri"/>
      <w:i/>
      <w:iCs/>
      <w:color w:val="0000FF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link w:val="Heading6"/>
    <w:semiHidden/>
    <w:rsid w:val="000616D0"/>
    <w:rPr>
      <w:rFonts w:ascii="Times" w:hAnsi="Times" w:cs="Calibri"/>
      <w:b/>
      <w:i/>
      <w:iCs/>
      <w:color w:val="0000FF"/>
      <w:sz w:val="24"/>
      <w:szCs w:val="24"/>
      <w:lang w:val="en-AU" w:eastAsia="en-AU" w:bidi="ar-SA"/>
    </w:rPr>
  </w:style>
  <w:style w:type="character" w:styleId="CommentReference">
    <w:name w:val="annotation reference"/>
    <w:semiHidden/>
    <w:rsid w:val="00FE54B8"/>
    <w:rPr>
      <w:rFonts w:cs="Times New Roman"/>
      <w:sz w:val="16"/>
      <w:szCs w:val="16"/>
    </w:rPr>
  </w:style>
  <w:style w:type="paragraph" w:styleId="Header">
    <w:name w:val="header"/>
    <w:basedOn w:val="OPCParaBase"/>
    <w:link w:val="HeaderChar"/>
    <w:unhideWhenUsed/>
    <w:rsid w:val="00172BEB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  <w:lang w:val="x-none" w:eastAsia="x-none"/>
    </w:rPr>
  </w:style>
  <w:style w:type="paragraph" w:styleId="CommentText">
    <w:name w:val="annotation text"/>
    <w:basedOn w:val="Normal"/>
    <w:link w:val="CommentTextChar"/>
    <w:semiHidden/>
    <w:rsid w:val="00FE54B8"/>
    <w:pPr>
      <w:tabs>
        <w:tab w:val="left" w:pos="851"/>
      </w:tabs>
      <w:spacing w:before="120" w:after="120"/>
    </w:pPr>
    <w:rPr>
      <w:rFonts w:ascii="Tahoma" w:eastAsia="Times New Roman" w:hAnsi="Tahoma" w:cs="Tahoma"/>
      <w:sz w:val="24"/>
      <w:szCs w:val="24"/>
      <w:lang w:eastAsia="en-AU"/>
    </w:rPr>
  </w:style>
  <w:style w:type="character" w:customStyle="1" w:styleId="CommentTextChar">
    <w:name w:val="Comment Text Char"/>
    <w:link w:val="CommentText"/>
    <w:semiHidden/>
    <w:rsid w:val="00FE54B8"/>
    <w:rPr>
      <w:rFonts w:ascii="Tahoma" w:hAnsi="Tahoma" w:cs="Tahoma"/>
      <w:sz w:val="24"/>
      <w:szCs w:val="24"/>
      <w:lang w:val="en-AU" w:eastAsia="en-AU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BEB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styleId="Hyperlink">
    <w:name w:val="Hyperlink"/>
    <w:uiPriority w:val="99"/>
    <w:rsid w:val="002A4207"/>
    <w:rPr>
      <w:color w:val="0000FF"/>
      <w:u w:val="single"/>
    </w:rPr>
  </w:style>
  <w:style w:type="paragraph" w:styleId="Footer">
    <w:name w:val="footer"/>
    <w:link w:val="FooterChar"/>
    <w:rsid w:val="00172BEB"/>
    <w:pPr>
      <w:tabs>
        <w:tab w:val="center" w:pos="4153"/>
        <w:tab w:val="right" w:pos="8306"/>
      </w:tabs>
    </w:pPr>
    <w:rPr>
      <w:sz w:val="22"/>
      <w:szCs w:val="24"/>
    </w:rPr>
  </w:style>
  <w:style w:type="table" w:styleId="TableGrid">
    <w:name w:val="Table Grid"/>
    <w:basedOn w:val="TableNormal"/>
    <w:uiPriority w:val="59"/>
    <w:rsid w:val="00F2142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AA6B76"/>
    <w:rPr>
      <w:b/>
      <w:sz w:val="28"/>
      <w:szCs w:val="24"/>
    </w:rPr>
  </w:style>
  <w:style w:type="paragraph" w:styleId="CommentSubject">
    <w:name w:val="annotation subject"/>
    <w:basedOn w:val="CommentText"/>
    <w:next w:val="CommentText"/>
    <w:semiHidden/>
    <w:rsid w:val="00A06399"/>
    <w:pPr>
      <w:tabs>
        <w:tab w:val="clear" w:pos="851"/>
      </w:tabs>
    </w:pPr>
    <w:rPr>
      <w:rFonts w:ascii="Times New Roman" w:hAnsi="Times New Roman" w:cs="Times New Roman"/>
      <w:b/>
      <w:bCs/>
      <w:sz w:val="20"/>
    </w:rPr>
  </w:style>
  <w:style w:type="character" w:customStyle="1" w:styleId="charst1">
    <w:name w:val="charst1"/>
    <w:basedOn w:val="DefaultParagraphFont"/>
    <w:rsid w:val="00FE3F5E"/>
  </w:style>
  <w:style w:type="paragraph" w:styleId="NormalWeb">
    <w:name w:val="Normal (Web)"/>
    <w:basedOn w:val="Normal"/>
    <w:uiPriority w:val="99"/>
    <w:semiHidden/>
    <w:unhideWhenUsed/>
    <w:rsid w:val="008F1458"/>
    <w:pPr>
      <w:spacing w:before="136" w:after="136"/>
    </w:pPr>
  </w:style>
  <w:style w:type="paragraph" w:customStyle="1" w:styleId="subsection">
    <w:name w:val="subsection"/>
    <w:aliases w:val="ss"/>
    <w:basedOn w:val="OPCParaBase"/>
    <w:rsid w:val="00172BEB"/>
    <w:pPr>
      <w:tabs>
        <w:tab w:val="right" w:pos="1021"/>
      </w:tabs>
      <w:spacing w:before="180" w:line="240" w:lineRule="auto"/>
      <w:ind w:left="1134" w:hanging="1134"/>
    </w:pPr>
  </w:style>
  <w:style w:type="character" w:styleId="FollowedHyperlink">
    <w:name w:val="FollowedHyperlink"/>
    <w:uiPriority w:val="99"/>
    <w:semiHidden/>
    <w:unhideWhenUsed/>
    <w:rsid w:val="00287B5F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FA086B"/>
    <w:rPr>
      <w:rFonts w:eastAsia="Times New Roman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rsid w:val="00FA086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FA086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tes">
    <w:name w:val="Notes"/>
    <w:basedOn w:val="Normal"/>
    <w:link w:val="NotesChar"/>
    <w:qFormat/>
    <w:rsid w:val="00FA086B"/>
    <w:rPr>
      <w:rFonts w:eastAsia="Times New Roman"/>
      <w:i/>
      <w:szCs w:val="24"/>
      <w:lang w:val="x-none" w:eastAsia="x-none"/>
    </w:rPr>
  </w:style>
  <w:style w:type="character" w:customStyle="1" w:styleId="NotesChar">
    <w:name w:val="Notes Char"/>
    <w:link w:val="Notes"/>
    <w:rsid w:val="00FA086B"/>
    <w:rPr>
      <w:i/>
      <w:sz w:val="22"/>
      <w:szCs w:val="24"/>
    </w:rPr>
  </w:style>
  <w:style w:type="paragraph" w:customStyle="1" w:styleId="BoxText">
    <w:name w:val="BoxText"/>
    <w:aliases w:val="bt"/>
    <w:basedOn w:val="OPCParaBase"/>
    <w:rsid w:val="00172BEB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character" w:styleId="Emphasis">
    <w:name w:val="Emphasis"/>
    <w:uiPriority w:val="20"/>
    <w:qFormat/>
    <w:rsid w:val="000E0756"/>
    <w:rPr>
      <w:i/>
      <w:iCs/>
    </w:rPr>
  </w:style>
  <w:style w:type="character" w:customStyle="1" w:styleId="FooterChar">
    <w:name w:val="Footer Char"/>
    <w:link w:val="Footer"/>
    <w:rsid w:val="00172BEB"/>
    <w:rPr>
      <w:sz w:val="22"/>
      <w:szCs w:val="24"/>
      <w:lang w:bidi="ar-SA"/>
    </w:rPr>
  </w:style>
  <w:style w:type="character" w:styleId="PageNumber">
    <w:name w:val="page number"/>
    <w:rsid w:val="00172BEB"/>
  </w:style>
  <w:style w:type="character" w:customStyle="1" w:styleId="CharAmPartText">
    <w:name w:val="CharAmPartText"/>
    <w:uiPriority w:val="1"/>
    <w:qFormat/>
    <w:rsid w:val="00172BEB"/>
  </w:style>
  <w:style w:type="character" w:customStyle="1" w:styleId="OPCCharBase">
    <w:name w:val="OPCCharBase"/>
    <w:uiPriority w:val="1"/>
    <w:qFormat/>
    <w:rsid w:val="00172BEB"/>
  </w:style>
  <w:style w:type="paragraph" w:customStyle="1" w:styleId="OPCParaBase">
    <w:name w:val="OPCParaBase"/>
    <w:qFormat/>
    <w:rsid w:val="00172BEB"/>
    <w:pPr>
      <w:spacing w:line="260" w:lineRule="atLeast"/>
    </w:pPr>
    <w:rPr>
      <w:sz w:val="22"/>
    </w:rPr>
  </w:style>
  <w:style w:type="paragraph" w:customStyle="1" w:styleId="ShortT">
    <w:name w:val="ShortT"/>
    <w:basedOn w:val="OPCParaBase"/>
    <w:next w:val="Normal"/>
    <w:qFormat/>
    <w:rsid w:val="00172BEB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172BEB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172BEB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172BEB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172BEB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72BEB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72BEB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172BEB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172BEB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172BEB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172BEB"/>
  </w:style>
  <w:style w:type="paragraph" w:customStyle="1" w:styleId="Blocks">
    <w:name w:val="Blocks"/>
    <w:aliases w:val="bb"/>
    <w:basedOn w:val="OPCParaBase"/>
    <w:qFormat/>
    <w:rsid w:val="00172BEB"/>
    <w:pPr>
      <w:spacing w:line="240" w:lineRule="auto"/>
    </w:pPr>
    <w:rPr>
      <w:sz w:val="24"/>
    </w:rPr>
  </w:style>
  <w:style w:type="paragraph" w:customStyle="1" w:styleId="BoxHeadBold">
    <w:name w:val="BoxHeadBold"/>
    <w:aliases w:val="bhb"/>
    <w:basedOn w:val="BoxText"/>
    <w:next w:val="BoxText"/>
    <w:qFormat/>
    <w:rsid w:val="00172BEB"/>
    <w:rPr>
      <w:b/>
    </w:rPr>
  </w:style>
  <w:style w:type="paragraph" w:customStyle="1" w:styleId="BoxHeadItalic">
    <w:name w:val="BoxHeadItalic"/>
    <w:aliases w:val="bhi"/>
    <w:basedOn w:val="BoxText"/>
    <w:next w:val="Normal"/>
    <w:qFormat/>
    <w:rsid w:val="00172BEB"/>
    <w:rPr>
      <w:i/>
    </w:rPr>
  </w:style>
  <w:style w:type="paragraph" w:customStyle="1" w:styleId="BoxList">
    <w:name w:val="BoxList"/>
    <w:aliases w:val="bl"/>
    <w:basedOn w:val="BoxText"/>
    <w:qFormat/>
    <w:rsid w:val="00172BEB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172BEB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172BEB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172BEB"/>
    <w:pPr>
      <w:ind w:left="1985" w:hanging="851"/>
    </w:pPr>
  </w:style>
  <w:style w:type="character" w:customStyle="1" w:styleId="CharAmPartNo">
    <w:name w:val="CharAmPartNo"/>
    <w:uiPriority w:val="1"/>
    <w:qFormat/>
    <w:rsid w:val="00172BEB"/>
  </w:style>
  <w:style w:type="character" w:customStyle="1" w:styleId="CharAmSchNo">
    <w:name w:val="CharAmSchNo"/>
    <w:uiPriority w:val="1"/>
    <w:qFormat/>
    <w:rsid w:val="00172BEB"/>
  </w:style>
  <w:style w:type="character" w:customStyle="1" w:styleId="CharAmSchText">
    <w:name w:val="CharAmSchText"/>
    <w:uiPriority w:val="1"/>
    <w:qFormat/>
    <w:rsid w:val="00172BEB"/>
  </w:style>
  <w:style w:type="character" w:customStyle="1" w:styleId="CharBoldItalic">
    <w:name w:val="CharBoldItalic"/>
    <w:uiPriority w:val="1"/>
    <w:qFormat/>
    <w:rsid w:val="00172BEB"/>
    <w:rPr>
      <w:b/>
      <w:i/>
    </w:rPr>
  </w:style>
  <w:style w:type="character" w:customStyle="1" w:styleId="CharChapNo">
    <w:name w:val="CharChapNo"/>
    <w:uiPriority w:val="1"/>
    <w:qFormat/>
    <w:rsid w:val="00172BEB"/>
  </w:style>
  <w:style w:type="character" w:customStyle="1" w:styleId="CharChapText">
    <w:name w:val="CharChapText"/>
    <w:uiPriority w:val="1"/>
    <w:qFormat/>
    <w:rsid w:val="00172BEB"/>
  </w:style>
  <w:style w:type="character" w:customStyle="1" w:styleId="CharDivNo">
    <w:name w:val="CharDivNo"/>
    <w:uiPriority w:val="1"/>
    <w:qFormat/>
    <w:rsid w:val="00172BEB"/>
  </w:style>
  <w:style w:type="character" w:customStyle="1" w:styleId="CharDivText">
    <w:name w:val="CharDivText"/>
    <w:uiPriority w:val="1"/>
    <w:qFormat/>
    <w:rsid w:val="00172BEB"/>
  </w:style>
  <w:style w:type="character" w:customStyle="1" w:styleId="CharItalic">
    <w:name w:val="CharItalic"/>
    <w:uiPriority w:val="1"/>
    <w:qFormat/>
    <w:rsid w:val="00172BEB"/>
    <w:rPr>
      <w:i/>
    </w:rPr>
  </w:style>
  <w:style w:type="character" w:customStyle="1" w:styleId="CharPartNo">
    <w:name w:val="CharPartNo"/>
    <w:uiPriority w:val="1"/>
    <w:qFormat/>
    <w:rsid w:val="00172BEB"/>
  </w:style>
  <w:style w:type="character" w:customStyle="1" w:styleId="CharPartText">
    <w:name w:val="CharPartText"/>
    <w:uiPriority w:val="1"/>
    <w:qFormat/>
    <w:rsid w:val="00172BEB"/>
  </w:style>
  <w:style w:type="character" w:customStyle="1" w:styleId="CharSectno">
    <w:name w:val="CharSectno"/>
    <w:uiPriority w:val="1"/>
    <w:qFormat/>
    <w:rsid w:val="00172BEB"/>
  </w:style>
  <w:style w:type="character" w:customStyle="1" w:styleId="CharSubdNo">
    <w:name w:val="CharSubdNo"/>
    <w:uiPriority w:val="1"/>
    <w:qFormat/>
    <w:rsid w:val="00172BEB"/>
  </w:style>
  <w:style w:type="character" w:customStyle="1" w:styleId="CharSubdText">
    <w:name w:val="CharSubdText"/>
    <w:uiPriority w:val="1"/>
    <w:qFormat/>
    <w:rsid w:val="00172BEB"/>
  </w:style>
  <w:style w:type="paragraph" w:customStyle="1" w:styleId="CTA--">
    <w:name w:val="CTA --"/>
    <w:basedOn w:val="OPCParaBase"/>
    <w:next w:val="Normal"/>
    <w:rsid w:val="00172BEB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172BEB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172BEB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172BEB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172BEB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172BEB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172BE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172BE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172BE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172BE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172BE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172BE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172BEB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172BEB"/>
    <w:pPr>
      <w:spacing w:before="60" w:line="240" w:lineRule="auto"/>
      <w:jc w:val="right"/>
    </w:pPr>
    <w:rPr>
      <w:sz w:val="20"/>
    </w:rPr>
  </w:style>
  <w:style w:type="paragraph" w:customStyle="1" w:styleId="Definition">
    <w:name w:val="Definition"/>
    <w:aliases w:val="dd"/>
    <w:basedOn w:val="OPCParaBase"/>
    <w:rsid w:val="00172BEB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172BEB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172BEB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172BEB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172BEB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172BEB"/>
    <w:pPr>
      <w:spacing w:line="240" w:lineRule="auto"/>
      <w:ind w:left="1134"/>
    </w:pPr>
    <w:rPr>
      <w:sz w:val="20"/>
    </w:rPr>
  </w:style>
  <w:style w:type="character" w:customStyle="1" w:styleId="HeaderChar">
    <w:name w:val="Header Char"/>
    <w:link w:val="Header"/>
    <w:rsid w:val="00172BEB"/>
    <w:rPr>
      <w:sz w:val="16"/>
    </w:rPr>
  </w:style>
  <w:style w:type="paragraph" w:customStyle="1" w:styleId="House">
    <w:name w:val="House"/>
    <w:basedOn w:val="OPCParaBase"/>
    <w:rsid w:val="00172BEB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172BEB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172BEB"/>
    <w:pPr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172BEB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172BEB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172BEB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para">
    <w:name w:val="note(para)"/>
    <w:aliases w:val="na"/>
    <w:basedOn w:val="OPCParaBase"/>
    <w:rsid w:val="00172BEB"/>
    <w:pPr>
      <w:spacing w:before="40" w:line="198" w:lineRule="exact"/>
      <w:ind w:left="2354" w:hanging="36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172BEB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rsid w:val="00172BEB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72BEB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172BEB"/>
    <w:pPr>
      <w:spacing w:line="240" w:lineRule="auto"/>
    </w:pPr>
    <w:rPr>
      <w:sz w:val="10"/>
    </w:rPr>
  </w:style>
  <w:style w:type="paragraph" w:customStyle="1" w:styleId="paragraphsub">
    <w:name w:val="paragraph(sub)"/>
    <w:aliases w:val="aa"/>
    <w:basedOn w:val="OPCParaBase"/>
    <w:rsid w:val="00172BEB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172BEB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172BEB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172BEB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172BEB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172BEB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172BEB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172BEB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172BEB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172BEB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172BEB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172BEB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172BE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172BE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172BEB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172BEB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172BEB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172BEB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172BEB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172BEB"/>
    <w:pPr>
      <w:numPr>
        <w:numId w:val="45"/>
      </w:numPr>
      <w:tabs>
        <w:tab w:val="clear" w:pos="2517"/>
      </w:tabs>
      <w:spacing w:before="60" w:line="198" w:lineRule="exact"/>
      <w:ind w:left="2625"/>
    </w:pPr>
    <w:rPr>
      <w:sz w:val="18"/>
    </w:rPr>
  </w:style>
  <w:style w:type="paragraph" w:customStyle="1" w:styleId="TLPnoteright">
    <w:name w:val="TLPnote(right)"/>
    <w:aliases w:val="nr"/>
    <w:basedOn w:val="OPCParaBase"/>
    <w:rsid w:val="00172BEB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172BEB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172BEB"/>
    <w:pPr>
      <w:keepNext/>
      <w:keepLines/>
      <w:tabs>
        <w:tab w:val="right" w:pos="8998"/>
      </w:tabs>
      <w:spacing w:before="120" w:line="240" w:lineRule="auto"/>
      <w:ind w:left="1474" w:right="868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semiHidden/>
    <w:unhideWhenUsed/>
    <w:rsid w:val="00172BEB"/>
    <w:pPr>
      <w:keepNext/>
      <w:keepLines/>
      <w:tabs>
        <w:tab w:val="right" w:pos="8998"/>
      </w:tabs>
      <w:spacing w:before="120" w:line="240" w:lineRule="auto"/>
      <w:ind w:left="1474" w:right="868" w:hanging="1474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1604" w:right="868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2183" w:right="868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40" w:line="240" w:lineRule="auto"/>
      <w:ind w:left="2280" w:right="868" w:hanging="862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120" w:line="240" w:lineRule="auto"/>
      <w:ind w:left="1344" w:right="868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120" w:line="240" w:lineRule="auto"/>
      <w:ind w:left="1253" w:right="868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172BEB"/>
    <w:pPr>
      <w:keepLines/>
      <w:tabs>
        <w:tab w:val="right" w:pos="8998"/>
      </w:tabs>
      <w:spacing w:before="80" w:line="240" w:lineRule="auto"/>
      <w:ind w:left="1900" w:right="868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172BEB"/>
    <w:pPr>
      <w:keepLines/>
      <w:tabs>
        <w:tab w:val="right" w:pos="8998"/>
      </w:tabs>
      <w:spacing w:before="80" w:line="240" w:lineRule="auto"/>
      <w:ind w:left="851" w:right="868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172BEB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172BEB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172BEB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172BEB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172BEB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Body">
    <w:name w:val="Body"/>
    <w:aliases w:val="b"/>
    <w:basedOn w:val="OPCParaBase"/>
    <w:rsid w:val="00172BEB"/>
    <w:pPr>
      <w:spacing w:before="240" w:line="240" w:lineRule="auto"/>
    </w:pPr>
    <w:rPr>
      <w:sz w:val="24"/>
    </w:rPr>
  </w:style>
  <w:style w:type="paragraph" w:customStyle="1" w:styleId="BodyNum">
    <w:name w:val="BodyNum"/>
    <w:aliases w:val="b1"/>
    <w:basedOn w:val="OPCParaBase"/>
    <w:rsid w:val="00172BEB"/>
    <w:pPr>
      <w:numPr>
        <w:numId w:val="47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172BEB"/>
    <w:pPr>
      <w:numPr>
        <w:ilvl w:val="1"/>
        <w:numId w:val="47"/>
      </w:numPr>
      <w:spacing w:before="240" w:line="240" w:lineRule="auto"/>
    </w:pPr>
    <w:rPr>
      <w:sz w:val="24"/>
    </w:rPr>
  </w:style>
  <w:style w:type="paragraph" w:customStyle="1" w:styleId="BodyParaBullet">
    <w:name w:val="BodyParaBullet"/>
    <w:aliases w:val="bpb"/>
    <w:basedOn w:val="OPCParaBase"/>
    <w:rsid w:val="00172BEB"/>
    <w:pPr>
      <w:numPr>
        <w:ilvl w:val="2"/>
        <w:numId w:val="47"/>
      </w:numPr>
      <w:tabs>
        <w:tab w:val="left" w:pos="2160"/>
      </w:tabs>
      <w:spacing w:before="240" w:line="240" w:lineRule="auto"/>
    </w:pPr>
    <w:rPr>
      <w:sz w:val="24"/>
    </w:rPr>
  </w:style>
  <w:style w:type="paragraph" w:customStyle="1" w:styleId="BodySubPara">
    <w:name w:val="BodySubPara"/>
    <w:aliases w:val="bi"/>
    <w:basedOn w:val="OPCParaBase"/>
    <w:rsid w:val="00172BEB"/>
    <w:pPr>
      <w:numPr>
        <w:ilvl w:val="3"/>
        <w:numId w:val="47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172BEB"/>
    <w:pPr>
      <w:numPr>
        <w:numId w:val="47"/>
      </w:numPr>
    </w:pPr>
  </w:style>
  <w:style w:type="paragraph" w:customStyle="1" w:styleId="Head1">
    <w:name w:val="Head 1"/>
    <w:aliases w:val="1"/>
    <w:basedOn w:val="OPCParaBase"/>
    <w:next w:val="BodyNum"/>
    <w:rsid w:val="00172BE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172BEB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172BEB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paragraph" w:customStyle="1" w:styleId="Head4">
    <w:name w:val="Head 4"/>
    <w:aliases w:val="4"/>
    <w:basedOn w:val="OPCParaBase"/>
    <w:next w:val="BodyNum"/>
    <w:rsid w:val="00172BEB"/>
    <w:pPr>
      <w:keepNext/>
      <w:spacing w:before="240" w:after="60" w:line="240" w:lineRule="auto"/>
      <w:outlineLvl w:val="3"/>
    </w:pPr>
    <w:rPr>
      <w:rFonts w:ascii="Arial" w:hAnsi="Arial"/>
      <w:b/>
      <w:kern w:val="28"/>
    </w:rPr>
  </w:style>
  <w:style w:type="paragraph" w:customStyle="1" w:styleId="Head5">
    <w:name w:val="Head 5"/>
    <w:aliases w:val="5"/>
    <w:basedOn w:val="OPCParaBase"/>
    <w:next w:val="BodyNum"/>
    <w:rsid w:val="00172BEB"/>
    <w:pPr>
      <w:keepNext/>
      <w:spacing w:before="240" w:after="60" w:line="240" w:lineRule="auto"/>
      <w:outlineLvl w:val="4"/>
    </w:pPr>
    <w:rPr>
      <w:rFonts w:ascii="Arial" w:hAnsi="Arial"/>
      <w:b/>
      <w:i/>
      <w:kern w:val="28"/>
    </w:rPr>
  </w:style>
  <w:style w:type="paragraph" w:customStyle="1" w:styleId="noteToPara">
    <w:name w:val="noteToPara"/>
    <w:aliases w:val="ntp"/>
    <w:basedOn w:val="OPCParaBase"/>
    <w:rsid w:val="00172BEB"/>
    <w:pPr>
      <w:spacing w:before="122" w:line="198" w:lineRule="exact"/>
      <w:ind w:left="2353" w:hanging="709"/>
    </w:pPr>
    <w:rPr>
      <w:sz w:val="18"/>
    </w:rPr>
  </w:style>
  <w:style w:type="character" w:customStyle="1" w:styleId="BalloonTextChar">
    <w:name w:val="Balloon Text Char"/>
    <w:link w:val="BalloonText"/>
    <w:uiPriority w:val="99"/>
    <w:semiHidden/>
    <w:rsid w:val="00172BEB"/>
    <w:rPr>
      <w:rFonts w:ascii="Tahoma" w:eastAsia="Calibri" w:hAnsi="Tahoma" w:cs="Tahoma"/>
      <w:sz w:val="16"/>
      <w:szCs w:val="16"/>
      <w:lang w:eastAsia="en-US"/>
    </w:rPr>
  </w:style>
  <w:style w:type="paragraph" w:customStyle="1" w:styleId="MessShortTitle">
    <w:name w:val="MessShortTitle"/>
    <w:basedOn w:val="Head2"/>
    <w:rsid w:val="00172BEB"/>
  </w:style>
  <w:style w:type="paragraph" w:customStyle="1" w:styleId="TableHeading">
    <w:name w:val="TableHeading"/>
    <w:aliases w:val="th"/>
    <w:basedOn w:val="OPCParaBase"/>
    <w:next w:val="Tabletext"/>
    <w:rsid w:val="00172BEB"/>
    <w:pPr>
      <w:spacing w:before="60" w:line="240" w:lineRule="atLeast"/>
    </w:pPr>
    <w:rPr>
      <w:b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151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rsid w:val="00D9151A"/>
    <w:rPr>
      <w:sz w:val="24"/>
      <w:szCs w:val="24"/>
    </w:rPr>
  </w:style>
  <w:style w:type="paragraph" w:customStyle="1" w:styleId="r1">
    <w:name w:val="r1"/>
    <w:basedOn w:val="Normal"/>
    <w:rsid w:val="008A687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1395E"/>
    <w:rPr>
      <w:rFonts w:eastAsia="Calibri"/>
      <w:sz w:val="22"/>
      <w:lang w:eastAsia="en-US"/>
    </w:rPr>
  </w:style>
  <w:style w:type="paragraph" w:customStyle="1" w:styleId="opcbody">
    <w:name w:val="opcbody"/>
    <w:basedOn w:val="Normal"/>
    <w:rsid w:val="003267C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2CC5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2CC5"/>
    <w:rPr>
      <w:rFonts w:ascii="Courier New" w:eastAsia="Calibr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2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8975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34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1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36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7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9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0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7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3603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6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27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89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2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1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0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01850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63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0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80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5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4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43073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4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75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28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20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57568">
          <w:marLeft w:val="3375"/>
          <w:marRight w:val="3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9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8239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28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6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6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67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143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9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9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208734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4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11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8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019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3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9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446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1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30142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66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7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93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44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omlaw.gov.au/Current/C2004A0122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Sundry\sund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E3774-E1BB-4861-83C8-329FC79A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sundry.dotx</Template>
  <TotalTime>0</TotalTime>
  <Pages>3</Pages>
  <Words>810</Words>
  <Characters>4475</Characters>
  <Application>Microsoft Office Word</Application>
  <DocSecurity>4</DocSecurity>
  <PresentationFormat/>
  <Lines>559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4975</CharactersWithSpaces>
  <SharedDoc>false</SharedDoc>
  <HyperlinkBase/>
  <HLinks>
    <vt:vector size="18" baseType="variant">
      <vt:variant>
        <vt:i4>6160468</vt:i4>
      </vt:variant>
      <vt:variant>
        <vt:i4>6</vt:i4>
      </vt:variant>
      <vt:variant>
        <vt:i4>0</vt:i4>
      </vt:variant>
      <vt:variant>
        <vt:i4>5</vt:i4>
      </vt:variant>
      <vt:variant>
        <vt:lpwstr>http://www.comlaw.gov.au/</vt:lpwstr>
      </vt:variant>
      <vt:variant>
        <vt:lpwstr/>
      </vt:variant>
      <vt:variant>
        <vt:i4>720983</vt:i4>
      </vt:variant>
      <vt:variant>
        <vt:i4>3</vt:i4>
      </vt:variant>
      <vt:variant>
        <vt:i4>0</vt:i4>
      </vt:variant>
      <vt:variant>
        <vt:i4>5</vt:i4>
      </vt:variant>
      <vt:variant>
        <vt:lpwstr>http://www.comlaw.gov.au/Current/C2011A00186</vt:lpwstr>
      </vt:variant>
      <vt:variant>
        <vt:lpwstr/>
      </vt:variant>
      <vt:variant>
        <vt:i4>983133</vt:i4>
      </vt:variant>
      <vt:variant>
        <vt:i4>0</vt:i4>
      </vt:variant>
      <vt:variant>
        <vt:i4>0</vt:i4>
      </vt:variant>
      <vt:variant>
        <vt:i4>5</vt:i4>
      </vt:variant>
      <vt:variant>
        <vt:lpwstr>http://www.comlaw.gov.au/Current/C2004A01224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2013-11-06T22:34:00Z</cp:lastPrinted>
  <dcterms:created xsi:type="dcterms:W3CDTF">2015-02-16T05:59:00Z</dcterms:created>
  <dcterms:modified xsi:type="dcterms:W3CDTF">2015-02-16T05:59:00Z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UNCLASSIFIED</vt:lpwstr>
  </property>
  <property fmtid="{D5CDD505-2E9C-101B-9397-08002B2CF9AE}" pid="3" name="ChangedTitle">
    <vt:lpwstr>ES - Bulk repeal Customs and Border Protection</vt:lpwstr>
  </property>
  <property fmtid="{D5CDD505-2E9C-101B-9397-08002B2CF9AE}" pid="4" name="DoNotAsk">
    <vt:lpwstr>1</vt:lpwstr>
  </property>
  <property fmtid="{D5CDD505-2E9C-101B-9397-08002B2CF9AE}" pid="5" name="DLM">
    <vt:lpwstr>Sensitive: Legal</vt:lpwstr>
  </property>
  <property fmtid="{D5CDD505-2E9C-101B-9397-08002B2CF9AE}" pid="6" name="DMSDOCTYPE">
    <vt:lpwstr/>
  </property>
  <property fmtid="{D5CDD505-2E9C-101B-9397-08002B2CF9AE}" pid="7" name="DraftType">
    <vt:lpwstr/>
  </property>
  <property fmtid="{D5CDD505-2E9C-101B-9397-08002B2CF9AE}" pid="8" name="WPLUSServerName">
    <vt:lpwstr/>
  </property>
  <property fmtid="{D5CDD505-2E9C-101B-9397-08002B2CF9AE}" pid="9" name="WPLUSDataBaseName">
    <vt:lpwstr/>
  </property>
  <property fmtid="{D5CDD505-2E9C-101B-9397-08002B2CF9AE}" pid="10" name="WPLUSDocumentUNID">
    <vt:lpwstr/>
  </property>
  <property fmtid="{D5CDD505-2E9C-101B-9397-08002B2CF9AE}" pid="11" name="NeverSavedToNT">
    <vt:lpwstr/>
  </property>
</Properties>
</file>