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rsidP="00406B00">
      <w:pPr>
        <w:pStyle w:val="CoverTitle"/>
        <w:spacing w:after="600"/>
        <w:jc w:val="center"/>
      </w:pPr>
      <w:r>
        <w:t>Explanatory Statement</w:t>
      </w:r>
    </w:p>
    <w:p w:rsidR="00414BC3" w:rsidRDefault="000C2542" w:rsidP="000D428B">
      <w:pPr>
        <w:pStyle w:val="CoverTitle"/>
        <w:spacing w:after="3000"/>
        <w:jc w:val="center"/>
      </w:pPr>
      <w:r w:rsidRPr="00B65F2C">
        <w:rPr>
          <w:sz w:val="36"/>
          <w:szCs w:val="36"/>
        </w:rPr>
        <w:t xml:space="preserve">Accounting Standard AASB </w:t>
      </w:r>
      <w:r w:rsidR="00F90091" w:rsidRPr="00B65F2C">
        <w:rPr>
          <w:sz w:val="36"/>
          <w:szCs w:val="36"/>
        </w:rPr>
        <w:t>201</w:t>
      </w:r>
      <w:r w:rsidR="000B558B" w:rsidRPr="00B65F2C">
        <w:rPr>
          <w:sz w:val="36"/>
          <w:szCs w:val="36"/>
        </w:rPr>
        <w:t>5</w:t>
      </w:r>
      <w:r w:rsidR="00F90091" w:rsidRPr="00B65F2C">
        <w:rPr>
          <w:sz w:val="36"/>
          <w:szCs w:val="36"/>
        </w:rPr>
        <w:t>-</w:t>
      </w:r>
      <w:r w:rsidR="00B65F2C" w:rsidRPr="00B65F2C">
        <w:rPr>
          <w:sz w:val="36"/>
          <w:szCs w:val="36"/>
        </w:rPr>
        <w:t>2</w:t>
      </w:r>
      <w:r>
        <w:rPr>
          <w:sz w:val="36"/>
          <w:szCs w:val="36"/>
        </w:rPr>
        <w:br/>
      </w:r>
      <w:r w:rsidRPr="009A7973">
        <w:rPr>
          <w:i/>
          <w:sz w:val="36"/>
          <w:szCs w:val="36"/>
        </w:rPr>
        <w:t xml:space="preserve">Amendments to </w:t>
      </w:r>
      <w:r w:rsidR="003D0C08">
        <w:rPr>
          <w:i/>
          <w:sz w:val="36"/>
          <w:szCs w:val="36"/>
        </w:rPr>
        <w:t>Australian Accounting Standards</w:t>
      </w:r>
      <w:r w:rsidRPr="009A7973">
        <w:rPr>
          <w:i/>
          <w:sz w:val="36"/>
          <w:szCs w:val="36"/>
        </w:rPr>
        <w:t xml:space="preserve"> – </w:t>
      </w:r>
      <w:r w:rsidR="000B558B">
        <w:rPr>
          <w:i/>
          <w:sz w:val="36"/>
          <w:szCs w:val="36"/>
        </w:rPr>
        <w:t>Disclosure Initiative: Amendments to AASB 101</w:t>
      </w:r>
    </w:p>
    <w:p w:rsidR="00414BC3" w:rsidRPr="00396BCD" w:rsidRDefault="000B558B" w:rsidP="000D428B">
      <w:pPr>
        <w:pStyle w:val="CoverDate"/>
        <w:tabs>
          <w:tab w:val="left" w:pos="3794"/>
          <w:tab w:val="left" w:pos="6232"/>
        </w:tabs>
        <w:spacing w:before="840"/>
        <w:rPr>
          <w:b/>
          <w:sz w:val="28"/>
          <w:szCs w:val="28"/>
        </w:rPr>
      </w:pPr>
      <w:r>
        <w:rPr>
          <w:b/>
          <w:sz w:val="28"/>
          <w:szCs w:val="28"/>
        </w:rPr>
        <w:t>January</w:t>
      </w:r>
      <w:r w:rsidR="0065637A">
        <w:rPr>
          <w:b/>
          <w:sz w:val="28"/>
          <w:szCs w:val="28"/>
        </w:rPr>
        <w:t xml:space="preserve"> </w:t>
      </w:r>
      <w:r w:rsidR="00225101">
        <w:rPr>
          <w:b/>
          <w:sz w:val="28"/>
          <w:szCs w:val="28"/>
        </w:rPr>
        <w:t>20</w:t>
      </w:r>
      <w:r w:rsidR="00391DC5">
        <w:rPr>
          <w:b/>
          <w:sz w:val="28"/>
          <w:szCs w:val="28"/>
        </w:rPr>
        <w:t>1</w:t>
      </w:r>
      <w:r>
        <w:rPr>
          <w:b/>
          <w:sz w:val="28"/>
          <w:szCs w:val="28"/>
        </w:rPr>
        <w:t>5</w:t>
      </w:r>
    </w:p>
    <w:p w:rsidR="00414BC3" w:rsidRDefault="00414BC3"/>
    <w:p w:rsidR="00414BC3" w:rsidRDefault="00414BC3"/>
    <w:p w:rsidR="00414BC3" w:rsidRDefault="00FB5CB1">
      <w:pPr>
        <w:sectPr w:rsidR="00414BC3" w:rsidSect="00882FE5">
          <w:pgSz w:w="11907" w:h="16840" w:code="9"/>
          <w:pgMar w:top="1134" w:right="1134" w:bottom="1134" w:left="1134" w:header="720" w:footer="720" w:gutter="0"/>
          <w:paperSrc w:first="1025" w:other="1025"/>
          <w:cols w:space="720"/>
        </w:sect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58.15pt;margin-top:685.5pt;width:123.05pt;height:95.75pt;z-index:251657728;visibility:visible;mso-wrap-edited:f;mso-position-horizontal-relative:page;mso-position-vertical-relative:page">
            <v:imagedata r:id="rId9" o:title=""/>
            <w10:wrap anchorx="page" anchory="page"/>
            <w10:anchorlock/>
          </v:shape>
          <o:OLEObject Type="Embed" ProgID="Word.Picture.8" ShapeID="_x0000_s1026" DrawAspect="Content" ObjectID="_1484382172" r:id="rId10"/>
        </w:pict>
      </w:r>
    </w:p>
    <w:p w:rsidR="00414BC3" w:rsidRDefault="00414BC3">
      <w:pPr>
        <w:pStyle w:val="Heading1"/>
      </w:pPr>
      <w:r>
        <w:lastRenderedPageBreak/>
        <w:t>EXPLANATORY STATEMENT</w:t>
      </w:r>
    </w:p>
    <w:p w:rsidR="000C2542" w:rsidRDefault="000C2542" w:rsidP="000C2542">
      <w:pPr>
        <w:pStyle w:val="Heading2"/>
      </w:pPr>
      <w:r>
        <w:t>Reasons for Issuing AASB 201</w:t>
      </w:r>
      <w:r w:rsidR="000B558B">
        <w:t>5</w:t>
      </w:r>
      <w:r w:rsidR="00683D1C" w:rsidRPr="00B65F2C">
        <w:t>-</w:t>
      </w:r>
      <w:r w:rsidR="00B65F2C">
        <w:t>2</w:t>
      </w:r>
    </w:p>
    <w:p w:rsidR="000C2542" w:rsidRPr="000525B9" w:rsidRDefault="00683D1C" w:rsidP="000C2542">
      <w:pPr>
        <w:pStyle w:val="NoNumPlain1"/>
      </w:pPr>
      <w:r w:rsidRPr="000525B9">
        <w:t>AASB 201</w:t>
      </w:r>
      <w:r w:rsidR="000B558B" w:rsidRPr="000525B9">
        <w:t>5</w:t>
      </w:r>
      <w:r w:rsidRPr="000525B9">
        <w:t>-</w:t>
      </w:r>
      <w:r w:rsidR="00B65F2C">
        <w:t>2</w:t>
      </w:r>
      <w:r w:rsidR="0065637A" w:rsidRPr="000525B9">
        <w:t xml:space="preserve"> </w:t>
      </w:r>
      <w:r w:rsidR="000C2542" w:rsidRPr="000525B9">
        <w:rPr>
          <w:i/>
        </w:rPr>
        <w:t xml:space="preserve">Amendments to </w:t>
      </w:r>
      <w:r w:rsidR="003D0C08" w:rsidRPr="000525B9">
        <w:rPr>
          <w:i/>
        </w:rPr>
        <w:t>Australian Accounting Standards</w:t>
      </w:r>
      <w:r w:rsidR="000C2542" w:rsidRPr="000525B9">
        <w:rPr>
          <w:i/>
        </w:rPr>
        <w:t xml:space="preserve"> – </w:t>
      </w:r>
      <w:r w:rsidR="000B558B" w:rsidRPr="000525B9">
        <w:rPr>
          <w:i/>
        </w:rPr>
        <w:t>Disclosure Initiative: Amendments to AASB 101</w:t>
      </w:r>
      <w:r w:rsidR="000C2542" w:rsidRPr="000525B9">
        <w:t xml:space="preserve"> makes amendments to</w:t>
      </w:r>
      <w:r w:rsidR="00167F34" w:rsidRPr="000525B9">
        <w:t xml:space="preserve"> </w:t>
      </w:r>
      <w:r w:rsidR="00FF3A64" w:rsidRPr="000525B9">
        <w:t xml:space="preserve">AASB 101 </w:t>
      </w:r>
      <w:r w:rsidR="00FF3A64" w:rsidRPr="000525B9">
        <w:rPr>
          <w:i/>
        </w:rPr>
        <w:t>Presentation of Financial Statements</w:t>
      </w:r>
      <w:r w:rsidR="00FF3A64" w:rsidRPr="000525B9">
        <w:t xml:space="preserve"> and consequential amendments to AASB 7 </w:t>
      </w:r>
      <w:r w:rsidR="00FF3A64" w:rsidRPr="000525B9">
        <w:rPr>
          <w:i/>
        </w:rPr>
        <w:t>Financial Instruments: Disclosures</w:t>
      </w:r>
      <w:r w:rsidR="00FF3A64" w:rsidRPr="000525B9">
        <w:t xml:space="preserve">, AASB 134 </w:t>
      </w:r>
      <w:r w:rsidR="00FF3A64" w:rsidRPr="000525B9">
        <w:rPr>
          <w:i/>
        </w:rPr>
        <w:t>Interim Financial Reporting</w:t>
      </w:r>
      <w:r w:rsidR="00FF3A64" w:rsidRPr="000525B9">
        <w:t xml:space="preserve"> </w:t>
      </w:r>
      <w:r w:rsidRPr="000525B9">
        <w:t xml:space="preserve">and </w:t>
      </w:r>
      <w:r w:rsidR="00FF3A64" w:rsidRPr="000525B9">
        <w:t xml:space="preserve">AASB 1049 </w:t>
      </w:r>
      <w:r w:rsidR="00FF3A64" w:rsidRPr="000525B9">
        <w:rPr>
          <w:i/>
        </w:rPr>
        <w:t xml:space="preserve">Whole of Government and General Government Sector </w:t>
      </w:r>
      <w:r w:rsidR="00FF3A64" w:rsidRPr="000525B9">
        <w:rPr>
          <w:i/>
          <w:iCs/>
        </w:rPr>
        <w:t>Financial Reporting</w:t>
      </w:r>
      <w:r w:rsidRPr="000525B9">
        <w:t>.</w:t>
      </w:r>
    </w:p>
    <w:p w:rsidR="000C2542" w:rsidRDefault="000C2542" w:rsidP="000C2542">
      <w:pPr>
        <w:pStyle w:val="NoNumPlain1"/>
      </w:pPr>
      <w:r>
        <w:t xml:space="preserve">These amendments arise from the issuance of </w:t>
      </w:r>
      <w:r w:rsidR="00FF3A64">
        <w:t xml:space="preserve">International Financial Reporting Standard </w:t>
      </w:r>
      <w:r w:rsidR="00FF3A64" w:rsidRPr="0000292B">
        <w:fldChar w:fldCharType="begin" w:fldLock="1"/>
      </w:r>
      <w:r w:rsidR="00FF3A64" w:rsidRPr="0000292B">
        <w:instrText xml:space="preserve"> REF </w:instrText>
      </w:r>
      <w:r w:rsidR="00FF3A64">
        <w:instrText>ArisingNo</w:instrText>
      </w:r>
      <w:r w:rsidR="00FF3A64" w:rsidRPr="0000292B">
        <w:instrText xml:space="preserve">  \* charformat </w:instrText>
      </w:r>
      <w:r w:rsidR="00FF3A64" w:rsidRPr="0000292B">
        <w:fldChar w:fldCharType="end"/>
      </w:r>
      <w:bookmarkStart w:id="0" w:name="ArisingTitle"/>
      <w:r w:rsidR="00FF3A64" w:rsidRPr="00C73266">
        <w:rPr>
          <w:i/>
        </w:rPr>
        <w:t xml:space="preserve">Disclosure Initiative </w:t>
      </w:r>
      <w:r w:rsidR="00FF3A64" w:rsidRPr="001E3035">
        <w:t>(Amendments to IAS 1)</w:t>
      </w:r>
      <w:bookmarkEnd w:id="0"/>
      <w:r w:rsidR="00FF3A64">
        <w:t xml:space="preserve"> by the International Accounting Standards Board in </w:t>
      </w:r>
      <w:bookmarkStart w:id="1" w:name="ArisingDate"/>
      <w:r w:rsidR="00FF3A64">
        <w:t>December 2014</w:t>
      </w:r>
      <w:bookmarkEnd w:id="1"/>
      <w:r w:rsidR="00FF3A64">
        <w:t>, and to make an editorial correction</w:t>
      </w:r>
      <w:r>
        <w:t>.</w:t>
      </w:r>
    </w:p>
    <w:p w:rsidR="000C2542" w:rsidRDefault="000C2542" w:rsidP="000C2542">
      <w:pPr>
        <w:pStyle w:val="Heading2"/>
      </w:pPr>
      <w:r>
        <w:t xml:space="preserve">Main Features of AASB </w:t>
      </w:r>
      <w:r w:rsidR="00B65F2C">
        <w:t>2015</w:t>
      </w:r>
      <w:r w:rsidR="00B65F2C" w:rsidRPr="00B65F2C">
        <w:t>-</w:t>
      </w:r>
      <w:r w:rsidR="00B65F2C">
        <w:t>2</w:t>
      </w:r>
    </w:p>
    <w:p w:rsidR="00386EC6" w:rsidRDefault="00386EC6" w:rsidP="00386EC6">
      <w:pPr>
        <w:pStyle w:val="Heading3"/>
      </w:pPr>
      <w:r>
        <w:t>Main Requirements</w:t>
      </w:r>
    </w:p>
    <w:p w:rsidR="0009545C" w:rsidRDefault="00B62B24" w:rsidP="00B62B24">
      <w:pPr>
        <w:pStyle w:val="NumPlainA"/>
        <w:numPr>
          <w:ilvl w:val="0"/>
          <w:numId w:val="0"/>
        </w:numPr>
      </w:pPr>
      <w:r>
        <w:t xml:space="preserve">This Standard amends AASB 101 to provide </w:t>
      </w:r>
      <w:r w:rsidRPr="00E111F9">
        <w:t>clarif</w:t>
      </w:r>
      <w:r>
        <w:t>ication regarding</w:t>
      </w:r>
      <w:r w:rsidRPr="00E111F9">
        <w:t xml:space="preserve"> the disclosure requirements in </w:t>
      </w:r>
      <w:r>
        <w:t>AASB</w:t>
      </w:r>
      <w:r w:rsidRPr="00E111F9">
        <w:t> 1</w:t>
      </w:r>
      <w:r>
        <w:t xml:space="preserve">01. </w:t>
      </w:r>
      <w:r w:rsidRPr="00E111F9">
        <w:t xml:space="preserve"> </w:t>
      </w:r>
      <w:r>
        <w:t>S</w:t>
      </w:r>
      <w:r w:rsidRPr="00E111F9">
        <w:t>pecifically</w:t>
      </w:r>
      <w:r>
        <w:t>,</w:t>
      </w:r>
      <w:r w:rsidRPr="00E111F9">
        <w:t xml:space="preserve"> </w:t>
      </w:r>
      <w:r>
        <w:t>the Standard</w:t>
      </w:r>
      <w:r w:rsidRPr="00E111F9">
        <w:t xml:space="preserve"> proposes narrow-focus amendments to address some of the concerns expressed about existing presentation and disclosure requirements and to ensure entities are able to use judgement when applying </w:t>
      </w:r>
      <w:r>
        <w:t>a</w:t>
      </w:r>
      <w:r w:rsidRPr="00E111F9">
        <w:t xml:space="preserve"> Standard</w:t>
      </w:r>
      <w:r>
        <w:t xml:space="preserve"> in determining what information to disclose in their financial statements</w:t>
      </w:r>
      <w:r w:rsidRPr="00E111F9">
        <w:t>.</w:t>
      </w:r>
    </w:p>
    <w:p w:rsidR="00B62B24" w:rsidRDefault="00B62B24" w:rsidP="00B62B24">
      <w:pPr>
        <w:pStyle w:val="NoNumPlain1"/>
      </w:pPr>
      <w:r>
        <w:t>This Standard also makes an editorial correction to AASB 101.</w:t>
      </w:r>
    </w:p>
    <w:p w:rsidR="00952CBD" w:rsidRDefault="00952CBD" w:rsidP="00952CBD">
      <w:pPr>
        <w:pStyle w:val="NoNumPlain1"/>
      </w:pPr>
      <w:r>
        <w:t>In addition, as a result of the amendments to AASB 101, this Standard makes consequential amendments to AASB 7, AASB 134 and AASB 1049.</w:t>
      </w:r>
    </w:p>
    <w:p w:rsidR="00A56FBB" w:rsidRPr="00A56FBB" w:rsidRDefault="00A56FBB" w:rsidP="00A56FBB">
      <w:pPr>
        <w:keepNext/>
        <w:spacing w:after="200" w:line="240" w:lineRule="exact"/>
        <w:outlineLvl w:val="2"/>
        <w:rPr>
          <w:rFonts w:cs="Arial"/>
          <w:b/>
          <w:bCs/>
          <w:iCs/>
          <w:sz w:val="24"/>
          <w:szCs w:val="26"/>
        </w:rPr>
      </w:pPr>
      <w:r w:rsidRPr="00A56FBB">
        <w:rPr>
          <w:rFonts w:cs="Arial"/>
          <w:b/>
          <w:bCs/>
          <w:iCs/>
          <w:sz w:val="24"/>
          <w:szCs w:val="26"/>
        </w:rPr>
        <w:t>Application Date</w:t>
      </w:r>
    </w:p>
    <w:p w:rsidR="00A56FBB" w:rsidRPr="00A56FBB" w:rsidRDefault="00A56FBB" w:rsidP="00A56FBB">
      <w:pPr>
        <w:spacing w:after="200"/>
      </w:pPr>
      <w:r>
        <w:t>AASB 201</w:t>
      </w:r>
      <w:r w:rsidR="00B62B24">
        <w:t>5</w:t>
      </w:r>
      <w:r>
        <w:t>-</w:t>
      </w:r>
      <w:r w:rsidR="00B65F2C" w:rsidRPr="00B65F2C">
        <w:t>2</w:t>
      </w:r>
      <w:r w:rsidR="0065637A" w:rsidRPr="00027E8B">
        <w:t xml:space="preserve"> </w:t>
      </w:r>
      <w:r w:rsidRPr="00027E8B">
        <w:t xml:space="preserve">applies to annual reporting periods beginning on or after </w:t>
      </w:r>
      <w:r>
        <w:t>1 January 2016</w:t>
      </w:r>
      <w:r w:rsidRPr="00027E8B">
        <w:t>.</w:t>
      </w:r>
      <w:r>
        <w:t xml:space="preserve"> Earlier application </w:t>
      </w:r>
      <w:r w:rsidR="00C16E86">
        <w:t>i</w:t>
      </w:r>
      <w:r>
        <w:t>s permitted for annual reporting periods beginning on or after</w:t>
      </w:r>
      <w:r w:rsidRPr="00D924F4">
        <w:t xml:space="preserve"> 1 January 2005 but before 1 January 2016</w:t>
      </w:r>
      <w:r w:rsidRPr="00A56FBB">
        <w:t>.</w:t>
      </w:r>
    </w:p>
    <w:p w:rsidR="000C2542" w:rsidRPr="001D1FFA" w:rsidRDefault="000C2542" w:rsidP="000C2542">
      <w:pPr>
        <w:pStyle w:val="Heading2"/>
      </w:pPr>
      <w:r w:rsidRPr="001D1FFA">
        <w:t>Consultation Prior to Issuing this Standard</w:t>
      </w:r>
    </w:p>
    <w:p w:rsidR="000C2542" w:rsidRDefault="000C2542" w:rsidP="000C2542">
      <w:pPr>
        <w:pStyle w:val="NoNumPlain1"/>
      </w:pPr>
      <w:r>
        <w:t>The AASB issued Exposure Draft ED 2</w:t>
      </w:r>
      <w:r w:rsidR="00B62B24">
        <w:t>49</w:t>
      </w:r>
      <w:r>
        <w:t xml:space="preserve"> </w:t>
      </w:r>
      <w:r w:rsidR="00B62B24">
        <w:rPr>
          <w:i/>
        </w:rPr>
        <w:t xml:space="preserve">Disclosure Initiative </w:t>
      </w:r>
      <w:r w:rsidR="00B62B24">
        <w:t>(Proposed amendments to AASB 101</w:t>
      </w:r>
      <w:r w:rsidR="00386EC6">
        <w:t xml:space="preserve"> in </w:t>
      </w:r>
      <w:r w:rsidR="00B62B24">
        <w:t>March</w:t>
      </w:r>
      <w:r w:rsidR="004B4C0E">
        <w:t> 201</w:t>
      </w:r>
      <w:r w:rsidR="00B62B24">
        <w:t>4 for comment by 30 June 2014</w:t>
      </w:r>
      <w:r w:rsidR="004B4C0E">
        <w:t>.</w:t>
      </w:r>
    </w:p>
    <w:p w:rsidR="000C2542" w:rsidRPr="00B65F2C" w:rsidRDefault="00B62B24" w:rsidP="000C2542">
      <w:pPr>
        <w:pStyle w:val="NoNumPlain1"/>
      </w:pPr>
      <w:r w:rsidRPr="00B65F2C">
        <w:t>Eight</w:t>
      </w:r>
      <w:r w:rsidR="000C2542" w:rsidRPr="00B65F2C">
        <w:t xml:space="preserve"> submissions </w:t>
      </w:r>
      <w:r w:rsidR="00657986" w:rsidRPr="00B65F2C">
        <w:t>were received by the AASB in respect of the proposals in ED 2</w:t>
      </w:r>
      <w:r w:rsidRPr="00B65F2C">
        <w:t>49</w:t>
      </w:r>
      <w:r w:rsidR="00657986" w:rsidRPr="00B65F2C">
        <w:t>.</w:t>
      </w:r>
      <w:r w:rsidR="000C2542" w:rsidRPr="00B65F2C">
        <w:t xml:space="preserve">  The AASB considered the comments it received in makin</w:t>
      </w:r>
      <w:r w:rsidR="002346F6" w:rsidRPr="00B65F2C">
        <w:t>g its submission to the IASB and in finalising AASB </w:t>
      </w:r>
      <w:r w:rsidR="000C2542" w:rsidRPr="00B65F2C">
        <w:t>201</w:t>
      </w:r>
      <w:r w:rsidRPr="00B65F2C">
        <w:t>5</w:t>
      </w:r>
      <w:r w:rsidR="002346F6" w:rsidRPr="00B65F2C">
        <w:noBreakHyphen/>
      </w:r>
      <w:r w:rsidR="00B65F2C">
        <w:t>2</w:t>
      </w:r>
      <w:r w:rsidR="000C2542" w:rsidRPr="00B65F2C">
        <w:t>.</w:t>
      </w:r>
    </w:p>
    <w:p w:rsidR="009A1518" w:rsidRDefault="000C2542" w:rsidP="000C2542">
      <w:pPr>
        <w:pStyle w:val="NoNumPlain1"/>
      </w:pPr>
      <w:r w:rsidRPr="00B65F2C">
        <w:t xml:space="preserve">A Regulation Impact Statement (RIS) </w:t>
      </w:r>
      <w:r w:rsidR="007228FA" w:rsidRPr="00B65F2C">
        <w:t>has</w:t>
      </w:r>
      <w:r w:rsidR="00BF0BD5" w:rsidRPr="00B65F2C">
        <w:t xml:space="preserve"> not</w:t>
      </w:r>
      <w:r w:rsidR="007228FA" w:rsidRPr="00B65F2C">
        <w:t xml:space="preserve"> been prepared in connection</w:t>
      </w:r>
      <w:r w:rsidR="00613965" w:rsidRPr="00B65F2C">
        <w:t xml:space="preserve"> with the issue of </w:t>
      </w:r>
      <w:r w:rsidR="00B65F2C" w:rsidRPr="00B65F2C">
        <w:t>AASB 2015</w:t>
      </w:r>
      <w:r w:rsidR="00B65F2C" w:rsidRPr="00B65F2C">
        <w:noBreakHyphen/>
      </w:r>
      <w:r w:rsidR="00B65F2C">
        <w:t xml:space="preserve">2 </w:t>
      </w:r>
      <w:r w:rsidR="00613965" w:rsidRPr="00B65F2C">
        <w:t xml:space="preserve">as the amendments made </w:t>
      </w:r>
      <w:r w:rsidR="00953C0C" w:rsidRPr="00B65F2C">
        <w:t>are minor in nature</w:t>
      </w:r>
      <w:r w:rsidR="00613965" w:rsidRPr="00B65F2C">
        <w:t>.</w:t>
      </w:r>
    </w:p>
    <w:p w:rsidR="000C2542" w:rsidRDefault="000C2542" w:rsidP="000C2542"/>
    <w:p w:rsidR="000C2542" w:rsidRPr="00B32492" w:rsidRDefault="000C2542" w:rsidP="00E72594">
      <w:pPr>
        <w:keepNext/>
        <w:pageBreakBefore/>
        <w:spacing w:after="200" w:line="280" w:lineRule="exact"/>
        <w:jc w:val="center"/>
        <w:outlineLvl w:val="1"/>
        <w:rPr>
          <w:rFonts w:cs="Arial"/>
          <w:b/>
          <w:iCs/>
          <w:sz w:val="28"/>
          <w:szCs w:val="28"/>
        </w:rPr>
      </w:pPr>
      <w:r w:rsidRPr="00B32492">
        <w:rPr>
          <w:rFonts w:cs="Arial"/>
          <w:b/>
          <w:iCs/>
          <w:sz w:val="28"/>
          <w:szCs w:val="28"/>
        </w:rPr>
        <w:lastRenderedPageBreak/>
        <w:t>Statement of Compatibility with Human Rights</w:t>
      </w:r>
    </w:p>
    <w:p w:rsidR="000C2542" w:rsidRPr="00B32492" w:rsidRDefault="000C2542" w:rsidP="000C2542">
      <w:pPr>
        <w:spacing w:after="200"/>
        <w:jc w:val="center"/>
      </w:pPr>
      <w:r w:rsidRPr="00B32492">
        <w:t xml:space="preserve">Prepared in accordance with Part 3 of the </w:t>
      </w:r>
      <w:r w:rsidRPr="00B32492">
        <w:br/>
      </w:r>
      <w:r w:rsidRPr="00B32492">
        <w:rPr>
          <w:i/>
        </w:rPr>
        <w:t>Human Rights (Parliamentary Scrutiny) Act 2011</w:t>
      </w:r>
    </w:p>
    <w:p w:rsidR="000C2542" w:rsidRPr="00B32492" w:rsidRDefault="000C2542" w:rsidP="000C2542">
      <w:pPr>
        <w:keepNext/>
        <w:spacing w:after="360" w:line="240" w:lineRule="exact"/>
        <w:jc w:val="center"/>
        <w:outlineLvl w:val="2"/>
        <w:rPr>
          <w:rFonts w:cs="Arial"/>
          <w:b/>
          <w:bCs/>
          <w:iCs/>
          <w:sz w:val="24"/>
          <w:szCs w:val="26"/>
        </w:rPr>
      </w:pPr>
      <w:r w:rsidRPr="00B32492">
        <w:rPr>
          <w:rFonts w:cs="Arial"/>
          <w:b/>
          <w:bCs/>
          <w:iCs/>
          <w:sz w:val="24"/>
          <w:szCs w:val="26"/>
        </w:rPr>
        <w:t xml:space="preserve">Accounting Standard AASB </w:t>
      </w:r>
      <w:r w:rsidR="00B62B24">
        <w:rPr>
          <w:rFonts w:cs="Arial"/>
          <w:b/>
          <w:bCs/>
          <w:iCs/>
          <w:sz w:val="24"/>
          <w:szCs w:val="26"/>
        </w:rPr>
        <w:t>2015</w:t>
      </w:r>
      <w:r w:rsidR="00134AB2">
        <w:rPr>
          <w:rFonts w:cs="Arial"/>
          <w:b/>
          <w:bCs/>
          <w:iCs/>
          <w:sz w:val="24"/>
          <w:szCs w:val="26"/>
        </w:rPr>
        <w:t>-</w:t>
      </w:r>
      <w:r w:rsidR="00B65F2C" w:rsidRPr="00B65F2C">
        <w:rPr>
          <w:rFonts w:cs="Arial"/>
          <w:b/>
          <w:bCs/>
          <w:iCs/>
          <w:sz w:val="24"/>
          <w:szCs w:val="26"/>
        </w:rPr>
        <w:t>2</w:t>
      </w:r>
      <w:r w:rsidRPr="00B32492">
        <w:rPr>
          <w:rFonts w:cs="Arial"/>
          <w:b/>
          <w:bCs/>
          <w:iCs/>
          <w:sz w:val="24"/>
          <w:szCs w:val="26"/>
        </w:rPr>
        <w:br/>
      </w:r>
      <w:r w:rsidR="00B62B24" w:rsidRPr="00B62B24">
        <w:rPr>
          <w:rFonts w:cs="Arial"/>
          <w:b/>
          <w:bCs/>
          <w:i/>
          <w:iCs/>
          <w:sz w:val="24"/>
          <w:szCs w:val="26"/>
        </w:rPr>
        <w:t>Amendments to Australian Accounting Standards – Disclosure Initiative: Amendments to AASB 101</w:t>
      </w:r>
    </w:p>
    <w:p w:rsidR="000C2542" w:rsidRDefault="000C2542" w:rsidP="000C2542">
      <w:pPr>
        <w:keepNext/>
        <w:spacing w:after="200" w:line="240" w:lineRule="exact"/>
        <w:outlineLvl w:val="2"/>
        <w:rPr>
          <w:rFonts w:cs="Arial"/>
          <w:b/>
          <w:bCs/>
          <w:iCs/>
          <w:sz w:val="24"/>
          <w:szCs w:val="26"/>
        </w:rPr>
      </w:pPr>
      <w:r w:rsidRPr="00B32492">
        <w:rPr>
          <w:rFonts w:cs="Arial"/>
          <w:b/>
          <w:bCs/>
          <w:iCs/>
          <w:sz w:val="24"/>
          <w:szCs w:val="26"/>
        </w:rPr>
        <w:t>Overview of the Accounting Standard</w:t>
      </w:r>
    </w:p>
    <w:p w:rsidR="00B62B24" w:rsidRDefault="00012CF4" w:rsidP="00FB5CB1">
      <w:pPr>
        <w:keepNext/>
        <w:spacing w:after="200"/>
        <w:outlineLvl w:val="2"/>
      </w:pPr>
      <w:r>
        <w:t>The amendments</w:t>
      </w:r>
      <w:r w:rsidR="00044F48">
        <w:t xml:space="preserve"> in AASB 201</w:t>
      </w:r>
      <w:r w:rsidR="00B62B24">
        <w:t>5</w:t>
      </w:r>
      <w:r w:rsidR="00044F48">
        <w:t>-</w:t>
      </w:r>
      <w:r w:rsidR="00B65F2C">
        <w:t>2</w:t>
      </w:r>
      <w:r w:rsidR="0065637A">
        <w:t xml:space="preserve"> </w:t>
      </w:r>
      <w:r w:rsidR="00B62B24" w:rsidRPr="00B62B24">
        <w:rPr>
          <w:i/>
        </w:rPr>
        <w:t>Amendments to Australian Accounting Standards – Disclosure Initiative: Amendments to AASB 101</w:t>
      </w:r>
      <w:r w:rsidR="00B62B24">
        <w:t xml:space="preserve"> amends AASB 101 to provide </w:t>
      </w:r>
      <w:r w:rsidR="00B62B24" w:rsidRPr="00E111F9">
        <w:t>clarif</w:t>
      </w:r>
      <w:r w:rsidR="00B62B24">
        <w:t>ication regarding</w:t>
      </w:r>
      <w:r w:rsidR="00B62B24" w:rsidRPr="00E111F9">
        <w:t xml:space="preserve"> the disclosure requirements in </w:t>
      </w:r>
      <w:r w:rsidR="00B62B24">
        <w:t>AASB</w:t>
      </w:r>
      <w:r w:rsidR="00B62B24" w:rsidRPr="00E111F9">
        <w:t> 1</w:t>
      </w:r>
      <w:r w:rsidR="00B62B24">
        <w:t xml:space="preserve">01. </w:t>
      </w:r>
      <w:r w:rsidR="00B62B24" w:rsidRPr="00E111F9">
        <w:t xml:space="preserve"> </w:t>
      </w:r>
      <w:r w:rsidR="00B62B24">
        <w:t>S</w:t>
      </w:r>
      <w:r w:rsidR="00B62B24" w:rsidRPr="00E111F9">
        <w:t>pecifically</w:t>
      </w:r>
      <w:r w:rsidR="00B62B24">
        <w:t>,</w:t>
      </w:r>
      <w:r w:rsidR="00B62B24" w:rsidRPr="00E111F9">
        <w:t xml:space="preserve"> </w:t>
      </w:r>
      <w:r w:rsidR="00B62B24">
        <w:t>the Standard</w:t>
      </w:r>
      <w:r w:rsidR="00B62B24" w:rsidRPr="00E111F9">
        <w:t xml:space="preserve"> proposes narrow-focus amendments to address some of the concerns expressed about existing presentation and disclosure requirements and to ensure entities are able to use judgement when applying </w:t>
      </w:r>
      <w:r w:rsidR="00B62B24">
        <w:t>a</w:t>
      </w:r>
      <w:r w:rsidR="00B62B24" w:rsidRPr="00E111F9">
        <w:t xml:space="preserve"> Standard</w:t>
      </w:r>
      <w:r w:rsidR="00B62B24">
        <w:t xml:space="preserve"> in determining what information to disclose in their financial statements</w:t>
      </w:r>
      <w:r w:rsidR="00B62B24" w:rsidRPr="00E111F9">
        <w:t>.</w:t>
      </w:r>
    </w:p>
    <w:p w:rsidR="00B62B24" w:rsidRDefault="00B62B24" w:rsidP="00B62B24">
      <w:pPr>
        <w:keepNext/>
        <w:spacing w:before="240" w:after="200" w:line="240" w:lineRule="exact"/>
        <w:outlineLvl w:val="2"/>
      </w:pPr>
      <w:r>
        <w:t>This Standard also makes an editorial correction to AASB 101.</w:t>
      </w:r>
      <w:bookmarkStart w:id="2" w:name="_GoBack"/>
      <w:bookmarkEnd w:id="2"/>
    </w:p>
    <w:p w:rsidR="000C2542" w:rsidRPr="00B32492" w:rsidRDefault="000C2542" w:rsidP="00B62B24">
      <w:pPr>
        <w:keepNext/>
        <w:spacing w:before="240" w:after="200" w:line="240" w:lineRule="exact"/>
        <w:outlineLvl w:val="2"/>
        <w:rPr>
          <w:rFonts w:cs="Arial"/>
          <w:b/>
          <w:bCs/>
          <w:iCs/>
          <w:sz w:val="24"/>
          <w:szCs w:val="26"/>
        </w:rPr>
      </w:pPr>
      <w:r w:rsidRPr="00B32492">
        <w:rPr>
          <w:rFonts w:cs="Arial"/>
          <w:b/>
          <w:bCs/>
          <w:iCs/>
          <w:sz w:val="24"/>
          <w:szCs w:val="26"/>
        </w:rPr>
        <w:t>Human Rights Implications</w:t>
      </w:r>
    </w:p>
    <w:p w:rsidR="000C2542" w:rsidRPr="00B32492" w:rsidRDefault="000C2542" w:rsidP="000C2542">
      <w:pPr>
        <w:spacing w:after="200"/>
      </w:pPr>
      <w:r w:rsidRPr="00B32492">
        <w:t>This Standard is issued by the AASB in furtherance of the objective of facilitating the Australian economy.  It does not diminish or limit any of the applicable human rights or freedoms, and thus does not raise any human rights issues.</w:t>
      </w:r>
    </w:p>
    <w:p w:rsidR="000C2542" w:rsidRPr="00B32492" w:rsidRDefault="000C2542" w:rsidP="000C2542">
      <w:pPr>
        <w:keepNext/>
        <w:spacing w:after="200" w:line="240" w:lineRule="exact"/>
        <w:outlineLvl w:val="2"/>
        <w:rPr>
          <w:rFonts w:cs="Arial"/>
          <w:b/>
          <w:bCs/>
          <w:iCs/>
          <w:sz w:val="24"/>
          <w:szCs w:val="26"/>
        </w:rPr>
      </w:pPr>
      <w:r w:rsidRPr="00B32492">
        <w:rPr>
          <w:rFonts w:cs="Arial"/>
          <w:b/>
          <w:bCs/>
          <w:iCs/>
          <w:sz w:val="24"/>
          <w:szCs w:val="26"/>
        </w:rPr>
        <w:t>Conclusion</w:t>
      </w:r>
    </w:p>
    <w:p w:rsidR="000C34F1" w:rsidRDefault="000C2542" w:rsidP="00D62FDB">
      <w:pPr>
        <w:spacing w:after="200"/>
      </w:pPr>
      <w:r w:rsidRPr="00B32492">
        <w:t>This Standard is compatible with the human rights and freedoms recognised or declared in the international instruments listed in section</w:t>
      </w:r>
      <w:r w:rsidR="006D04AE">
        <w:t> </w:t>
      </w:r>
      <w:r w:rsidRPr="00B32492">
        <w:t xml:space="preserve">3 of the </w:t>
      </w:r>
      <w:r w:rsidRPr="00B32492">
        <w:rPr>
          <w:i/>
        </w:rPr>
        <w:t>Human Rights (Parliamentary Scrutiny) Act 2011</w:t>
      </w:r>
      <w:r w:rsidRPr="00B32492">
        <w:t>.</w:t>
      </w:r>
    </w:p>
    <w:sectPr w:rsidR="000C34F1" w:rsidSect="00882FE5">
      <w:headerReference w:type="even" r:id="rId11"/>
      <w:footerReference w:type="default" r:id="rId12"/>
      <w:pgSz w:w="11907" w:h="16840" w:code="9"/>
      <w:pgMar w:top="1134" w:right="1134" w:bottom="1134" w:left="1134" w:header="709"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F3" w:rsidRDefault="00B82DF3">
      <w:r>
        <w:separator/>
      </w:r>
    </w:p>
  </w:endnote>
  <w:endnote w:type="continuationSeparator" w:id="0">
    <w:p w:rsidR="00B82DF3" w:rsidRDefault="00B8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ED" w:rsidRDefault="00FD6CED" w:rsidP="00882FE5">
    <w:pPr>
      <w:pStyle w:val="Footer"/>
      <w:tabs>
        <w:tab w:val="clear" w:pos="3119"/>
        <w:tab w:val="clear" w:pos="6237"/>
        <w:tab w:val="center" w:pos="4820"/>
        <w:tab w:val="right" w:pos="9639"/>
      </w:tabs>
      <w:rPr>
        <w:b/>
      </w:rPr>
    </w:pPr>
    <w:r>
      <w:rPr>
        <w:b/>
      </w:rPr>
      <w:t xml:space="preserve">AASB </w:t>
    </w:r>
    <w:r w:rsidR="00134AB2">
      <w:rPr>
        <w:b/>
      </w:rPr>
      <w:t>201</w:t>
    </w:r>
    <w:r w:rsidR="00B62B24">
      <w:rPr>
        <w:b/>
      </w:rPr>
      <w:t>5</w:t>
    </w:r>
    <w:r w:rsidR="00134AB2" w:rsidRPr="00B65F2C">
      <w:rPr>
        <w:b/>
      </w:rPr>
      <w:t>-</w:t>
    </w:r>
    <w:r w:rsidR="00B65F2C" w:rsidRPr="00B65F2C">
      <w:rPr>
        <w:b/>
      </w:rPr>
      <w:t>2</w:t>
    </w:r>
    <w:r>
      <w:rPr>
        <w:b/>
      </w:rPr>
      <w:tab/>
    </w:r>
    <w:r>
      <w:fldChar w:fldCharType="begin"/>
    </w:r>
    <w:r>
      <w:instrText>PAGE</w:instrText>
    </w:r>
    <w:r>
      <w:fldChar w:fldCharType="separate"/>
    </w:r>
    <w:r w:rsidR="00FB5CB1">
      <w:rPr>
        <w:noProof/>
      </w:rPr>
      <w:t>3</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F3" w:rsidRDefault="00B82DF3">
      <w:r>
        <w:separator/>
      </w:r>
    </w:p>
  </w:footnote>
  <w:footnote w:type="continuationSeparator" w:id="0">
    <w:p w:rsidR="00B82DF3" w:rsidRDefault="00B8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ED" w:rsidRDefault="00FD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45920"/>
    <w:multiLevelType w:val="hybridMultilevel"/>
    <w:tmpl w:val="C74C3FFA"/>
    <w:lvl w:ilvl="0" w:tplc="71624B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E36F9"/>
    <w:multiLevelType w:val="hybridMultilevel"/>
    <w:tmpl w:val="277E4FC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4"/>
  </w:num>
  <w:num w:numId="6">
    <w:abstractNumId w:val="3"/>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12CF4"/>
    <w:rsid w:val="0004439B"/>
    <w:rsid w:val="00044F48"/>
    <w:rsid w:val="000525B9"/>
    <w:rsid w:val="00055755"/>
    <w:rsid w:val="000623C8"/>
    <w:rsid w:val="0007329C"/>
    <w:rsid w:val="00075626"/>
    <w:rsid w:val="00080331"/>
    <w:rsid w:val="0008234F"/>
    <w:rsid w:val="0008242C"/>
    <w:rsid w:val="00085B62"/>
    <w:rsid w:val="00090D77"/>
    <w:rsid w:val="000936C7"/>
    <w:rsid w:val="0009545C"/>
    <w:rsid w:val="000A15BB"/>
    <w:rsid w:val="000A2A30"/>
    <w:rsid w:val="000B558B"/>
    <w:rsid w:val="000C2542"/>
    <w:rsid w:val="000C34F1"/>
    <w:rsid w:val="000C5DA6"/>
    <w:rsid w:val="000D41A4"/>
    <w:rsid w:val="000D428B"/>
    <w:rsid w:val="000E6E09"/>
    <w:rsid w:val="000E7F81"/>
    <w:rsid w:val="000F2911"/>
    <w:rsid w:val="000F4C2A"/>
    <w:rsid w:val="00103C3D"/>
    <w:rsid w:val="00111680"/>
    <w:rsid w:val="001218DE"/>
    <w:rsid w:val="00121C54"/>
    <w:rsid w:val="0012730F"/>
    <w:rsid w:val="00131465"/>
    <w:rsid w:val="00134AB2"/>
    <w:rsid w:val="00144CC0"/>
    <w:rsid w:val="0015670A"/>
    <w:rsid w:val="001639EB"/>
    <w:rsid w:val="00167F34"/>
    <w:rsid w:val="0017017A"/>
    <w:rsid w:val="001A3A3D"/>
    <w:rsid w:val="001B4BFA"/>
    <w:rsid w:val="001D1FFA"/>
    <w:rsid w:val="001D7DA0"/>
    <w:rsid w:val="001E0872"/>
    <w:rsid w:val="001E0EA2"/>
    <w:rsid w:val="001E4107"/>
    <w:rsid w:val="001F05DF"/>
    <w:rsid w:val="001F3ED4"/>
    <w:rsid w:val="00200047"/>
    <w:rsid w:val="0020218F"/>
    <w:rsid w:val="0020261B"/>
    <w:rsid w:val="00206A47"/>
    <w:rsid w:val="00225101"/>
    <w:rsid w:val="00230E6D"/>
    <w:rsid w:val="0023104C"/>
    <w:rsid w:val="002346F6"/>
    <w:rsid w:val="00243728"/>
    <w:rsid w:val="0025426D"/>
    <w:rsid w:val="00267D86"/>
    <w:rsid w:val="00270E02"/>
    <w:rsid w:val="0027306D"/>
    <w:rsid w:val="00284D8D"/>
    <w:rsid w:val="0029669F"/>
    <w:rsid w:val="002D6D7A"/>
    <w:rsid w:val="002F724F"/>
    <w:rsid w:val="0032467B"/>
    <w:rsid w:val="00330EC6"/>
    <w:rsid w:val="003329B8"/>
    <w:rsid w:val="003404D5"/>
    <w:rsid w:val="00347521"/>
    <w:rsid w:val="00350DE3"/>
    <w:rsid w:val="0037593B"/>
    <w:rsid w:val="0038343F"/>
    <w:rsid w:val="00384832"/>
    <w:rsid w:val="00385E62"/>
    <w:rsid w:val="00386EC6"/>
    <w:rsid w:val="0039164A"/>
    <w:rsid w:val="00391DC5"/>
    <w:rsid w:val="00396BCD"/>
    <w:rsid w:val="003A2519"/>
    <w:rsid w:val="003A5EC1"/>
    <w:rsid w:val="003B5B3D"/>
    <w:rsid w:val="003D0C08"/>
    <w:rsid w:val="00406B00"/>
    <w:rsid w:val="004113DB"/>
    <w:rsid w:val="00414BC3"/>
    <w:rsid w:val="00416FE6"/>
    <w:rsid w:val="004179BF"/>
    <w:rsid w:val="004209B2"/>
    <w:rsid w:val="00442527"/>
    <w:rsid w:val="00447E4D"/>
    <w:rsid w:val="00457DCC"/>
    <w:rsid w:val="0049252E"/>
    <w:rsid w:val="00493DD4"/>
    <w:rsid w:val="004B0CF3"/>
    <w:rsid w:val="004B4C0E"/>
    <w:rsid w:val="004C1746"/>
    <w:rsid w:val="004C62D2"/>
    <w:rsid w:val="004D2B9B"/>
    <w:rsid w:val="004D2BDB"/>
    <w:rsid w:val="004D41A7"/>
    <w:rsid w:val="00512F90"/>
    <w:rsid w:val="00521942"/>
    <w:rsid w:val="00526DA0"/>
    <w:rsid w:val="00540E70"/>
    <w:rsid w:val="00565477"/>
    <w:rsid w:val="005B238F"/>
    <w:rsid w:val="005B7BB7"/>
    <w:rsid w:val="005E2BBE"/>
    <w:rsid w:val="005F0581"/>
    <w:rsid w:val="005F1173"/>
    <w:rsid w:val="005F3AA4"/>
    <w:rsid w:val="005F4451"/>
    <w:rsid w:val="006104FA"/>
    <w:rsid w:val="00613965"/>
    <w:rsid w:val="00616B47"/>
    <w:rsid w:val="00626AC2"/>
    <w:rsid w:val="00635FA2"/>
    <w:rsid w:val="00637A12"/>
    <w:rsid w:val="00640EB0"/>
    <w:rsid w:val="006450CF"/>
    <w:rsid w:val="0065278C"/>
    <w:rsid w:val="0065637A"/>
    <w:rsid w:val="00657986"/>
    <w:rsid w:val="00666164"/>
    <w:rsid w:val="0067195B"/>
    <w:rsid w:val="00672100"/>
    <w:rsid w:val="00674EC4"/>
    <w:rsid w:val="00683D1C"/>
    <w:rsid w:val="00684668"/>
    <w:rsid w:val="00693112"/>
    <w:rsid w:val="006A01D2"/>
    <w:rsid w:val="006A0C7C"/>
    <w:rsid w:val="006A2A04"/>
    <w:rsid w:val="006A56D8"/>
    <w:rsid w:val="006C34F1"/>
    <w:rsid w:val="006C39D1"/>
    <w:rsid w:val="006C5EB8"/>
    <w:rsid w:val="006D04AE"/>
    <w:rsid w:val="006D5858"/>
    <w:rsid w:val="006D6B35"/>
    <w:rsid w:val="006E110D"/>
    <w:rsid w:val="006F217C"/>
    <w:rsid w:val="006F46DE"/>
    <w:rsid w:val="00711664"/>
    <w:rsid w:val="00717627"/>
    <w:rsid w:val="007228FA"/>
    <w:rsid w:val="007231BD"/>
    <w:rsid w:val="007261ED"/>
    <w:rsid w:val="007322D6"/>
    <w:rsid w:val="007328C0"/>
    <w:rsid w:val="00741AD2"/>
    <w:rsid w:val="00750349"/>
    <w:rsid w:val="00755B4C"/>
    <w:rsid w:val="00755D8C"/>
    <w:rsid w:val="00781C08"/>
    <w:rsid w:val="00783BEC"/>
    <w:rsid w:val="00787825"/>
    <w:rsid w:val="00791279"/>
    <w:rsid w:val="007B3132"/>
    <w:rsid w:val="007B323F"/>
    <w:rsid w:val="007B539D"/>
    <w:rsid w:val="007C13D0"/>
    <w:rsid w:val="007C1E39"/>
    <w:rsid w:val="007C2A76"/>
    <w:rsid w:val="007C2B04"/>
    <w:rsid w:val="007E548A"/>
    <w:rsid w:val="007F4E20"/>
    <w:rsid w:val="00802C2B"/>
    <w:rsid w:val="00810B63"/>
    <w:rsid w:val="008160FE"/>
    <w:rsid w:val="00822659"/>
    <w:rsid w:val="0082668C"/>
    <w:rsid w:val="00826FE1"/>
    <w:rsid w:val="008308D6"/>
    <w:rsid w:val="008377FF"/>
    <w:rsid w:val="00843BF6"/>
    <w:rsid w:val="00854BCD"/>
    <w:rsid w:val="00861618"/>
    <w:rsid w:val="00882FE5"/>
    <w:rsid w:val="00896AE0"/>
    <w:rsid w:val="008B63BA"/>
    <w:rsid w:val="008B66C2"/>
    <w:rsid w:val="008C5B82"/>
    <w:rsid w:val="008C7A84"/>
    <w:rsid w:val="008D3E1A"/>
    <w:rsid w:val="008E4294"/>
    <w:rsid w:val="008F344A"/>
    <w:rsid w:val="009048FE"/>
    <w:rsid w:val="00916B64"/>
    <w:rsid w:val="00930915"/>
    <w:rsid w:val="00936AD7"/>
    <w:rsid w:val="00952CBD"/>
    <w:rsid w:val="00953C0C"/>
    <w:rsid w:val="009839D3"/>
    <w:rsid w:val="009A1518"/>
    <w:rsid w:val="009B4171"/>
    <w:rsid w:val="009C5C89"/>
    <w:rsid w:val="009D6119"/>
    <w:rsid w:val="00A07B58"/>
    <w:rsid w:val="00A14C37"/>
    <w:rsid w:val="00A33757"/>
    <w:rsid w:val="00A41EF3"/>
    <w:rsid w:val="00A46379"/>
    <w:rsid w:val="00A56FBB"/>
    <w:rsid w:val="00A61CB2"/>
    <w:rsid w:val="00A7494C"/>
    <w:rsid w:val="00A8344C"/>
    <w:rsid w:val="00A86C2A"/>
    <w:rsid w:val="00A90590"/>
    <w:rsid w:val="00A92FFA"/>
    <w:rsid w:val="00A9484D"/>
    <w:rsid w:val="00A97B77"/>
    <w:rsid w:val="00AB61AB"/>
    <w:rsid w:val="00AB6329"/>
    <w:rsid w:val="00AC0D77"/>
    <w:rsid w:val="00AC2063"/>
    <w:rsid w:val="00AC2CA9"/>
    <w:rsid w:val="00AD44F9"/>
    <w:rsid w:val="00AD7971"/>
    <w:rsid w:val="00AE1F8A"/>
    <w:rsid w:val="00B00C1B"/>
    <w:rsid w:val="00B05EA7"/>
    <w:rsid w:val="00B0780B"/>
    <w:rsid w:val="00B10AB1"/>
    <w:rsid w:val="00B127B5"/>
    <w:rsid w:val="00B259A2"/>
    <w:rsid w:val="00B44EFA"/>
    <w:rsid w:val="00B50A3C"/>
    <w:rsid w:val="00B5196B"/>
    <w:rsid w:val="00B62B24"/>
    <w:rsid w:val="00B65F2C"/>
    <w:rsid w:val="00B67434"/>
    <w:rsid w:val="00B67733"/>
    <w:rsid w:val="00B75932"/>
    <w:rsid w:val="00B81839"/>
    <w:rsid w:val="00B81972"/>
    <w:rsid w:val="00B82DF3"/>
    <w:rsid w:val="00B85DBC"/>
    <w:rsid w:val="00BB2459"/>
    <w:rsid w:val="00BD0B5B"/>
    <w:rsid w:val="00BE435F"/>
    <w:rsid w:val="00BE66D4"/>
    <w:rsid w:val="00BF0BD5"/>
    <w:rsid w:val="00C119CC"/>
    <w:rsid w:val="00C14CCB"/>
    <w:rsid w:val="00C16E86"/>
    <w:rsid w:val="00C21F45"/>
    <w:rsid w:val="00C35A20"/>
    <w:rsid w:val="00C470A1"/>
    <w:rsid w:val="00C546C0"/>
    <w:rsid w:val="00C61FC9"/>
    <w:rsid w:val="00C634BB"/>
    <w:rsid w:val="00C661A8"/>
    <w:rsid w:val="00C768D3"/>
    <w:rsid w:val="00C80CE0"/>
    <w:rsid w:val="00C82A8C"/>
    <w:rsid w:val="00CA10C9"/>
    <w:rsid w:val="00CA20FA"/>
    <w:rsid w:val="00CA518E"/>
    <w:rsid w:val="00CB2093"/>
    <w:rsid w:val="00CB74B0"/>
    <w:rsid w:val="00CC546B"/>
    <w:rsid w:val="00CD50A4"/>
    <w:rsid w:val="00CF4D2F"/>
    <w:rsid w:val="00CF72F6"/>
    <w:rsid w:val="00D001A8"/>
    <w:rsid w:val="00D03547"/>
    <w:rsid w:val="00D13F80"/>
    <w:rsid w:val="00D17C25"/>
    <w:rsid w:val="00D235C4"/>
    <w:rsid w:val="00D24634"/>
    <w:rsid w:val="00D27E14"/>
    <w:rsid w:val="00D40502"/>
    <w:rsid w:val="00D429C8"/>
    <w:rsid w:val="00D5323B"/>
    <w:rsid w:val="00D62FDB"/>
    <w:rsid w:val="00D67C43"/>
    <w:rsid w:val="00D71916"/>
    <w:rsid w:val="00D71B35"/>
    <w:rsid w:val="00D746B5"/>
    <w:rsid w:val="00D850DE"/>
    <w:rsid w:val="00D856F3"/>
    <w:rsid w:val="00DA2E07"/>
    <w:rsid w:val="00DB5798"/>
    <w:rsid w:val="00DD1167"/>
    <w:rsid w:val="00DE2BF2"/>
    <w:rsid w:val="00DF07A6"/>
    <w:rsid w:val="00E00D64"/>
    <w:rsid w:val="00E079C1"/>
    <w:rsid w:val="00E11F07"/>
    <w:rsid w:val="00E1658F"/>
    <w:rsid w:val="00E278D1"/>
    <w:rsid w:val="00E34411"/>
    <w:rsid w:val="00E41E4F"/>
    <w:rsid w:val="00E4487C"/>
    <w:rsid w:val="00E72594"/>
    <w:rsid w:val="00E7777B"/>
    <w:rsid w:val="00EA0A87"/>
    <w:rsid w:val="00EA56FD"/>
    <w:rsid w:val="00EC4D78"/>
    <w:rsid w:val="00ED38CE"/>
    <w:rsid w:val="00EE7E7F"/>
    <w:rsid w:val="00F041AA"/>
    <w:rsid w:val="00F04EBC"/>
    <w:rsid w:val="00F12DF8"/>
    <w:rsid w:val="00F23FEF"/>
    <w:rsid w:val="00F32757"/>
    <w:rsid w:val="00F576EB"/>
    <w:rsid w:val="00F63F3B"/>
    <w:rsid w:val="00F71510"/>
    <w:rsid w:val="00F72905"/>
    <w:rsid w:val="00F81F26"/>
    <w:rsid w:val="00F90091"/>
    <w:rsid w:val="00FA30CB"/>
    <w:rsid w:val="00FA7C5C"/>
    <w:rsid w:val="00FB0CFC"/>
    <w:rsid w:val="00FB5CB1"/>
    <w:rsid w:val="00FC6232"/>
    <w:rsid w:val="00FD4C0C"/>
    <w:rsid w:val="00FD6CED"/>
    <w:rsid w:val="00FF354C"/>
    <w:rsid w:val="00FF3A6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5"/>
    <w:lsdException w:name="caption" w:qFormat="1"/>
    <w:lsdException w:name="footnote reference" w:uiPriority="5"/>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CF4"/>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customStyle="1" w:styleId="Heading2Char">
    <w:name w:val="Heading 2 Char"/>
    <w:basedOn w:val="DefaultParagraphFont"/>
    <w:link w:val="Heading2"/>
    <w:rsid w:val="00750349"/>
    <w:rPr>
      <w:rFonts w:cs="Arial"/>
      <w:b/>
      <w:iCs/>
      <w:sz w:val="28"/>
      <w:szCs w:val="28"/>
      <w:lang w:eastAsia="en-US"/>
    </w:rPr>
  </w:style>
  <w:style w:type="character" w:customStyle="1" w:styleId="Heading3Char">
    <w:name w:val="Heading 3 Char"/>
    <w:basedOn w:val="DefaultParagraphFont"/>
    <w:link w:val="Heading3"/>
    <w:rsid w:val="00750349"/>
    <w:rPr>
      <w:rFonts w:cs="Arial"/>
      <w:b/>
      <w:bCs/>
      <w:i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5"/>
    <w:lsdException w:name="caption" w:qFormat="1"/>
    <w:lsdException w:name="footnote reference" w:uiPriority="5"/>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CF4"/>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customStyle="1" w:styleId="Heading2Char">
    <w:name w:val="Heading 2 Char"/>
    <w:basedOn w:val="DefaultParagraphFont"/>
    <w:link w:val="Heading2"/>
    <w:rsid w:val="00750349"/>
    <w:rPr>
      <w:rFonts w:cs="Arial"/>
      <w:b/>
      <w:iCs/>
      <w:sz w:val="28"/>
      <w:szCs w:val="28"/>
      <w:lang w:eastAsia="en-US"/>
    </w:rPr>
  </w:style>
  <w:style w:type="character" w:customStyle="1" w:styleId="Heading3Char">
    <w:name w:val="Heading 3 Char"/>
    <w:basedOn w:val="DefaultParagraphFont"/>
    <w:link w:val="Heading3"/>
    <w:rsid w:val="00750349"/>
    <w:rPr>
      <w:rFonts w:cs="Arial"/>
      <w:b/>
      <w:bCs/>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506">
      <w:bodyDiv w:val="1"/>
      <w:marLeft w:val="0"/>
      <w:marRight w:val="0"/>
      <w:marTop w:val="0"/>
      <w:marBottom w:val="0"/>
      <w:divBdr>
        <w:top w:val="none" w:sz="0" w:space="0" w:color="auto"/>
        <w:left w:val="none" w:sz="0" w:space="0" w:color="auto"/>
        <w:bottom w:val="none" w:sz="0" w:space="0" w:color="auto"/>
        <w:right w:val="none" w:sz="0" w:space="0" w:color="auto"/>
      </w:divBdr>
    </w:div>
    <w:div w:id="802500542">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9BC3-2826-45C5-AC17-6EB7B95F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Explanatory Statement AASB2014-4</vt:lpstr>
    </vt:vector>
  </TitlesOfParts>
  <Company>AASB</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AASB2014-4</dc:title>
  <dc:creator>.</dc:creator>
  <cp:lastModifiedBy>John Hamilton</cp:lastModifiedBy>
  <cp:revision>8</cp:revision>
  <cp:lastPrinted>2015-01-29T04:02:00Z</cp:lastPrinted>
  <dcterms:created xsi:type="dcterms:W3CDTF">2015-01-28T04:02:00Z</dcterms:created>
  <dcterms:modified xsi:type="dcterms:W3CDTF">2015-02-02T00:36:00Z</dcterms:modified>
</cp:coreProperties>
</file>