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C3" w:rsidRDefault="00414BC3" w:rsidP="00406B00">
      <w:pPr>
        <w:pStyle w:val="CoverTitle"/>
        <w:spacing w:after="600"/>
        <w:jc w:val="center"/>
      </w:pPr>
      <w:r>
        <w:t>Explanatory Statement</w:t>
      </w:r>
    </w:p>
    <w:p w:rsidR="00414BC3" w:rsidRDefault="000C2542" w:rsidP="000D428B">
      <w:pPr>
        <w:pStyle w:val="CoverTitle"/>
        <w:spacing w:after="3000"/>
        <w:jc w:val="center"/>
      </w:pPr>
      <w:r w:rsidRPr="00347521">
        <w:rPr>
          <w:sz w:val="36"/>
          <w:szCs w:val="36"/>
        </w:rPr>
        <w:t xml:space="preserve">Accounting Standard AASB </w:t>
      </w:r>
      <w:r w:rsidR="00B54A03">
        <w:rPr>
          <w:sz w:val="36"/>
          <w:szCs w:val="36"/>
        </w:rPr>
        <w:t>2014</w:t>
      </w:r>
      <w:r w:rsidR="00F90091">
        <w:rPr>
          <w:sz w:val="36"/>
          <w:szCs w:val="36"/>
        </w:rPr>
        <w:t>-</w:t>
      </w:r>
      <w:r w:rsidR="00B54A03">
        <w:rPr>
          <w:sz w:val="36"/>
          <w:szCs w:val="36"/>
        </w:rPr>
        <w:t>9</w:t>
      </w:r>
      <w:r>
        <w:rPr>
          <w:sz w:val="36"/>
          <w:szCs w:val="36"/>
        </w:rPr>
        <w:br/>
      </w:r>
      <w:r w:rsidRPr="009A7973">
        <w:rPr>
          <w:i/>
          <w:sz w:val="36"/>
          <w:szCs w:val="36"/>
        </w:rPr>
        <w:t xml:space="preserve">Amendments to </w:t>
      </w:r>
      <w:r w:rsidR="003D0C08">
        <w:rPr>
          <w:i/>
          <w:sz w:val="36"/>
          <w:szCs w:val="36"/>
        </w:rPr>
        <w:t>Australian Accounting Standards</w:t>
      </w:r>
      <w:r w:rsidRPr="009A7973">
        <w:rPr>
          <w:i/>
          <w:sz w:val="36"/>
          <w:szCs w:val="36"/>
        </w:rPr>
        <w:t xml:space="preserve"> –</w:t>
      </w:r>
      <w:r w:rsidR="00BC059F">
        <w:rPr>
          <w:i/>
          <w:sz w:val="36"/>
          <w:szCs w:val="36"/>
        </w:rPr>
        <w:t xml:space="preserve"> Equity Method in Separate Financ</w:t>
      </w:r>
      <w:bookmarkStart w:id="0" w:name="_GoBack"/>
      <w:bookmarkEnd w:id="0"/>
      <w:r w:rsidR="00BC059F">
        <w:rPr>
          <w:i/>
          <w:sz w:val="36"/>
          <w:szCs w:val="36"/>
        </w:rPr>
        <w:t>ial Statements</w:t>
      </w:r>
    </w:p>
    <w:p w:rsidR="00414BC3" w:rsidRPr="00396BCD" w:rsidRDefault="00B54A03" w:rsidP="000D428B">
      <w:pPr>
        <w:pStyle w:val="CoverDate"/>
        <w:tabs>
          <w:tab w:val="left" w:pos="3794"/>
          <w:tab w:val="left" w:pos="6232"/>
        </w:tabs>
        <w:spacing w:before="840"/>
        <w:rPr>
          <w:b/>
          <w:sz w:val="28"/>
          <w:szCs w:val="28"/>
        </w:rPr>
      </w:pPr>
      <w:r>
        <w:rPr>
          <w:b/>
          <w:sz w:val="28"/>
          <w:szCs w:val="28"/>
        </w:rPr>
        <w:t>December 2014</w:t>
      </w:r>
    </w:p>
    <w:p w:rsidR="00414BC3" w:rsidRDefault="00A31FC9">
      <w:pPr>
        <w:sectPr w:rsidR="00414BC3" w:rsidSect="00A31FC9">
          <w:pgSz w:w="11907" w:h="16840" w:code="9"/>
          <w:pgMar w:top="1134" w:right="1134" w:bottom="1134" w:left="1134" w:header="720" w:footer="720" w:gutter="0"/>
          <w:cols w:space="720"/>
        </w:sect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Australian Government - Australian Accounting Standards Board" style="position:absolute;margin-left:0;margin-top:0;width:123.05pt;height:95.75pt;z-index:251657728;visibility:visible;mso-wrap-edited:f;mso-position-horizontal:left;mso-position-horizontal-relative:margin;mso-position-vertical:bottom;mso-position-vertical-relative:margin">
            <v:imagedata r:id="rId9" o:title=""/>
            <w10:wrap anchorx="margin" anchory="margin"/>
            <w10:anchorlock/>
          </v:shape>
          <o:OLEObject Type="Embed" ProgID="Word.Picture.8" ShapeID="_x0000_s1026" DrawAspect="Content" ObjectID="_1484054991" r:id="rId10"/>
        </w:pict>
      </w:r>
    </w:p>
    <w:p w:rsidR="00414BC3" w:rsidRDefault="00414BC3">
      <w:pPr>
        <w:pStyle w:val="Heading1"/>
      </w:pPr>
      <w:r>
        <w:lastRenderedPageBreak/>
        <w:t>EXPLANATORY STATEMENT</w:t>
      </w:r>
    </w:p>
    <w:p w:rsidR="000C2542" w:rsidRDefault="000C2542" w:rsidP="000C2542">
      <w:pPr>
        <w:pStyle w:val="Heading2"/>
      </w:pPr>
      <w:r>
        <w:t xml:space="preserve">Reasons for Issuing AASB </w:t>
      </w:r>
      <w:r w:rsidR="00B54A03">
        <w:t>2014-9</w:t>
      </w:r>
    </w:p>
    <w:p w:rsidR="00A15BBF" w:rsidRDefault="00683D1C" w:rsidP="000C2542">
      <w:pPr>
        <w:pStyle w:val="NoNumPlain1"/>
      </w:pPr>
      <w:r>
        <w:t xml:space="preserve">AASB </w:t>
      </w:r>
      <w:r w:rsidR="00B54A03">
        <w:t>2014-9</w:t>
      </w:r>
      <w:r w:rsidR="0065637A">
        <w:t xml:space="preserve"> </w:t>
      </w:r>
      <w:r w:rsidR="000C2542" w:rsidRPr="009A7973">
        <w:rPr>
          <w:i/>
        </w:rPr>
        <w:t xml:space="preserve">Amendments </w:t>
      </w:r>
      <w:r w:rsidR="00A15BBF" w:rsidRPr="00A15BBF">
        <w:rPr>
          <w:i/>
        </w:rPr>
        <w:t>to Australian Accounting Standards –</w:t>
      </w:r>
      <w:r w:rsidR="00530118" w:rsidRPr="00530118">
        <w:rPr>
          <w:i/>
        </w:rPr>
        <w:t xml:space="preserve"> </w:t>
      </w:r>
      <w:r w:rsidR="00530118">
        <w:rPr>
          <w:i/>
        </w:rPr>
        <w:t>Equity Method in Separate Financial Statements</w:t>
      </w:r>
      <w:r w:rsidR="00530118">
        <w:t xml:space="preserve"> </w:t>
      </w:r>
      <w:r w:rsidR="000C2542">
        <w:t xml:space="preserve">makes amendments </w:t>
      </w:r>
      <w:r w:rsidR="00A15BBF">
        <w:t>to the following Standards:</w:t>
      </w:r>
    </w:p>
    <w:p w:rsidR="00BC059F" w:rsidRDefault="00BC059F" w:rsidP="00BC059F">
      <w:pPr>
        <w:pStyle w:val="NoNumPlain1"/>
        <w:numPr>
          <w:ilvl w:val="0"/>
          <w:numId w:val="14"/>
        </w:numPr>
      </w:pPr>
      <w:r w:rsidRPr="00BC059F">
        <w:t xml:space="preserve">AASB 1 </w:t>
      </w:r>
      <w:r w:rsidRPr="00BC059F">
        <w:rPr>
          <w:i/>
        </w:rPr>
        <w:t>First-time Adoption of Australian Accounting Standards</w:t>
      </w:r>
      <w:r w:rsidRPr="00BC059F">
        <w:t xml:space="preserve">, </w:t>
      </w:r>
    </w:p>
    <w:p w:rsidR="00BC059F" w:rsidRDefault="00BC059F" w:rsidP="00BC059F">
      <w:pPr>
        <w:pStyle w:val="NoNumPlain1"/>
        <w:numPr>
          <w:ilvl w:val="0"/>
          <w:numId w:val="14"/>
        </w:numPr>
      </w:pPr>
      <w:r w:rsidRPr="00BC059F">
        <w:t xml:space="preserve">AASB 127 </w:t>
      </w:r>
      <w:r w:rsidRPr="00BC059F">
        <w:rPr>
          <w:i/>
        </w:rPr>
        <w:t>Separate Financial Statements</w:t>
      </w:r>
      <w:r w:rsidR="00140409">
        <w:t>,</w:t>
      </w:r>
      <w:r w:rsidRPr="00BC059F">
        <w:t xml:space="preserve"> and </w:t>
      </w:r>
    </w:p>
    <w:p w:rsidR="00BC059F" w:rsidRDefault="00BC059F" w:rsidP="00BC059F">
      <w:pPr>
        <w:pStyle w:val="NoNumPlain1"/>
        <w:numPr>
          <w:ilvl w:val="0"/>
          <w:numId w:val="14"/>
        </w:numPr>
      </w:pPr>
      <w:r w:rsidRPr="00BC059F">
        <w:t xml:space="preserve">AASB 128 </w:t>
      </w:r>
      <w:r w:rsidRPr="00BC059F">
        <w:rPr>
          <w:i/>
        </w:rPr>
        <w:t>Investments in Associates and Joint Ventures</w:t>
      </w:r>
      <w:r w:rsidRPr="00BC059F">
        <w:t>.</w:t>
      </w:r>
    </w:p>
    <w:p w:rsidR="000C2542" w:rsidRDefault="00F62286" w:rsidP="000C2542">
      <w:pPr>
        <w:pStyle w:val="NoNumPlain1"/>
      </w:pPr>
      <w:r>
        <w:t xml:space="preserve">These amendments arise from the issuance of International Financial Reporting Standard </w:t>
      </w:r>
      <w:r w:rsidRPr="00261D88">
        <w:rPr>
          <w:i/>
        </w:rPr>
        <w:t>Equity Method in Separate Financial Statements</w:t>
      </w:r>
      <w:r>
        <w:t xml:space="preserve"> (Amendments to IAS 27) by the International Accounting Standards Board (IASB) in August 2014, and </w:t>
      </w:r>
      <w:r w:rsidR="00A15BBF">
        <w:t>to make editorial corrections</w:t>
      </w:r>
      <w:r w:rsidR="000C2542">
        <w:t>.</w:t>
      </w:r>
    </w:p>
    <w:p w:rsidR="000C2542" w:rsidRDefault="000C2542" w:rsidP="000C2542">
      <w:pPr>
        <w:pStyle w:val="Heading2"/>
      </w:pPr>
      <w:r>
        <w:t xml:space="preserve">Main Features of AASB </w:t>
      </w:r>
      <w:r w:rsidR="00B54A03">
        <w:t>2014-9</w:t>
      </w:r>
    </w:p>
    <w:p w:rsidR="006B5487" w:rsidRDefault="006B5487" w:rsidP="006B5487">
      <w:pPr>
        <w:pStyle w:val="Heading3"/>
      </w:pPr>
      <w:r>
        <w:t>Main Requirements</w:t>
      </w:r>
    </w:p>
    <w:p w:rsidR="00F62286" w:rsidRDefault="00F62286" w:rsidP="00F62286">
      <w:pPr>
        <w:pStyle w:val="NoNumPlain1"/>
      </w:pPr>
      <w:r w:rsidRPr="0022290F">
        <w:t xml:space="preserve">This Standard amends AASB 127 </w:t>
      </w:r>
      <w:r>
        <w:t xml:space="preserve">and consequentially amends AASB 1 and AASB 128, </w:t>
      </w:r>
      <w:r w:rsidRPr="0022290F">
        <w:t>to allow entities to use the equity method of accounting for investments in subsidiaries, joint ventures and associates in their separate financial statements.</w:t>
      </w:r>
      <w:r>
        <w:t xml:space="preserve"> </w:t>
      </w:r>
    </w:p>
    <w:p w:rsidR="006B5487" w:rsidRDefault="006B5487" w:rsidP="006B5487">
      <w:pPr>
        <w:pStyle w:val="Heading3"/>
      </w:pPr>
      <w:r>
        <w:t>Application Date</w:t>
      </w:r>
    </w:p>
    <w:p w:rsidR="00530118" w:rsidRDefault="006B5487" w:rsidP="001E3EA4">
      <w:pPr>
        <w:pStyle w:val="NoNumPlain1"/>
      </w:pPr>
      <w:r w:rsidRPr="00027E8B">
        <w:t xml:space="preserve">This Standard applies to annual reporting periods beginning on or after </w:t>
      </w:r>
      <w:r>
        <w:t>1 January 2016</w:t>
      </w:r>
      <w:r w:rsidRPr="00027E8B">
        <w:t>.</w:t>
      </w:r>
      <w:r>
        <w:t xml:space="preserve"> </w:t>
      </w:r>
    </w:p>
    <w:p w:rsidR="00530118" w:rsidRDefault="00530118" w:rsidP="00530118">
      <w:pPr>
        <w:pStyle w:val="NoNumPlain1"/>
      </w:pPr>
      <w:r>
        <w:t>This Standard may be applied by:</w:t>
      </w:r>
    </w:p>
    <w:p w:rsidR="00530118" w:rsidRDefault="00530118" w:rsidP="00530118">
      <w:pPr>
        <w:pStyle w:val="PlainHanging0"/>
      </w:pPr>
      <w:r>
        <w:t>(a)</w:t>
      </w:r>
      <w:r>
        <w:tab/>
      </w:r>
      <w:proofErr w:type="gramStart"/>
      <w:r>
        <w:t>for-profit</w:t>
      </w:r>
      <w:proofErr w:type="gramEnd"/>
      <w:r>
        <w:t xml:space="preserve"> entities to annual reporting periods beginning on or after 1 January 2005 but before 1 January 2016</w:t>
      </w:r>
      <w:r w:rsidR="009372E6">
        <w:t>;</w:t>
      </w:r>
      <w:r>
        <w:t xml:space="preserve"> and</w:t>
      </w:r>
    </w:p>
    <w:p w:rsidR="00530118" w:rsidRDefault="00530118" w:rsidP="00530118">
      <w:pPr>
        <w:pStyle w:val="PlainHanging0"/>
      </w:pPr>
      <w:r>
        <w:t>(b)</w:t>
      </w:r>
      <w:r>
        <w:tab/>
        <w:t>not-for-profit entities to annual reporting periods beginning on or after 1 January 2013 but before 1 January 2016.</w:t>
      </w:r>
    </w:p>
    <w:p w:rsidR="00C977F4" w:rsidRDefault="00530118" w:rsidP="00C977F4">
      <w:pPr>
        <w:pStyle w:val="NoNumPlain1"/>
      </w:pPr>
      <w:r>
        <w:t xml:space="preserve">If an entity applies this Standard to such an annual reporting period in </w:t>
      </w:r>
      <w:proofErr w:type="gramStart"/>
      <w:r>
        <w:t>accordance</w:t>
      </w:r>
      <w:proofErr w:type="gramEnd"/>
      <w:r>
        <w:t xml:space="preserve"> with paragraph (a) or (b), it shall disclose that fact. </w:t>
      </w:r>
    </w:p>
    <w:p w:rsidR="000C2542" w:rsidRPr="001D1FFA" w:rsidRDefault="000C2542" w:rsidP="000C2542">
      <w:pPr>
        <w:pStyle w:val="Heading2"/>
      </w:pPr>
      <w:r w:rsidRPr="001D1FFA">
        <w:lastRenderedPageBreak/>
        <w:t>Consultation Prior to Issuing this Standard</w:t>
      </w:r>
    </w:p>
    <w:p w:rsidR="006B5487" w:rsidRDefault="006B5487" w:rsidP="006B5487">
      <w:pPr>
        <w:pStyle w:val="NoNumPlain1"/>
      </w:pPr>
      <w:r>
        <w:t>The AASB issued Exposure Draft ED 24</w:t>
      </w:r>
      <w:r w:rsidR="00F62286">
        <w:t>6</w:t>
      </w:r>
      <w:r>
        <w:t xml:space="preserve"> </w:t>
      </w:r>
      <w:r w:rsidR="00F62286">
        <w:rPr>
          <w:i/>
        </w:rPr>
        <w:t xml:space="preserve">Equity Method in Separate Financial </w:t>
      </w:r>
      <w:proofErr w:type="gramStart"/>
      <w:r w:rsidR="00F62286">
        <w:rPr>
          <w:i/>
        </w:rPr>
        <w:t xml:space="preserve">Statements </w:t>
      </w:r>
      <w:r w:rsidRPr="008D6853">
        <w:rPr>
          <w:i/>
        </w:rPr>
        <w:t xml:space="preserve"> </w:t>
      </w:r>
      <w:r>
        <w:t>in</w:t>
      </w:r>
      <w:proofErr w:type="gramEnd"/>
      <w:r>
        <w:t xml:space="preserve"> </w:t>
      </w:r>
      <w:r w:rsidR="00F62286">
        <w:t>December</w:t>
      </w:r>
      <w:r>
        <w:t xml:space="preserve"> 2013 for comment by </w:t>
      </w:r>
      <w:r w:rsidR="00F62286">
        <w:t>24</w:t>
      </w:r>
      <w:r>
        <w:t xml:space="preserve"> </w:t>
      </w:r>
      <w:r w:rsidR="00F62286">
        <w:t>January</w:t>
      </w:r>
      <w:r>
        <w:t xml:space="preserve"> 201</w:t>
      </w:r>
      <w:r w:rsidR="00F62286">
        <w:t>4</w:t>
      </w:r>
      <w:r>
        <w:t>.</w:t>
      </w:r>
    </w:p>
    <w:p w:rsidR="006B5487" w:rsidRDefault="00F45E9B" w:rsidP="006B5487">
      <w:pPr>
        <w:pStyle w:val="NoNumPlain1"/>
      </w:pPr>
      <w:r>
        <w:t>Five</w:t>
      </w:r>
      <w:r w:rsidR="006B5487">
        <w:t xml:space="preserve"> submissions were received by the AASB in respect of the proposals in ED 24</w:t>
      </w:r>
      <w:r>
        <w:t>6</w:t>
      </w:r>
      <w:r w:rsidR="00362F19">
        <w:t xml:space="preserve"> and there was general support for adopting the proposals in Australian Accounting Standards</w:t>
      </w:r>
      <w:proofErr w:type="gramStart"/>
      <w:r w:rsidR="006B5487">
        <w:t xml:space="preserve">.  </w:t>
      </w:r>
      <w:proofErr w:type="gramEnd"/>
      <w:r w:rsidR="006B5487">
        <w:t>The AASB considered the comments it received in making its submission to the IASB and in finalising AASB </w:t>
      </w:r>
      <w:r w:rsidR="00260634">
        <w:t>2014</w:t>
      </w:r>
      <w:r w:rsidR="00260634">
        <w:noBreakHyphen/>
        <w:t>9</w:t>
      </w:r>
      <w:r w:rsidR="006B5487">
        <w:t>.</w:t>
      </w:r>
    </w:p>
    <w:p w:rsidR="009A1518" w:rsidRDefault="000C2542" w:rsidP="000C2542">
      <w:pPr>
        <w:pStyle w:val="NoNumPlain1"/>
      </w:pPr>
      <w:r w:rsidRPr="007228FA">
        <w:t xml:space="preserve">A Regulation Impact Statement (RIS) </w:t>
      </w:r>
      <w:r w:rsidR="007228FA">
        <w:t>has</w:t>
      </w:r>
      <w:r w:rsidR="00BF0BD5">
        <w:t xml:space="preserve"> not</w:t>
      </w:r>
      <w:r w:rsidR="007228FA">
        <w:t xml:space="preserve"> been prepared in connection</w:t>
      </w:r>
      <w:r w:rsidR="00613965">
        <w:t xml:space="preserve"> with the issue of AASB </w:t>
      </w:r>
      <w:r w:rsidR="00B54A03">
        <w:t>2014-9</w:t>
      </w:r>
      <w:r w:rsidR="0065637A">
        <w:t xml:space="preserve"> </w:t>
      </w:r>
      <w:r w:rsidR="00613965">
        <w:t xml:space="preserve">as the amendments made </w:t>
      </w:r>
      <w:r w:rsidR="00953C0C">
        <w:t>are minor in nature</w:t>
      </w:r>
      <w:r w:rsidR="00613965">
        <w:t>.</w:t>
      </w:r>
    </w:p>
    <w:p w:rsidR="000C2542" w:rsidRDefault="000C2542" w:rsidP="000C2542"/>
    <w:p w:rsidR="000C2542" w:rsidRPr="00B32492" w:rsidRDefault="000C2542" w:rsidP="00E72594">
      <w:pPr>
        <w:keepNext/>
        <w:pageBreakBefore/>
        <w:spacing w:after="200" w:line="280" w:lineRule="exact"/>
        <w:jc w:val="center"/>
        <w:outlineLvl w:val="1"/>
        <w:rPr>
          <w:rFonts w:cs="Arial"/>
          <w:b/>
          <w:iCs/>
          <w:sz w:val="28"/>
          <w:szCs w:val="28"/>
        </w:rPr>
      </w:pPr>
      <w:r w:rsidRPr="00B32492">
        <w:rPr>
          <w:rFonts w:cs="Arial"/>
          <w:b/>
          <w:iCs/>
          <w:sz w:val="28"/>
          <w:szCs w:val="28"/>
        </w:rPr>
        <w:lastRenderedPageBreak/>
        <w:t>Statement of Compatibility with Human Rights</w:t>
      </w:r>
    </w:p>
    <w:p w:rsidR="000C2542" w:rsidRPr="00B32492" w:rsidRDefault="000C2542" w:rsidP="000C2542">
      <w:pPr>
        <w:spacing w:after="200"/>
        <w:jc w:val="center"/>
      </w:pPr>
      <w:r w:rsidRPr="00B32492">
        <w:t xml:space="preserve">Prepared in accordance with Part 3 of the </w:t>
      </w:r>
      <w:r w:rsidRPr="00B32492">
        <w:br/>
      </w:r>
      <w:r w:rsidRPr="00B32492">
        <w:rPr>
          <w:i/>
        </w:rPr>
        <w:t>Human Rights (Parliamentary Scrutiny) Act 2011</w:t>
      </w:r>
    </w:p>
    <w:p w:rsidR="00F45E9B" w:rsidRDefault="000C2542" w:rsidP="006B5487">
      <w:pPr>
        <w:keepNext/>
        <w:spacing w:after="360" w:line="240" w:lineRule="exact"/>
        <w:jc w:val="center"/>
        <w:outlineLvl w:val="2"/>
        <w:rPr>
          <w:rFonts w:cs="Arial"/>
          <w:b/>
          <w:bCs/>
          <w:i/>
          <w:iCs/>
          <w:sz w:val="24"/>
          <w:szCs w:val="26"/>
        </w:rPr>
      </w:pPr>
      <w:r w:rsidRPr="00B32492">
        <w:rPr>
          <w:rFonts w:cs="Arial"/>
          <w:b/>
          <w:bCs/>
          <w:iCs/>
          <w:sz w:val="24"/>
          <w:szCs w:val="26"/>
        </w:rPr>
        <w:t xml:space="preserve">Accounting Standard AASB </w:t>
      </w:r>
      <w:r w:rsidR="00B54A03">
        <w:rPr>
          <w:rFonts w:cs="Arial"/>
          <w:b/>
          <w:bCs/>
          <w:iCs/>
          <w:sz w:val="24"/>
          <w:szCs w:val="26"/>
        </w:rPr>
        <w:t>2014-9</w:t>
      </w:r>
      <w:r w:rsidRPr="00B32492">
        <w:rPr>
          <w:rFonts w:cs="Arial"/>
          <w:b/>
          <w:bCs/>
          <w:iCs/>
          <w:sz w:val="24"/>
          <w:szCs w:val="26"/>
        </w:rPr>
        <w:br/>
      </w:r>
      <w:r w:rsidR="00F45E9B" w:rsidRPr="00F45E9B">
        <w:rPr>
          <w:rFonts w:cs="Arial"/>
          <w:b/>
          <w:bCs/>
          <w:i/>
          <w:iCs/>
          <w:sz w:val="24"/>
          <w:szCs w:val="26"/>
        </w:rPr>
        <w:t xml:space="preserve">Amendments to Australian Accounting Standards – Equity Method in Separate Financial Statements </w:t>
      </w:r>
    </w:p>
    <w:p w:rsidR="000C2542" w:rsidRDefault="000C2542" w:rsidP="00F45E9B">
      <w:pPr>
        <w:keepNext/>
        <w:spacing w:after="360" w:line="240" w:lineRule="exact"/>
        <w:outlineLvl w:val="2"/>
        <w:rPr>
          <w:rFonts w:cs="Arial"/>
          <w:b/>
          <w:bCs/>
          <w:iCs/>
          <w:sz w:val="24"/>
          <w:szCs w:val="26"/>
        </w:rPr>
      </w:pPr>
      <w:r w:rsidRPr="00B32492">
        <w:rPr>
          <w:rFonts w:cs="Arial"/>
          <w:b/>
          <w:bCs/>
          <w:iCs/>
          <w:sz w:val="24"/>
          <w:szCs w:val="26"/>
        </w:rPr>
        <w:t>Overview of the Accounting Standard</w:t>
      </w:r>
    </w:p>
    <w:p w:rsidR="00F45E9B" w:rsidRDefault="006B5487" w:rsidP="00F45E9B">
      <w:pPr>
        <w:pStyle w:val="NoNumPlain1"/>
      </w:pPr>
      <w:r>
        <w:t xml:space="preserve">The amendments in AASB </w:t>
      </w:r>
      <w:r w:rsidR="00260634">
        <w:t>2014-9</w:t>
      </w:r>
      <w:r>
        <w:t xml:space="preserve"> </w:t>
      </w:r>
      <w:r w:rsidRPr="008D6853">
        <w:rPr>
          <w:i/>
        </w:rPr>
        <w:t xml:space="preserve">Amendments to Australian Accounting Standards </w:t>
      </w:r>
      <w:r>
        <w:rPr>
          <w:i/>
        </w:rPr>
        <w:t>–</w:t>
      </w:r>
      <w:r w:rsidRPr="008D6853">
        <w:rPr>
          <w:i/>
        </w:rPr>
        <w:t xml:space="preserve"> </w:t>
      </w:r>
      <w:r w:rsidR="00F45E9B">
        <w:rPr>
          <w:i/>
        </w:rPr>
        <w:t>Equity Method in Separate Financial Statements</w:t>
      </w:r>
      <w:r>
        <w:t xml:space="preserve"> </w:t>
      </w:r>
      <w:r w:rsidR="00F45E9B" w:rsidRPr="0022290F">
        <w:t>allow entities to use the equity method of accounting for investments in subsidiaries, joint ventures and associates in their separate financial statements.</w:t>
      </w:r>
      <w:r w:rsidR="00F45E9B">
        <w:t xml:space="preserve"> </w:t>
      </w:r>
    </w:p>
    <w:p w:rsidR="000C2542" w:rsidRPr="00B32492" w:rsidRDefault="000C2542" w:rsidP="00F45E9B">
      <w:pPr>
        <w:keepNext/>
        <w:spacing w:after="200" w:line="240" w:lineRule="exact"/>
        <w:outlineLvl w:val="2"/>
        <w:rPr>
          <w:rFonts w:cs="Arial"/>
          <w:b/>
          <w:bCs/>
          <w:iCs/>
          <w:sz w:val="24"/>
          <w:szCs w:val="26"/>
        </w:rPr>
      </w:pPr>
      <w:r w:rsidRPr="00B32492">
        <w:rPr>
          <w:rFonts w:cs="Arial"/>
          <w:b/>
          <w:bCs/>
          <w:iCs/>
          <w:sz w:val="24"/>
          <w:szCs w:val="26"/>
        </w:rPr>
        <w:t>Human Rights Implications</w:t>
      </w:r>
    </w:p>
    <w:p w:rsidR="000C2542" w:rsidRPr="00B32492" w:rsidRDefault="000C2542" w:rsidP="000C2542">
      <w:pPr>
        <w:spacing w:after="200"/>
      </w:pPr>
      <w:r w:rsidRPr="00B32492">
        <w:t>This Standard is issued by the AASB in furtherance of the objective of facilitating the Australian economy</w:t>
      </w:r>
      <w:proofErr w:type="gramStart"/>
      <w:r w:rsidRPr="00B32492">
        <w:t xml:space="preserve">.  </w:t>
      </w:r>
      <w:proofErr w:type="gramEnd"/>
      <w:r w:rsidRPr="00B32492">
        <w:t>It does not diminish or limit any of the applicable human rights or freedoms, and thus does not raise any human rights issues.</w:t>
      </w:r>
    </w:p>
    <w:p w:rsidR="000C2542" w:rsidRPr="00B32492" w:rsidRDefault="000C2542" w:rsidP="000C2542">
      <w:pPr>
        <w:keepNext/>
        <w:spacing w:after="200" w:line="240" w:lineRule="exact"/>
        <w:outlineLvl w:val="2"/>
        <w:rPr>
          <w:rFonts w:cs="Arial"/>
          <w:b/>
          <w:bCs/>
          <w:iCs/>
          <w:sz w:val="24"/>
          <w:szCs w:val="26"/>
        </w:rPr>
      </w:pPr>
      <w:r w:rsidRPr="00B32492">
        <w:rPr>
          <w:rFonts w:cs="Arial"/>
          <w:b/>
          <w:bCs/>
          <w:iCs/>
          <w:sz w:val="24"/>
          <w:szCs w:val="26"/>
        </w:rPr>
        <w:t>Conclusion</w:t>
      </w:r>
    </w:p>
    <w:p w:rsidR="000C34F1" w:rsidRDefault="000C2542" w:rsidP="00D62FDB">
      <w:pPr>
        <w:spacing w:after="200"/>
      </w:pPr>
      <w:r w:rsidRPr="00B32492">
        <w:t>This Standard is compatible with the human rights and freedoms recognised or declared in the international instruments listed in section</w:t>
      </w:r>
      <w:r w:rsidR="006D04AE">
        <w:t> </w:t>
      </w:r>
      <w:r w:rsidRPr="00B32492">
        <w:t xml:space="preserve">3 of the </w:t>
      </w:r>
      <w:r w:rsidRPr="00B32492">
        <w:rPr>
          <w:i/>
        </w:rPr>
        <w:t>Human Rights (Parliamentary Scrutiny) Act 2011</w:t>
      </w:r>
      <w:r w:rsidRPr="00B32492">
        <w:t>.</w:t>
      </w:r>
    </w:p>
    <w:sectPr w:rsidR="000C34F1" w:rsidSect="00A31FC9">
      <w:headerReference w:type="even" r:id="rId11"/>
      <w:footerReference w:type="default" r:id="rId12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BBC" w:rsidRDefault="00FA4BBC">
      <w:r>
        <w:separator/>
      </w:r>
    </w:p>
  </w:endnote>
  <w:endnote w:type="continuationSeparator" w:id="0">
    <w:p w:rsidR="00FA4BBC" w:rsidRDefault="00FA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CED" w:rsidRDefault="00FD6CED" w:rsidP="00A31FC9">
    <w:pPr>
      <w:pStyle w:val="Footer"/>
      <w:tabs>
        <w:tab w:val="clear" w:pos="3119"/>
        <w:tab w:val="clear" w:pos="6237"/>
        <w:tab w:val="center" w:pos="4820"/>
        <w:tab w:val="right" w:pos="9639"/>
      </w:tabs>
      <w:rPr>
        <w:b/>
      </w:rPr>
    </w:pPr>
    <w:r>
      <w:rPr>
        <w:b/>
      </w:rPr>
      <w:t xml:space="preserve">AASB </w:t>
    </w:r>
    <w:r w:rsidR="00134AB2">
      <w:rPr>
        <w:b/>
      </w:rPr>
      <w:t>2014-</w:t>
    </w:r>
    <w:r w:rsidR="00B54A03">
      <w:rPr>
        <w:b/>
      </w:rPr>
      <w:t>9</w:t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A31FC9">
      <w:rPr>
        <w:noProof/>
      </w:rPr>
      <w:t>2</w:t>
    </w:r>
    <w:r>
      <w:fldChar w:fldCharType="end"/>
    </w:r>
    <w:r>
      <w:tab/>
    </w:r>
    <w:r>
      <w:rPr>
        <w:b/>
        <w:bCs/>
      </w:rPr>
      <w:t>EXPLANATORY STATEMENT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BBC" w:rsidRDefault="00FA4BBC">
      <w:r>
        <w:separator/>
      </w:r>
    </w:p>
  </w:footnote>
  <w:footnote w:type="continuationSeparator" w:id="0">
    <w:p w:rsidR="00FA4BBC" w:rsidRDefault="00FA4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CED" w:rsidRDefault="00FD6C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EEF"/>
    <w:multiLevelType w:val="hybridMultilevel"/>
    <w:tmpl w:val="370A08EA"/>
    <w:lvl w:ilvl="0" w:tplc="7250F28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C797B"/>
    <w:multiLevelType w:val="hybridMultilevel"/>
    <w:tmpl w:val="68645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45920"/>
    <w:multiLevelType w:val="hybridMultilevel"/>
    <w:tmpl w:val="C74C3FFA"/>
    <w:lvl w:ilvl="0" w:tplc="71624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63891"/>
    <w:multiLevelType w:val="hybridMultilevel"/>
    <w:tmpl w:val="C07A9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6465B"/>
    <w:multiLevelType w:val="multilevel"/>
    <w:tmpl w:val="D9F888A8"/>
    <w:lvl w:ilvl="0">
      <w:start w:val="1"/>
      <w:numFmt w:val="lowerLetter"/>
      <w:pStyle w:val="NumPlainA"/>
      <w:lvlText w:val="(%1)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1">
      <w:start w:val="1"/>
      <w:numFmt w:val="lowerRoman"/>
      <w:pStyle w:val="NumPlainA2"/>
      <w:lvlText w:val="(%2)"/>
      <w:lvlJc w:val="left"/>
      <w:pPr>
        <w:tabs>
          <w:tab w:val="num" w:pos="1163"/>
        </w:tabs>
        <w:ind w:left="1163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5">
    <w:nsid w:val="27F821CB"/>
    <w:multiLevelType w:val="hybridMultilevel"/>
    <w:tmpl w:val="1CDC9BEA"/>
    <w:lvl w:ilvl="0" w:tplc="8A94C782">
      <w:start w:val="1"/>
      <w:numFmt w:val="bullet"/>
      <w:pStyle w:val="Bullet4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6C7D63"/>
    <w:multiLevelType w:val="hybridMultilevel"/>
    <w:tmpl w:val="0B8C6388"/>
    <w:lvl w:ilvl="0" w:tplc="1CD8E62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A23BD9"/>
    <w:multiLevelType w:val="hybridMultilevel"/>
    <w:tmpl w:val="809074BC"/>
    <w:lvl w:ilvl="0" w:tplc="AAC84BFE">
      <w:start w:val="1"/>
      <w:numFmt w:val="bullet"/>
      <w:pStyle w:val="Bullet2"/>
      <w:lvlText w:val=""/>
      <w:lvlJc w:val="left"/>
      <w:pPr>
        <w:tabs>
          <w:tab w:val="num" w:pos="1021"/>
        </w:tabs>
        <w:ind w:left="1021" w:hanging="51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CE36F9"/>
    <w:multiLevelType w:val="hybridMultilevel"/>
    <w:tmpl w:val="277E4FC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D7B29"/>
    <w:multiLevelType w:val="hybridMultilevel"/>
    <w:tmpl w:val="E8FCB0B6"/>
    <w:lvl w:ilvl="0" w:tplc="EECA7B38">
      <w:start w:val="1"/>
      <w:numFmt w:val="bullet"/>
      <w:pStyle w:val="Bullets"/>
      <w:lvlText w:val=""/>
      <w:lvlJc w:val="left"/>
      <w:pPr>
        <w:tabs>
          <w:tab w:val="num" w:pos="473"/>
        </w:tabs>
        <w:ind w:left="227" w:hanging="114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52504F"/>
    <w:multiLevelType w:val="hybridMultilevel"/>
    <w:tmpl w:val="FCC49D66"/>
    <w:lvl w:ilvl="0" w:tplc="DFF2F438">
      <w:start w:val="1"/>
      <w:numFmt w:val="bullet"/>
      <w:pStyle w:val="Bullet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C02929"/>
    <w:multiLevelType w:val="hybridMultilevel"/>
    <w:tmpl w:val="7F847CDE"/>
    <w:lvl w:ilvl="0" w:tplc="4860E214">
      <w:start w:val="1"/>
      <w:numFmt w:val="bullet"/>
      <w:pStyle w:val="Bullet1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activeWritingStyle w:appName="MSWord" w:lang="en-AU" w:vendorID="64" w:dllVersion="131077" w:nlCheck="1" w:checkStyle="1"/>
  <w:activeWritingStyle w:appName="MSWord" w:lang="en-GB" w:vendorID="64" w:dllVersion="131077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 fillcolor="white">
      <v:fill color="white"/>
      <o:colormru v:ext="edit" colors="#ddd,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C8"/>
    <w:rsid w:val="000018C8"/>
    <w:rsid w:val="00012CF4"/>
    <w:rsid w:val="0004439B"/>
    <w:rsid w:val="00044F48"/>
    <w:rsid w:val="00055755"/>
    <w:rsid w:val="000623C8"/>
    <w:rsid w:val="0007329C"/>
    <w:rsid w:val="00075626"/>
    <w:rsid w:val="00080331"/>
    <w:rsid w:val="0008234F"/>
    <w:rsid w:val="0008242C"/>
    <w:rsid w:val="00085B62"/>
    <w:rsid w:val="000908DA"/>
    <w:rsid w:val="00090D77"/>
    <w:rsid w:val="000936C7"/>
    <w:rsid w:val="0009545C"/>
    <w:rsid w:val="000A15BB"/>
    <w:rsid w:val="000A2A30"/>
    <w:rsid w:val="000C2542"/>
    <w:rsid w:val="000C34F1"/>
    <w:rsid w:val="000C5DA6"/>
    <w:rsid w:val="000D41A4"/>
    <w:rsid w:val="000D428B"/>
    <w:rsid w:val="000E6E09"/>
    <w:rsid w:val="000E7F81"/>
    <w:rsid w:val="000F2911"/>
    <w:rsid w:val="000F4C2A"/>
    <w:rsid w:val="00103C3D"/>
    <w:rsid w:val="00111680"/>
    <w:rsid w:val="001218DE"/>
    <w:rsid w:val="00121C54"/>
    <w:rsid w:val="0012730F"/>
    <w:rsid w:val="00131465"/>
    <w:rsid w:val="00134AB2"/>
    <w:rsid w:val="00140409"/>
    <w:rsid w:val="00144CC0"/>
    <w:rsid w:val="001535A1"/>
    <w:rsid w:val="0015670A"/>
    <w:rsid w:val="001639EB"/>
    <w:rsid w:val="00167F34"/>
    <w:rsid w:val="001A3A3D"/>
    <w:rsid w:val="001B4BFA"/>
    <w:rsid w:val="001D1FFA"/>
    <w:rsid w:val="001D7DA0"/>
    <w:rsid w:val="001E0872"/>
    <w:rsid w:val="001E0EA2"/>
    <w:rsid w:val="001E3EA4"/>
    <w:rsid w:val="001E4107"/>
    <w:rsid w:val="001F3ED4"/>
    <w:rsid w:val="00200047"/>
    <w:rsid w:val="0020218F"/>
    <w:rsid w:val="0020261B"/>
    <w:rsid w:val="00206A47"/>
    <w:rsid w:val="00225101"/>
    <w:rsid w:val="00230E6D"/>
    <w:rsid w:val="0023104C"/>
    <w:rsid w:val="002346F6"/>
    <w:rsid w:val="00243728"/>
    <w:rsid w:val="00260634"/>
    <w:rsid w:val="00267D86"/>
    <w:rsid w:val="00270E02"/>
    <w:rsid w:val="0027306D"/>
    <w:rsid w:val="00284D8D"/>
    <w:rsid w:val="0029669F"/>
    <w:rsid w:val="002D6D7A"/>
    <w:rsid w:val="002F724F"/>
    <w:rsid w:val="0032467B"/>
    <w:rsid w:val="003329B8"/>
    <w:rsid w:val="003404D5"/>
    <w:rsid w:val="00347521"/>
    <w:rsid w:val="00350DE3"/>
    <w:rsid w:val="00362F19"/>
    <w:rsid w:val="0037593B"/>
    <w:rsid w:val="0038343F"/>
    <w:rsid w:val="00384832"/>
    <w:rsid w:val="00385E62"/>
    <w:rsid w:val="00386EC6"/>
    <w:rsid w:val="0039164A"/>
    <w:rsid w:val="00391DC5"/>
    <w:rsid w:val="00396BCD"/>
    <w:rsid w:val="003A2519"/>
    <w:rsid w:val="003A5EC1"/>
    <w:rsid w:val="003B292A"/>
    <w:rsid w:val="003B5B3D"/>
    <w:rsid w:val="003D0C08"/>
    <w:rsid w:val="00406B00"/>
    <w:rsid w:val="004113DB"/>
    <w:rsid w:val="00414BC3"/>
    <w:rsid w:val="00416FE6"/>
    <w:rsid w:val="004179BF"/>
    <w:rsid w:val="004209B2"/>
    <w:rsid w:val="00442527"/>
    <w:rsid w:val="00447E4D"/>
    <w:rsid w:val="00457DCC"/>
    <w:rsid w:val="0049252E"/>
    <w:rsid w:val="00493DD4"/>
    <w:rsid w:val="004B0CF3"/>
    <w:rsid w:val="004B4C0E"/>
    <w:rsid w:val="004C1746"/>
    <w:rsid w:val="004C62D2"/>
    <w:rsid w:val="004D2B9B"/>
    <w:rsid w:val="004D2BDB"/>
    <w:rsid w:val="004D41A7"/>
    <w:rsid w:val="00512F90"/>
    <w:rsid w:val="00521942"/>
    <w:rsid w:val="00526DA0"/>
    <w:rsid w:val="00530118"/>
    <w:rsid w:val="00540E70"/>
    <w:rsid w:val="00565477"/>
    <w:rsid w:val="005B238F"/>
    <w:rsid w:val="005B7BB7"/>
    <w:rsid w:val="005E2BBE"/>
    <w:rsid w:val="005F0581"/>
    <w:rsid w:val="005F1173"/>
    <w:rsid w:val="005F3AA4"/>
    <w:rsid w:val="005F4451"/>
    <w:rsid w:val="006104FA"/>
    <w:rsid w:val="00613965"/>
    <w:rsid w:val="00616B47"/>
    <w:rsid w:val="00626AC2"/>
    <w:rsid w:val="00635FA2"/>
    <w:rsid w:val="00637A12"/>
    <w:rsid w:val="00640EB0"/>
    <w:rsid w:val="006450CF"/>
    <w:rsid w:val="0065278C"/>
    <w:rsid w:val="0065637A"/>
    <w:rsid w:val="00657986"/>
    <w:rsid w:val="00666164"/>
    <w:rsid w:val="0067195B"/>
    <w:rsid w:val="00672100"/>
    <w:rsid w:val="00674EC4"/>
    <w:rsid w:val="00683D1C"/>
    <w:rsid w:val="00684668"/>
    <w:rsid w:val="006A01D2"/>
    <w:rsid w:val="006A0C7C"/>
    <w:rsid w:val="006A2A04"/>
    <w:rsid w:val="006A56D8"/>
    <w:rsid w:val="006B5487"/>
    <w:rsid w:val="006C34F1"/>
    <w:rsid w:val="006C39D1"/>
    <w:rsid w:val="006C5EB8"/>
    <w:rsid w:val="006D04AE"/>
    <w:rsid w:val="006D5858"/>
    <w:rsid w:val="006D6B35"/>
    <w:rsid w:val="006E110D"/>
    <w:rsid w:val="006F217C"/>
    <w:rsid w:val="006F46DE"/>
    <w:rsid w:val="00711664"/>
    <w:rsid w:val="00717627"/>
    <w:rsid w:val="007228FA"/>
    <w:rsid w:val="007231BD"/>
    <w:rsid w:val="007261ED"/>
    <w:rsid w:val="007322D6"/>
    <w:rsid w:val="007328C0"/>
    <w:rsid w:val="00741AD2"/>
    <w:rsid w:val="00750349"/>
    <w:rsid w:val="00755B4C"/>
    <w:rsid w:val="00755D8C"/>
    <w:rsid w:val="00781C08"/>
    <w:rsid w:val="00783BEC"/>
    <w:rsid w:val="00787825"/>
    <w:rsid w:val="00791279"/>
    <w:rsid w:val="007A7B71"/>
    <w:rsid w:val="007B3132"/>
    <w:rsid w:val="007B323F"/>
    <w:rsid w:val="007B539D"/>
    <w:rsid w:val="007C13D0"/>
    <w:rsid w:val="007C1E39"/>
    <w:rsid w:val="007C2A76"/>
    <w:rsid w:val="007C2B04"/>
    <w:rsid w:val="007E548A"/>
    <w:rsid w:val="007F4E20"/>
    <w:rsid w:val="00802C2B"/>
    <w:rsid w:val="00810B63"/>
    <w:rsid w:val="008160FE"/>
    <w:rsid w:val="00822659"/>
    <w:rsid w:val="0082668C"/>
    <w:rsid w:val="00826FE1"/>
    <w:rsid w:val="008377FF"/>
    <w:rsid w:val="00843BF6"/>
    <w:rsid w:val="00854BCD"/>
    <w:rsid w:val="00861618"/>
    <w:rsid w:val="00896AE0"/>
    <w:rsid w:val="008B63BA"/>
    <w:rsid w:val="008B66C2"/>
    <w:rsid w:val="008C5B82"/>
    <w:rsid w:val="008C7A84"/>
    <w:rsid w:val="008D3E1A"/>
    <w:rsid w:val="008E4294"/>
    <w:rsid w:val="008F344A"/>
    <w:rsid w:val="009048FE"/>
    <w:rsid w:val="00916B64"/>
    <w:rsid w:val="00930915"/>
    <w:rsid w:val="00936AD7"/>
    <w:rsid w:val="009372E6"/>
    <w:rsid w:val="00953C0C"/>
    <w:rsid w:val="009839D3"/>
    <w:rsid w:val="009A1518"/>
    <w:rsid w:val="009B4171"/>
    <w:rsid w:val="009C5C89"/>
    <w:rsid w:val="009D6119"/>
    <w:rsid w:val="00A07B58"/>
    <w:rsid w:val="00A103D6"/>
    <w:rsid w:val="00A14C37"/>
    <w:rsid w:val="00A15BBF"/>
    <w:rsid w:val="00A31FC9"/>
    <w:rsid w:val="00A33757"/>
    <w:rsid w:val="00A41EF3"/>
    <w:rsid w:val="00A46379"/>
    <w:rsid w:val="00A56FBB"/>
    <w:rsid w:val="00A61CB2"/>
    <w:rsid w:val="00A7494C"/>
    <w:rsid w:val="00A8344C"/>
    <w:rsid w:val="00A86C2A"/>
    <w:rsid w:val="00A90590"/>
    <w:rsid w:val="00A92FFA"/>
    <w:rsid w:val="00A9484D"/>
    <w:rsid w:val="00A97B77"/>
    <w:rsid w:val="00AB61AB"/>
    <w:rsid w:val="00AB6329"/>
    <w:rsid w:val="00AC0D77"/>
    <w:rsid w:val="00AC2063"/>
    <w:rsid w:val="00AC2CA9"/>
    <w:rsid w:val="00AD44F9"/>
    <w:rsid w:val="00AD7971"/>
    <w:rsid w:val="00AE1F8A"/>
    <w:rsid w:val="00AF7D2F"/>
    <w:rsid w:val="00B00C1B"/>
    <w:rsid w:val="00B05EA7"/>
    <w:rsid w:val="00B0780B"/>
    <w:rsid w:val="00B10AB1"/>
    <w:rsid w:val="00B127B5"/>
    <w:rsid w:val="00B259A2"/>
    <w:rsid w:val="00B44EFA"/>
    <w:rsid w:val="00B50A3C"/>
    <w:rsid w:val="00B5196B"/>
    <w:rsid w:val="00B54A03"/>
    <w:rsid w:val="00B67434"/>
    <w:rsid w:val="00B67733"/>
    <w:rsid w:val="00B75932"/>
    <w:rsid w:val="00B81972"/>
    <w:rsid w:val="00B82DF3"/>
    <w:rsid w:val="00B85DBC"/>
    <w:rsid w:val="00BB2459"/>
    <w:rsid w:val="00BC059F"/>
    <w:rsid w:val="00BD0B5B"/>
    <w:rsid w:val="00BE435F"/>
    <w:rsid w:val="00BE66D4"/>
    <w:rsid w:val="00BF0BD5"/>
    <w:rsid w:val="00C119CC"/>
    <w:rsid w:val="00C14CCB"/>
    <w:rsid w:val="00C16E86"/>
    <w:rsid w:val="00C21F45"/>
    <w:rsid w:val="00C3157D"/>
    <w:rsid w:val="00C35A20"/>
    <w:rsid w:val="00C470A1"/>
    <w:rsid w:val="00C546C0"/>
    <w:rsid w:val="00C61FC9"/>
    <w:rsid w:val="00C634BB"/>
    <w:rsid w:val="00C661A8"/>
    <w:rsid w:val="00C768D3"/>
    <w:rsid w:val="00C80CE0"/>
    <w:rsid w:val="00C82A8C"/>
    <w:rsid w:val="00C977F4"/>
    <w:rsid w:val="00CA10C9"/>
    <w:rsid w:val="00CA20FA"/>
    <w:rsid w:val="00CA518E"/>
    <w:rsid w:val="00CB2093"/>
    <w:rsid w:val="00CB74B0"/>
    <w:rsid w:val="00CC546B"/>
    <w:rsid w:val="00CD50A4"/>
    <w:rsid w:val="00CF4D2F"/>
    <w:rsid w:val="00CF72F6"/>
    <w:rsid w:val="00D03547"/>
    <w:rsid w:val="00D13F80"/>
    <w:rsid w:val="00D17C25"/>
    <w:rsid w:val="00D24634"/>
    <w:rsid w:val="00D27E14"/>
    <w:rsid w:val="00D40502"/>
    <w:rsid w:val="00D429C8"/>
    <w:rsid w:val="00D5323B"/>
    <w:rsid w:val="00D62FDB"/>
    <w:rsid w:val="00D67C43"/>
    <w:rsid w:val="00D71916"/>
    <w:rsid w:val="00D71B35"/>
    <w:rsid w:val="00D746B5"/>
    <w:rsid w:val="00D850DE"/>
    <w:rsid w:val="00D856F3"/>
    <w:rsid w:val="00DA2E07"/>
    <w:rsid w:val="00DB5798"/>
    <w:rsid w:val="00DD1167"/>
    <w:rsid w:val="00DE2BF2"/>
    <w:rsid w:val="00DF07A6"/>
    <w:rsid w:val="00E00D64"/>
    <w:rsid w:val="00E079C1"/>
    <w:rsid w:val="00E11F07"/>
    <w:rsid w:val="00E1658F"/>
    <w:rsid w:val="00E34411"/>
    <w:rsid w:val="00E41E4F"/>
    <w:rsid w:val="00E4487C"/>
    <w:rsid w:val="00E72594"/>
    <w:rsid w:val="00E7777B"/>
    <w:rsid w:val="00EA0A87"/>
    <w:rsid w:val="00EA56FD"/>
    <w:rsid w:val="00EC4D78"/>
    <w:rsid w:val="00ED38CE"/>
    <w:rsid w:val="00EE7E7F"/>
    <w:rsid w:val="00F041AA"/>
    <w:rsid w:val="00F04EBC"/>
    <w:rsid w:val="00F12DF8"/>
    <w:rsid w:val="00F23FEF"/>
    <w:rsid w:val="00F32757"/>
    <w:rsid w:val="00F45E9B"/>
    <w:rsid w:val="00F576EB"/>
    <w:rsid w:val="00F62286"/>
    <w:rsid w:val="00F63F3B"/>
    <w:rsid w:val="00F71510"/>
    <w:rsid w:val="00F72905"/>
    <w:rsid w:val="00F81F26"/>
    <w:rsid w:val="00F90091"/>
    <w:rsid w:val="00FA30CB"/>
    <w:rsid w:val="00FA4BBC"/>
    <w:rsid w:val="00FA7C5C"/>
    <w:rsid w:val="00FB0CFC"/>
    <w:rsid w:val="00FC6232"/>
    <w:rsid w:val="00FD4C0C"/>
    <w:rsid w:val="00FD6CED"/>
    <w:rsid w:val="00FF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o:colormru v:ext="edit" colors="#ddd,silver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5"/>
    <w:lsdException w:name="caption" w:qFormat="1"/>
    <w:lsdException w:name="footnote reference" w:uiPriority="5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CF4"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link w:val="Heading3Char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aliases w:val="sd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uiPriority w:val="5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2Indent2">
    <w:name w:val="Heading 2 Indent2"/>
    <w:basedOn w:val="Heading2"/>
    <w:next w:val="Normal"/>
    <w:pPr>
      <w:ind w:left="1021"/>
    </w:pPr>
  </w:style>
  <w:style w:type="paragraph" w:customStyle="1" w:styleId="Heading2Indent3">
    <w:name w:val="Heading 2 Indent3"/>
    <w:basedOn w:val="Heading2"/>
    <w:next w:val="Normal"/>
    <w:pPr>
      <w:ind w:left="1531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3Indent2">
    <w:name w:val="Heading 3 Indent2"/>
    <w:basedOn w:val="Heading3"/>
    <w:next w:val="Normal"/>
    <w:pPr>
      <w:ind w:left="1021"/>
    </w:pPr>
  </w:style>
  <w:style w:type="paragraph" w:customStyle="1" w:styleId="Heading3Indent3">
    <w:name w:val="Heading 3 Indent3"/>
    <w:basedOn w:val="Heading3"/>
    <w:next w:val="Normal"/>
    <w:pPr>
      <w:ind w:left="1531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4Indent2">
    <w:name w:val="Heading 4 Indent2"/>
    <w:basedOn w:val="Heading4"/>
    <w:next w:val="Normal"/>
    <w:pPr>
      <w:ind w:left="1021"/>
    </w:pPr>
  </w:style>
  <w:style w:type="paragraph" w:customStyle="1" w:styleId="Heading4Indent3">
    <w:name w:val="Heading 4 Indent3"/>
    <w:basedOn w:val="Heading4"/>
    <w:next w:val="Normal"/>
    <w:pPr>
      <w:ind w:left="1531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5Indent2">
    <w:name w:val="Heading 5 Indent2"/>
    <w:basedOn w:val="Heading5"/>
    <w:next w:val="Normal"/>
    <w:pPr>
      <w:ind w:left="1021"/>
    </w:pPr>
  </w:style>
  <w:style w:type="paragraph" w:customStyle="1" w:styleId="Heading5Indent3">
    <w:name w:val="Heading 5 Indent3"/>
    <w:basedOn w:val="Heading5"/>
    <w:next w:val="Normal"/>
    <w:pPr>
      <w:ind w:left="1531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customStyle="1" w:styleId="Heading6Indent2">
    <w:name w:val="Heading 6 Indent2"/>
    <w:basedOn w:val="Heading6"/>
    <w:next w:val="Normal"/>
    <w:pPr>
      <w:ind w:left="1021"/>
    </w:pPr>
  </w:style>
  <w:style w:type="paragraph" w:customStyle="1" w:styleId="Heading6Indent3">
    <w:name w:val="Heading 6 Indent3"/>
    <w:basedOn w:val="Heading6"/>
    <w:next w:val="Normal"/>
    <w:pPr>
      <w:ind w:left="153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caps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pPr>
      <w:spacing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5954"/>
      </w:tabs>
      <w:spacing w:after="60"/>
      <w:ind w:left="170" w:right="1134" w:hanging="170"/>
    </w:pPr>
    <w:rPr>
      <w:caps/>
    </w:r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1">
    <w:name w:val="Contents Level1"/>
    <w:basedOn w:val="Normal"/>
    <w:pPr>
      <w:tabs>
        <w:tab w:val="right" w:pos="5954"/>
      </w:tabs>
      <w:spacing w:after="60"/>
      <w:ind w:left="170" w:right="1134" w:hanging="170"/>
    </w:p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customStyle="1" w:styleId="Heading2IndentAus1">
    <w:name w:val="Heading 2 IndentAus1"/>
    <w:basedOn w:val="Heading2"/>
    <w:next w:val="Normal"/>
    <w:pPr>
      <w:ind w:left="1077"/>
    </w:pPr>
  </w:style>
  <w:style w:type="paragraph" w:customStyle="1" w:styleId="Heading2IndentAus2">
    <w:name w:val="Heading 2 IndentAus2"/>
    <w:basedOn w:val="Heading2"/>
    <w:next w:val="Normal"/>
    <w:pPr>
      <w:ind w:left="1588"/>
    </w:pPr>
  </w:style>
  <w:style w:type="paragraph" w:customStyle="1" w:styleId="Heading3IndentAus1">
    <w:name w:val="Heading 3 IndentAus1"/>
    <w:basedOn w:val="Heading3"/>
    <w:next w:val="Normal"/>
    <w:pPr>
      <w:ind w:left="1077"/>
    </w:pPr>
  </w:style>
  <w:style w:type="paragraph" w:customStyle="1" w:styleId="Heading3IndentAus2">
    <w:name w:val="Heading 3 IndentAus2"/>
    <w:basedOn w:val="Heading3"/>
    <w:next w:val="Normal"/>
    <w:pPr>
      <w:ind w:left="1588"/>
    </w:pPr>
  </w:style>
  <w:style w:type="paragraph" w:customStyle="1" w:styleId="Heading4IndentAus1">
    <w:name w:val="Heading 4 IndentAus1"/>
    <w:basedOn w:val="Heading4"/>
    <w:next w:val="Normal"/>
    <w:pPr>
      <w:ind w:left="1077"/>
    </w:pPr>
  </w:style>
  <w:style w:type="paragraph" w:customStyle="1" w:styleId="Heading4IndentAus2">
    <w:name w:val="Heading 4 IndentAus2"/>
    <w:basedOn w:val="Heading4"/>
    <w:next w:val="Normal"/>
    <w:pPr>
      <w:ind w:left="1588"/>
    </w:pPr>
  </w:style>
  <w:style w:type="paragraph" w:customStyle="1" w:styleId="Heading5IndentAus1">
    <w:name w:val="Heading 5 IndentAus1"/>
    <w:basedOn w:val="Heading5"/>
    <w:next w:val="Normal"/>
    <w:pPr>
      <w:ind w:left="1077"/>
    </w:pPr>
  </w:style>
  <w:style w:type="paragraph" w:customStyle="1" w:styleId="Heading5IndentAus2">
    <w:name w:val="Heading 5 IndentAus2"/>
    <w:basedOn w:val="Heading5"/>
    <w:next w:val="Normal"/>
    <w:pPr>
      <w:ind w:left="1588"/>
    </w:pPr>
  </w:style>
  <w:style w:type="paragraph" w:customStyle="1" w:styleId="Heading6IndentAus1">
    <w:name w:val="Heading 6 IndentAus1"/>
    <w:basedOn w:val="Heading6"/>
    <w:next w:val="Normal"/>
    <w:pPr>
      <w:ind w:left="1077"/>
    </w:pPr>
  </w:style>
  <w:style w:type="paragraph" w:customStyle="1" w:styleId="Heading6IndentAus2">
    <w:name w:val="Heading 6 IndentAus2"/>
    <w:basedOn w:val="Heading6"/>
    <w:next w:val="Normal"/>
    <w:pPr>
      <w:ind w:left="1588"/>
    </w:pPr>
  </w:style>
  <w:style w:type="paragraph" w:customStyle="1" w:styleId="AusPlain1">
    <w:name w:val="Aus Plain1"/>
    <w:basedOn w:val="Normal"/>
    <w:pPr>
      <w:spacing w:after="200"/>
      <w:ind w:left="1077" w:hanging="1077"/>
    </w:pPr>
  </w:style>
  <w:style w:type="paragraph" w:customStyle="1" w:styleId="AusPlain2">
    <w:name w:val="Aus Plain2"/>
    <w:basedOn w:val="AusPlain1"/>
    <w:pPr>
      <w:ind w:left="1587" w:hanging="510"/>
    </w:pPr>
  </w:style>
  <w:style w:type="paragraph" w:customStyle="1" w:styleId="AusBold1">
    <w:name w:val="Aus Bold1"/>
    <w:basedOn w:val="Normal"/>
    <w:pPr>
      <w:spacing w:after="200"/>
      <w:ind w:left="1077" w:hanging="1077"/>
    </w:pPr>
    <w:rPr>
      <w:b/>
    </w:rPr>
  </w:style>
  <w:style w:type="paragraph" w:customStyle="1" w:styleId="AusBold2">
    <w:name w:val="Aus Bold2"/>
    <w:basedOn w:val="AusBold1"/>
    <w:pPr>
      <w:ind w:left="1587" w:hanging="510"/>
    </w:pPr>
  </w:style>
  <w:style w:type="paragraph" w:customStyle="1" w:styleId="AusPlainIndent1">
    <w:name w:val="Aus PlainIndent1"/>
    <w:basedOn w:val="Normal"/>
    <w:pPr>
      <w:spacing w:after="200"/>
      <w:ind w:left="1077"/>
    </w:pPr>
  </w:style>
  <w:style w:type="paragraph" w:customStyle="1" w:styleId="AusPlainIndent2">
    <w:name w:val="Aus PlainIndent2"/>
    <w:basedOn w:val="AusPlainIndent1"/>
    <w:pPr>
      <w:ind w:left="1588"/>
    </w:pPr>
  </w:style>
  <w:style w:type="paragraph" w:customStyle="1" w:styleId="NoNumPlain1">
    <w:name w:val="NoNum Plain1"/>
    <w:basedOn w:val="Normal"/>
    <w:link w:val="NoNumPlain1Char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pPr>
      <w:spacing w:after="200"/>
      <w:ind w:left="510" w:hanging="510"/>
    </w:pPr>
  </w:style>
  <w:style w:type="paragraph" w:customStyle="1" w:styleId="NumPlain2">
    <w:name w:val="Num Plain2"/>
    <w:basedOn w:val="NumPlain1"/>
    <w:pPr>
      <w:ind w:left="1020"/>
    </w:pPr>
  </w:style>
  <w:style w:type="paragraph" w:customStyle="1" w:styleId="NumPlain3">
    <w:name w:val="Num Plain3"/>
    <w:basedOn w:val="NumPlain2"/>
    <w:pPr>
      <w:ind w:left="1531"/>
    </w:pPr>
  </w:style>
  <w:style w:type="paragraph" w:customStyle="1" w:styleId="NumPlain4">
    <w:name w:val="Num Plain4"/>
    <w:basedOn w:val="NumPlain3"/>
    <w:pPr>
      <w:ind w:left="2041"/>
    </w:pPr>
  </w:style>
  <w:style w:type="paragraph" w:customStyle="1" w:styleId="NumBold1">
    <w:name w:val="Num Bold1"/>
    <w:basedOn w:val="Normal"/>
    <w:pPr>
      <w:spacing w:after="200"/>
      <w:ind w:left="510" w:hanging="510"/>
    </w:pPr>
    <w:rPr>
      <w:b/>
    </w:rPr>
  </w:style>
  <w:style w:type="paragraph" w:customStyle="1" w:styleId="NumBold2">
    <w:name w:val="Num Bold2"/>
    <w:basedOn w:val="NumBold1"/>
    <w:pPr>
      <w:ind w:left="1020"/>
    </w:pPr>
  </w:style>
  <w:style w:type="paragraph" w:customStyle="1" w:styleId="NumBold3">
    <w:name w:val="Num Bold3"/>
    <w:basedOn w:val="NumBold2"/>
    <w:pPr>
      <w:ind w:left="1531"/>
    </w:pPr>
  </w:style>
  <w:style w:type="paragraph" w:customStyle="1" w:styleId="NumBold4">
    <w:name w:val="Num Bold4"/>
    <w:basedOn w:val="NumBold3"/>
    <w:pPr>
      <w:ind w:left="2041"/>
    </w:pPr>
  </w:style>
  <w:style w:type="paragraph" w:customStyle="1" w:styleId="Bullet1">
    <w:name w:val="Bullet1"/>
    <w:basedOn w:val="Normal"/>
    <w:pPr>
      <w:numPr>
        <w:numId w:val="2"/>
      </w:numPr>
      <w:spacing w:after="200"/>
    </w:pPr>
  </w:style>
  <w:style w:type="paragraph" w:customStyle="1" w:styleId="Bullet2">
    <w:name w:val="Bullet2"/>
    <w:basedOn w:val="Normal"/>
    <w:pPr>
      <w:numPr>
        <w:numId w:val="1"/>
      </w:numPr>
      <w:spacing w:after="200"/>
      <w:ind w:left="1020" w:hanging="510"/>
    </w:pPr>
  </w:style>
  <w:style w:type="paragraph" w:customStyle="1" w:styleId="Bullet3">
    <w:name w:val="Bullet3"/>
    <w:basedOn w:val="Normal"/>
    <w:pPr>
      <w:numPr>
        <w:numId w:val="3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pPr>
      <w:numPr>
        <w:numId w:val="6"/>
      </w:numPr>
      <w:spacing w:after="200"/>
    </w:pPr>
  </w:style>
  <w:style w:type="paragraph" w:customStyle="1" w:styleId="Heading2IndentAG1">
    <w:name w:val="Heading 2 IndentAG1"/>
    <w:basedOn w:val="Heading2"/>
    <w:next w:val="Normal"/>
    <w:pPr>
      <w:ind w:left="737"/>
    </w:pPr>
  </w:style>
  <w:style w:type="paragraph" w:customStyle="1" w:styleId="Heading2IndentAG2">
    <w:name w:val="Heading 2 IndentAG2"/>
    <w:basedOn w:val="Heading2"/>
    <w:next w:val="Normal"/>
    <w:pPr>
      <w:ind w:left="1247"/>
    </w:pPr>
  </w:style>
  <w:style w:type="paragraph" w:customStyle="1" w:styleId="Heading3IndentAG1">
    <w:name w:val="Heading 3 IndentAG1"/>
    <w:basedOn w:val="Heading3"/>
    <w:next w:val="Normal"/>
    <w:pPr>
      <w:ind w:left="737"/>
    </w:pPr>
  </w:style>
  <w:style w:type="paragraph" w:customStyle="1" w:styleId="Heading3IndentAG2">
    <w:name w:val="Heading 3 IndentAG2"/>
    <w:basedOn w:val="Heading3"/>
    <w:next w:val="Normal"/>
    <w:pPr>
      <w:ind w:left="1247"/>
    </w:pPr>
  </w:style>
  <w:style w:type="paragraph" w:customStyle="1" w:styleId="Heading4IndentAG1">
    <w:name w:val="Heading 4 IndentAG1"/>
    <w:basedOn w:val="Heading4"/>
    <w:next w:val="Normal"/>
    <w:pPr>
      <w:ind w:left="737"/>
    </w:pPr>
  </w:style>
  <w:style w:type="paragraph" w:customStyle="1" w:styleId="Heading4IndentAG2">
    <w:name w:val="Heading 4 IndentAG2"/>
    <w:basedOn w:val="Heading4"/>
    <w:next w:val="Normal"/>
    <w:pPr>
      <w:ind w:left="1247"/>
    </w:pPr>
  </w:style>
  <w:style w:type="paragraph" w:customStyle="1" w:styleId="Heading5IndentAG1">
    <w:name w:val="Heading 5 IndentAG1"/>
    <w:basedOn w:val="Heading5"/>
    <w:next w:val="Normal"/>
    <w:pPr>
      <w:ind w:left="737"/>
    </w:pPr>
  </w:style>
  <w:style w:type="paragraph" w:customStyle="1" w:styleId="Heading5IndentAG2">
    <w:name w:val="Heading 5 IndentAG2"/>
    <w:basedOn w:val="Heading5"/>
    <w:next w:val="Normal"/>
    <w:pPr>
      <w:ind w:left="1247"/>
    </w:pPr>
  </w:style>
  <w:style w:type="paragraph" w:customStyle="1" w:styleId="Heading6IndentAG1">
    <w:name w:val="Heading 6 IndentAG1"/>
    <w:basedOn w:val="Heading6"/>
    <w:next w:val="Normal"/>
    <w:pPr>
      <w:ind w:left="737"/>
    </w:pPr>
  </w:style>
  <w:style w:type="paragraph" w:customStyle="1" w:styleId="Heading6IndentAG2">
    <w:name w:val="Heading 6 IndentAG2"/>
    <w:basedOn w:val="Heading6"/>
    <w:next w:val="Normal"/>
    <w:pPr>
      <w:ind w:left="1247"/>
    </w:pPr>
  </w:style>
  <w:style w:type="paragraph" w:customStyle="1" w:styleId="AGPlain1">
    <w:name w:val="AG Plain1"/>
    <w:basedOn w:val="Normal"/>
    <w:pPr>
      <w:spacing w:after="200"/>
      <w:ind w:left="737" w:hanging="737"/>
    </w:pPr>
  </w:style>
  <w:style w:type="paragraph" w:customStyle="1" w:styleId="AGPlain2">
    <w:name w:val="AG Plain2"/>
    <w:basedOn w:val="AGPlain1"/>
    <w:pPr>
      <w:ind w:left="1247" w:hanging="510"/>
    </w:pPr>
  </w:style>
  <w:style w:type="paragraph" w:customStyle="1" w:styleId="AGBold1">
    <w:name w:val="AG Bold1"/>
    <w:basedOn w:val="Normal"/>
    <w:pPr>
      <w:spacing w:after="200"/>
      <w:ind w:left="737" w:hanging="737"/>
    </w:pPr>
    <w:rPr>
      <w:b/>
    </w:rPr>
  </w:style>
  <w:style w:type="paragraph" w:customStyle="1" w:styleId="AGBold2">
    <w:name w:val="AG Bold2"/>
    <w:basedOn w:val="AGBold1"/>
    <w:pPr>
      <w:ind w:left="1247" w:hanging="510"/>
    </w:pPr>
  </w:style>
  <w:style w:type="paragraph" w:customStyle="1" w:styleId="AGPlainIndent1">
    <w:name w:val="AG PlainIndent1"/>
    <w:basedOn w:val="Normal"/>
    <w:pPr>
      <w:spacing w:after="200"/>
      <w:ind w:left="737"/>
    </w:pPr>
  </w:style>
  <w:style w:type="paragraph" w:customStyle="1" w:styleId="AGPlainIndent2">
    <w:name w:val="AG PlainIndent2"/>
    <w:basedOn w:val="AGPlainIndent1"/>
    <w:pPr>
      <w:ind w:left="1247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efinePara">
    <w:name w:val="Define Para"/>
    <w:basedOn w:val="Normal"/>
    <w:pPr>
      <w:spacing w:after="200"/>
    </w:pPr>
    <w:rPr>
      <w:b/>
    </w:rPr>
  </w:style>
  <w:style w:type="paragraph" w:customStyle="1" w:styleId="DefnPara">
    <w:name w:val="Defn Para"/>
    <w:basedOn w:val="Normal"/>
    <w:pPr>
      <w:spacing w:after="200"/>
      <w:ind w:left="1077" w:hanging="340"/>
    </w:pPr>
    <w:rPr>
      <w:b/>
    </w:rPr>
  </w:style>
  <w:style w:type="paragraph" w:customStyle="1" w:styleId="DefnSubpoint1">
    <w:name w:val="Defn Subpoint1"/>
    <w:basedOn w:val="DefnPara"/>
    <w:pPr>
      <w:ind w:left="1587" w:hanging="510"/>
    </w:pPr>
  </w:style>
  <w:style w:type="paragraph" w:customStyle="1" w:styleId="DefnSubpoint2">
    <w:name w:val="Defn Subpoint2"/>
    <w:basedOn w:val="DefnSubpoint1"/>
    <w:pPr>
      <w:ind w:left="2098"/>
    </w:pPr>
  </w:style>
  <w:style w:type="paragraph" w:customStyle="1" w:styleId="DefnSubpoint3">
    <w:name w:val="Defn Subpoint3"/>
    <w:basedOn w:val="DefnSubpoint2"/>
    <w:pPr>
      <w:ind w:left="2608"/>
    </w:pPr>
  </w:style>
  <w:style w:type="paragraph" w:customStyle="1" w:styleId="TextPara">
    <w:name w:val="Text Para"/>
    <w:basedOn w:val="Normal"/>
  </w:style>
  <w:style w:type="paragraph" w:customStyle="1" w:styleId="TextPoint">
    <w:name w:val="Text Point"/>
    <w:basedOn w:val="TextPara"/>
    <w:pPr>
      <w:spacing w:after="60"/>
      <w:ind w:left="318" w:hanging="318"/>
    </w:pPr>
  </w:style>
  <w:style w:type="paragraph" w:customStyle="1" w:styleId="RunOrder2">
    <w:name w:val="Run Order 2"/>
    <w:basedOn w:val="Normal"/>
    <w:pPr>
      <w:tabs>
        <w:tab w:val="left" w:pos="3600"/>
      </w:tabs>
      <w:spacing w:line="240" w:lineRule="auto"/>
      <w:ind w:left="4176" w:hanging="288"/>
    </w:pPr>
    <w:rPr>
      <w:sz w:val="24"/>
    </w:rPr>
  </w:style>
  <w:style w:type="paragraph" w:customStyle="1" w:styleId="ContentsPlain">
    <w:name w:val="Contents Plain"/>
    <w:basedOn w:val="Normal"/>
    <w:pPr>
      <w:tabs>
        <w:tab w:val="left" w:pos="284"/>
        <w:tab w:val="right" w:pos="5954"/>
      </w:tabs>
      <w:spacing w:before="60" w:after="60"/>
      <w:ind w:left="284" w:right="284" w:hanging="284"/>
    </w:pPr>
  </w:style>
  <w:style w:type="paragraph" w:customStyle="1" w:styleId="ParaHeading4">
    <w:name w:val="Para Heading 4"/>
    <w:basedOn w:val="Normal"/>
    <w:next w:val="Normal"/>
    <w:pPr>
      <w:keepNext/>
      <w:keepLines/>
      <w:spacing w:before="120" w:line="240" w:lineRule="exact"/>
      <w:ind w:left="567"/>
    </w:pPr>
    <w:rPr>
      <w:b/>
      <w:sz w:val="24"/>
    </w:rPr>
  </w:style>
  <w:style w:type="character" w:customStyle="1" w:styleId="Part">
    <w:name w:val="Part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NumPlain1Char">
    <w:name w:val="Num Plain1 Char"/>
    <w:link w:val="NumPlain1"/>
    <w:rsid w:val="00B85DBC"/>
    <w:rPr>
      <w:lang w:val="en-AU" w:eastAsia="en-US" w:bidi="ar-SA"/>
    </w:rPr>
  </w:style>
  <w:style w:type="paragraph" w:customStyle="1" w:styleId="Bullets">
    <w:name w:val="Bullets"/>
    <w:basedOn w:val="Normal"/>
    <w:rsid w:val="006D5858"/>
    <w:pPr>
      <w:numPr>
        <w:numId w:val="7"/>
      </w:numPr>
      <w:spacing w:line="240" w:lineRule="auto"/>
    </w:pPr>
    <w:rPr>
      <w:sz w:val="24"/>
    </w:rPr>
  </w:style>
  <w:style w:type="paragraph" w:customStyle="1" w:styleId="MemoSectionHead">
    <w:name w:val="MemoSectionHead"/>
    <w:basedOn w:val="Heading1"/>
    <w:rsid w:val="004209B2"/>
    <w:pPr>
      <w:spacing w:before="240" w:after="240" w:line="240" w:lineRule="auto"/>
      <w:jc w:val="left"/>
    </w:pPr>
    <w:rPr>
      <w:rFonts w:cs="Times New Roman"/>
      <w:bCs w:val="0"/>
      <w:caps w:val="0"/>
      <w:sz w:val="24"/>
      <w:szCs w:val="20"/>
      <w:u w:val="single"/>
    </w:rPr>
  </w:style>
  <w:style w:type="paragraph" w:customStyle="1" w:styleId="PlainHanging1">
    <w:name w:val="Plain Hanging1"/>
    <w:basedOn w:val="NoNumPlain2"/>
    <w:rsid w:val="00FD4C0C"/>
    <w:pPr>
      <w:ind w:left="1020" w:hanging="510"/>
    </w:pPr>
  </w:style>
  <w:style w:type="paragraph" w:customStyle="1" w:styleId="NumPlainA">
    <w:name w:val="Num PlainA"/>
    <w:basedOn w:val="Normal"/>
    <w:rsid w:val="00FD4C0C"/>
    <w:pPr>
      <w:numPr>
        <w:numId w:val="8"/>
      </w:numPr>
      <w:spacing w:after="200"/>
      <w:outlineLvl w:val="0"/>
    </w:pPr>
  </w:style>
  <w:style w:type="paragraph" w:customStyle="1" w:styleId="NumPlainA2">
    <w:name w:val="Num PlainA2"/>
    <w:basedOn w:val="NumPlainA"/>
    <w:rsid w:val="00FD4C0C"/>
    <w:pPr>
      <w:numPr>
        <w:ilvl w:val="1"/>
      </w:numPr>
      <w:outlineLvl w:val="1"/>
    </w:pPr>
  </w:style>
  <w:style w:type="character" w:customStyle="1" w:styleId="NoNumPlain1Char">
    <w:name w:val="NoNum Plain1 Char"/>
    <w:link w:val="NoNumPlain1"/>
    <w:rsid w:val="00FD4C0C"/>
    <w:rPr>
      <w:lang w:val="en-AU" w:eastAsia="en-US" w:bidi="ar-SA"/>
    </w:rPr>
  </w:style>
  <w:style w:type="character" w:styleId="FootnoteReference">
    <w:name w:val="footnote reference"/>
    <w:uiPriority w:val="5"/>
    <w:rsid w:val="00A92FFA"/>
    <w:rPr>
      <w:vertAlign w:val="superscript"/>
    </w:rPr>
  </w:style>
  <w:style w:type="paragraph" w:styleId="BalloonText">
    <w:name w:val="Balloon Text"/>
    <w:basedOn w:val="Normal"/>
    <w:semiHidden/>
    <w:rsid w:val="001E087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131465"/>
    <w:pPr>
      <w:spacing w:line="360" w:lineRule="auto"/>
      <w:ind w:left="142"/>
    </w:pPr>
    <w:rPr>
      <w:rFonts w:ascii="Arial" w:hAnsi="Arial"/>
      <w:szCs w:val="24"/>
      <w:lang w:eastAsia="en-AU"/>
    </w:rPr>
  </w:style>
  <w:style w:type="paragraph" w:customStyle="1" w:styleId="AppendixNote">
    <w:name w:val="AppendixNote"/>
    <w:basedOn w:val="Normal"/>
    <w:next w:val="Normal"/>
    <w:rsid w:val="00270E02"/>
    <w:pPr>
      <w:spacing w:after="200"/>
    </w:pPr>
    <w:rPr>
      <w:i/>
      <w:iCs/>
    </w:rPr>
  </w:style>
  <w:style w:type="paragraph" w:customStyle="1" w:styleId="Default">
    <w:name w:val="Default"/>
    <w:rsid w:val="00270E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50349"/>
    <w:rPr>
      <w:rFonts w:cs="Arial"/>
      <w:b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750349"/>
    <w:rPr>
      <w:rFonts w:cs="Arial"/>
      <w:b/>
      <w:bCs/>
      <w:iCs/>
      <w:sz w:val="24"/>
      <w:szCs w:val="26"/>
      <w:lang w:eastAsia="en-US"/>
    </w:rPr>
  </w:style>
  <w:style w:type="character" w:styleId="CommentReference">
    <w:name w:val="annotation reference"/>
    <w:basedOn w:val="DefaultParagraphFont"/>
    <w:rsid w:val="001404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40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404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409"/>
    <w:rPr>
      <w:b/>
      <w:bCs/>
      <w:lang w:eastAsia="en-US"/>
    </w:rPr>
  </w:style>
  <w:style w:type="paragraph" w:customStyle="1" w:styleId="PlainHanging0">
    <w:name w:val="Plain Hanging0"/>
    <w:basedOn w:val="Normal"/>
    <w:qFormat/>
    <w:rsid w:val="00530118"/>
    <w:pPr>
      <w:spacing w:after="200"/>
      <w:ind w:left="510" w:hanging="5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5"/>
    <w:lsdException w:name="caption" w:qFormat="1"/>
    <w:lsdException w:name="footnote reference" w:uiPriority="5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CF4"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link w:val="Heading3Char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aliases w:val="sd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uiPriority w:val="5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2Indent2">
    <w:name w:val="Heading 2 Indent2"/>
    <w:basedOn w:val="Heading2"/>
    <w:next w:val="Normal"/>
    <w:pPr>
      <w:ind w:left="1021"/>
    </w:pPr>
  </w:style>
  <w:style w:type="paragraph" w:customStyle="1" w:styleId="Heading2Indent3">
    <w:name w:val="Heading 2 Indent3"/>
    <w:basedOn w:val="Heading2"/>
    <w:next w:val="Normal"/>
    <w:pPr>
      <w:ind w:left="1531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3Indent2">
    <w:name w:val="Heading 3 Indent2"/>
    <w:basedOn w:val="Heading3"/>
    <w:next w:val="Normal"/>
    <w:pPr>
      <w:ind w:left="1021"/>
    </w:pPr>
  </w:style>
  <w:style w:type="paragraph" w:customStyle="1" w:styleId="Heading3Indent3">
    <w:name w:val="Heading 3 Indent3"/>
    <w:basedOn w:val="Heading3"/>
    <w:next w:val="Normal"/>
    <w:pPr>
      <w:ind w:left="1531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4Indent2">
    <w:name w:val="Heading 4 Indent2"/>
    <w:basedOn w:val="Heading4"/>
    <w:next w:val="Normal"/>
    <w:pPr>
      <w:ind w:left="1021"/>
    </w:pPr>
  </w:style>
  <w:style w:type="paragraph" w:customStyle="1" w:styleId="Heading4Indent3">
    <w:name w:val="Heading 4 Indent3"/>
    <w:basedOn w:val="Heading4"/>
    <w:next w:val="Normal"/>
    <w:pPr>
      <w:ind w:left="1531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5Indent2">
    <w:name w:val="Heading 5 Indent2"/>
    <w:basedOn w:val="Heading5"/>
    <w:next w:val="Normal"/>
    <w:pPr>
      <w:ind w:left="1021"/>
    </w:pPr>
  </w:style>
  <w:style w:type="paragraph" w:customStyle="1" w:styleId="Heading5Indent3">
    <w:name w:val="Heading 5 Indent3"/>
    <w:basedOn w:val="Heading5"/>
    <w:next w:val="Normal"/>
    <w:pPr>
      <w:ind w:left="1531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customStyle="1" w:styleId="Heading6Indent2">
    <w:name w:val="Heading 6 Indent2"/>
    <w:basedOn w:val="Heading6"/>
    <w:next w:val="Normal"/>
    <w:pPr>
      <w:ind w:left="1021"/>
    </w:pPr>
  </w:style>
  <w:style w:type="paragraph" w:customStyle="1" w:styleId="Heading6Indent3">
    <w:name w:val="Heading 6 Indent3"/>
    <w:basedOn w:val="Heading6"/>
    <w:next w:val="Normal"/>
    <w:pPr>
      <w:ind w:left="153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caps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pPr>
      <w:spacing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5954"/>
      </w:tabs>
      <w:spacing w:after="60"/>
      <w:ind w:left="170" w:right="1134" w:hanging="170"/>
    </w:pPr>
    <w:rPr>
      <w:caps/>
    </w:r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1">
    <w:name w:val="Contents Level1"/>
    <w:basedOn w:val="Normal"/>
    <w:pPr>
      <w:tabs>
        <w:tab w:val="right" w:pos="5954"/>
      </w:tabs>
      <w:spacing w:after="60"/>
      <w:ind w:left="170" w:right="1134" w:hanging="170"/>
    </w:p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customStyle="1" w:styleId="Heading2IndentAus1">
    <w:name w:val="Heading 2 IndentAus1"/>
    <w:basedOn w:val="Heading2"/>
    <w:next w:val="Normal"/>
    <w:pPr>
      <w:ind w:left="1077"/>
    </w:pPr>
  </w:style>
  <w:style w:type="paragraph" w:customStyle="1" w:styleId="Heading2IndentAus2">
    <w:name w:val="Heading 2 IndentAus2"/>
    <w:basedOn w:val="Heading2"/>
    <w:next w:val="Normal"/>
    <w:pPr>
      <w:ind w:left="1588"/>
    </w:pPr>
  </w:style>
  <w:style w:type="paragraph" w:customStyle="1" w:styleId="Heading3IndentAus1">
    <w:name w:val="Heading 3 IndentAus1"/>
    <w:basedOn w:val="Heading3"/>
    <w:next w:val="Normal"/>
    <w:pPr>
      <w:ind w:left="1077"/>
    </w:pPr>
  </w:style>
  <w:style w:type="paragraph" w:customStyle="1" w:styleId="Heading3IndentAus2">
    <w:name w:val="Heading 3 IndentAus2"/>
    <w:basedOn w:val="Heading3"/>
    <w:next w:val="Normal"/>
    <w:pPr>
      <w:ind w:left="1588"/>
    </w:pPr>
  </w:style>
  <w:style w:type="paragraph" w:customStyle="1" w:styleId="Heading4IndentAus1">
    <w:name w:val="Heading 4 IndentAus1"/>
    <w:basedOn w:val="Heading4"/>
    <w:next w:val="Normal"/>
    <w:pPr>
      <w:ind w:left="1077"/>
    </w:pPr>
  </w:style>
  <w:style w:type="paragraph" w:customStyle="1" w:styleId="Heading4IndentAus2">
    <w:name w:val="Heading 4 IndentAus2"/>
    <w:basedOn w:val="Heading4"/>
    <w:next w:val="Normal"/>
    <w:pPr>
      <w:ind w:left="1588"/>
    </w:pPr>
  </w:style>
  <w:style w:type="paragraph" w:customStyle="1" w:styleId="Heading5IndentAus1">
    <w:name w:val="Heading 5 IndentAus1"/>
    <w:basedOn w:val="Heading5"/>
    <w:next w:val="Normal"/>
    <w:pPr>
      <w:ind w:left="1077"/>
    </w:pPr>
  </w:style>
  <w:style w:type="paragraph" w:customStyle="1" w:styleId="Heading5IndentAus2">
    <w:name w:val="Heading 5 IndentAus2"/>
    <w:basedOn w:val="Heading5"/>
    <w:next w:val="Normal"/>
    <w:pPr>
      <w:ind w:left="1588"/>
    </w:pPr>
  </w:style>
  <w:style w:type="paragraph" w:customStyle="1" w:styleId="Heading6IndentAus1">
    <w:name w:val="Heading 6 IndentAus1"/>
    <w:basedOn w:val="Heading6"/>
    <w:next w:val="Normal"/>
    <w:pPr>
      <w:ind w:left="1077"/>
    </w:pPr>
  </w:style>
  <w:style w:type="paragraph" w:customStyle="1" w:styleId="Heading6IndentAus2">
    <w:name w:val="Heading 6 IndentAus2"/>
    <w:basedOn w:val="Heading6"/>
    <w:next w:val="Normal"/>
    <w:pPr>
      <w:ind w:left="1588"/>
    </w:pPr>
  </w:style>
  <w:style w:type="paragraph" w:customStyle="1" w:styleId="AusPlain1">
    <w:name w:val="Aus Plain1"/>
    <w:basedOn w:val="Normal"/>
    <w:pPr>
      <w:spacing w:after="200"/>
      <w:ind w:left="1077" w:hanging="1077"/>
    </w:pPr>
  </w:style>
  <w:style w:type="paragraph" w:customStyle="1" w:styleId="AusPlain2">
    <w:name w:val="Aus Plain2"/>
    <w:basedOn w:val="AusPlain1"/>
    <w:pPr>
      <w:ind w:left="1587" w:hanging="510"/>
    </w:pPr>
  </w:style>
  <w:style w:type="paragraph" w:customStyle="1" w:styleId="AusBold1">
    <w:name w:val="Aus Bold1"/>
    <w:basedOn w:val="Normal"/>
    <w:pPr>
      <w:spacing w:after="200"/>
      <w:ind w:left="1077" w:hanging="1077"/>
    </w:pPr>
    <w:rPr>
      <w:b/>
    </w:rPr>
  </w:style>
  <w:style w:type="paragraph" w:customStyle="1" w:styleId="AusBold2">
    <w:name w:val="Aus Bold2"/>
    <w:basedOn w:val="AusBold1"/>
    <w:pPr>
      <w:ind w:left="1587" w:hanging="510"/>
    </w:pPr>
  </w:style>
  <w:style w:type="paragraph" w:customStyle="1" w:styleId="AusPlainIndent1">
    <w:name w:val="Aus PlainIndent1"/>
    <w:basedOn w:val="Normal"/>
    <w:pPr>
      <w:spacing w:after="200"/>
      <w:ind w:left="1077"/>
    </w:pPr>
  </w:style>
  <w:style w:type="paragraph" w:customStyle="1" w:styleId="AusPlainIndent2">
    <w:name w:val="Aus PlainIndent2"/>
    <w:basedOn w:val="AusPlainIndent1"/>
    <w:pPr>
      <w:ind w:left="1588"/>
    </w:pPr>
  </w:style>
  <w:style w:type="paragraph" w:customStyle="1" w:styleId="NoNumPlain1">
    <w:name w:val="NoNum Plain1"/>
    <w:basedOn w:val="Normal"/>
    <w:link w:val="NoNumPlain1Char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pPr>
      <w:spacing w:after="200"/>
      <w:ind w:left="510" w:hanging="510"/>
    </w:pPr>
  </w:style>
  <w:style w:type="paragraph" w:customStyle="1" w:styleId="NumPlain2">
    <w:name w:val="Num Plain2"/>
    <w:basedOn w:val="NumPlain1"/>
    <w:pPr>
      <w:ind w:left="1020"/>
    </w:pPr>
  </w:style>
  <w:style w:type="paragraph" w:customStyle="1" w:styleId="NumPlain3">
    <w:name w:val="Num Plain3"/>
    <w:basedOn w:val="NumPlain2"/>
    <w:pPr>
      <w:ind w:left="1531"/>
    </w:pPr>
  </w:style>
  <w:style w:type="paragraph" w:customStyle="1" w:styleId="NumPlain4">
    <w:name w:val="Num Plain4"/>
    <w:basedOn w:val="NumPlain3"/>
    <w:pPr>
      <w:ind w:left="2041"/>
    </w:pPr>
  </w:style>
  <w:style w:type="paragraph" w:customStyle="1" w:styleId="NumBold1">
    <w:name w:val="Num Bold1"/>
    <w:basedOn w:val="Normal"/>
    <w:pPr>
      <w:spacing w:after="200"/>
      <w:ind w:left="510" w:hanging="510"/>
    </w:pPr>
    <w:rPr>
      <w:b/>
    </w:rPr>
  </w:style>
  <w:style w:type="paragraph" w:customStyle="1" w:styleId="NumBold2">
    <w:name w:val="Num Bold2"/>
    <w:basedOn w:val="NumBold1"/>
    <w:pPr>
      <w:ind w:left="1020"/>
    </w:pPr>
  </w:style>
  <w:style w:type="paragraph" w:customStyle="1" w:styleId="NumBold3">
    <w:name w:val="Num Bold3"/>
    <w:basedOn w:val="NumBold2"/>
    <w:pPr>
      <w:ind w:left="1531"/>
    </w:pPr>
  </w:style>
  <w:style w:type="paragraph" w:customStyle="1" w:styleId="NumBold4">
    <w:name w:val="Num Bold4"/>
    <w:basedOn w:val="NumBold3"/>
    <w:pPr>
      <w:ind w:left="2041"/>
    </w:pPr>
  </w:style>
  <w:style w:type="paragraph" w:customStyle="1" w:styleId="Bullet1">
    <w:name w:val="Bullet1"/>
    <w:basedOn w:val="Normal"/>
    <w:pPr>
      <w:numPr>
        <w:numId w:val="2"/>
      </w:numPr>
      <w:spacing w:after="200"/>
    </w:pPr>
  </w:style>
  <w:style w:type="paragraph" w:customStyle="1" w:styleId="Bullet2">
    <w:name w:val="Bullet2"/>
    <w:basedOn w:val="Normal"/>
    <w:pPr>
      <w:numPr>
        <w:numId w:val="1"/>
      </w:numPr>
      <w:spacing w:after="200"/>
      <w:ind w:left="1020" w:hanging="510"/>
    </w:pPr>
  </w:style>
  <w:style w:type="paragraph" w:customStyle="1" w:styleId="Bullet3">
    <w:name w:val="Bullet3"/>
    <w:basedOn w:val="Normal"/>
    <w:pPr>
      <w:numPr>
        <w:numId w:val="3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pPr>
      <w:numPr>
        <w:numId w:val="6"/>
      </w:numPr>
      <w:spacing w:after="200"/>
    </w:pPr>
  </w:style>
  <w:style w:type="paragraph" w:customStyle="1" w:styleId="Heading2IndentAG1">
    <w:name w:val="Heading 2 IndentAG1"/>
    <w:basedOn w:val="Heading2"/>
    <w:next w:val="Normal"/>
    <w:pPr>
      <w:ind w:left="737"/>
    </w:pPr>
  </w:style>
  <w:style w:type="paragraph" w:customStyle="1" w:styleId="Heading2IndentAG2">
    <w:name w:val="Heading 2 IndentAG2"/>
    <w:basedOn w:val="Heading2"/>
    <w:next w:val="Normal"/>
    <w:pPr>
      <w:ind w:left="1247"/>
    </w:pPr>
  </w:style>
  <w:style w:type="paragraph" w:customStyle="1" w:styleId="Heading3IndentAG1">
    <w:name w:val="Heading 3 IndentAG1"/>
    <w:basedOn w:val="Heading3"/>
    <w:next w:val="Normal"/>
    <w:pPr>
      <w:ind w:left="737"/>
    </w:pPr>
  </w:style>
  <w:style w:type="paragraph" w:customStyle="1" w:styleId="Heading3IndentAG2">
    <w:name w:val="Heading 3 IndentAG2"/>
    <w:basedOn w:val="Heading3"/>
    <w:next w:val="Normal"/>
    <w:pPr>
      <w:ind w:left="1247"/>
    </w:pPr>
  </w:style>
  <w:style w:type="paragraph" w:customStyle="1" w:styleId="Heading4IndentAG1">
    <w:name w:val="Heading 4 IndentAG1"/>
    <w:basedOn w:val="Heading4"/>
    <w:next w:val="Normal"/>
    <w:pPr>
      <w:ind w:left="737"/>
    </w:pPr>
  </w:style>
  <w:style w:type="paragraph" w:customStyle="1" w:styleId="Heading4IndentAG2">
    <w:name w:val="Heading 4 IndentAG2"/>
    <w:basedOn w:val="Heading4"/>
    <w:next w:val="Normal"/>
    <w:pPr>
      <w:ind w:left="1247"/>
    </w:pPr>
  </w:style>
  <w:style w:type="paragraph" w:customStyle="1" w:styleId="Heading5IndentAG1">
    <w:name w:val="Heading 5 IndentAG1"/>
    <w:basedOn w:val="Heading5"/>
    <w:next w:val="Normal"/>
    <w:pPr>
      <w:ind w:left="737"/>
    </w:pPr>
  </w:style>
  <w:style w:type="paragraph" w:customStyle="1" w:styleId="Heading5IndentAG2">
    <w:name w:val="Heading 5 IndentAG2"/>
    <w:basedOn w:val="Heading5"/>
    <w:next w:val="Normal"/>
    <w:pPr>
      <w:ind w:left="1247"/>
    </w:pPr>
  </w:style>
  <w:style w:type="paragraph" w:customStyle="1" w:styleId="Heading6IndentAG1">
    <w:name w:val="Heading 6 IndentAG1"/>
    <w:basedOn w:val="Heading6"/>
    <w:next w:val="Normal"/>
    <w:pPr>
      <w:ind w:left="737"/>
    </w:pPr>
  </w:style>
  <w:style w:type="paragraph" w:customStyle="1" w:styleId="Heading6IndentAG2">
    <w:name w:val="Heading 6 IndentAG2"/>
    <w:basedOn w:val="Heading6"/>
    <w:next w:val="Normal"/>
    <w:pPr>
      <w:ind w:left="1247"/>
    </w:pPr>
  </w:style>
  <w:style w:type="paragraph" w:customStyle="1" w:styleId="AGPlain1">
    <w:name w:val="AG Plain1"/>
    <w:basedOn w:val="Normal"/>
    <w:pPr>
      <w:spacing w:after="200"/>
      <w:ind w:left="737" w:hanging="737"/>
    </w:pPr>
  </w:style>
  <w:style w:type="paragraph" w:customStyle="1" w:styleId="AGPlain2">
    <w:name w:val="AG Plain2"/>
    <w:basedOn w:val="AGPlain1"/>
    <w:pPr>
      <w:ind w:left="1247" w:hanging="510"/>
    </w:pPr>
  </w:style>
  <w:style w:type="paragraph" w:customStyle="1" w:styleId="AGBold1">
    <w:name w:val="AG Bold1"/>
    <w:basedOn w:val="Normal"/>
    <w:pPr>
      <w:spacing w:after="200"/>
      <w:ind w:left="737" w:hanging="737"/>
    </w:pPr>
    <w:rPr>
      <w:b/>
    </w:rPr>
  </w:style>
  <w:style w:type="paragraph" w:customStyle="1" w:styleId="AGBold2">
    <w:name w:val="AG Bold2"/>
    <w:basedOn w:val="AGBold1"/>
    <w:pPr>
      <w:ind w:left="1247" w:hanging="510"/>
    </w:pPr>
  </w:style>
  <w:style w:type="paragraph" w:customStyle="1" w:styleId="AGPlainIndent1">
    <w:name w:val="AG PlainIndent1"/>
    <w:basedOn w:val="Normal"/>
    <w:pPr>
      <w:spacing w:after="200"/>
      <w:ind w:left="737"/>
    </w:pPr>
  </w:style>
  <w:style w:type="paragraph" w:customStyle="1" w:styleId="AGPlainIndent2">
    <w:name w:val="AG PlainIndent2"/>
    <w:basedOn w:val="AGPlainIndent1"/>
    <w:pPr>
      <w:ind w:left="1247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efinePara">
    <w:name w:val="Define Para"/>
    <w:basedOn w:val="Normal"/>
    <w:pPr>
      <w:spacing w:after="200"/>
    </w:pPr>
    <w:rPr>
      <w:b/>
    </w:rPr>
  </w:style>
  <w:style w:type="paragraph" w:customStyle="1" w:styleId="DefnPara">
    <w:name w:val="Defn Para"/>
    <w:basedOn w:val="Normal"/>
    <w:pPr>
      <w:spacing w:after="200"/>
      <w:ind w:left="1077" w:hanging="340"/>
    </w:pPr>
    <w:rPr>
      <w:b/>
    </w:rPr>
  </w:style>
  <w:style w:type="paragraph" w:customStyle="1" w:styleId="DefnSubpoint1">
    <w:name w:val="Defn Subpoint1"/>
    <w:basedOn w:val="DefnPara"/>
    <w:pPr>
      <w:ind w:left="1587" w:hanging="510"/>
    </w:pPr>
  </w:style>
  <w:style w:type="paragraph" w:customStyle="1" w:styleId="DefnSubpoint2">
    <w:name w:val="Defn Subpoint2"/>
    <w:basedOn w:val="DefnSubpoint1"/>
    <w:pPr>
      <w:ind w:left="2098"/>
    </w:pPr>
  </w:style>
  <w:style w:type="paragraph" w:customStyle="1" w:styleId="DefnSubpoint3">
    <w:name w:val="Defn Subpoint3"/>
    <w:basedOn w:val="DefnSubpoint2"/>
    <w:pPr>
      <w:ind w:left="2608"/>
    </w:pPr>
  </w:style>
  <w:style w:type="paragraph" w:customStyle="1" w:styleId="TextPara">
    <w:name w:val="Text Para"/>
    <w:basedOn w:val="Normal"/>
  </w:style>
  <w:style w:type="paragraph" w:customStyle="1" w:styleId="TextPoint">
    <w:name w:val="Text Point"/>
    <w:basedOn w:val="TextPara"/>
    <w:pPr>
      <w:spacing w:after="60"/>
      <w:ind w:left="318" w:hanging="318"/>
    </w:pPr>
  </w:style>
  <w:style w:type="paragraph" w:customStyle="1" w:styleId="RunOrder2">
    <w:name w:val="Run Order 2"/>
    <w:basedOn w:val="Normal"/>
    <w:pPr>
      <w:tabs>
        <w:tab w:val="left" w:pos="3600"/>
      </w:tabs>
      <w:spacing w:line="240" w:lineRule="auto"/>
      <w:ind w:left="4176" w:hanging="288"/>
    </w:pPr>
    <w:rPr>
      <w:sz w:val="24"/>
    </w:rPr>
  </w:style>
  <w:style w:type="paragraph" w:customStyle="1" w:styleId="ContentsPlain">
    <w:name w:val="Contents Plain"/>
    <w:basedOn w:val="Normal"/>
    <w:pPr>
      <w:tabs>
        <w:tab w:val="left" w:pos="284"/>
        <w:tab w:val="right" w:pos="5954"/>
      </w:tabs>
      <w:spacing w:before="60" w:after="60"/>
      <w:ind w:left="284" w:right="284" w:hanging="284"/>
    </w:pPr>
  </w:style>
  <w:style w:type="paragraph" w:customStyle="1" w:styleId="ParaHeading4">
    <w:name w:val="Para Heading 4"/>
    <w:basedOn w:val="Normal"/>
    <w:next w:val="Normal"/>
    <w:pPr>
      <w:keepNext/>
      <w:keepLines/>
      <w:spacing w:before="120" w:line="240" w:lineRule="exact"/>
      <w:ind w:left="567"/>
    </w:pPr>
    <w:rPr>
      <w:b/>
      <w:sz w:val="24"/>
    </w:rPr>
  </w:style>
  <w:style w:type="character" w:customStyle="1" w:styleId="Part">
    <w:name w:val="Part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NumPlain1Char">
    <w:name w:val="Num Plain1 Char"/>
    <w:link w:val="NumPlain1"/>
    <w:rsid w:val="00B85DBC"/>
    <w:rPr>
      <w:lang w:val="en-AU" w:eastAsia="en-US" w:bidi="ar-SA"/>
    </w:rPr>
  </w:style>
  <w:style w:type="paragraph" w:customStyle="1" w:styleId="Bullets">
    <w:name w:val="Bullets"/>
    <w:basedOn w:val="Normal"/>
    <w:rsid w:val="006D5858"/>
    <w:pPr>
      <w:numPr>
        <w:numId w:val="7"/>
      </w:numPr>
      <w:spacing w:line="240" w:lineRule="auto"/>
    </w:pPr>
    <w:rPr>
      <w:sz w:val="24"/>
    </w:rPr>
  </w:style>
  <w:style w:type="paragraph" w:customStyle="1" w:styleId="MemoSectionHead">
    <w:name w:val="MemoSectionHead"/>
    <w:basedOn w:val="Heading1"/>
    <w:rsid w:val="004209B2"/>
    <w:pPr>
      <w:spacing w:before="240" w:after="240" w:line="240" w:lineRule="auto"/>
      <w:jc w:val="left"/>
    </w:pPr>
    <w:rPr>
      <w:rFonts w:cs="Times New Roman"/>
      <w:bCs w:val="0"/>
      <w:caps w:val="0"/>
      <w:sz w:val="24"/>
      <w:szCs w:val="20"/>
      <w:u w:val="single"/>
    </w:rPr>
  </w:style>
  <w:style w:type="paragraph" w:customStyle="1" w:styleId="PlainHanging1">
    <w:name w:val="Plain Hanging1"/>
    <w:basedOn w:val="NoNumPlain2"/>
    <w:rsid w:val="00FD4C0C"/>
    <w:pPr>
      <w:ind w:left="1020" w:hanging="510"/>
    </w:pPr>
  </w:style>
  <w:style w:type="paragraph" w:customStyle="1" w:styleId="NumPlainA">
    <w:name w:val="Num PlainA"/>
    <w:basedOn w:val="Normal"/>
    <w:rsid w:val="00FD4C0C"/>
    <w:pPr>
      <w:numPr>
        <w:numId w:val="8"/>
      </w:numPr>
      <w:spacing w:after="200"/>
      <w:outlineLvl w:val="0"/>
    </w:pPr>
  </w:style>
  <w:style w:type="paragraph" w:customStyle="1" w:styleId="NumPlainA2">
    <w:name w:val="Num PlainA2"/>
    <w:basedOn w:val="NumPlainA"/>
    <w:rsid w:val="00FD4C0C"/>
    <w:pPr>
      <w:numPr>
        <w:ilvl w:val="1"/>
      </w:numPr>
      <w:outlineLvl w:val="1"/>
    </w:pPr>
  </w:style>
  <w:style w:type="character" w:customStyle="1" w:styleId="NoNumPlain1Char">
    <w:name w:val="NoNum Plain1 Char"/>
    <w:link w:val="NoNumPlain1"/>
    <w:rsid w:val="00FD4C0C"/>
    <w:rPr>
      <w:lang w:val="en-AU" w:eastAsia="en-US" w:bidi="ar-SA"/>
    </w:rPr>
  </w:style>
  <w:style w:type="character" w:styleId="FootnoteReference">
    <w:name w:val="footnote reference"/>
    <w:uiPriority w:val="5"/>
    <w:rsid w:val="00A92FFA"/>
    <w:rPr>
      <w:vertAlign w:val="superscript"/>
    </w:rPr>
  </w:style>
  <w:style w:type="paragraph" w:styleId="BalloonText">
    <w:name w:val="Balloon Text"/>
    <w:basedOn w:val="Normal"/>
    <w:semiHidden/>
    <w:rsid w:val="001E087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131465"/>
    <w:pPr>
      <w:spacing w:line="360" w:lineRule="auto"/>
      <w:ind w:left="142"/>
    </w:pPr>
    <w:rPr>
      <w:rFonts w:ascii="Arial" w:hAnsi="Arial"/>
      <w:szCs w:val="24"/>
      <w:lang w:eastAsia="en-AU"/>
    </w:rPr>
  </w:style>
  <w:style w:type="paragraph" w:customStyle="1" w:styleId="AppendixNote">
    <w:name w:val="AppendixNote"/>
    <w:basedOn w:val="Normal"/>
    <w:next w:val="Normal"/>
    <w:rsid w:val="00270E02"/>
    <w:pPr>
      <w:spacing w:after="200"/>
    </w:pPr>
    <w:rPr>
      <w:i/>
      <w:iCs/>
    </w:rPr>
  </w:style>
  <w:style w:type="paragraph" w:customStyle="1" w:styleId="Default">
    <w:name w:val="Default"/>
    <w:rsid w:val="00270E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50349"/>
    <w:rPr>
      <w:rFonts w:cs="Arial"/>
      <w:b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750349"/>
    <w:rPr>
      <w:rFonts w:cs="Arial"/>
      <w:b/>
      <w:bCs/>
      <w:iCs/>
      <w:sz w:val="24"/>
      <w:szCs w:val="26"/>
      <w:lang w:eastAsia="en-US"/>
    </w:rPr>
  </w:style>
  <w:style w:type="character" w:styleId="CommentReference">
    <w:name w:val="annotation reference"/>
    <w:basedOn w:val="DefaultParagraphFont"/>
    <w:rsid w:val="001404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40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404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409"/>
    <w:rPr>
      <w:b/>
      <w:bCs/>
      <w:lang w:eastAsia="en-US"/>
    </w:rPr>
  </w:style>
  <w:style w:type="paragraph" w:customStyle="1" w:styleId="PlainHanging0">
    <w:name w:val="Plain Hanging0"/>
    <w:basedOn w:val="Normal"/>
    <w:qFormat/>
    <w:rsid w:val="00530118"/>
    <w:pPr>
      <w:spacing w:after="200"/>
      <w:ind w:left="510" w:hanging="5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1C759-D91A-453F-811F-BC29FFC6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 AASB2014-4</vt:lpstr>
    </vt:vector>
  </TitlesOfParts>
  <Company>AASB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 AASB2014-4</dc:title>
  <dc:creator>.</dc:creator>
  <cp:lastModifiedBy>Mitchell Bryce</cp:lastModifiedBy>
  <cp:revision>4</cp:revision>
  <cp:lastPrinted>2015-01-07T04:49:00Z</cp:lastPrinted>
  <dcterms:created xsi:type="dcterms:W3CDTF">2015-01-07T04:37:00Z</dcterms:created>
  <dcterms:modified xsi:type="dcterms:W3CDTF">2015-01-29T05:43:00Z</dcterms:modified>
</cp:coreProperties>
</file>