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header4.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Layout w:type="fixed"/>
        <w:tblLook w:val="0000" w:firstRow="0" w:lastRow="0" w:firstColumn="0" w:lastColumn="0" w:noHBand="0" w:noVBand="0"/>
        <w:tblCaption w:val="Cover page header for AASB amending Standard"/>
        <w:tblDescription w:val="Identification that the pronouncement is an AASB Standard, the Standard number, and the month of issue of the AASB amending Standard"/>
      </w:tblPr>
      <w:tblGrid>
        <w:gridCol w:w="4082"/>
        <w:gridCol w:w="5670"/>
      </w:tblGrid>
      <w:tr w:rsidR="00090A6F" w:rsidRPr="0000292B" w:rsidTr="00BA2BBF">
        <w:tc>
          <w:tcPr>
            <w:tcW w:w="4082" w:type="dxa"/>
          </w:tcPr>
          <w:p w:rsidR="00090A6F" w:rsidRPr="0000292B" w:rsidRDefault="00364B30">
            <w:pPr>
              <w:pStyle w:val="CoverStandard"/>
            </w:pPr>
            <w:r>
              <w:t>AASB</w:t>
            </w:r>
            <w:r w:rsidR="00831497">
              <w:t xml:space="preserve"> Standard</w:t>
            </w:r>
          </w:p>
        </w:tc>
        <w:tc>
          <w:tcPr>
            <w:tcW w:w="5670" w:type="dxa"/>
          </w:tcPr>
          <w:p w:rsidR="00090A6F" w:rsidRPr="0000292B" w:rsidRDefault="00831497">
            <w:pPr>
              <w:pStyle w:val="CoverNumber"/>
            </w:pPr>
            <w:r>
              <w:t>AASB</w:t>
            </w:r>
            <w:r w:rsidR="00090A6F" w:rsidRPr="0000292B">
              <w:t xml:space="preserve"> </w:t>
            </w:r>
            <w:bookmarkStart w:id="0" w:name="DocNo"/>
            <w:r w:rsidR="002962A0">
              <w:t>2015-3</w:t>
            </w:r>
            <w:bookmarkEnd w:id="0"/>
          </w:p>
          <w:p w:rsidR="00090A6F" w:rsidRPr="0000292B" w:rsidRDefault="00851041">
            <w:pPr>
              <w:pStyle w:val="CoverDate"/>
            </w:pPr>
            <w:bookmarkStart w:id="1" w:name="DocDate"/>
            <w:r>
              <w:t>January 2015</w:t>
            </w:r>
            <w:bookmarkEnd w:id="1"/>
          </w:p>
        </w:tc>
      </w:tr>
    </w:tbl>
    <w:p w:rsidR="00090A6F" w:rsidRPr="00F90279" w:rsidRDefault="00831497">
      <w:pPr>
        <w:pStyle w:val="CoverTitle"/>
        <w:rPr>
          <w:i/>
        </w:rPr>
      </w:pPr>
      <w:r>
        <w:t>Amendments to Australian Accounting Standards arising from</w:t>
      </w:r>
      <w:r w:rsidR="00F90279">
        <w:t xml:space="preserve"> </w:t>
      </w:r>
      <w:r w:rsidR="007B0921">
        <w:t xml:space="preserve">the </w:t>
      </w:r>
      <w:r w:rsidR="0031026B">
        <w:t>W</w:t>
      </w:r>
      <w:r w:rsidR="00F90279">
        <w:t>ithdrawal of</w:t>
      </w:r>
      <w:r>
        <w:t xml:space="preserve"> </w:t>
      </w:r>
      <w:bookmarkStart w:id="2" w:name="ArisingNo"/>
      <w:r w:rsidR="00F90279">
        <w:t>AASB 1031</w:t>
      </w:r>
      <w:bookmarkEnd w:id="2"/>
      <w:r w:rsidR="00F90279">
        <w:t xml:space="preserve"> </w:t>
      </w:r>
      <w:r w:rsidR="00F90279">
        <w:rPr>
          <w:i/>
        </w:rPr>
        <w:t>Materiality</w:t>
      </w:r>
    </w:p>
    <w:p w:rsidR="00737714" w:rsidRPr="0000292B" w:rsidRDefault="00737714" w:rsidP="00594B2D">
      <w:pPr>
        <w:pStyle w:val="CoverSubtitle"/>
      </w:pPr>
    </w:p>
    <w:p w:rsidR="00090A6F" w:rsidRPr="0000292B" w:rsidRDefault="008B643A" w:rsidP="00D10B76">
      <w:pPr>
        <w:tabs>
          <w:tab w:val="center" w:pos="4820"/>
          <w:tab w:val="right" w:pos="9639"/>
        </w:tabs>
        <w:sectPr w:rsidR="00090A6F" w:rsidRPr="0000292B" w:rsidSect="00BA2BBF">
          <w:headerReference w:type="default" r:id="rId9"/>
          <w:pgSz w:w="11907" w:h="16840" w:code="9"/>
          <w:pgMar w:top="1134" w:right="1134" w:bottom="1134" w:left="1134" w:header="720" w:footer="720" w:gutter="0"/>
          <w:cols w:space="720"/>
        </w:sectPr>
      </w:pPr>
      <w:r>
        <w:rPr>
          <w:noProof/>
          <w:lang w:eastAsia="en-AU"/>
        </w:rPr>
        <w:drawing>
          <wp:anchor distT="0" distB="0" distL="114300" distR="114300" simplePos="0" relativeHeight="251657728" behindDoc="0" locked="1" layoutInCell="1" allowOverlap="1" wp14:anchorId="71CC1190" wp14:editId="3CCAC377">
            <wp:simplePos x="0" y="0"/>
            <wp:positionH relativeFrom="margin">
              <wp:posOffset>0</wp:posOffset>
            </wp:positionH>
            <wp:positionV relativeFrom="page">
              <wp:posOffset>8893175</wp:posOffset>
            </wp:positionV>
            <wp:extent cx="1677600" cy="1332000"/>
            <wp:effectExtent l="0" t="0" r="0" b="1905"/>
            <wp:wrapNone/>
            <wp:docPr id="5" name="Picture 5" descr="Australian crest, with text naming the Australian Government and the Australian Accounting Standards Board" title="Logo of the Australian Accounting Standards Boa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AASB_stacked"/>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677600" cy="133200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737714" w:rsidRPr="0000292B" w:rsidRDefault="00737714" w:rsidP="00737714">
      <w:pPr>
        <w:pStyle w:val="Heading2"/>
      </w:pPr>
      <w:r w:rsidRPr="0000292B">
        <w:lastRenderedPageBreak/>
        <w:t xml:space="preserve">Obtaining a Copy of this </w:t>
      </w:r>
      <w:r w:rsidR="00C5022C">
        <w:t>Accounting Standard</w:t>
      </w:r>
    </w:p>
    <w:p w:rsidR="00737714" w:rsidRPr="0000292B" w:rsidRDefault="00737714" w:rsidP="00737714">
      <w:pPr>
        <w:pStyle w:val="CommentsPage"/>
      </w:pPr>
      <w:r w:rsidRPr="0000292B">
        <w:t xml:space="preserve">This </w:t>
      </w:r>
      <w:r w:rsidR="00C5022C">
        <w:t>Standard</w:t>
      </w:r>
      <w:r w:rsidRPr="0000292B">
        <w:t xml:space="preserve"> is available o</w:t>
      </w:r>
      <w:r w:rsidR="00923261">
        <w:t>n the AASB website: www.aasb.gov</w:t>
      </w:r>
      <w:r w:rsidRPr="0000292B">
        <w:t>.au.</w:t>
      </w:r>
    </w:p>
    <w:p w:rsidR="00737714" w:rsidRPr="0000292B" w:rsidRDefault="00737714" w:rsidP="003E0A68">
      <w:pPr>
        <w:pStyle w:val="CommentsPage"/>
        <w:ind w:right="-146"/>
      </w:pPr>
      <w:r w:rsidRPr="0000292B">
        <w:t xml:space="preserve">Alternatively, printed copies of this </w:t>
      </w:r>
      <w:r w:rsidR="00C5022C">
        <w:t>Standard</w:t>
      </w:r>
      <w:r w:rsidR="003E0A68" w:rsidRPr="0000292B">
        <w:t xml:space="preserve"> are available </w:t>
      </w:r>
      <w:r w:rsidR="00C5022C">
        <w:t xml:space="preserve">for purchase </w:t>
      </w:r>
      <w:r w:rsidR="003E0A68" w:rsidRPr="0000292B">
        <w:t>by contacting:</w:t>
      </w:r>
    </w:p>
    <w:p w:rsidR="00737714" w:rsidRPr="0000292B" w:rsidRDefault="00737714" w:rsidP="00737714"/>
    <w:tbl>
      <w:tblPr>
        <w:tblW w:w="0" w:type="auto"/>
        <w:tblLook w:val="0000" w:firstRow="0" w:lastRow="0" w:firstColumn="0" w:lastColumn="0" w:noHBand="0" w:noVBand="0"/>
        <w:tblCaption w:val="AASB contact details"/>
        <w:tblDescription w:val="Street address, postal address and other contact details for the AASB"/>
      </w:tblPr>
      <w:tblGrid>
        <w:gridCol w:w="3856"/>
        <w:gridCol w:w="1928"/>
      </w:tblGrid>
      <w:tr w:rsidR="00737714" w:rsidRPr="0000292B" w:rsidTr="001C225F">
        <w:trPr>
          <w:cantSplit/>
        </w:trPr>
        <w:tc>
          <w:tcPr>
            <w:tcW w:w="3856" w:type="dxa"/>
          </w:tcPr>
          <w:p w:rsidR="00737714" w:rsidRPr="0000292B" w:rsidRDefault="00737714" w:rsidP="00E24399">
            <w:r w:rsidRPr="0000292B">
              <w:t xml:space="preserve">The </w:t>
            </w:r>
            <w:r w:rsidR="003E0A68" w:rsidRPr="0000292B">
              <w:t>Customer Service Officer</w:t>
            </w:r>
          </w:p>
          <w:p w:rsidR="00737714" w:rsidRPr="0000292B" w:rsidRDefault="00737714" w:rsidP="00E24399">
            <w:r w:rsidRPr="0000292B">
              <w:t>Australian Accounting Standards Board</w:t>
            </w:r>
          </w:p>
          <w:p w:rsidR="00737714" w:rsidRPr="0000292B" w:rsidRDefault="003E0A68" w:rsidP="00E24399">
            <w:r w:rsidRPr="0000292B">
              <w:t>Level 7</w:t>
            </w:r>
          </w:p>
          <w:p w:rsidR="00737714" w:rsidRPr="0000292B" w:rsidRDefault="003E0A68" w:rsidP="00E24399">
            <w:r w:rsidRPr="0000292B">
              <w:t>600 Bourke Street</w:t>
            </w:r>
          </w:p>
          <w:p w:rsidR="003E0A68" w:rsidRPr="0000292B" w:rsidRDefault="007455F0" w:rsidP="00E24399">
            <w:r>
              <w:t>Melbourne   Victoria</w:t>
            </w:r>
          </w:p>
          <w:p w:rsidR="00737714" w:rsidRDefault="00737714" w:rsidP="00E24399">
            <w:r w:rsidRPr="0000292B">
              <w:t>AUSTRALIA</w:t>
            </w:r>
          </w:p>
          <w:p w:rsidR="00C5022C" w:rsidRPr="0000292B" w:rsidRDefault="00C5022C" w:rsidP="00E24399"/>
        </w:tc>
        <w:tc>
          <w:tcPr>
            <w:tcW w:w="1928" w:type="dxa"/>
            <w:tcMar>
              <w:left w:w="108" w:type="dxa"/>
              <w:right w:w="108" w:type="dxa"/>
            </w:tcMar>
          </w:tcPr>
          <w:p w:rsidR="00C5022C" w:rsidRDefault="00C5022C" w:rsidP="00C5022C"/>
          <w:p w:rsidR="00C5022C" w:rsidRPr="00C5022C" w:rsidRDefault="00C5022C" w:rsidP="00C5022C">
            <w:pPr>
              <w:rPr>
                <w:b/>
              </w:rPr>
            </w:pPr>
            <w:r w:rsidRPr="00C5022C">
              <w:rPr>
                <w:b/>
              </w:rPr>
              <w:t>Postal address:</w:t>
            </w:r>
          </w:p>
          <w:p w:rsidR="00E06C2F" w:rsidRDefault="00C5022C" w:rsidP="00C5022C">
            <w:r w:rsidRPr="00C5022C">
              <w:t>PO Box 204</w:t>
            </w:r>
          </w:p>
          <w:p w:rsidR="00B271BA" w:rsidRDefault="00C5022C" w:rsidP="00C5022C">
            <w:r w:rsidRPr="00C5022C">
              <w:t>Collins St</w:t>
            </w:r>
            <w:r w:rsidR="00AD42DA">
              <w:t>reet</w:t>
            </w:r>
            <w:r w:rsidRPr="00C5022C">
              <w:t xml:space="preserve"> West</w:t>
            </w:r>
          </w:p>
          <w:p w:rsidR="003E0A68" w:rsidRDefault="00C5022C" w:rsidP="00C5022C">
            <w:r w:rsidRPr="00C5022C">
              <w:t>Vic</w:t>
            </w:r>
            <w:r>
              <w:t>toria</w:t>
            </w:r>
            <w:r w:rsidRPr="00C5022C">
              <w:t xml:space="preserve">   8007</w:t>
            </w:r>
          </w:p>
          <w:p w:rsidR="00C5022C" w:rsidRPr="0000292B" w:rsidRDefault="00C5022C" w:rsidP="00C5022C">
            <w:r>
              <w:t>AUSTRALIA</w:t>
            </w:r>
          </w:p>
        </w:tc>
      </w:tr>
      <w:tr w:rsidR="00C5022C" w:rsidRPr="0000292B" w:rsidTr="001C225F">
        <w:trPr>
          <w:cantSplit/>
        </w:trPr>
        <w:tc>
          <w:tcPr>
            <w:tcW w:w="3856" w:type="dxa"/>
          </w:tcPr>
          <w:p w:rsidR="00C5022C" w:rsidRPr="00C5022C" w:rsidRDefault="00C5022C" w:rsidP="00C5022C">
            <w:pPr>
              <w:tabs>
                <w:tab w:val="left" w:pos="907"/>
              </w:tabs>
            </w:pPr>
            <w:r w:rsidRPr="00C5022C">
              <w:t>Phone:</w:t>
            </w:r>
            <w:r w:rsidRPr="00C5022C">
              <w:tab/>
              <w:t>(03) 9617 7637</w:t>
            </w:r>
          </w:p>
          <w:p w:rsidR="00C5022C" w:rsidRPr="00C5022C" w:rsidRDefault="00C5022C" w:rsidP="00C5022C">
            <w:pPr>
              <w:tabs>
                <w:tab w:val="left" w:pos="907"/>
              </w:tabs>
            </w:pPr>
            <w:r w:rsidRPr="00C5022C">
              <w:t>Fax:</w:t>
            </w:r>
            <w:r w:rsidRPr="00C5022C">
              <w:tab/>
              <w:t>(03) 9617 7608</w:t>
            </w:r>
          </w:p>
          <w:p w:rsidR="00C5022C" w:rsidRDefault="00923261" w:rsidP="00C5022C">
            <w:pPr>
              <w:tabs>
                <w:tab w:val="left" w:pos="907"/>
              </w:tabs>
            </w:pPr>
            <w:r>
              <w:t>E-mail:</w:t>
            </w:r>
            <w:r>
              <w:tab/>
              <w:t>publications@aasb.gov</w:t>
            </w:r>
            <w:r w:rsidR="00C5022C" w:rsidRPr="00C5022C">
              <w:t>.au</w:t>
            </w:r>
          </w:p>
          <w:p w:rsidR="00C5022C" w:rsidRPr="00C5022C" w:rsidRDefault="00923261" w:rsidP="00C5022C">
            <w:pPr>
              <w:tabs>
                <w:tab w:val="left" w:pos="907"/>
              </w:tabs>
            </w:pPr>
            <w:r>
              <w:t>Website:</w:t>
            </w:r>
            <w:r>
              <w:tab/>
              <w:t>www.aasb.gov</w:t>
            </w:r>
            <w:r w:rsidR="00C5022C">
              <w:t>.au</w:t>
            </w:r>
          </w:p>
          <w:p w:rsidR="00C5022C" w:rsidRPr="00C5022C" w:rsidRDefault="00C5022C" w:rsidP="00C5022C"/>
        </w:tc>
        <w:tc>
          <w:tcPr>
            <w:tcW w:w="1928" w:type="dxa"/>
            <w:tcMar>
              <w:left w:w="0" w:type="dxa"/>
              <w:right w:w="0" w:type="dxa"/>
            </w:tcMar>
          </w:tcPr>
          <w:p w:rsidR="00C5022C" w:rsidRPr="007455F0" w:rsidRDefault="00C5022C" w:rsidP="007455F0">
            <w:pPr>
              <w:tabs>
                <w:tab w:val="left" w:pos="802"/>
              </w:tabs>
              <w:ind w:left="77"/>
              <w:rPr>
                <w:b/>
              </w:rPr>
            </w:pPr>
          </w:p>
        </w:tc>
      </w:tr>
    </w:tbl>
    <w:p w:rsidR="00737714" w:rsidRPr="0000292B" w:rsidRDefault="00737714" w:rsidP="00737714"/>
    <w:p w:rsidR="00090A6F" w:rsidRPr="0000292B" w:rsidRDefault="00090A6F">
      <w:pPr>
        <w:pStyle w:val="Heading2"/>
      </w:pPr>
      <w:r w:rsidRPr="0000292B">
        <w:t xml:space="preserve">Other </w:t>
      </w:r>
      <w:r w:rsidR="003E0A68" w:rsidRPr="0000292B">
        <w:t>Enquiries</w:t>
      </w:r>
    </w:p>
    <w:p w:rsidR="00090A6F" w:rsidRPr="0000292B" w:rsidRDefault="00090A6F">
      <w:pPr>
        <w:pStyle w:val="CoverContact"/>
      </w:pPr>
      <w:r w:rsidRPr="0000292B">
        <w:t>Phone:</w:t>
      </w:r>
      <w:r w:rsidRPr="0000292B">
        <w:tab/>
        <w:t>(03) 9617 7600</w:t>
      </w:r>
    </w:p>
    <w:p w:rsidR="00090A6F" w:rsidRPr="0000292B" w:rsidRDefault="00090A6F">
      <w:pPr>
        <w:pStyle w:val="CoverContact"/>
      </w:pPr>
      <w:r w:rsidRPr="0000292B">
        <w:t>Fax:</w:t>
      </w:r>
      <w:r w:rsidRPr="0000292B">
        <w:tab/>
        <w:t>(03) 9617 7608</w:t>
      </w:r>
    </w:p>
    <w:p w:rsidR="00090A6F" w:rsidRPr="0000292B" w:rsidRDefault="00923261">
      <w:pPr>
        <w:pStyle w:val="CoverContact"/>
      </w:pPr>
      <w:r>
        <w:t>E-mail:</w:t>
      </w:r>
      <w:r>
        <w:tab/>
        <w:t>standard@aasb.gov</w:t>
      </w:r>
      <w:r w:rsidR="00090A6F" w:rsidRPr="0000292B">
        <w:t>.au</w:t>
      </w:r>
    </w:p>
    <w:p w:rsidR="006D4700" w:rsidRDefault="006D4700" w:rsidP="006D4700">
      <w:pPr>
        <w:spacing w:before="2000"/>
      </w:pPr>
      <w:bookmarkStart w:id="3" w:name="CopyrightText"/>
      <w:r>
        <w:t>COPYRIGHT</w:t>
      </w:r>
    </w:p>
    <w:p w:rsidR="006D4700" w:rsidRDefault="006D4700" w:rsidP="006D4700"/>
    <w:p w:rsidR="006D4700" w:rsidRDefault="006D4700" w:rsidP="006D4700">
      <w:r>
        <w:t xml:space="preserve">© Commonwealth of Australia </w:t>
      </w:r>
      <w:bookmarkStart w:id="4" w:name="Year"/>
      <w:r w:rsidR="00851041">
        <w:t>2015</w:t>
      </w:r>
      <w:bookmarkEnd w:id="4"/>
    </w:p>
    <w:p w:rsidR="006D4700" w:rsidRDefault="006D4700" w:rsidP="006D4700"/>
    <w:p w:rsidR="006D4700" w:rsidRDefault="006D4700" w:rsidP="006D4700">
      <w:r>
        <w:t>This work is copyright.  Apart from any use as permitted under the Copyright Act 1968, no part may be reproduced by any process without prior written permission.  Requests and enquiries concerning reproduction and rights should be addressed to The Director of Finance and Administration, Australian Accounting Standards Board, PO Box 204, Collins Street West, Victoria 8007.</w:t>
      </w:r>
    </w:p>
    <w:bookmarkEnd w:id="3"/>
    <w:p w:rsidR="006D4700" w:rsidRDefault="006D4700" w:rsidP="006D4700"/>
    <w:p w:rsidR="007455F0" w:rsidRPr="0000292B" w:rsidRDefault="006D4700" w:rsidP="006D4700">
      <w:r>
        <w:t xml:space="preserve">ISSN </w:t>
      </w:r>
      <w:bookmarkStart w:id="5" w:name="ISSN"/>
      <w:r w:rsidR="00851041">
        <w:t>1036-4803</w:t>
      </w:r>
      <w:bookmarkEnd w:id="5"/>
    </w:p>
    <w:p w:rsidR="00090A6F" w:rsidRPr="0000292B" w:rsidRDefault="00090A6F">
      <w:pPr>
        <w:sectPr w:rsidR="00090A6F" w:rsidRPr="0000292B" w:rsidSect="00BA2BBF">
          <w:footerReference w:type="default" r:id="rId11"/>
          <w:pgSz w:w="11907" w:h="16840" w:code="9"/>
          <w:pgMar w:top="1134" w:right="1134" w:bottom="1134" w:left="1134" w:header="720" w:footer="720" w:gutter="0"/>
          <w:cols w:space="720"/>
        </w:sectPr>
      </w:pPr>
    </w:p>
    <w:p w:rsidR="00090A6F" w:rsidRPr="0000292B" w:rsidRDefault="00090A6F">
      <w:pPr>
        <w:pStyle w:val="Heading1"/>
      </w:pPr>
      <w:r w:rsidRPr="0000292B">
        <w:lastRenderedPageBreak/>
        <w:t>CONTENTS</w:t>
      </w:r>
    </w:p>
    <w:p w:rsidR="00090A6F" w:rsidRPr="0000292B" w:rsidRDefault="00090A6F" w:rsidP="00011F4C">
      <w:pPr>
        <w:pStyle w:val="ContentsCapsPlain"/>
        <w:tabs>
          <w:tab w:val="left" w:pos="709"/>
        </w:tabs>
      </w:pPr>
      <w:r w:rsidRPr="0000292B">
        <w:t>Preface</w:t>
      </w:r>
    </w:p>
    <w:p w:rsidR="00090A6F" w:rsidRPr="0000292B" w:rsidRDefault="00090A6F" w:rsidP="00011F4C">
      <w:pPr>
        <w:pStyle w:val="ContentsCapsBold"/>
        <w:tabs>
          <w:tab w:val="right" w:pos="7938"/>
        </w:tabs>
      </w:pPr>
      <w:r w:rsidRPr="0000292B">
        <w:t>Accounting Standard</w:t>
      </w:r>
    </w:p>
    <w:p w:rsidR="00090A6F" w:rsidRDefault="00090A6F">
      <w:pPr>
        <w:pStyle w:val="ContentsCapsBold"/>
        <w:rPr>
          <w:i/>
          <w:iCs/>
        </w:rPr>
      </w:pPr>
      <w:r w:rsidRPr="0000292B">
        <w:t xml:space="preserve">AASB </w:t>
      </w:r>
      <w:r w:rsidR="009C2479" w:rsidRPr="00BC0D5D">
        <w:rPr>
          <w:iCs/>
        </w:rPr>
        <w:fldChar w:fldCharType="begin" w:fldLock="1"/>
      </w:r>
      <w:r w:rsidR="009C2479" w:rsidRPr="00BC0D5D">
        <w:rPr>
          <w:iCs/>
        </w:rPr>
        <w:instrText xml:space="preserve"> REF </w:instrText>
      </w:r>
      <w:r w:rsidR="009C2479">
        <w:rPr>
          <w:iCs/>
        </w:rPr>
        <w:instrText>Doc</w:instrText>
      </w:r>
      <w:r w:rsidR="009C2479" w:rsidRPr="00BC0D5D">
        <w:rPr>
          <w:iCs/>
        </w:rPr>
        <w:instrText xml:space="preserve">No \* charformat </w:instrText>
      </w:r>
      <w:r w:rsidR="009C2479" w:rsidRPr="00BC0D5D">
        <w:rPr>
          <w:iCs/>
        </w:rPr>
        <w:fldChar w:fldCharType="separate"/>
      </w:r>
      <w:r w:rsidR="002962A0" w:rsidRPr="002962A0">
        <w:rPr>
          <w:iCs/>
        </w:rPr>
        <w:t>2015-3</w:t>
      </w:r>
      <w:r w:rsidR="009C2479" w:rsidRPr="00BC0D5D">
        <w:rPr>
          <w:iCs/>
        </w:rPr>
        <w:fldChar w:fldCharType="end"/>
      </w:r>
      <w:r w:rsidRPr="0000292B">
        <w:t xml:space="preserve"> </w:t>
      </w:r>
      <w:r w:rsidR="009C2479" w:rsidRPr="009C2479">
        <w:rPr>
          <w:i/>
        </w:rPr>
        <w:t xml:space="preserve">AmenDMENTS TO aUSTRALIAN aCCOUNTING sTANDARDS aRISING FROM </w:t>
      </w:r>
      <w:r w:rsidR="007B0921">
        <w:rPr>
          <w:i/>
        </w:rPr>
        <w:t xml:space="preserve">the </w:t>
      </w:r>
      <w:r w:rsidR="00F90279">
        <w:rPr>
          <w:i/>
        </w:rPr>
        <w:t xml:space="preserve">Withdrawal of </w:t>
      </w:r>
      <w:r w:rsidR="009C2479" w:rsidRPr="009C2479">
        <w:rPr>
          <w:i/>
          <w:iCs/>
        </w:rPr>
        <w:fldChar w:fldCharType="begin" w:fldLock="1"/>
      </w:r>
      <w:r w:rsidR="009C2479" w:rsidRPr="009C2479">
        <w:rPr>
          <w:i/>
          <w:iCs/>
        </w:rPr>
        <w:instrText xml:space="preserve"> REF aRISINGNo \* charformat</w:instrText>
      </w:r>
      <w:r w:rsidR="009C2479">
        <w:rPr>
          <w:i/>
          <w:iCs/>
        </w:rPr>
        <w:instrText xml:space="preserve"> </w:instrText>
      </w:r>
      <w:r w:rsidR="009C2479" w:rsidRPr="009C2479">
        <w:rPr>
          <w:i/>
          <w:iCs/>
        </w:rPr>
        <w:fldChar w:fldCharType="separate"/>
      </w:r>
      <w:r w:rsidR="002962A0" w:rsidRPr="002962A0">
        <w:rPr>
          <w:i/>
          <w:iCs/>
        </w:rPr>
        <w:t>AASB 1031</w:t>
      </w:r>
      <w:r w:rsidR="009C2479" w:rsidRPr="009C2479">
        <w:rPr>
          <w:i/>
          <w:iCs/>
        </w:rPr>
        <w:fldChar w:fldCharType="end"/>
      </w:r>
      <w:r w:rsidR="00F90279">
        <w:rPr>
          <w:i/>
          <w:iCs/>
        </w:rPr>
        <w:t xml:space="preserve"> </w:t>
      </w:r>
      <w:r w:rsidR="00F90279" w:rsidRPr="00F90279">
        <w:rPr>
          <w:iCs/>
        </w:rPr>
        <w:t>Materiality</w:t>
      </w:r>
    </w:p>
    <w:p w:rsidR="002B7803" w:rsidRPr="002B7803" w:rsidRDefault="002B7803" w:rsidP="002B7803"/>
    <w:p w:rsidR="00090A6F" w:rsidRPr="0000292B" w:rsidRDefault="00090A6F" w:rsidP="00011F4C">
      <w:pPr>
        <w:pStyle w:val="ContentsParaHead"/>
        <w:ind w:right="1701"/>
      </w:pPr>
      <w:r w:rsidRPr="0000292B">
        <w:t>Paragraphs</w:t>
      </w:r>
    </w:p>
    <w:p w:rsidR="00090A6F" w:rsidRPr="0000292B" w:rsidRDefault="00090A6F" w:rsidP="00011F4C">
      <w:pPr>
        <w:pStyle w:val="ContentsLevel1"/>
        <w:tabs>
          <w:tab w:val="clear" w:pos="6237"/>
          <w:tab w:val="right" w:pos="7938"/>
        </w:tabs>
      </w:pPr>
      <w:bookmarkStart w:id="6" w:name="TOCRange"/>
      <w:r w:rsidRPr="0000292B">
        <w:t>Objective</w:t>
      </w:r>
      <w:r w:rsidRPr="0000292B">
        <w:tab/>
      </w:r>
      <w:r w:rsidR="005C661C">
        <w:t>1</w:t>
      </w:r>
    </w:p>
    <w:p w:rsidR="005C661C" w:rsidRDefault="00090A6F" w:rsidP="00011F4C">
      <w:pPr>
        <w:pStyle w:val="ContentsLevel1"/>
        <w:tabs>
          <w:tab w:val="clear" w:pos="6237"/>
          <w:tab w:val="right" w:pos="7938"/>
        </w:tabs>
      </w:pPr>
      <w:r w:rsidRPr="0000292B">
        <w:t>Application</w:t>
      </w:r>
      <w:r w:rsidRPr="0000292B">
        <w:tab/>
      </w:r>
      <w:r w:rsidR="005C661C">
        <w:t>2 – 10</w:t>
      </w:r>
    </w:p>
    <w:p w:rsidR="00017AA3" w:rsidRDefault="00017AA3" w:rsidP="00011F4C">
      <w:pPr>
        <w:pStyle w:val="ContentsLevel1"/>
        <w:tabs>
          <w:tab w:val="clear" w:pos="6237"/>
          <w:tab w:val="right" w:pos="7938"/>
        </w:tabs>
      </w:pPr>
      <w:r>
        <w:t>Commencement</w:t>
      </w:r>
      <w:r>
        <w:tab/>
        <w:t>11</w:t>
      </w:r>
    </w:p>
    <w:p w:rsidR="005C661C" w:rsidRDefault="005C661C" w:rsidP="00011F4C">
      <w:pPr>
        <w:pStyle w:val="ContentsLevel1"/>
        <w:tabs>
          <w:tab w:val="clear" w:pos="6237"/>
          <w:tab w:val="right" w:pos="7938"/>
        </w:tabs>
      </w:pPr>
      <w:r>
        <w:t>Withdrawal of AASB 1031</w:t>
      </w:r>
      <w:r>
        <w:tab/>
      </w:r>
      <w:r w:rsidR="00017AA3">
        <w:t>12</w:t>
      </w:r>
    </w:p>
    <w:p w:rsidR="005C661C" w:rsidRDefault="005C661C" w:rsidP="00011F4C">
      <w:pPr>
        <w:pStyle w:val="ContentsLevel1"/>
        <w:tabs>
          <w:tab w:val="clear" w:pos="6237"/>
          <w:tab w:val="right" w:pos="7938"/>
        </w:tabs>
      </w:pPr>
      <w:r>
        <w:t>Deletion of References to AASB 1031</w:t>
      </w:r>
      <w:r>
        <w:tab/>
      </w:r>
      <w:r w:rsidR="00017AA3">
        <w:t xml:space="preserve">13 </w:t>
      </w:r>
      <w:r>
        <w:t xml:space="preserve">– </w:t>
      </w:r>
      <w:r w:rsidR="00017AA3">
        <w:t>14</w:t>
      </w:r>
    </w:p>
    <w:p w:rsidR="005C661C" w:rsidRDefault="005C661C" w:rsidP="00011F4C">
      <w:pPr>
        <w:pStyle w:val="ContentsLevel1"/>
        <w:tabs>
          <w:tab w:val="clear" w:pos="6237"/>
          <w:tab w:val="right" w:pos="7938"/>
        </w:tabs>
      </w:pPr>
      <w:r>
        <w:t>Amendment to AASB 1039</w:t>
      </w:r>
      <w:r>
        <w:tab/>
      </w:r>
      <w:r w:rsidR="00017AA3">
        <w:t>15</w:t>
      </w:r>
    </w:p>
    <w:p w:rsidR="005C661C" w:rsidRDefault="005C661C" w:rsidP="00011F4C">
      <w:pPr>
        <w:pStyle w:val="ContentsLevel1"/>
        <w:tabs>
          <w:tab w:val="clear" w:pos="6237"/>
          <w:tab w:val="right" w:pos="7938"/>
        </w:tabs>
      </w:pPr>
    </w:p>
    <w:p w:rsidR="005C661C" w:rsidRPr="00F35F11" w:rsidRDefault="005C661C" w:rsidP="00011F4C">
      <w:pPr>
        <w:pStyle w:val="ContentsLevel1"/>
        <w:tabs>
          <w:tab w:val="clear" w:pos="6237"/>
          <w:tab w:val="right" w:pos="7938"/>
        </w:tabs>
        <w:rPr>
          <w:b/>
        </w:rPr>
      </w:pPr>
      <w:r w:rsidRPr="00F35F11">
        <w:rPr>
          <w:b/>
        </w:rPr>
        <w:t>Appendix</w:t>
      </w:r>
    </w:p>
    <w:p w:rsidR="00090A6F" w:rsidRDefault="005C661C" w:rsidP="00011F4C">
      <w:pPr>
        <w:pStyle w:val="ContentsLevel1"/>
        <w:tabs>
          <w:tab w:val="clear" w:pos="6237"/>
          <w:tab w:val="right" w:pos="7938"/>
        </w:tabs>
        <w:jc w:val="both"/>
        <w:rPr>
          <w:i/>
        </w:rPr>
      </w:pPr>
      <w:r>
        <w:t>List of Amended Australian Accounting Standards</w:t>
      </w:r>
      <w:r>
        <w:tab/>
      </w:r>
      <w:r>
        <w:rPr>
          <w:i/>
        </w:rPr>
        <w:t xml:space="preserve">Page </w:t>
      </w:r>
      <w:r w:rsidR="000F683F">
        <w:rPr>
          <w:i/>
        </w:rPr>
        <w:t>7</w:t>
      </w:r>
    </w:p>
    <w:p w:rsidR="00273339" w:rsidRPr="00273339" w:rsidRDefault="00273339" w:rsidP="00011F4C">
      <w:pPr>
        <w:pStyle w:val="ContentsLevel1"/>
        <w:tabs>
          <w:tab w:val="clear" w:pos="6237"/>
          <w:tab w:val="right" w:pos="7938"/>
        </w:tabs>
        <w:jc w:val="both"/>
      </w:pPr>
    </w:p>
    <w:p w:rsidR="005C661C" w:rsidRDefault="00273339" w:rsidP="00011F4C">
      <w:pPr>
        <w:pStyle w:val="ContentsLevel1"/>
        <w:tabs>
          <w:tab w:val="clear" w:pos="6237"/>
          <w:tab w:val="right" w:pos="7938"/>
        </w:tabs>
        <w:jc w:val="both"/>
        <w:rPr>
          <w:i/>
        </w:rPr>
      </w:pPr>
      <w:r>
        <w:t>BASIS FOR CONCLUSIONS</w:t>
      </w:r>
      <w:r>
        <w:tab/>
      </w:r>
      <w:r>
        <w:rPr>
          <w:i/>
        </w:rPr>
        <w:t xml:space="preserve">Page </w:t>
      </w:r>
      <w:r w:rsidR="000F683F">
        <w:rPr>
          <w:i/>
        </w:rPr>
        <w:t>8</w:t>
      </w:r>
    </w:p>
    <w:p w:rsidR="00273339" w:rsidRPr="00273339" w:rsidRDefault="00273339" w:rsidP="00273339">
      <w:pPr>
        <w:pStyle w:val="ContentsLevel1"/>
        <w:spacing w:after="0"/>
        <w:jc w:val="both"/>
        <w:rPr>
          <w:i/>
        </w:rPr>
      </w:pPr>
    </w:p>
    <w:p w:rsidR="00090A6F" w:rsidRPr="0000292B" w:rsidRDefault="00090A6F">
      <w:pPr>
        <w:pStyle w:val="ContentsBox"/>
      </w:pPr>
      <w:bookmarkStart w:id="7" w:name="ContentsMarker"/>
      <w:bookmarkEnd w:id="6"/>
      <w:bookmarkEnd w:id="7"/>
      <w:r w:rsidRPr="0000292B">
        <w:t xml:space="preserve">Australian Accounting Standard AASB </w:t>
      </w:r>
      <w:r w:rsidR="00BC0D5D" w:rsidRPr="00BC0D5D">
        <w:rPr>
          <w:iCs/>
        </w:rPr>
        <w:fldChar w:fldCharType="begin" w:fldLock="1"/>
      </w:r>
      <w:r w:rsidR="00BC0D5D" w:rsidRPr="00BC0D5D">
        <w:rPr>
          <w:iCs/>
        </w:rPr>
        <w:instrText xml:space="preserve"> REF </w:instrText>
      </w:r>
      <w:r w:rsidR="009C2479">
        <w:rPr>
          <w:iCs/>
        </w:rPr>
        <w:instrText>Doc</w:instrText>
      </w:r>
      <w:r w:rsidR="00BC0D5D" w:rsidRPr="00BC0D5D">
        <w:rPr>
          <w:iCs/>
        </w:rPr>
        <w:instrText xml:space="preserve">No \* charformat </w:instrText>
      </w:r>
      <w:r w:rsidR="00BC0D5D" w:rsidRPr="00BC0D5D">
        <w:rPr>
          <w:iCs/>
        </w:rPr>
        <w:fldChar w:fldCharType="separate"/>
      </w:r>
      <w:r w:rsidR="002962A0" w:rsidRPr="002962A0">
        <w:rPr>
          <w:iCs/>
        </w:rPr>
        <w:t>2015-3</w:t>
      </w:r>
      <w:r w:rsidR="00BC0D5D" w:rsidRPr="00BC0D5D">
        <w:rPr>
          <w:iCs/>
        </w:rPr>
        <w:fldChar w:fldCharType="end"/>
      </w:r>
      <w:r w:rsidRPr="0000292B">
        <w:t xml:space="preserve"> </w:t>
      </w:r>
      <w:r w:rsidR="009C2479" w:rsidRPr="009C2479">
        <w:rPr>
          <w:i/>
        </w:rPr>
        <w:t xml:space="preserve">Amendments to Australian Accounting Standards </w:t>
      </w:r>
      <w:r w:rsidR="00460FBB">
        <w:rPr>
          <w:i/>
        </w:rPr>
        <w:t>a</w:t>
      </w:r>
      <w:r w:rsidR="009C2479" w:rsidRPr="009C2479">
        <w:rPr>
          <w:i/>
        </w:rPr>
        <w:t xml:space="preserve">rising </w:t>
      </w:r>
      <w:r w:rsidR="00460FBB">
        <w:rPr>
          <w:i/>
        </w:rPr>
        <w:t>f</w:t>
      </w:r>
      <w:r w:rsidR="009C2479" w:rsidRPr="009C2479">
        <w:rPr>
          <w:i/>
        </w:rPr>
        <w:t>rom</w:t>
      </w:r>
      <w:r w:rsidR="009C2479">
        <w:t xml:space="preserve"> </w:t>
      </w:r>
      <w:r w:rsidR="00017AA3">
        <w:rPr>
          <w:i/>
        </w:rPr>
        <w:t xml:space="preserve">the </w:t>
      </w:r>
      <w:r w:rsidR="0031026B">
        <w:rPr>
          <w:i/>
        </w:rPr>
        <w:t>W</w:t>
      </w:r>
      <w:r w:rsidR="005C661C">
        <w:rPr>
          <w:i/>
        </w:rPr>
        <w:t xml:space="preserve">ithdrawal of </w:t>
      </w:r>
      <w:r w:rsidRPr="0000292B">
        <w:rPr>
          <w:i/>
          <w:iCs/>
        </w:rPr>
        <w:fldChar w:fldCharType="begin" w:fldLock="1"/>
      </w:r>
      <w:r w:rsidRPr="0000292B">
        <w:rPr>
          <w:i/>
          <w:iCs/>
        </w:rPr>
        <w:instrText xml:space="preserve"> REF </w:instrText>
      </w:r>
      <w:r w:rsidR="009C2479">
        <w:rPr>
          <w:i/>
          <w:iCs/>
        </w:rPr>
        <w:instrText>ArisingNo</w:instrText>
      </w:r>
      <w:r w:rsidRPr="0000292B">
        <w:rPr>
          <w:i/>
          <w:iCs/>
        </w:rPr>
        <w:instrText xml:space="preserve"> \* charformat </w:instrText>
      </w:r>
      <w:r w:rsidRPr="0000292B">
        <w:rPr>
          <w:i/>
          <w:iCs/>
        </w:rPr>
        <w:fldChar w:fldCharType="separate"/>
      </w:r>
      <w:r w:rsidR="002962A0" w:rsidRPr="002962A0">
        <w:rPr>
          <w:i/>
          <w:iCs/>
        </w:rPr>
        <w:t>AASB 1031</w:t>
      </w:r>
      <w:r w:rsidRPr="0000292B">
        <w:rPr>
          <w:i/>
          <w:iCs/>
        </w:rPr>
        <w:fldChar w:fldCharType="end"/>
      </w:r>
      <w:r w:rsidR="005C661C">
        <w:rPr>
          <w:iCs/>
        </w:rPr>
        <w:t xml:space="preserve"> Materiality</w:t>
      </w:r>
      <w:r w:rsidRPr="0000292B">
        <w:rPr>
          <w:i/>
          <w:iCs/>
        </w:rPr>
        <w:t xml:space="preserve"> </w:t>
      </w:r>
      <w:r w:rsidRPr="0000292B">
        <w:t xml:space="preserve">is set out in paragraphs </w:t>
      </w:r>
      <w:r w:rsidR="005C661C">
        <w:t>1 –</w:t>
      </w:r>
      <w:r w:rsidR="00017AA3">
        <w:t xml:space="preserve">15 </w:t>
      </w:r>
      <w:r w:rsidR="005C661C">
        <w:t>and the Appendix</w:t>
      </w:r>
      <w:r w:rsidRPr="0000292B">
        <w:t>.</w:t>
      </w:r>
      <w:r w:rsidR="005C661C">
        <w:t xml:space="preserve"> </w:t>
      </w:r>
      <w:r w:rsidRPr="0000292B">
        <w:t xml:space="preserve"> All the pa</w:t>
      </w:r>
      <w:r w:rsidR="009C2479">
        <w:t>ragraphs have equal authority.</w:t>
      </w:r>
    </w:p>
    <w:p w:rsidR="000F683F" w:rsidRDefault="000F683F">
      <w:pPr>
        <w:pStyle w:val="Heading1"/>
      </w:pPr>
    </w:p>
    <w:p w:rsidR="00090A6F" w:rsidRPr="0000292B" w:rsidRDefault="00090A6F">
      <w:pPr>
        <w:pStyle w:val="Heading1"/>
      </w:pPr>
      <w:r w:rsidRPr="0000292B">
        <w:t>Preface</w:t>
      </w:r>
    </w:p>
    <w:p w:rsidR="000F64CC" w:rsidRPr="0000292B" w:rsidRDefault="005A2514">
      <w:pPr>
        <w:pStyle w:val="Heading2"/>
      </w:pPr>
      <w:r>
        <w:t>Introduction</w:t>
      </w:r>
    </w:p>
    <w:p w:rsidR="00074133" w:rsidRDefault="009C2479" w:rsidP="005A2514">
      <w:pPr>
        <w:pStyle w:val="NoNumPlain1"/>
      </w:pPr>
      <w:r>
        <w:t xml:space="preserve">This Standard </w:t>
      </w:r>
      <w:r w:rsidR="006A016D">
        <w:t xml:space="preserve">effects the withdrawal of AASB 1031 </w:t>
      </w:r>
      <w:r w:rsidR="006A016D">
        <w:rPr>
          <w:i/>
        </w:rPr>
        <w:t>Materiality</w:t>
      </w:r>
      <w:r w:rsidR="00774184">
        <w:t xml:space="preserve"> by amending AASB 108 </w:t>
      </w:r>
      <w:r w:rsidR="00774184">
        <w:rPr>
          <w:i/>
        </w:rPr>
        <w:t>Accounting Policies, Changes in Accounting Estimates and Errors</w:t>
      </w:r>
      <w:r w:rsidR="00774184">
        <w:t xml:space="preserve"> to supersede AASB 1031</w:t>
      </w:r>
      <w:r w:rsidR="007E7114">
        <w:t xml:space="preserve"> and</w:t>
      </w:r>
      <w:r w:rsidR="007E7114" w:rsidRPr="007E7114">
        <w:t xml:space="preserve"> </w:t>
      </w:r>
      <w:r w:rsidR="007E7114">
        <w:t xml:space="preserve">deletes references </w:t>
      </w:r>
      <w:r w:rsidR="00774184">
        <w:t xml:space="preserve">to </w:t>
      </w:r>
      <w:r w:rsidR="007E7114">
        <w:t xml:space="preserve">AASB 1031 in </w:t>
      </w:r>
      <w:r w:rsidR="00774184">
        <w:t>the Australian Accounting Standards listed in the Appendix to this Standard.</w:t>
      </w:r>
    </w:p>
    <w:p w:rsidR="009E54A7" w:rsidRDefault="009E54A7" w:rsidP="009E54A7">
      <w:pPr>
        <w:pStyle w:val="Heading3"/>
      </w:pPr>
      <w:r>
        <w:t>Main Requirements</w:t>
      </w:r>
    </w:p>
    <w:p w:rsidR="00401ECA" w:rsidRDefault="0058718F" w:rsidP="00401ECA">
      <w:pPr>
        <w:pStyle w:val="NoNumPlain1"/>
      </w:pPr>
      <w:r>
        <w:t xml:space="preserve">As noted in the Preface to AASB 1031 </w:t>
      </w:r>
      <w:r>
        <w:rPr>
          <w:i/>
        </w:rPr>
        <w:t xml:space="preserve">Materiality </w:t>
      </w:r>
      <w:r>
        <w:t xml:space="preserve">(July 2004), at the time AASB 1031 was issued, the </w:t>
      </w:r>
      <w:r>
        <w:rPr>
          <w:i/>
        </w:rPr>
        <w:t>Framework for the Preparation and Presentation of Financial Statements</w:t>
      </w:r>
      <w:r>
        <w:t xml:space="preserve"> contained limited guidance on materiality in comparison to AASB 1031.  Accordingly, as part of the AASB’s initial implementation of the Financial Reporting Council’s policy of adopting the Standards of the IASB for application to reporting periods beginning on or after 1 January 2005, the AASB decided to retain AASB 1031, in a revised format, to ensure that the meaning of materiality remained well explained.</w:t>
      </w:r>
    </w:p>
    <w:p w:rsidR="0058718F" w:rsidRDefault="00B47AC5" w:rsidP="00401ECA">
      <w:pPr>
        <w:pStyle w:val="NoNumPlain1"/>
      </w:pPr>
      <w:r>
        <w:t xml:space="preserve">The AASB has a policy of not providing unnecessary local guidance on matters covered by IFRSs.  As a consequence, the AASB decided to withdraw AASB 1031 – as was proposed in AASB Exposure Draft ED 243 </w:t>
      </w:r>
      <w:r>
        <w:rPr>
          <w:i/>
        </w:rPr>
        <w:t>Withdrawal of AASB 1031</w:t>
      </w:r>
      <w:r>
        <w:t xml:space="preserve"> Materiality (June 2013).  Accordingly, in December 2013 the AASB re-issued AASB 1031 as an interim Standard that cross-references to other pronouncements that contain guidance on materiality.  AASB 2013-9 </w:t>
      </w:r>
      <w:r>
        <w:rPr>
          <w:i/>
        </w:rPr>
        <w:t>Amendments to Australian Accounting Standards</w:t>
      </w:r>
      <w:r w:rsidR="00E269B5">
        <w:rPr>
          <w:i/>
        </w:rPr>
        <w:t xml:space="preserve"> – Conceptual Framework</w:t>
      </w:r>
      <w:r w:rsidR="00017AA3">
        <w:rPr>
          <w:i/>
        </w:rPr>
        <w:t>,</w:t>
      </w:r>
      <w:r w:rsidR="00E269B5">
        <w:rPr>
          <w:i/>
        </w:rPr>
        <w:t xml:space="preserve"> Materiality and Financial Instruments</w:t>
      </w:r>
      <w:r w:rsidR="00E269B5">
        <w:t xml:space="preserve"> and AASB 2014-1 </w:t>
      </w:r>
      <w:r w:rsidR="00E269B5">
        <w:rPr>
          <w:i/>
        </w:rPr>
        <w:t>Amendments to Australian Accounting Standards</w:t>
      </w:r>
      <w:r w:rsidR="00E269B5">
        <w:t xml:space="preserve"> deleted certain references to AASB 1031 in a range of other Standards, as listed in those Standards.</w:t>
      </w:r>
    </w:p>
    <w:p w:rsidR="007E7114" w:rsidRDefault="007E7114" w:rsidP="00401ECA">
      <w:pPr>
        <w:pStyle w:val="NoNumPlain1"/>
      </w:pPr>
      <w:r>
        <w:t>This Standard completes the withdrawal of references to AASB 1031 in all Australian Accounting Standards and Interpretations</w:t>
      </w:r>
      <w:r w:rsidR="001636FB">
        <w:t>, allowing that Standard to effectively be withdrawn.</w:t>
      </w:r>
    </w:p>
    <w:p w:rsidR="00E269B5" w:rsidRDefault="00E269B5" w:rsidP="00E269B5">
      <w:pPr>
        <w:pStyle w:val="Heading3"/>
      </w:pPr>
      <w:r>
        <w:t>Application Date</w:t>
      </w:r>
    </w:p>
    <w:p w:rsidR="00E269B5" w:rsidRPr="00E269B5" w:rsidRDefault="00E269B5" w:rsidP="00E269B5">
      <w:pPr>
        <w:pStyle w:val="NoNumPlain1"/>
      </w:pPr>
      <w:r>
        <w:t>This Standard is applicable to annual reporting periods beginning on or after 1 July 2015.  Earlier application is permitted for annual reporting periods beginning on or after 1 January 2014 but before 1 July 201</w:t>
      </w:r>
      <w:r w:rsidR="00017AA3">
        <w:t>5</w:t>
      </w:r>
      <w:r>
        <w:t>.</w:t>
      </w:r>
    </w:p>
    <w:p w:rsidR="00090A6F" w:rsidRPr="0000292B" w:rsidRDefault="00090A6F"/>
    <w:p w:rsidR="00090A6F" w:rsidRPr="0000292B" w:rsidRDefault="00090A6F">
      <w:pPr>
        <w:sectPr w:rsidR="00090A6F" w:rsidRPr="0000292B" w:rsidSect="00BA2BBF">
          <w:footerReference w:type="default" r:id="rId12"/>
          <w:pgSz w:w="11907" w:h="16840" w:code="9"/>
          <w:pgMar w:top="1134" w:right="1134" w:bottom="1134" w:left="1134" w:header="720" w:footer="720" w:gutter="0"/>
          <w:cols w:space="720"/>
        </w:sectPr>
      </w:pPr>
    </w:p>
    <w:p w:rsidR="001662B8" w:rsidRPr="0000292B" w:rsidRDefault="001662B8" w:rsidP="001662B8">
      <w:pPr>
        <w:pStyle w:val="Heading1"/>
      </w:pPr>
      <w:r w:rsidRPr="0000292B">
        <w:t xml:space="preserve">aCCOUNTING STANDARD AASB </w:t>
      </w:r>
      <w:r w:rsidRPr="00BC0D5D">
        <w:rPr>
          <w:iCs/>
        </w:rPr>
        <w:fldChar w:fldCharType="begin" w:fldLock="1"/>
      </w:r>
      <w:r w:rsidRPr="00BC0D5D">
        <w:rPr>
          <w:iCs/>
        </w:rPr>
        <w:instrText xml:space="preserve"> REF </w:instrText>
      </w:r>
      <w:r>
        <w:rPr>
          <w:iCs/>
        </w:rPr>
        <w:instrText>Doc</w:instrText>
      </w:r>
      <w:r w:rsidRPr="00BC0D5D">
        <w:rPr>
          <w:iCs/>
        </w:rPr>
        <w:instrText xml:space="preserve">No \* charformat </w:instrText>
      </w:r>
      <w:r w:rsidRPr="00BC0D5D">
        <w:rPr>
          <w:iCs/>
        </w:rPr>
        <w:fldChar w:fldCharType="separate"/>
      </w:r>
      <w:r w:rsidR="002962A0" w:rsidRPr="002962A0">
        <w:rPr>
          <w:iCs/>
        </w:rPr>
        <w:t>2015-3</w:t>
      </w:r>
      <w:r w:rsidRPr="00BC0D5D">
        <w:rPr>
          <w:iCs/>
        </w:rPr>
        <w:fldChar w:fldCharType="end"/>
      </w:r>
    </w:p>
    <w:p w:rsidR="001662B8" w:rsidRDefault="001662B8" w:rsidP="001662B8">
      <w:r>
        <w:t>The Australian Accounting Standards Board makes Accounting Standard AASB </w:t>
      </w:r>
      <w:r w:rsidR="00CB3D0D">
        <w:fldChar w:fldCharType="begin" w:fldLock="1"/>
      </w:r>
      <w:r w:rsidR="00CB3D0D">
        <w:instrText xml:space="preserve"> REF DocNo  \* charformat </w:instrText>
      </w:r>
      <w:r w:rsidR="00CB3D0D">
        <w:fldChar w:fldCharType="separate"/>
      </w:r>
      <w:r w:rsidR="002962A0">
        <w:t>2015-3</w:t>
      </w:r>
      <w:r w:rsidR="00CB3D0D">
        <w:fldChar w:fldCharType="end"/>
      </w:r>
      <w:r>
        <w:t xml:space="preserve"> </w:t>
      </w:r>
      <w:r w:rsidRPr="001662B8">
        <w:rPr>
          <w:i/>
        </w:rPr>
        <w:t>Amendments to Australian Accounting Standards arising from</w:t>
      </w:r>
      <w:r w:rsidR="00017AA3">
        <w:rPr>
          <w:i/>
        </w:rPr>
        <w:t xml:space="preserve"> the </w:t>
      </w:r>
      <w:r w:rsidR="0031026B">
        <w:rPr>
          <w:i/>
        </w:rPr>
        <w:t>W</w:t>
      </w:r>
      <w:r w:rsidR="00017AA3">
        <w:rPr>
          <w:i/>
        </w:rPr>
        <w:t>ithdrawal of</w:t>
      </w:r>
      <w:r w:rsidRPr="001662B8">
        <w:rPr>
          <w:i/>
        </w:rPr>
        <w:t xml:space="preserve"> </w:t>
      </w:r>
      <w:r w:rsidRPr="001662B8">
        <w:rPr>
          <w:i/>
          <w:iCs/>
        </w:rPr>
        <w:fldChar w:fldCharType="begin" w:fldLock="1"/>
      </w:r>
      <w:r w:rsidRPr="001662B8">
        <w:rPr>
          <w:i/>
          <w:iCs/>
        </w:rPr>
        <w:instrText xml:space="preserve"> REF ArisingNo  \* charformat </w:instrText>
      </w:r>
      <w:r w:rsidRPr="001662B8">
        <w:rPr>
          <w:i/>
          <w:iCs/>
        </w:rPr>
        <w:fldChar w:fldCharType="separate"/>
      </w:r>
      <w:r w:rsidR="002962A0" w:rsidRPr="002962A0">
        <w:rPr>
          <w:i/>
          <w:iCs/>
        </w:rPr>
        <w:t>AASB 1031</w:t>
      </w:r>
      <w:r w:rsidRPr="001662B8">
        <w:rPr>
          <w:i/>
          <w:iCs/>
        </w:rPr>
        <w:fldChar w:fldCharType="end"/>
      </w:r>
      <w:r w:rsidR="00017AA3">
        <w:rPr>
          <w:i/>
          <w:iCs/>
        </w:rPr>
        <w:t xml:space="preserve"> </w:t>
      </w:r>
      <w:r w:rsidR="00017AA3">
        <w:rPr>
          <w:iCs/>
        </w:rPr>
        <w:t>Materiality</w:t>
      </w:r>
      <w:r w:rsidR="002B7803">
        <w:rPr>
          <w:i/>
          <w:iCs/>
        </w:rPr>
        <w:t xml:space="preserve"> </w:t>
      </w:r>
      <w:r>
        <w:t xml:space="preserve">under section 334 of the </w:t>
      </w:r>
      <w:r>
        <w:rPr>
          <w:i/>
          <w:iCs/>
        </w:rPr>
        <w:t>Corporations Act 2001</w:t>
      </w:r>
      <w:r>
        <w:t>.</w:t>
      </w:r>
    </w:p>
    <w:p w:rsidR="00C03C7B" w:rsidRDefault="00C03C7B" w:rsidP="00C03C7B"/>
    <w:tbl>
      <w:tblPr>
        <w:tblW w:w="0" w:type="auto"/>
        <w:tblLook w:val="0000" w:firstRow="0" w:lastRow="0" w:firstColumn="0" w:lastColumn="0" w:noHBand="0" w:noVBand="0"/>
        <w:tblCaption w:val="Authorisation of the statement that the AASB has made the Standard"/>
        <w:tblDescription w:val="Date when the Standard was made by the AASB, the name of the AASB Chair, and the statement of that position"/>
      </w:tblPr>
      <w:tblGrid>
        <w:gridCol w:w="6237"/>
        <w:gridCol w:w="3402"/>
      </w:tblGrid>
      <w:tr w:rsidR="00C03C7B" w:rsidTr="000F683F">
        <w:tc>
          <w:tcPr>
            <w:tcW w:w="6237" w:type="dxa"/>
          </w:tcPr>
          <w:p w:rsidR="00C03C7B" w:rsidRDefault="00C03C7B" w:rsidP="0048155F"/>
        </w:tc>
        <w:tc>
          <w:tcPr>
            <w:tcW w:w="3402" w:type="dxa"/>
          </w:tcPr>
          <w:p w:rsidR="00C03C7B" w:rsidRDefault="00370945" w:rsidP="00370945">
            <w:pPr>
              <w:jc w:val="right"/>
            </w:pPr>
            <w:r>
              <w:t>Kris</w:t>
            </w:r>
            <w:r w:rsidR="000B733C">
              <w:t xml:space="preserve"> </w:t>
            </w:r>
            <w:r>
              <w:t>Peach</w:t>
            </w:r>
          </w:p>
        </w:tc>
      </w:tr>
      <w:tr w:rsidR="00C03C7B" w:rsidTr="000F683F">
        <w:tc>
          <w:tcPr>
            <w:tcW w:w="6237" w:type="dxa"/>
          </w:tcPr>
          <w:p w:rsidR="00C03C7B" w:rsidRDefault="00C03C7B" w:rsidP="00B74356">
            <w:r>
              <w:t xml:space="preserve">Dated </w:t>
            </w:r>
            <w:bookmarkStart w:id="8" w:name="DateSigned"/>
            <w:r w:rsidR="00B74356">
              <w:t>28 January 2015</w:t>
            </w:r>
            <w:bookmarkEnd w:id="8"/>
          </w:p>
        </w:tc>
        <w:tc>
          <w:tcPr>
            <w:tcW w:w="3402" w:type="dxa"/>
          </w:tcPr>
          <w:p w:rsidR="00C03C7B" w:rsidRDefault="00C03C7B" w:rsidP="0048155F">
            <w:pPr>
              <w:jc w:val="right"/>
            </w:pPr>
            <w:r>
              <w:t>Chair – AASB</w:t>
            </w:r>
          </w:p>
        </w:tc>
      </w:tr>
    </w:tbl>
    <w:p w:rsidR="00C03C7B" w:rsidRDefault="00C03C7B" w:rsidP="00C03C7B"/>
    <w:p w:rsidR="00C03C7B" w:rsidRDefault="00C03C7B" w:rsidP="00C03C7B"/>
    <w:p w:rsidR="00090A6F" w:rsidRPr="0000292B" w:rsidRDefault="00090A6F">
      <w:pPr>
        <w:pStyle w:val="Heading1"/>
      </w:pPr>
      <w:r w:rsidRPr="0000292B">
        <w:t xml:space="preserve">aCCOUNTING STANDARD AASB </w:t>
      </w:r>
      <w:r w:rsidR="00BC0D5D" w:rsidRPr="00BC0D5D">
        <w:rPr>
          <w:iCs/>
        </w:rPr>
        <w:fldChar w:fldCharType="begin" w:fldLock="1"/>
      </w:r>
      <w:r w:rsidR="00BC0D5D" w:rsidRPr="00BC0D5D">
        <w:rPr>
          <w:iCs/>
        </w:rPr>
        <w:instrText xml:space="preserve"> REF </w:instrText>
      </w:r>
      <w:r w:rsidR="001662B8">
        <w:rPr>
          <w:iCs/>
        </w:rPr>
        <w:instrText>Doc</w:instrText>
      </w:r>
      <w:r w:rsidR="00BC0D5D" w:rsidRPr="00BC0D5D">
        <w:rPr>
          <w:iCs/>
        </w:rPr>
        <w:instrText xml:space="preserve">No \* charformat </w:instrText>
      </w:r>
      <w:r w:rsidR="00BC0D5D" w:rsidRPr="00BC0D5D">
        <w:rPr>
          <w:iCs/>
        </w:rPr>
        <w:fldChar w:fldCharType="separate"/>
      </w:r>
      <w:r w:rsidR="002962A0" w:rsidRPr="002962A0">
        <w:rPr>
          <w:iCs/>
        </w:rPr>
        <w:t>2015-3</w:t>
      </w:r>
      <w:r w:rsidR="00BC0D5D" w:rsidRPr="00BC0D5D">
        <w:rPr>
          <w:iCs/>
        </w:rPr>
        <w:fldChar w:fldCharType="end"/>
      </w:r>
    </w:p>
    <w:p w:rsidR="00090A6F" w:rsidRPr="000B3368" w:rsidRDefault="001662B8">
      <w:pPr>
        <w:pStyle w:val="Heading1Italic"/>
        <w:rPr>
          <w:i w:val="0"/>
        </w:rPr>
      </w:pPr>
      <w:r>
        <w:t xml:space="preserve">AMENDMENTS TO AUSTRALIAN ACCOUNTING STANDARDS ARISING FROM </w:t>
      </w:r>
      <w:r w:rsidR="00017AA3">
        <w:t xml:space="preserve">the withdrawal of </w:t>
      </w:r>
      <w:r w:rsidR="00090A6F" w:rsidRPr="0000292B">
        <w:fldChar w:fldCharType="begin" w:fldLock="1"/>
      </w:r>
      <w:r w:rsidR="00090A6F" w:rsidRPr="0000292B">
        <w:instrText xml:space="preserve"> REF </w:instrText>
      </w:r>
      <w:r>
        <w:instrText>ArisingNo</w:instrText>
      </w:r>
      <w:r w:rsidR="00090A6F" w:rsidRPr="0000292B">
        <w:instrText xml:space="preserve">  \* charformat </w:instrText>
      </w:r>
      <w:r w:rsidR="00090A6F" w:rsidRPr="0000292B">
        <w:fldChar w:fldCharType="separate"/>
      </w:r>
      <w:r w:rsidR="002962A0">
        <w:t>AASB 1031</w:t>
      </w:r>
      <w:r w:rsidR="00090A6F" w:rsidRPr="0000292B">
        <w:fldChar w:fldCharType="end"/>
      </w:r>
      <w:r w:rsidR="00017AA3">
        <w:rPr>
          <w:i w:val="0"/>
        </w:rPr>
        <w:t xml:space="preserve"> Materiality</w:t>
      </w:r>
    </w:p>
    <w:p w:rsidR="00090A6F" w:rsidRPr="0000292B" w:rsidRDefault="00090A6F">
      <w:pPr>
        <w:pStyle w:val="Heading2"/>
      </w:pPr>
      <w:bookmarkStart w:id="9" w:name="TOCStart"/>
      <w:bookmarkEnd w:id="9"/>
      <w:r w:rsidRPr="0000292B">
        <w:t>Objective</w:t>
      </w:r>
    </w:p>
    <w:p w:rsidR="00090A6F" w:rsidRDefault="001662B8" w:rsidP="00422E4D">
      <w:pPr>
        <w:pStyle w:val="NumPlain1"/>
        <w:numPr>
          <w:ilvl w:val="0"/>
          <w:numId w:val="2"/>
        </w:numPr>
      </w:pPr>
      <w:r>
        <w:t xml:space="preserve">The </w:t>
      </w:r>
      <w:r w:rsidR="00460FBB">
        <w:t>o</w:t>
      </w:r>
      <w:r>
        <w:t xml:space="preserve">bjective of this Standard is </w:t>
      </w:r>
      <w:r w:rsidR="00BB02CE">
        <w:t>to effect the withdrawal of AASB 1031</w:t>
      </w:r>
      <w:r w:rsidR="00BB02CE" w:rsidRPr="00BB02CE">
        <w:rPr>
          <w:i/>
        </w:rPr>
        <w:t xml:space="preserve"> </w:t>
      </w:r>
      <w:r w:rsidR="00BB02CE">
        <w:rPr>
          <w:i/>
        </w:rPr>
        <w:t>Materiality</w:t>
      </w:r>
      <w:r w:rsidR="00BB02CE">
        <w:t xml:space="preserve"> and to </w:t>
      </w:r>
      <w:r w:rsidR="00370945">
        <w:t xml:space="preserve">delete references to AASB 1031 in </w:t>
      </w:r>
      <w:r w:rsidR="00355097">
        <w:t>the Australian Accounting Standards, as set out i</w:t>
      </w:r>
      <w:r w:rsidR="00BB02CE">
        <w:t xml:space="preserve">n paragraph </w:t>
      </w:r>
      <w:r w:rsidR="00017AA3">
        <w:t xml:space="preserve">13 </w:t>
      </w:r>
      <w:r w:rsidR="00BB02CE">
        <w:t>of this Standard</w:t>
      </w:r>
      <w:r w:rsidR="00355097">
        <w:t>.</w:t>
      </w:r>
    </w:p>
    <w:p w:rsidR="00090A6F" w:rsidRPr="0000292B" w:rsidRDefault="00090A6F">
      <w:pPr>
        <w:pStyle w:val="Heading2"/>
      </w:pPr>
      <w:r w:rsidRPr="0000292B">
        <w:t>Application</w:t>
      </w:r>
    </w:p>
    <w:p w:rsidR="00511C34" w:rsidRDefault="00511C34" w:rsidP="00027E8B">
      <w:pPr>
        <w:pStyle w:val="NumBold1"/>
      </w:pPr>
      <w:r>
        <w:t xml:space="preserve">Subject to paragraphs </w:t>
      </w:r>
      <w:r w:rsidR="00BA754A">
        <w:t>3-7</w:t>
      </w:r>
      <w:r>
        <w:t>, this Standard applies to:</w:t>
      </w:r>
    </w:p>
    <w:p w:rsidR="00511C34" w:rsidRDefault="00511C34" w:rsidP="00511C34">
      <w:pPr>
        <w:pStyle w:val="NumBold2"/>
      </w:pPr>
      <w:r>
        <w:t xml:space="preserve">each entity that is required to prepare financial reports in accordance with Part 2M.3 of the </w:t>
      </w:r>
      <w:r w:rsidRPr="00D74038">
        <w:t>Corporations Act</w:t>
      </w:r>
      <w:r>
        <w:t xml:space="preserve"> and that is a reporting entity;</w:t>
      </w:r>
    </w:p>
    <w:p w:rsidR="00511C34" w:rsidRDefault="00511C34" w:rsidP="00511C34">
      <w:pPr>
        <w:pStyle w:val="NumBold2"/>
      </w:pPr>
      <w:r>
        <w:t>general purpose financial statements of each other reporting entity; and</w:t>
      </w:r>
    </w:p>
    <w:p w:rsidR="00511C34" w:rsidRDefault="00511C34" w:rsidP="00511C34">
      <w:pPr>
        <w:pStyle w:val="NumBold2"/>
      </w:pPr>
      <w:r>
        <w:t>financial statements that are, or are held out to be, general purpose financial statements.</w:t>
      </w:r>
    </w:p>
    <w:p w:rsidR="00511C34" w:rsidRDefault="00511C34" w:rsidP="00511C34">
      <w:pPr>
        <w:pStyle w:val="NumBold1"/>
      </w:pPr>
      <w:r>
        <w:t xml:space="preserve">In respect of AASB </w:t>
      </w:r>
      <w:r w:rsidR="007C3A1B">
        <w:t>107</w:t>
      </w:r>
      <w:r w:rsidR="0002782F">
        <w:t xml:space="preserve"> and AASB 108</w:t>
      </w:r>
      <w:r w:rsidR="001C225F">
        <w:t>, t</w:t>
      </w:r>
      <w:r w:rsidR="00D74038">
        <w:t>his Standard applies to:</w:t>
      </w:r>
    </w:p>
    <w:p w:rsidR="00D74038" w:rsidRDefault="007C3A1B" w:rsidP="00D74038">
      <w:pPr>
        <w:pStyle w:val="NumBold2"/>
      </w:pPr>
      <w:r>
        <w:t>each entity that is required to prepare financial reports in accordance with Part 2M.3 of the Corporations Act;</w:t>
      </w:r>
    </w:p>
    <w:p w:rsidR="007C3A1B" w:rsidRDefault="007C3A1B" w:rsidP="00D74038">
      <w:pPr>
        <w:pStyle w:val="NumBold2"/>
      </w:pPr>
      <w:r>
        <w:t>general purpose financial statements of each reporting entity; and</w:t>
      </w:r>
    </w:p>
    <w:p w:rsidR="007C3A1B" w:rsidRDefault="007C3A1B" w:rsidP="00D74038">
      <w:pPr>
        <w:pStyle w:val="NumBold2"/>
      </w:pPr>
      <w:r>
        <w:t>financial statements that are, or are held out to be general purpose financial statements.</w:t>
      </w:r>
    </w:p>
    <w:p w:rsidR="007C3A1B" w:rsidRDefault="007C3A1B" w:rsidP="007C3A1B">
      <w:pPr>
        <w:pStyle w:val="NumBold1"/>
      </w:pPr>
      <w:r>
        <w:t>In respect of AASB 133, this Standard applies to each entity that is required to prepare financial reports in accordance with Part 2M.3 of the Corporations Act and that is:</w:t>
      </w:r>
    </w:p>
    <w:p w:rsidR="007C3A1B" w:rsidRDefault="007C3A1B" w:rsidP="007C3A1B">
      <w:pPr>
        <w:pStyle w:val="NumBold2"/>
      </w:pPr>
      <w:r>
        <w:t>a reporting entity whose ordinary shares or potential ordinary shares are publicly traded; or</w:t>
      </w:r>
    </w:p>
    <w:p w:rsidR="007C3A1B" w:rsidRDefault="007C3A1B" w:rsidP="007C3A1B">
      <w:pPr>
        <w:pStyle w:val="NumBold2"/>
      </w:pPr>
      <w:r>
        <w:t>a reporting entity that is in the process of issuing ordinary shares or potential ordinary shares in public markets; or</w:t>
      </w:r>
    </w:p>
    <w:p w:rsidR="007C3A1B" w:rsidRDefault="007C3A1B" w:rsidP="007C3A1B">
      <w:pPr>
        <w:pStyle w:val="NumBold2"/>
      </w:pPr>
      <w:r>
        <w:t>an entity that discloses earnings per share.</w:t>
      </w:r>
    </w:p>
    <w:p w:rsidR="007C3A1B" w:rsidRDefault="007C3A1B" w:rsidP="007C3A1B">
      <w:pPr>
        <w:pStyle w:val="NumBold1"/>
      </w:pPr>
      <w:r>
        <w:t>In respect of AASB 1004, this Standard applies to:</w:t>
      </w:r>
    </w:p>
    <w:p w:rsidR="007C3A1B" w:rsidRDefault="007C3A1B" w:rsidP="007C3A1B">
      <w:pPr>
        <w:pStyle w:val="NumBold2"/>
      </w:pPr>
      <w:r>
        <w:t>each not-for-profit entity that is required to prepare financial reports in accordance with Part 2M.3 of the Corporations Act and that is a reporting entity;</w:t>
      </w:r>
    </w:p>
    <w:p w:rsidR="007C3A1B" w:rsidRDefault="00DE7E88" w:rsidP="007C3A1B">
      <w:pPr>
        <w:pStyle w:val="NumBold2"/>
      </w:pPr>
      <w:r>
        <w:t>general purpose financial statements of each other not-for-profit entity that is a reporting entity;</w:t>
      </w:r>
    </w:p>
    <w:p w:rsidR="00DE7E88" w:rsidRDefault="00DE7E88" w:rsidP="007C3A1B">
      <w:pPr>
        <w:pStyle w:val="NumBold2"/>
      </w:pPr>
      <w:r>
        <w:t>financial statements of not-for-profit entities that are, or are held out to be, general purpose financial statements; and</w:t>
      </w:r>
    </w:p>
    <w:p w:rsidR="00DE7E88" w:rsidRDefault="00DE7E88" w:rsidP="007C3A1B">
      <w:pPr>
        <w:pStyle w:val="NumBold2"/>
      </w:pPr>
      <w:r>
        <w:t>financial statements of General Government Sectors (GGSs) prepared in accordance with AASB 1049</w:t>
      </w:r>
      <w:r w:rsidR="008C45AA">
        <w:t xml:space="preserve"> </w:t>
      </w:r>
      <w:r w:rsidR="008C45AA" w:rsidRPr="008C45AA">
        <w:rPr>
          <w:i/>
        </w:rPr>
        <w:t>Whole of Government and General Government Sector Financial Reporting</w:t>
      </w:r>
      <w:r>
        <w:t>.</w:t>
      </w:r>
    </w:p>
    <w:p w:rsidR="00CB0EFD" w:rsidRDefault="00CB0EFD" w:rsidP="00CB0EFD">
      <w:pPr>
        <w:pStyle w:val="NumBold1"/>
      </w:pPr>
      <w:r>
        <w:t>In respect of AASB 1039, this Standard applies to a concise financial report prepared by an entity in accordance with paragraph 314(2)(a) in Part 2M.3 of the Corporations Act.</w:t>
      </w:r>
    </w:p>
    <w:p w:rsidR="0086207D" w:rsidRDefault="0086207D" w:rsidP="00CB0EFD">
      <w:pPr>
        <w:pStyle w:val="NumBold1"/>
      </w:pPr>
      <w:r>
        <w:t>In respect of AASB 1053, this Standard applies to:</w:t>
      </w:r>
    </w:p>
    <w:p w:rsidR="0086207D" w:rsidRDefault="0086207D" w:rsidP="0086207D">
      <w:pPr>
        <w:pStyle w:val="NumBold2"/>
      </w:pPr>
      <w:r>
        <w:t>each entity that is required to prepare financial reports in accordance with Part2M.3 of the Corporations Act;</w:t>
      </w:r>
    </w:p>
    <w:p w:rsidR="00017AA3" w:rsidRDefault="0086207D" w:rsidP="0086207D">
      <w:pPr>
        <w:pStyle w:val="NumBold2"/>
      </w:pPr>
      <w:r>
        <w:t>general purpose financial statements of each reporting entity;</w:t>
      </w:r>
    </w:p>
    <w:p w:rsidR="0086207D" w:rsidRDefault="006474B3" w:rsidP="0086207D">
      <w:pPr>
        <w:pStyle w:val="NumBold2"/>
      </w:pPr>
      <w:r>
        <w:t>financial statements that are, or are held out to be, general purpose financial statements; and</w:t>
      </w:r>
    </w:p>
    <w:p w:rsidR="006474B3" w:rsidRPr="007C3A1B" w:rsidRDefault="006474B3" w:rsidP="0086207D">
      <w:pPr>
        <w:pStyle w:val="NumBold2"/>
      </w:pPr>
      <w:r>
        <w:t>financial statements of GGSs prepared in accordance with AASB 1049.</w:t>
      </w:r>
    </w:p>
    <w:p w:rsidR="00090A6F" w:rsidRPr="00027E8B" w:rsidRDefault="00090A6F" w:rsidP="00027E8B">
      <w:pPr>
        <w:pStyle w:val="NumBold1"/>
      </w:pPr>
      <w:r w:rsidRPr="00027E8B">
        <w:t xml:space="preserve">This Standard applies to annual reporting periods </w:t>
      </w:r>
      <w:bookmarkStart w:id="10" w:name="ApplyText"/>
      <w:r w:rsidRPr="00027E8B">
        <w:t>beginning</w:t>
      </w:r>
      <w:bookmarkEnd w:id="10"/>
      <w:r w:rsidRPr="00027E8B">
        <w:t xml:space="preserve"> on or after </w:t>
      </w:r>
      <w:bookmarkStart w:id="11" w:name="ApplyDate"/>
      <w:r w:rsidR="00851041">
        <w:t>1 July 2015</w:t>
      </w:r>
      <w:bookmarkEnd w:id="11"/>
      <w:r w:rsidRPr="00027E8B">
        <w:t>.</w:t>
      </w:r>
    </w:p>
    <w:p w:rsidR="00090A6F" w:rsidRPr="0000292B" w:rsidRDefault="00090A6F" w:rsidP="00BA754A">
      <w:pPr>
        <w:pStyle w:val="NumBold1"/>
      </w:pPr>
      <w:bookmarkStart w:id="12" w:name="EarlyYesPara"/>
      <w:r w:rsidRPr="0000292B">
        <w:t xml:space="preserve">This Standard may be applied to annual reporting periods </w:t>
      </w:r>
      <w:bookmarkStart w:id="13" w:name="EarlyText"/>
      <w:r w:rsidR="00E839DA" w:rsidRPr="0000292B">
        <w:t>beginning</w:t>
      </w:r>
      <w:bookmarkEnd w:id="13"/>
      <w:r w:rsidRPr="0000292B">
        <w:t xml:space="preserve"> on or after </w:t>
      </w:r>
      <w:bookmarkStart w:id="14" w:name="EarlyDate"/>
      <w:r w:rsidR="00851041">
        <w:t>1 January 2014</w:t>
      </w:r>
      <w:bookmarkEnd w:id="14"/>
      <w:r w:rsidR="0078116B" w:rsidRPr="0000292B">
        <w:t xml:space="preserve"> </w:t>
      </w:r>
      <w:bookmarkStart w:id="15" w:name="EarlyWord"/>
      <w:r w:rsidR="0078116B" w:rsidRPr="0000292B">
        <w:t>but</w:t>
      </w:r>
      <w:bookmarkEnd w:id="15"/>
      <w:r w:rsidR="0078116B" w:rsidRPr="0000292B">
        <w:t xml:space="preserve"> before </w:t>
      </w:r>
      <w:r w:rsidR="00A55F4F">
        <w:fldChar w:fldCharType="begin" w:fldLock="1"/>
      </w:r>
      <w:r w:rsidR="00A55F4F">
        <w:instrText xml:space="preserve"> REF ApplyDate  \* charformat  </w:instrText>
      </w:r>
      <w:r w:rsidR="0002782F">
        <w:instrText xml:space="preserve"> \* MERGEFORMAT </w:instrText>
      </w:r>
      <w:r w:rsidR="00A55F4F">
        <w:fldChar w:fldCharType="separate"/>
      </w:r>
      <w:r w:rsidR="002962A0">
        <w:t>1 July 2015</w:t>
      </w:r>
      <w:r w:rsidR="00A55F4F">
        <w:fldChar w:fldCharType="end"/>
      </w:r>
      <w:r w:rsidRPr="0000292B">
        <w:t xml:space="preserve">.  When an entity applies this Standard to </w:t>
      </w:r>
      <w:r w:rsidR="00590051">
        <w:t xml:space="preserve">such </w:t>
      </w:r>
      <w:r w:rsidRPr="0000292B">
        <w:t>an annual reporting period</w:t>
      </w:r>
      <w:r w:rsidR="00590051">
        <w:t>,</w:t>
      </w:r>
      <w:r w:rsidRPr="0000292B">
        <w:t xml:space="preserve"> it shall disclose that fact.</w:t>
      </w:r>
    </w:p>
    <w:bookmarkEnd w:id="12"/>
    <w:p w:rsidR="00090A6F" w:rsidRDefault="0048155F" w:rsidP="00017AA3">
      <w:pPr>
        <w:pStyle w:val="NumBold1"/>
      </w:pPr>
      <w:r>
        <w:t xml:space="preserve">This Standard uses underlining, striking out and other typographical material to identify some of the amendments to a Standard, in order to make the amendments more understandable.  However, the amendments made by this Standard do not include that underlining, striking out or other typographical material.  </w:t>
      </w:r>
      <w:r w:rsidR="00017AA3" w:rsidRPr="00017AA3">
        <w:t>Ellipses (…) are used to help provide the context within which amendments are made and also to indicate text that is not amended.</w:t>
      </w:r>
    </w:p>
    <w:p w:rsidR="00017AA3" w:rsidRDefault="00017AA3" w:rsidP="000B3368">
      <w:pPr>
        <w:pStyle w:val="Heading2"/>
      </w:pPr>
      <w:r>
        <w:t>Commencement</w:t>
      </w:r>
    </w:p>
    <w:p w:rsidR="00017AA3" w:rsidRPr="00017AA3" w:rsidRDefault="00017AA3" w:rsidP="000B3368">
      <w:pPr>
        <w:pStyle w:val="NumPlain1"/>
      </w:pPr>
      <w:r w:rsidRPr="00017AA3">
        <w:rPr>
          <w:b/>
        </w:rPr>
        <w:t>This Standard commences on the day this Standard is made by the Australian Accounting Standards Board.</w:t>
      </w:r>
    </w:p>
    <w:p w:rsidR="00851041" w:rsidRDefault="001D0491">
      <w:pPr>
        <w:pStyle w:val="Heading2"/>
      </w:pPr>
      <w:r>
        <w:t>Withdrawal of AASB 1031</w:t>
      </w:r>
    </w:p>
    <w:p w:rsidR="00851041" w:rsidRDefault="001D0491">
      <w:pPr>
        <w:pStyle w:val="NumPlain1"/>
      </w:pPr>
      <w:r>
        <w:t>Paragraph</w:t>
      </w:r>
      <w:r w:rsidR="00D82397">
        <w:t>s</w:t>
      </w:r>
      <w:r>
        <w:t xml:space="preserve"> Aus2.5</w:t>
      </w:r>
      <w:r w:rsidR="00D82397">
        <w:t xml:space="preserve"> and Aus2.6</w:t>
      </w:r>
      <w:r>
        <w:t xml:space="preserve"> of AASB 108 </w:t>
      </w:r>
      <w:r w:rsidR="00D82397">
        <w:t>are</w:t>
      </w:r>
      <w:r>
        <w:t xml:space="preserve"> amended as follows (new text is underlined and deleted text is struck through):</w:t>
      </w:r>
    </w:p>
    <w:p w:rsidR="00D82397" w:rsidRDefault="00D82397" w:rsidP="00F35F11">
      <w:pPr>
        <w:pStyle w:val="NoNumBold2"/>
        <w:ind w:left="1230" w:hanging="720"/>
      </w:pPr>
      <w:r>
        <w:t>Aus2.5</w:t>
      </w:r>
      <w:r>
        <w:tab/>
        <w:t>When applicable, this Standard supersedes:</w:t>
      </w:r>
    </w:p>
    <w:p w:rsidR="00D82397" w:rsidRDefault="00D82397" w:rsidP="00905060">
      <w:pPr>
        <w:pStyle w:val="PlainHanging3"/>
        <w:tabs>
          <w:tab w:val="left" w:pos="1134"/>
          <w:tab w:val="left" w:pos="1276"/>
        </w:tabs>
        <w:ind w:left="1757"/>
        <w:rPr>
          <w:b/>
        </w:rPr>
      </w:pPr>
      <w:r w:rsidRPr="00D82397">
        <w:rPr>
          <w:b/>
        </w:rPr>
        <w:t>(a)</w:t>
      </w:r>
      <w:r>
        <w:rPr>
          <w:b/>
        </w:rPr>
        <w:tab/>
        <w:t xml:space="preserve">AASB 1001 </w:t>
      </w:r>
      <w:r>
        <w:rPr>
          <w:b/>
          <w:i/>
        </w:rPr>
        <w:t>Accounting Policies</w:t>
      </w:r>
      <w:r>
        <w:rPr>
          <w:b/>
        </w:rPr>
        <w:t xml:space="preserve"> as notified in the Commonwealth of Australia Gazette No S 130, 26 March 1999; </w:t>
      </w:r>
      <w:r>
        <w:rPr>
          <w:b/>
          <w:strike/>
        </w:rPr>
        <w:t>and</w:t>
      </w:r>
    </w:p>
    <w:p w:rsidR="00D82397" w:rsidRDefault="00D82397" w:rsidP="00905060">
      <w:pPr>
        <w:pStyle w:val="PlainHanging3"/>
        <w:tabs>
          <w:tab w:val="left" w:pos="1134"/>
          <w:tab w:val="left" w:pos="1276"/>
        </w:tabs>
        <w:ind w:left="1757"/>
        <w:rPr>
          <w:b/>
          <w:u w:val="single"/>
        </w:rPr>
      </w:pPr>
      <w:r>
        <w:rPr>
          <w:b/>
        </w:rPr>
        <w:t>(b)</w:t>
      </w:r>
      <w:r>
        <w:rPr>
          <w:b/>
        </w:rPr>
        <w:tab/>
      </w:r>
      <w:r w:rsidR="002D4FCF">
        <w:rPr>
          <w:b/>
        </w:rPr>
        <w:t xml:space="preserve">AAS 6 </w:t>
      </w:r>
      <w:r w:rsidR="002D4FCF">
        <w:rPr>
          <w:b/>
          <w:i/>
        </w:rPr>
        <w:t>Accounting Policies</w:t>
      </w:r>
      <w:r w:rsidR="002D4FCF">
        <w:rPr>
          <w:b/>
        </w:rPr>
        <w:t xml:space="preserve"> as issued in March 1999</w:t>
      </w:r>
      <w:r w:rsidR="00A00591" w:rsidRPr="00A00591">
        <w:rPr>
          <w:b/>
          <w:strike/>
        </w:rPr>
        <w:t>.</w:t>
      </w:r>
      <w:r w:rsidR="00A00591" w:rsidRPr="00A00591">
        <w:rPr>
          <w:b/>
          <w:u w:val="single"/>
        </w:rPr>
        <w:t>;</w:t>
      </w:r>
      <w:r w:rsidR="002D4FCF">
        <w:rPr>
          <w:b/>
          <w:u w:val="single"/>
        </w:rPr>
        <w:t xml:space="preserve"> and</w:t>
      </w:r>
    </w:p>
    <w:p w:rsidR="002D4FCF" w:rsidRDefault="002D4FCF" w:rsidP="00905060">
      <w:pPr>
        <w:pStyle w:val="PlainHanging3"/>
        <w:ind w:left="1757"/>
        <w:rPr>
          <w:b/>
          <w:u w:val="single"/>
        </w:rPr>
      </w:pPr>
      <w:r>
        <w:rPr>
          <w:b/>
          <w:u w:val="single"/>
        </w:rPr>
        <w:t>(c)</w:t>
      </w:r>
      <w:r w:rsidRPr="000B3368">
        <w:rPr>
          <w:b/>
        </w:rPr>
        <w:tab/>
      </w:r>
      <w:r>
        <w:rPr>
          <w:b/>
          <w:u w:val="single"/>
        </w:rPr>
        <w:t xml:space="preserve">AASB 1031 </w:t>
      </w:r>
      <w:r>
        <w:rPr>
          <w:b/>
          <w:i/>
          <w:u w:val="single"/>
        </w:rPr>
        <w:t>Materiality</w:t>
      </w:r>
      <w:r>
        <w:rPr>
          <w:b/>
          <w:u w:val="single"/>
        </w:rPr>
        <w:t xml:space="preserve"> as issued in December</w:t>
      </w:r>
      <w:r w:rsidR="00F35F11">
        <w:rPr>
          <w:b/>
          <w:u w:val="single"/>
        </w:rPr>
        <w:t> </w:t>
      </w:r>
      <w:r>
        <w:rPr>
          <w:b/>
          <w:u w:val="single"/>
        </w:rPr>
        <w:t>2013.</w:t>
      </w:r>
    </w:p>
    <w:p w:rsidR="003D261C" w:rsidRPr="003D261C" w:rsidRDefault="003D261C" w:rsidP="003D261C">
      <w:pPr>
        <w:pStyle w:val="NoNumPlain2"/>
        <w:ind w:left="1230" w:hanging="720"/>
      </w:pPr>
      <w:r>
        <w:t>Aus2.6</w:t>
      </w:r>
      <w:r>
        <w:tab/>
        <w:t>AASB 1001</w:t>
      </w:r>
      <w:r w:rsidRPr="00A00591">
        <w:rPr>
          <w:u w:val="single"/>
        </w:rPr>
        <w:t>,</w:t>
      </w:r>
      <w:r>
        <w:t xml:space="preserve"> </w:t>
      </w:r>
      <w:r w:rsidRPr="003D261C">
        <w:rPr>
          <w:strike/>
        </w:rPr>
        <w:t>and</w:t>
      </w:r>
      <w:r>
        <w:t xml:space="preserve"> AAS 6 </w:t>
      </w:r>
      <w:r>
        <w:rPr>
          <w:u w:val="single"/>
        </w:rPr>
        <w:t>and AASB 1031</w:t>
      </w:r>
      <w:r>
        <w:t xml:space="preserve"> remain applicable until superseded by this Standard.</w:t>
      </w:r>
    </w:p>
    <w:p w:rsidR="00851041" w:rsidRDefault="00307695">
      <w:pPr>
        <w:pStyle w:val="Heading2"/>
      </w:pPr>
      <w:r>
        <w:t>Deletion of References to AASB 1031</w:t>
      </w:r>
    </w:p>
    <w:p w:rsidR="00851041" w:rsidRDefault="00307695">
      <w:pPr>
        <w:pStyle w:val="NumPlain1"/>
      </w:pPr>
      <w:r>
        <w:t xml:space="preserve">The statement in each Accounting Standard that the requirements of the Standard apply where information resulting from their application is material in accordance with AASB 1031 </w:t>
      </w:r>
      <w:r>
        <w:rPr>
          <w:i/>
        </w:rPr>
        <w:t>Materiality</w:t>
      </w:r>
      <w:r>
        <w:t xml:space="preserve"> is deleted from the Australian Accounting Standard as listed in the table below:</w:t>
      </w:r>
    </w:p>
    <w:tbl>
      <w:tblPr>
        <w:tblStyle w:val="TableGrid"/>
        <w:tblW w:w="0" w:type="auto"/>
        <w:tblInd w:w="680" w:type="dxa"/>
        <w:tblLayout w:type="fixed"/>
        <w:tblLook w:val="04A0" w:firstRow="1" w:lastRow="0" w:firstColumn="1" w:lastColumn="0" w:noHBand="0" w:noVBand="1"/>
        <w:tblCaption w:val="Table of paragraphs deleted "/>
        <w:tblDescription w:val="Table listing the paragraph in each principal Standard or Interpretation deleted as described in the text before the table"/>
      </w:tblPr>
      <w:tblGrid>
        <w:gridCol w:w="3969"/>
        <w:gridCol w:w="1242"/>
      </w:tblGrid>
      <w:tr w:rsidR="00434D73" w:rsidTr="00C712D0">
        <w:trPr>
          <w:cantSplit/>
          <w:tblHeader/>
        </w:trPr>
        <w:tc>
          <w:tcPr>
            <w:tcW w:w="3969" w:type="dxa"/>
          </w:tcPr>
          <w:p w:rsidR="00434D73" w:rsidRPr="00281C41" w:rsidRDefault="00434D73" w:rsidP="00434D73">
            <w:pPr>
              <w:pStyle w:val="NoNumPlain1"/>
              <w:keepNext/>
              <w:spacing w:after="0"/>
            </w:pPr>
            <w:r w:rsidRPr="00281C41">
              <w:rPr>
                <w:b/>
              </w:rPr>
              <w:t xml:space="preserve">Australian Accounting Standards </w:t>
            </w:r>
            <w:r>
              <w:rPr>
                <w:b/>
              </w:rPr>
              <w:br/>
            </w:r>
          </w:p>
        </w:tc>
        <w:tc>
          <w:tcPr>
            <w:tcW w:w="1242" w:type="dxa"/>
          </w:tcPr>
          <w:p w:rsidR="00434D73" w:rsidRPr="00D90BB0" w:rsidRDefault="00434D73" w:rsidP="00434D73">
            <w:pPr>
              <w:pStyle w:val="NoNumPlain1"/>
              <w:keepNext/>
              <w:spacing w:after="0"/>
              <w:rPr>
                <w:b/>
                <w:sz w:val="50"/>
              </w:rPr>
            </w:pPr>
            <w:r w:rsidRPr="00281C41">
              <w:rPr>
                <w:b/>
              </w:rPr>
              <w:t>Paragraph</w:t>
            </w:r>
            <w:r>
              <w:rPr>
                <w:b/>
              </w:rPr>
              <w:t>s deleted</w:t>
            </w:r>
          </w:p>
        </w:tc>
      </w:tr>
      <w:tr w:rsidR="00434D73" w:rsidTr="00C712D0">
        <w:trPr>
          <w:cantSplit/>
        </w:trPr>
        <w:tc>
          <w:tcPr>
            <w:tcW w:w="3969" w:type="dxa"/>
            <w:vAlign w:val="bottom"/>
          </w:tcPr>
          <w:p w:rsidR="00434D73" w:rsidRPr="00D90BB0" w:rsidRDefault="00434D73" w:rsidP="00434D73">
            <w:pPr>
              <w:pStyle w:val="NoNumPlain1"/>
              <w:spacing w:after="0"/>
              <w:rPr>
                <w:lang w:eastAsia="en-AU"/>
              </w:rPr>
            </w:pPr>
            <w:r w:rsidRPr="00D90BB0">
              <w:rPr>
                <w:lang w:eastAsia="en-AU"/>
              </w:rPr>
              <w:t xml:space="preserve">AASB 6 </w:t>
            </w:r>
          </w:p>
        </w:tc>
        <w:tc>
          <w:tcPr>
            <w:tcW w:w="1242" w:type="dxa"/>
          </w:tcPr>
          <w:p w:rsidR="00434D73" w:rsidRDefault="00434D73" w:rsidP="00434D73">
            <w:pPr>
              <w:pStyle w:val="NoNumPlain1"/>
              <w:spacing w:after="0"/>
            </w:pPr>
            <w:r>
              <w:t>Aus2.4</w:t>
            </w:r>
          </w:p>
        </w:tc>
      </w:tr>
      <w:tr w:rsidR="00434D73" w:rsidTr="00C712D0">
        <w:trPr>
          <w:cantSplit/>
        </w:trPr>
        <w:tc>
          <w:tcPr>
            <w:tcW w:w="3969" w:type="dxa"/>
            <w:vAlign w:val="bottom"/>
          </w:tcPr>
          <w:p w:rsidR="00434D73" w:rsidRPr="00D90BB0" w:rsidRDefault="00434D73" w:rsidP="00434D73">
            <w:pPr>
              <w:pStyle w:val="NoNumPlain1"/>
              <w:spacing w:after="0"/>
              <w:rPr>
                <w:lang w:eastAsia="en-AU"/>
              </w:rPr>
            </w:pPr>
            <w:r w:rsidRPr="00D90BB0">
              <w:rPr>
                <w:lang w:eastAsia="en-AU"/>
              </w:rPr>
              <w:t xml:space="preserve">AASB 10 </w:t>
            </w:r>
          </w:p>
        </w:tc>
        <w:tc>
          <w:tcPr>
            <w:tcW w:w="1242" w:type="dxa"/>
          </w:tcPr>
          <w:p w:rsidR="00434D73" w:rsidRDefault="00434D73" w:rsidP="00434D73">
            <w:pPr>
              <w:pStyle w:val="NoNumPlain1"/>
              <w:spacing w:after="0"/>
            </w:pPr>
            <w:r>
              <w:t>Aus3.4</w:t>
            </w:r>
          </w:p>
        </w:tc>
      </w:tr>
      <w:tr w:rsidR="00434D73" w:rsidTr="00C712D0">
        <w:trPr>
          <w:cantSplit/>
        </w:trPr>
        <w:tc>
          <w:tcPr>
            <w:tcW w:w="3969" w:type="dxa"/>
            <w:vAlign w:val="bottom"/>
          </w:tcPr>
          <w:p w:rsidR="00434D73" w:rsidRPr="00D90BB0" w:rsidRDefault="00434D73" w:rsidP="00434D73">
            <w:pPr>
              <w:pStyle w:val="NoNumPlain1"/>
              <w:spacing w:after="0"/>
              <w:rPr>
                <w:lang w:eastAsia="en-AU"/>
              </w:rPr>
            </w:pPr>
            <w:r w:rsidRPr="00D90BB0">
              <w:rPr>
                <w:lang w:eastAsia="en-AU"/>
              </w:rPr>
              <w:t xml:space="preserve">AASB 11 </w:t>
            </w:r>
          </w:p>
        </w:tc>
        <w:tc>
          <w:tcPr>
            <w:tcW w:w="1242" w:type="dxa"/>
          </w:tcPr>
          <w:p w:rsidR="00434D73" w:rsidRDefault="00434D73" w:rsidP="00434D73">
            <w:pPr>
              <w:pStyle w:val="NoNumPlain1"/>
              <w:spacing w:after="0"/>
            </w:pPr>
            <w:r>
              <w:t>Aus2.4</w:t>
            </w:r>
          </w:p>
        </w:tc>
      </w:tr>
      <w:tr w:rsidR="00434D73" w:rsidTr="00C712D0">
        <w:trPr>
          <w:cantSplit/>
        </w:trPr>
        <w:tc>
          <w:tcPr>
            <w:tcW w:w="3969" w:type="dxa"/>
            <w:vAlign w:val="bottom"/>
          </w:tcPr>
          <w:p w:rsidR="00434D73" w:rsidRPr="00D90BB0" w:rsidRDefault="00434D73" w:rsidP="00434D73">
            <w:pPr>
              <w:pStyle w:val="NoNumPlain1"/>
              <w:spacing w:after="0"/>
              <w:rPr>
                <w:lang w:eastAsia="en-AU"/>
              </w:rPr>
            </w:pPr>
            <w:r w:rsidRPr="00D90BB0">
              <w:rPr>
                <w:lang w:eastAsia="en-AU"/>
              </w:rPr>
              <w:t xml:space="preserve">AASB 12 </w:t>
            </w:r>
          </w:p>
        </w:tc>
        <w:tc>
          <w:tcPr>
            <w:tcW w:w="1242" w:type="dxa"/>
          </w:tcPr>
          <w:p w:rsidR="00434D73" w:rsidRDefault="00434D73" w:rsidP="00434D73">
            <w:pPr>
              <w:pStyle w:val="NoNumPlain1"/>
              <w:spacing w:after="0"/>
            </w:pPr>
            <w:r>
              <w:t>Aus4.5</w:t>
            </w:r>
          </w:p>
        </w:tc>
      </w:tr>
      <w:tr w:rsidR="00434D73" w:rsidTr="00C712D0">
        <w:trPr>
          <w:cantSplit/>
        </w:trPr>
        <w:tc>
          <w:tcPr>
            <w:tcW w:w="3969" w:type="dxa"/>
            <w:vAlign w:val="bottom"/>
          </w:tcPr>
          <w:p w:rsidR="00434D73" w:rsidRPr="00D90BB0" w:rsidRDefault="00434D73" w:rsidP="00434D73">
            <w:pPr>
              <w:pStyle w:val="NoNumPlain1"/>
              <w:spacing w:after="0"/>
              <w:rPr>
                <w:lang w:eastAsia="en-AU"/>
              </w:rPr>
            </w:pPr>
            <w:r w:rsidRPr="00D90BB0">
              <w:rPr>
                <w:lang w:eastAsia="en-AU"/>
              </w:rPr>
              <w:t xml:space="preserve">AASB 107 </w:t>
            </w:r>
          </w:p>
        </w:tc>
        <w:tc>
          <w:tcPr>
            <w:tcW w:w="1242" w:type="dxa"/>
          </w:tcPr>
          <w:p w:rsidR="00434D73" w:rsidRDefault="00434D73" w:rsidP="00434D73">
            <w:pPr>
              <w:pStyle w:val="NoNumPlain1"/>
              <w:spacing w:after="0"/>
            </w:pPr>
            <w:r>
              <w:t>Aus1.4</w:t>
            </w:r>
          </w:p>
        </w:tc>
      </w:tr>
      <w:tr w:rsidR="00434D73" w:rsidTr="00C712D0">
        <w:trPr>
          <w:cantSplit/>
        </w:trPr>
        <w:tc>
          <w:tcPr>
            <w:tcW w:w="3969" w:type="dxa"/>
            <w:vAlign w:val="bottom"/>
          </w:tcPr>
          <w:p w:rsidR="00434D73" w:rsidRPr="00D90BB0" w:rsidRDefault="00434D73" w:rsidP="00434D73">
            <w:pPr>
              <w:pStyle w:val="NoNumPlain1"/>
              <w:spacing w:after="0"/>
              <w:rPr>
                <w:lang w:eastAsia="en-AU"/>
              </w:rPr>
            </w:pPr>
            <w:r w:rsidRPr="00D90BB0">
              <w:rPr>
                <w:lang w:eastAsia="en-AU"/>
              </w:rPr>
              <w:t xml:space="preserve">AASB 110 </w:t>
            </w:r>
          </w:p>
        </w:tc>
        <w:tc>
          <w:tcPr>
            <w:tcW w:w="1242" w:type="dxa"/>
          </w:tcPr>
          <w:p w:rsidR="00434D73" w:rsidRDefault="00434D73" w:rsidP="00434D73">
            <w:pPr>
              <w:pStyle w:val="NoNumPlain1"/>
              <w:spacing w:after="0"/>
            </w:pPr>
            <w:r>
              <w:t>Aus1.4</w:t>
            </w:r>
          </w:p>
        </w:tc>
      </w:tr>
      <w:tr w:rsidR="00434D73" w:rsidTr="00C712D0">
        <w:trPr>
          <w:cantSplit/>
        </w:trPr>
        <w:tc>
          <w:tcPr>
            <w:tcW w:w="3969" w:type="dxa"/>
            <w:vAlign w:val="bottom"/>
          </w:tcPr>
          <w:p w:rsidR="00434D73" w:rsidRPr="00D90BB0" w:rsidRDefault="00434D73" w:rsidP="00434D73">
            <w:pPr>
              <w:pStyle w:val="NoNumPlain1"/>
              <w:spacing w:after="0"/>
              <w:rPr>
                <w:lang w:eastAsia="en-AU"/>
              </w:rPr>
            </w:pPr>
            <w:r w:rsidRPr="00D90BB0">
              <w:rPr>
                <w:lang w:eastAsia="en-AU"/>
              </w:rPr>
              <w:t xml:space="preserve">AASB 111 </w:t>
            </w:r>
          </w:p>
        </w:tc>
        <w:tc>
          <w:tcPr>
            <w:tcW w:w="1242" w:type="dxa"/>
          </w:tcPr>
          <w:p w:rsidR="00434D73" w:rsidRDefault="00434D73" w:rsidP="00434D73">
            <w:pPr>
              <w:pStyle w:val="NoNumPlain1"/>
              <w:spacing w:after="0"/>
            </w:pPr>
            <w:r>
              <w:t>Aus1.4</w:t>
            </w:r>
          </w:p>
        </w:tc>
      </w:tr>
      <w:tr w:rsidR="00434D73" w:rsidTr="00C712D0">
        <w:trPr>
          <w:cantSplit/>
        </w:trPr>
        <w:tc>
          <w:tcPr>
            <w:tcW w:w="3969" w:type="dxa"/>
            <w:vAlign w:val="bottom"/>
          </w:tcPr>
          <w:p w:rsidR="00434D73" w:rsidRPr="00D90BB0" w:rsidRDefault="00434D73" w:rsidP="00434D73">
            <w:pPr>
              <w:pStyle w:val="NoNumPlain1"/>
              <w:spacing w:after="0"/>
              <w:rPr>
                <w:lang w:eastAsia="en-AU"/>
              </w:rPr>
            </w:pPr>
            <w:r w:rsidRPr="00D90BB0">
              <w:rPr>
                <w:lang w:eastAsia="en-AU"/>
              </w:rPr>
              <w:t xml:space="preserve">AASB 117 </w:t>
            </w:r>
          </w:p>
        </w:tc>
        <w:tc>
          <w:tcPr>
            <w:tcW w:w="1242" w:type="dxa"/>
          </w:tcPr>
          <w:p w:rsidR="00434D73" w:rsidRDefault="00434D73" w:rsidP="00434D73">
            <w:pPr>
              <w:pStyle w:val="NoNumPlain1"/>
              <w:spacing w:after="0"/>
            </w:pPr>
            <w:r>
              <w:t>Aus1.4</w:t>
            </w:r>
          </w:p>
        </w:tc>
      </w:tr>
      <w:tr w:rsidR="00434D73" w:rsidTr="00C712D0">
        <w:trPr>
          <w:cantSplit/>
        </w:trPr>
        <w:tc>
          <w:tcPr>
            <w:tcW w:w="3969" w:type="dxa"/>
            <w:vAlign w:val="bottom"/>
          </w:tcPr>
          <w:p w:rsidR="00434D73" w:rsidRPr="00D90BB0" w:rsidRDefault="00434D73" w:rsidP="00434D73">
            <w:pPr>
              <w:pStyle w:val="NoNumPlain1"/>
              <w:spacing w:after="0"/>
              <w:rPr>
                <w:lang w:eastAsia="en-AU"/>
              </w:rPr>
            </w:pPr>
            <w:r w:rsidRPr="00D90BB0">
              <w:rPr>
                <w:lang w:eastAsia="en-AU"/>
              </w:rPr>
              <w:t xml:space="preserve">AASB 123 </w:t>
            </w:r>
          </w:p>
        </w:tc>
        <w:tc>
          <w:tcPr>
            <w:tcW w:w="1242" w:type="dxa"/>
          </w:tcPr>
          <w:p w:rsidR="00434D73" w:rsidRDefault="00434D73" w:rsidP="00434D73">
            <w:pPr>
              <w:pStyle w:val="NoNumPlain1"/>
              <w:spacing w:after="0"/>
            </w:pPr>
            <w:r>
              <w:t>Aus1.4</w:t>
            </w:r>
          </w:p>
        </w:tc>
      </w:tr>
      <w:tr w:rsidR="00434D73" w:rsidTr="00C712D0">
        <w:trPr>
          <w:cantSplit/>
        </w:trPr>
        <w:tc>
          <w:tcPr>
            <w:tcW w:w="3969" w:type="dxa"/>
            <w:vAlign w:val="bottom"/>
          </w:tcPr>
          <w:p w:rsidR="00434D73" w:rsidRPr="00D90BB0" w:rsidRDefault="00434D73" w:rsidP="00434D73">
            <w:pPr>
              <w:pStyle w:val="NoNumPlain1"/>
              <w:spacing w:after="0"/>
              <w:rPr>
                <w:lang w:eastAsia="en-AU"/>
              </w:rPr>
            </w:pPr>
            <w:r w:rsidRPr="00D90BB0">
              <w:rPr>
                <w:lang w:eastAsia="en-AU"/>
              </w:rPr>
              <w:t xml:space="preserve">AASB 127  </w:t>
            </w:r>
          </w:p>
        </w:tc>
        <w:tc>
          <w:tcPr>
            <w:tcW w:w="1242" w:type="dxa"/>
          </w:tcPr>
          <w:p w:rsidR="00434D73" w:rsidRDefault="00434D73" w:rsidP="00434D73">
            <w:pPr>
              <w:pStyle w:val="NoNumPlain1"/>
              <w:spacing w:after="0"/>
            </w:pPr>
            <w:r>
              <w:t>Aus1.4</w:t>
            </w:r>
          </w:p>
        </w:tc>
      </w:tr>
      <w:tr w:rsidR="00434D73" w:rsidTr="00C712D0">
        <w:trPr>
          <w:cantSplit/>
        </w:trPr>
        <w:tc>
          <w:tcPr>
            <w:tcW w:w="3969" w:type="dxa"/>
            <w:vAlign w:val="bottom"/>
          </w:tcPr>
          <w:p w:rsidR="00434D73" w:rsidRPr="00D90BB0" w:rsidRDefault="00434D73" w:rsidP="00434D73">
            <w:pPr>
              <w:pStyle w:val="NoNumPlain1"/>
              <w:spacing w:after="0"/>
              <w:rPr>
                <w:lang w:eastAsia="en-AU"/>
              </w:rPr>
            </w:pPr>
            <w:r w:rsidRPr="00D90BB0">
              <w:rPr>
                <w:lang w:eastAsia="en-AU"/>
              </w:rPr>
              <w:t xml:space="preserve">AASB 128  </w:t>
            </w:r>
          </w:p>
        </w:tc>
        <w:tc>
          <w:tcPr>
            <w:tcW w:w="1242" w:type="dxa"/>
          </w:tcPr>
          <w:p w:rsidR="00434D73" w:rsidRDefault="00434D73" w:rsidP="00434D73">
            <w:pPr>
              <w:pStyle w:val="NoNumPlain1"/>
              <w:spacing w:after="0"/>
            </w:pPr>
            <w:r>
              <w:t>Aus1.4</w:t>
            </w:r>
          </w:p>
        </w:tc>
      </w:tr>
      <w:tr w:rsidR="00434D73" w:rsidTr="00C712D0">
        <w:trPr>
          <w:cantSplit/>
        </w:trPr>
        <w:tc>
          <w:tcPr>
            <w:tcW w:w="3969" w:type="dxa"/>
            <w:vAlign w:val="bottom"/>
          </w:tcPr>
          <w:p w:rsidR="00434D73" w:rsidRPr="00D90BB0" w:rsidRDefault="00434D73" w:rsidP="00434D73">
            <w:pPr>
              <w:pStyle w:val="NoNumPlain1"/>
              <w:spacing w:after="0"/>
              <w:rPr>
                <w:lang w:eastAsia="en-AU"/>
              </w:rPr>
            </w:pPr>
            <w:r w:rsidRPr="00D90BB0">
              <w:rPr>
                <w:lang w:eastAsia="en-AU"/>
              </w:rPr>
              <w:t xml:space="preserve">AASB 129 </w:t>
            </w:r>
          </w:p>
        </w:tc>
        <w:tc>
          <w:tcPr>
            <w:tcW w:w="1242" w:type="dxa"/>
          </w:tcPr>
          <w:p w:rsidR="00434D73" w:rsidRDefault="00434D73" w:rsidP="00434D73">
            <w:pPr>
              <w:pStyle w:val="NoNumPlain1"/>
              <w:spacing w:after="0"/>
            </w:pPr>
            <w:r>
              <w:t>Aus1.4</w:t>
            </w:r>
          </w:p>
        </w:tc>
      </w:tr>
      <w:tr w:rsidR="00434D73" w:rsidTr="00C712D0">
        <w:trPr>
          <w:cantSplit/>
        </w:trPr>
        <w:tc>
          <w:tcPr>
            <w:tcW w:w="3969" w:type="dxa"/>
            <w:vAlign w:val="bottom"/>
          </w:tcPr>
          <w:p w:rsidR="00434D73" w:rsidRPr="00D90BB0" w:rsidRDefault="00434D73" w:rsidP="00434D73">
            <w:pPr>
              <w:pStyle w:val="NoNumPlain1"/>
              <w:spacing w:after="0"/>
              <w:rPr>
                <w:lang w:eastAsia="en-AU"/>
              </w:rPr>
            </w:pPr>
            <w:r w:rsidRPr="00D90BB0">
              <w:rPr>
                <w:lang w:eastAsia="en-AU"/>
              </w:rPr>
              <w:t xml:space="preserve">AASB 133 </w:t>
            </w:r>
          </w:p>
        </w:tc>
        <w:tc>
          <w:tcPr>
            <w:tcW w:w="1242" w:type="dxa"/>
          </w:tcPr>
          <w:p w:rsidR="00434D73" w:rsidRDefault="00434D73" w:rsidP="00434D73">
            <w:pPr>
              <w:pStyle w:val="NoNumPlain1"/>
              <w:spacing w:after="0"/>
            </w:pPr>
            <w:r>
              <w:t>Aus1.4</w:t>
            </w:r>
          </w:p>
        </w:tc>
      </w:tr>
      <w:tr w:rsidR="00434D73" w:rsidTr="00C712D0">
        <w:trPr>
          <w:cantSplit/>
        </w:trPr>
        <w:tc>
          <w:tcPr>
            <w:tcW w:w="3969" w:type="dxa"/>
            <w:vAlign w:val="bottom"/>
          </w:tcPr>
          <w:p w:rsidR="00434D73" w:rsidRPr="00D90BB0" w:rsidRDefault="00434D73" w:rsidP="00434D73">
            <w:pPr>
              <w:pStyle w:val="NoNumPlain1"/>
              <w:spacing w:after="0"/>
              <w:rPr>
                <w:lang w:eastAsia="en-AU"/>
              </w:rPr>
            </w:pPr>
            <w:r w:rsidRPr="00D90BB0">
              <w:rPr>
                <w:lang w:eastAsia="en-AU"/>
              </w:rPr>
              <w:t xml:space="preserve">AASB 141 </w:t>
            </w:r>
          </w:p>
        </w:tc>
        <w:tc>
          <w:tcPr>
            <w:tcW w:w="1242" w:type="dxa"/>
          </w:tcPr>
          <w:p w:rsidR="00434D73" w:rsidRDefault="00434D73" w:rsidP="00434D73">
            <w:pPr>
              <w:pStyle w:val="NoNumPlain1"/>
              <w:spacing w:after="0"/>
            </w:pPr>
            <w:r>
              <w:t>Aus1.4</w:t>
            </w:r>
          </w:p>
        </w:tc>
      </w:tr>
      <w:tr w:rsidR="00434D73" w:rsidTr="00C712D0">
        <w:trPr>
          <w:cantSplit/>
        </w:trPr>
        <w:tc>
          <w:tcPr>
            <w:tcW w:w="3969" w:type="dxa"/>
            <w:vAlign w:val="bottom"/>
          </w:tcPr>
          <w:p w:rsidR="00434D73" w:rsidRPr="00D90BB0" w:rsidRDefault="00434D73" w:rsidP="00434D73">
            <w:pPr>
              <w:pStyle w:val="NoNumPlain1"/>
              <w:spacing w:after="0"/>
              <w:rPr>
                <w:lang w:eastAsia="en-AU"/>
              </w:rPr>
            </w:pPr>
            <w:r w:rsidRPr="00D90BB0">
              <w:rPr>
                <w:lang w:eastAsia="en-AU"/>
              </w:rPr>
              <w:t xml:space="preserve">AASB 1004 </w:t>
            </w:r>
          </w:p>
        </w:tc>
        <w:tc>
          <w:tcPr>
            <w:tcW w:w="1242" w:type="dxa"/>
          </w:tcPr>
          <w:p w:rsidR="00434D73" w:rsidRDefault="00434D73" w:rsidP="00434D73">
            <w:pPr>
              <w:pStyle w:val="NoNumPlain1"/>
              <w:spacing w:after="0"/>
            </w:pPr>
            <w:r>
              <w:t>9</w:t>
            </w:r>
          </w:p>
        </w:tc>
      </w:tr>
      <w:tr w:rsidR="00434D73" w:rsidTr="00C712D0">
        <w:trPr>
          <w:cantSplit/>
        </w:trPr>
        <w:tc>
          <w:tcPr>
            <w:tcW w:w="3969" w:type="dxa"/>
            <w:vAlign w:val="bottom"/>
          </w:tcPr>
          <w:p w:rsidR="00434D73" w:rsidRPr="00D90BB0" w:rsidRDefault="00434D73" w:rsidP="00434D73">
            <w:pPr>
              <w:pStyle w:val="NoNumPlain1"/>
              <w:spacing w:after="0"/>
              <w:rPr>
                <w:lang w:eastAsia="en-AU"/>
              </w:rPr>
            </w:pPr>
            <w:r w:rsidRPr="00D90BB0">
              <w:rPr>
                <w:lang w:eastAsia="en-AU"/>
              </w:rPr>
              <w:t xml:space="preserve">AASB 1039 </w:t>
            </w:r>
          </w:p>
        </w:tc>
        <w:tc>
          <w:tcPr>
            <w:tcW w:w="1242" w:type="dxa"/>
          </w:tcPr>
          <w:p w:rsidR="00434D73" w:rsidRDefault="00434D73" w:rsidP="00434D73">
            <w:pPr>
              <w:pStyle w:val="NoNumPlain1"/>
              <w:spacing w:after="0"/>
            </w:pPr>
            <w:r>
              <w:t>5</w:t>
            </w:r>
          </w:p>
        </w:tc>
      </w:tr>
      <w:tr w:rsidR="00434D73" w:rsidTr="00C712D0">
        <w:trPr>
          <w:cantSplit/>
        </w:trPr>
        <w:tc>
          <w:tcPr>
            <w:tcW w:w="3969" w:type="dxa"/>
            <w:vAlign w:val="bottom"/>
          </w:tcPr>
          <w:p w:rsidR="00434D73" w:rsidRPr="00D90BB0" w:rsidRDefault="00434D73" w:rsidP="00434D73">
            <w:pPr>
              <w:pStyle w:val="NoNumPlain1"/>
              <w:spacing w:after="0"/>
              <w:rPr>
                <w:lang w:eastAsia="en-AU"/>
              </w:rPr>
            </w:pPr>
            <w:r w:rsidRPr="00D90BB0">
              <w:rPr>
                <w:lang w:eastAsia="en-AU"/>
              </w:rPr>
              <w:t>AASB 1053 </w:t>
            </w:r>
          </w:p>
        </w:tc>
        <w:tc>
          <w:tcPr>
            <w:tcW w:w="1242" w:type="dxa"/>
          </w:tcPr>
          <w:p w:rsidR="00434D73" w:rsidRDefault="00434D73" w:rsidP="00434D73">
            <w:pPr>
              <w:pStyle w:val="NoNumPlain1"/>
              <w:spacing w:after="0"/>
            </w:pPr>
            <w:r>
              <w:t>6</w:t>
            </w:r>
          </w:p>
        </w:tc>
      </w:tr>
      <w:tr w:rsidR="00434D73" w:rsidTr="00C712D0">
        <w:trPr>
          <w:cantSplit/>
        </w:trPr>
        <w:tc>
          <w:tcPr>
            <w:tcW w:w="3969" w:type="dxa"/>
            <w:vAlign w:val="bottom"/>
          </w:tcPr>
          <w:p w:rsidR="00434D73" w:rsidRPr="00D90BB0" w:rsidRDefault="00434D73" w:rsidP="00434D73">
            <w:pPr>
              <w:pStyle w:val="NoNumPlain1"/>
              <w:spacing w:after="0"/>
              <w:rPr>
                <w:lang w:eastAsia="en-AU"/>
              </w:rPr>
            </w:pPr>
            <w:r w:rsidRPr="00D90BB0">
              <w:rPr>
                <w:lang w:eastAsia="en-AU"/>
              </w:rPr>
              <w:t xml:space="preserve">AASB 1054 </w:t>
            </w:r>
          </w:p>
        </w:tc>
        <w:tc>
          <w:tcPr>
            <w:tcW w:w="1242" w:type="dxa"/>
          </w:tcPr>
          <w:p w:rsidR="00434D73" w:rsidRDefault="00434D73" w:rsidP="00434D73">
            <w:pPr>
              <w:pStyle w:val="NoNumPlain1"/>
              <w:spacing w:after="0"/>
            </w:pPr>
            <w:r>
              <w:t>5</w:t>
            </w:r>
          </w:p>
        </w:tc>
      </w:tr>
    </w:tbl>
    <w:p w:rsidR="00851041" w:rsidRDefault="00104C02" w:rsidP="00C9004D">
      <w:pPr>
        <w:pStyle w:val="NumPlain1"/>
        <w:spacing w:before="240"/>
      </w:pPr>
      <w:r>
        <w:t xml:space="preserve">A note is added against the paragraph number of each paragraph deleted as specified in paragraph </w:t>
      </w:r>
      <w:r w:rsidR="00017AA3">
        <w:t>13</w:t>
      </w:r>
      <w:r>
        <w:t>, as follows:</w:t>
      </w:r>
    </w:p>
    <w:p w:rsidR="00104C02" w:rsidRDefault="00104C02" w:rsidP="00104C02">
      <w:pPr>
        <w:pStyle w:val="PlainHanging1"/>
      </w:pPr>
      <w:r>
        <w:t>[Deleted by the AASB]</w:t>
      </w:r>
    </w:p>
    <w:p w:rsidR="00E0271E" w:rsidRDefault="00E0271E" w:rsidP="00E0271E">
      <w:pPr>
        <w:pStyle w:val="Heading2"/>
      </w:pPr>
      <w:r>
        <w:t>Amendment to AASB 1039</w:t>
      </w:r>
    </w:p>
    <w:p w:rsidR="00E0271E" w:rsidRDefault="00E0271E" w:rsidP="00E0271E">
      <w:pPr>
        <w:pStyle w:val="NumPlain1"/>
      </w:pPr>
      <w:r>
        <w:t>Paragraph 30 is amended as follows (deleted text is struck through):</w:t>
      </w:r>
    </w:p>
    <w:p w:rsidR="00E0271E" w:rsidRDefault="00E0271E" w:rsidP="00E0271E">
      <w:pPr>
        <w:pStyle w:val="BoldHanging1"/>
      </w:pPr>
      <w:r>
        <w:t>30</w:t>
      </w:r>
      <w:r>
        <w:tab/>
        <w:t>The following items for the period shall be disclosed even if the amounts are zero</w:t>
      </w:r>
      <w:r w:rsidRPr="000B3368">
        <w:t xml:space="preserve"> </w:t>
      </w:r>
      <w:r>
        <w:rPr>
          <w:strike/>
        </w:rPr>
        <w:t>(since these items are material by their nature)</w:t>
      </w:r>
      <w:r>
        <w:t>:</w:t>
      </w:r>
    </w:p>
    <w:p w:rsidR="00E0271E" w:rsidRDefault="00E0271E" w:rsidP="00E0271E">
      <w:pPr>
        <w:pStyle w:val="BoldHanging2"/>
      </w:pPr>
      <w:r>
        <w:t>(a)</w:t>
      </w:r>
      <w:r>
        <w:tab/>
        <w:t>…</w:t>
      </w:r>
    </w:p>
    <w:p w:rsidR="008664C0" w:rsidRDefault="008664C0" w:rsidP="00E0271E">
      <w:pPr>
        <w:pStyle w:val="BoldHanging2"/>
        <w:sectPr w:rsidR="008664C0" w:rsidSect="00BA2BBF">
          <w:headerReference w:type="default" r:id="rId13"/>
          <w:footerReference w:type="default" r:id="rId14"/>
          <w:headerReference w:type="first" r:id="rId15"/>
          <w:footerReference w:type="first" r:id="rId16"/>
          <w:pgSz w:w="11907" w:h="16840" w:code="9"/>
          <w:pgMar w:top="1134" w:right="1134" w:bottom="1134" w:left="1134" w:header="720" w:footer="720" w:gutter="0"/>
          <w:cols w:space="720"/>
          <w:docGrid w:linePitch="65"/>
        </w:sectPr>
      </w:pPr>
    </w:p>
    <w:p w:rsidR="008664C0" w:rsidRDefault="008664C0" w:rsidP="000B3368">
      <w:pPr>
        <w:pStyle w:val="AppendixNo"/>
        <w:spacing w:after="180"/>
      </w:pPr>
      <w:r>
        <w:t xml:space="preserve">APPENDIX </w:t>
      </w:r>
    </w:p>
    <w:p w:rsidR="008664C0" w:rsidRDefault="008664C0" w:rsidP="000B3368">
      <w:pPr>
        <w:pStyle w:val="AppendixTitle"/>
        <w:spacing w:after="180"/>
      </w:pPr>
      <w:r>
        <w:t xml:space="preserve">LIST OF AMENDED </w:t>
      </w:r>
      <w:r w:rsidR="00F35F11">
        <w:t xml:space="preserve">AUSTRALIAN </w:t>
      </w:r>
      <w:r>
        <w:t>ACCOUNTING STANDARDS</w:t>
      </w:r>
    </w:p>
    <w:p w:rsidR="008664C0" w:rsidRDefault="008664C0" w:rsidP="000B3368">
      <w:pPr>
        <w:pStyle w:val="AppendixNote"/>
        <w:spacing w:after="180"/>
      </w:pPr>
      <w:r>
        <w:t>This appendix is an integral part of AASB 2015-</w:t>
      </w:r>
      <w:r w:rsidR="00FE4146">
        <w:t>3</w:t>
      </w:r>
      <w:r w:rsidR="00F35F11" w:rsidRPr="00F35F11">
        <w:rPr>
          <w:i w:val="0"/>
        </w:rPr>
        <w:t>.</w:t>
      </w:r>
    </w:p>
    <w:p w:rsidR="008664C0" w:rsidRDefault="008664C0" w:rsidP="000B3368">
      <w:pPr>
        <w:pStyle w:val="AppendixText"/>
        <w:spacing w:after="180"/>
      </w:pPr>
      <w:r>
        <w:t>AASB 2015-</w:t>
      </w:r>
      <w:r w:rsidR="00FE4146">
        <w:t>3</w:t>
      </w:r>
      <w:r>
        <w:t xml:space="preserve"> makes amendments to:</w:t>
      </w:r>
    </w:p>
    <w:p w:rsidR="008664C0" w:rsidRPr="008664C0" w:rsidRDefault="008664C0" w:rsidP="000B3368">
      <w:pPr>
        <w:pStyle w:val="AppendixText"/>
        <w:spacing w:after="180"/>
      </w:pPr>
      <w:r>
        <w:t xml:space="preserve">AASB 6 </w:t>
      </w:r>
      <w:r>
        <w:rPr>
          <w:i/>
        </w:rPr>
        <w:t>Exploration for and Evaluation of Mineral Resources</w:t>
      </w:r>
      <w:r>
        <w:t>;</w:t>
      </w:r>
    </w:p>
    <w:p w:rsidR="008664C0" w:rsidRPr="008664C0" w:rsidRDefault="008664C0" w:rsidP="000B3368">
      <w:pPr>
        <w:pStyle w:val="AppendixText"/>
        <w:spacing w:after="180"/>
      </w:pPr>
      <w:r>
        <w:t>AASB 10</w:t>
      </w:r>
      <w:r>
        <w:rPr>
          <w:i/>
        </w:rPr>
        <w:t xml:space="preserve"> Consolidated Financial Statements</w:t>
      </w:r>
      <w:r>
        <w:t>;</w:t>
      </w:r>
    </w:p>
    <w:p w:rsidR="008664C0" w:rsidRPr="008664C0" w:rsidRDefault="008664C0" w:rsidP="000B3368">
      <w:pPr>
        <w:pStyle w:val="AppendixText"/>
        <w:spacing w:after="180"/>
      </w:pPr>
      <w:r>
        <w:t xml:space="preserve">AASB 11 </w:t>
      </w:r>
      <w:r>
        <w:rPr>
          <w:i/>
        </w:rPr>
        <w:t>Joint Arrangements</w:t>
      </w:r>
      <w:r>
        <w:t>;</w:t>
      </w:r>
    </w:p>
    <w:p w:rsidR="008664C0" w:rsidRDefault="008664C0" w:rsidP="000B3368">
      <w:pPr>
        <w:pStyle w:val="AppendixText"/>
        <w:spacing w:after="180"/>
      </w:pPr>
      <w:r>
        <w:t xml:space="preserve">AASB 12 </w:t>
      </w:r>
      <w:r>
        <w:rPr>
          <w:i/>
        </w:rPr>
        <w:t>Disclosure of Interests in Other Entities</w:t>
      </w:r>
      <w:r>
        <w:t>;</w:t>
      </w:r>
    </w:p>
    <w:p w:rsidR="008664C0" w:rsidRDefault="008664C0" w:rsidP="000B3368">
      <w:pPr>
        <w:pStyle w:val="AppendixText"/>
        <w:spacing w:after="180"/>
      </w:pPr>
      <w:r>
        <w:t xml:space="preserve">AASB 107 </w:t>
      </w:r>
      <w:r>
        <w:rPr>
          <w:i/>
        </w:rPr>
        <w:t>Statement of Cash Flows</w:t>
      </w:r>
      <w:r>
        <w:t>;</w:t>
      </w:r>
    </w:p>
    <w:p w:rsidR="00774184" w:rsidRPr="00774184" w:rsidRDefault="00774184" w:rsidP="000B3368">
      <w:pPr>
        <w:pStyle w:val="AppendixText"/>
        <w:spacing w:after="180"/>
      </w:pPr>
      <w:r>
        <w:t xml:space="preserve">AASB 108 </w:t>
      </w:r>
      <w:r>
        <w:rPr>
          <w:i/>
        </w:rPr>
        <w:t>Accounting Policies, Changes in Accounting Estimates and Errors</w:t>
      </w:r>
      <w:r>
        <w:t>;</w:t>
      </w:r>
    </w:p>
    <w:p w:rsidR="008664C0" w:rsidRDefault="00EF3430" w:rsidP="000B3368">
      <w:pPr>
        <w:pStyle w:val="AppendixText"/>
        <w:spacing w:after="180"/>
      </w:pPr>
      <w:r>
        <w:t xml:space="preserve">AASB 110 </w:t>
      </w:r>
      <w:r>
        <w:rPr>
          <w:i/>
        </w:rPr>
        <w:t>Events after the Reporting Period</w:t>
      </w:r>
      <w:r>
        <w:t>;</w:t>
      </w:r>
    </w:p>
    <w:p w:rsidR="00EF3430" w:rsidRDefault="00EF3430" w:rsidP="000B3368">
      <w:pPr>
        <w:pStyle w:val="AppendixText"/>
        <w:spacing w:after="180"/>
      </w:pPr>
      <w:r>
        <w:t>AASB 111</w:t>
      </w:r>
      <w:r>
        <w:rPr>
          <w:i/>
        </w:rPr>
        <w:t xml:space="preserve"> Construction Contracts</w:t>
      </w:r>
      <w:r>
        <w:t>;</w:t>
      </w:r>
    </w:p>
    <w:p w:rsidR="00EF3430" w:rsidRDefault="00EF3430" w:rsidP="000B3368">
      <w:pPr>
        <w:pStyle w:val="AppendixText"/>
        <w:spacing w:after="180"/>
      </w:pPr>
      <w:r>
        <w:t xml:space="preserve">AASB 117 </w:t>
      </w:r>
      <w:r>
        <w:rPr>
          <w:i/>
        </w:rPr>
        <w:t>Leases</w:t>
      </w:r>
      <w:r>
        <w:t>;</w:t>
      </w:r>
    </w:p>
    <w:p w:rsidR="00EF3430" w:rsidRDefault="00EF3430" w:rsidP="000B3368">
      <w:pPr>
        <w:pStyle w:val="AppendixText"/>
        <w:spacing w:after="180"/>
      </w:pPr>
      <w:r>
        <w:t xml:space="preserve">AASB 123 </w:t>
      </w:r>
      <w:r>
        <w:rPr>
          <w:i/>
        </w:rPr>
        <w:t>Borrowing Costs</w:t>
      </w:r>
      <w:r>
        <w:t>;</w:t>
      </w:r>
    </w:p>
    <w:p w:rsidR="00EF3430" w:rsidRDefault="00EF3430" w:rsidP="000B3368">
      <w:pPr>
        <w:pStyle w:val="AppendixText"/>
        <w:spacing w:after="180"/>
      </w:pPr>
      <w:r>
        <w:t>AASB 127</w:t>
      </w:r>
      <w:r>
        <w:rPr>
          <w:i/>
        </w:rPr>
        <w:t xml:space="preserve"> Separate Financial Statements</w:t>
      </w:r>
      <w:r>
        <w:t>;</w:t>
      </w:r>
    </w:p>
    <w:p w:rsidR="00EF3430" w:rsidRDefault="00EF3430" w:rsidP="000B3368">
      <w:pPr>
        <w:pStyle w:val="AppendixText"/>
        <w:spacing w:after="180"/>
      </w:pPr>
      <w:r>
        <w:t xml:space="preserve">AASB 128 </w:t>
      </w:r>
      <w:r>
        <w:rPr>
          <w:i/>
        </w:rPr>
        <w:t>Investments in Associates and Joint Ventures</w:t>
      </w:r>
      <w:r>
        <w:t>;</w:t>
      </w:r>
    </w:p>
    <w:p w:rsidR="00EF3430" w:rsidRDefault="00EF3430" w:rsidP="000B3368">
      <w:pPr>
        <w:pStyle w:val="AppendixText"/>
        <w:spacing w:after="180"/>
      </w:pPr>
      <w:r>
        <w:t xml:space="preserve">AASB 129 </w:t>
      </w:r>
      <w:r>
        <w:rPr>
          <w:i/>
        </w:rPr>
        <w:t>Financial Reporting in Hyperinflationary Economies</w:t>
      </w:r>
      <w:r>
        <w:t>;</w:t>
      </w:r>
    </w:p>
    <w:p w:rsidR="00EF3430" w:rsidRDefault="00EF3430" w:rsidP="000B3368">
      <w:pPr>
        <w:pStyle w:val="AppendixText"/>
        <w:spacing w:after="180"/>
      </w:pPr>
      <w:r>
        <w:t>AASB 133</w:t>
      </w:r>
      <w:r>
        <w:rPr>
          <w:i/>
        </w:rPr>
        <w:t xml:space="preserve"> Earnings per Share</w:t>
      </w:r>
      <w:r>
        <w:t>;</w:t>
      </w:r>
    </w:p>
    <w:p w:rsidR="00EF3430" w:rsidRDefault="00EF3430" w:rsidP="000B3368">
      <w:pPr>
        <w:pStyle w:val="AppendixText"/>
        <w:spacing w:after="180"/>
      </w:pPr>
      <w:r>
        <w:t xml:space="preserve">AASB 141 </w:t>
      </w:r>
      <w:r>
        <w:rPr>
          <w:i/>
        </w:rPr>
        <w:t>Agriculture</w:t>
      </w:r>
      <w:r>
        <w:t>;</w:t>
      </w:r>
    </w:p>
    <w:p w:rsidR="00EF3430" w:rsidRDefault="00EE4E18" w:rsidP="000B3368">
      <w:pPr>
        <w:pStyle w:val="AppendixText"/>
        <w:spacing w:after="180"/>
      </w:pPr>
      <w:r>
        <w:t xml:space="preserve">AASB 1004 </w:t>
      </w:r>
      <w:r>
        <w:rPr>
          <w:i/>
        </w:rPr>
        <w:t>Contributions</w:t>
      </w:r>
      <w:r>
        <w:t>;</w:t>
      </w:r>
    </w:p>
    <w:p w:rsidR="00EE4E18" w:rsidRDefault="00EE4E18" w:rsidP="000B3368">
      <w:pPr>
        <w:pStyle w:val="AppendixText"/>
        <w:spacing w:after="180"/>
      </w:pPr>
      <w:r>
        <w:t xml:space="preserve">AASB 1039 </w:t>
      </w:r>
      <w:r>
        <w:rPr>
          <w:i/>
        </w:rPr>
        <w:t>Concise Financial Reports</w:t>
      </w:r>
      <w:r>
        <w:t>;</w:t>
      </w:r>
    </w:p>
    <w:p w:rsidR="00EE4E18" w:rsidRDefault="00EE4E18" w:rsidP="000B3368">
      <w:pPr>
        <w:pStyle w:val="AppendixText"/>
        <w:spacing w:after="180"/>
      </w:pPr>
      <w:r>
        <w:t>AASB 1053</w:t>
      </w:r>
      <w:r>
        <w:rPr>
          <w:i/>
        </w:rPr>
        <w:t xml:space="preserve"> Application of Tiers of Australian Accounting Standards</w:t>
      </w:r>
      <w:r>
        <w:t>; and</w:t>
      </w:r>
    </w:p>
    <w:p w:rsidR="000B3368" w:rsidRDefault="00EE4E18" w:rsidP="000B3368">
      <w:pPr>
        <w:pStyle w:val="AppendixText"/>
        <w:spacing w:after="180"/>
        <w:sectPr w:rsidR="000B3368" w:rsidSect="00BA2BBF">
          <w:headerReference w:type="default" r:id="rId17"/>
          <w:footerReference w:type="default" r:id="rId18"/>
          <w:pgSz w:w="11907" w:h="16840" w:code="9"/>
          <w:pgMar w:top="1134" w:right="1134" w:bottom="1134" w:left="1134" w:header="720" w:footer="720" w:gutter="0"/>
          <w:cols w:space="720"/>
          <w:docGrid w:linePitch="65"/>
        </w:sectPr>
      </w:pPr>
      <w:r>
        <w:t>AASB 1054</w:t>
      </w:r>
      <w:r>
        <w:rPr>
          <w:i/>
        </w:rPr>
        <w:t xml:space="preserve"> Australian Additional Disclosures</w:t>
      </w:r>
      <w:r>
        <w:t>.</w:t>
      </w:r>
    </w:p>
    <w:p w:rsidR="00A62B55" w:rsidRDefault="00A62B55" w:rsidP="00A62B55">
      <w:pPr>
        <w:pStyle w:val="AppendixTitle"/>
      </w:pPr>
      <w:r>
        <w:t>BASIS FOR CONCLUSIONS</w:t>
      </w:r>
    </w:p>
    <w:p w:rsidR="008664C0" w:rsidRDefault="001F4863" w:rsidP="001F4863">
      <w:pPr>
        <w:pStyle w:val="Heading2"/>
      </w:pPr>
      <w:r>
        <w:t>Background</w:t>
      </w:r>
    </w:p>
    <w:p w:rsidR="001F4863" w:rsidRDefault="001F4863" w:rsidP="001F4863">
      <w:pPr>
        <w:pStyle w:val="NumBC1"/>
      </w:pPr>
      <w:r>
        <w:t xml:space="preserve">This Basis for Conclusions </w:t>
      </w:r>
      <w:r w:rsidR="009568DD">
        <w:t>summarises</w:t>
      </w:r>
      <w:r>
        <w:t xml:space="preserve"> the Australian Accounting Standards Board’s considerations in reaching the decision to ultimately withdraw</w:t>
      </w:r>
      <w:r w:rsidR="007C6547">
        <w:t xml:space="preserve"> AASB 1031 </w:t>
      </w:r>
      <w:r w:rsidR="007C6547">
        <w:rPr>
          <w:i/>
        </w:rPr>
        <w:t>Materiality</w:t>
      </w:r>
      <w:r w:rsidR="007C6547">
        <w:t xml:space="preserve"> (December 2013) </w:t>
      </w:r>
      <w:r w:rsidR="00DF0C81">
        <w:t xml:space="preserve">by amending </w:t>
      </w:r>
      <w:r w:rsidR="007C6547">
        <w:t xml:space="preserve">AASB 108 </w:t>
      </w:r>
      <w:r w:rsidR="007C6547">
        <w:rPr>
          <w:i/>
        </w:rPr>
        <w:t>Accounting Policies, Changes in Accounting Estimates and Errors</w:t>
      </w:r>
      <w:r w:rsidR="007C6547">
        <w:t>.  Individual Board members gave greater weight to some factors than to others.</w:t>
      </w:r>
    </w:p>
    <w:p w:rsidR="00842653" w:rsidRDefault="00842653" w:rsidP="001F4863">
      <w:pPr>
        <w:pStyle w:val="NumBC1"/>
      </w:pPr>
      <w:r>
        <w:t>In adopting International Financial Reporting Standards (IFRSs) in 2005, the AASB issued AASB 1031 (July</w:t>
      </w:r>
      <w:r w:rsidR="00CB3D0D">
        <w:t> </w:t>
      </w:r>
      <w:r w:rsidR="005F43AF">
        <w:t>2004)</w:t>
      </w:r>
      <w:r w:rsidR="00FA7F1D">
        <w:t xml:space="preserve">.  </w:t>
      </w:r>
      <w:r w:rsidR="005F43AF">
        <w:t xml:space="preserve">At the time IFRSs were first </w:t>
      </w:r>
      <w:r w:rsidR="002A6A24">
        <w:t>incorporated</w:t>
      </w:r>
      <w:r w:rsidR="005F43AF">
        <w:t xml:space="preserve"> into the Australian Accounting Standards (including Interpretations), the Board decided to retain a revised version of AASB 1031</w:t>
      </w:r>
      <w:r w:rsidR="003A5D12">
        <w:t xml:space="preserve"> to help ensure that the meaning of materiality remained well explained, as the</w:t>
      </w:r>
      <w:r w:rsidR="003A5D12">
        <w:rPr>
          <w:i/>
        </w:rPr>
        <w:t xml:space="preserve"> Framework for the Preparation and Presentation of Financial Statements</w:t>
      </w:r>
      <w:r w:rsidR="003A5D12">
        <w:t xml:space="preserve"> on issue at that time</w:t>
      </w:r>
      <w:r w:rsidR="002A6A24">
        <w:t xml:space="preserve"> included only limited guidance on materiality in comparison to AASB 1031.</w:t>
      </w:r>
    </w:p>
    <w:p w:rsidR="002A6A24" w:rsidRDefault="002A6A24" w:rsidP="001F4863">
      <w:pPr>
        <w:pStyle w:val="NumBC1"/>
      </w:pPr>
      <w:r>
        <w:t xml:space="preserve">In September 2010, the IASB issued a revised </w:t>
      </w:r>
      <w:r>
        <w:rPr>
          <w:i/>
        </w:rPr>
        <w:t>Conceptual Framework on Financial Reporting</w:t>
      </w:r>
      <w:r>
        <w:t xml:space="preserve"> (IASB</w:t>
      </w:r>
      <w:r w:rsidR="00CB3D0D">
        <w:t> </w:t>
      </w:r>
      <w:bookmarkStart w:id="16" w:name="_GoBack"/>
      <w:bookmarkEnd w:id="16"/>
      <w:r>
        <w:rPr>
          <w:i/>
        </w:rPr>
        <w:t>Conceptual Framework</w:t>
      </w:r>
      <w:r>
        <w:t xml:space="preserve">).  The revised IASB </w:t>
      </w:r>
      <w:r>
        <w:rPr>
          <w:i/>
        </w:rPr>
        <w:t>Conceptual Framework</w:t>
      </w:r>
      <w:r>
        <w:t xml:space="preserve"> contains updated guidance on materiality in Chapter 3 </w:t>
      </w:r>
      <w:r>
        <w:rPr>
          <w:i/>
        </w:rPr>
        <w:t>Qu</w:t>
      </w:r>
      <w:r w:rsidR="00FF61E8">
        <w:rPr>
          <w:i/>
        </w:rPr>
        <w:t>alitative Characteristics of Useful Financial Information</w:t>
      </w:r>
      <w:r w:rsidR="00FF61E8">
        <w:t>.</w:t>
      </w:r>
    </w:p>
    <w:p w:rsidR="00FF61E8" w:rsidRDefault="00FF61E8" w:rsidP="001F4863">
      <w:pPr>
        <w:pStyle w:val="NumBC1"/>
      </w:pPr>
      <w:r>
        <w:t>A</w:t>
      </w:r>
      <w:r w:rsidR="009919A6">
        <w:t>t</w:t>
      </w:r>
      <w:r>
        <w:t xml:space="preserve"> its February 2012 meeting, the Board considered whether AASB 1031 remained necessary in light of the guidance on materiality available in existing Accounting Standards and in the revised IASB </w:t>
      </w:r>
      <w:r>
        <w:rPr>
          <w:i/>
        </w:rPr>
        <w:t>Conceptual Framework</w:t>
      </w:r>
      <w:r>
        <w:t>.</w:t>
      </w:r>
      <w:r w:rsidR="00522110">
        <w:rPr>
          <w:rStyle w:val="FootnoteReference"/>
        </w:rPr>
        <w:footnoteReference w:id="1"/>
      </w:r>
      <w:r w:rsidR="00522110">
        <w:t xml:space="preserve">  The Board also considered whether retaining AASB 1031 was consistent with the AASB’s strategies and policies, including the AASB’s policy of not providing unnecessary local guidance on matters covered by IFRSs.</w:t>
      </w:r>
    </w:p>
    <w:p w:rsidR="00ED4624" w:rsidRDefault="0007750F" w:rsidP="001F4863">
      <w:pPr>
        <w:pStyle w:val="NumBC1"/>
      </w:pPr>
      <w:r>
        <w:t xml:space="preserve">In June 2013, Exposure Draft 243 </w:t>
      </w:r>
      <w:r>
        <w:rPr>
          <w:i/>
        </w:rPr>
        <w:t>Withdrawal of AASB 1031</w:t>
      </w:r>
      <w:r>
        <w:t xml:space="preserve"> Materiality was issued for comment.  This</w:t>
      </w:r>
      <w:r w:rsidR="0071351F">
        <w:t xml:space="preserve"> Exposure Draft proposed to withdraw AASB 1031 and delete references to that Standard from Australian Accounting Standards, including Interpretations.  Following the consultation period and after reviewing constituent comments, at its October 2013 meeting the Board decided to proceed with the withdrawal of AASB 1031.  This decision is consistent with the Board’s view that the principle-based guidance on materiality in Australian Accounting Standards (that incorporate IFRSs) and the IASB </w:t>
      </w:r>
      <w:r w:rsidR="0071351F">
        <w:rPr>
          <w:i/>
        </w:rPr>
        <w:t>Conceptual Framework</w:t>
      </w:r>
      <w:r w:rsidR="0071351F">
        <w:t xml:space="preserve"> is adequate.</w:t>
      </w:r>
    </w:p>
    <w:p w:rsidR="0071351F" w:rsidRDefault="0071351F" w:rsidP="001F4863">
      <w:pPr>
        <w:pStyle w:val="NumBC1"/>
      </w:pPr>
      <w:r>
        <w:t>In making its decision to ultimately withdraw AASB 1031, the Board noted that it would not expect the withdrawal to change practice regarding the application of materiality in financial reporting.  In particular, amendments would not change the level of disclosure presently specified by other accounting standards.</w:t>
      </w:r>
    </w:p>
    <w:sectPr w:rsidR="0071351F" w:rsidSect="00BA2BBF">
      <w:footerReference w:type="default" r:id="rId19"/>
      <w:pgSz w:w="11907" w:h="16840" w:code="9"/>
      <w:pgMar w:top="1134" w:right="1134" w:bottom="1134" w:left="1134" w:header="720" w:footer="720" w:gutter="0"/>
      <w:cols w:space="720"/>
      <w:docGrid w:linePitch="65"/>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51041" w:rsidRDefault="00851041">
      <w:r>
        <w:separator/>
      </w:r>
    </w:p>
  </w:endnote>
  <w:endnote w:type="continuationSeparator" w:id="0">
    <w:p w:rsidR="00851041" w:rsidRDefault="008510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204EF" w:rsidRDefault="00A96702" w:rsidP="00EF6488">
    <w:pPr>
      <w:pStyle w:val="Footer"/>
      <w:tabs>
        <w:tab w:val="clear" w:pos="3119"/>
        <w:tab w:val="clear" w:pos="6237"/>
        <w:tab w:val="center" w:pos="4820"/>
        <w:tab w:val="right" w:pos="9639"/>
      </w:tabs>
    </w:pPr>
    <w:r>
      <w:rPr>
        <w:b/>
      </w:rPr>
      <w:t xml:space="preserve">AASB </w:t>
    </w:r>
    <w:r>
      <w:rPr>
        <w:b/>
      </w:rPr>
      <w:fldChar w:fldCharType="begin" w:fldLock="1"/>
    </w:r>
    <w:r>
      <w:rPr>
        <w:b/>
      </w:rPr>
      <w:instrText xml:space="preserve"> REF DocNo  \* charformat </w:instrText>
    </w:r>
    <w:r>
      <w:rPr>
        <w:b/>
      </w:rPr>
      <w:fldChar w:fldCharType="separate"/>
    </w:r>
    <w:r w:rsidR="002962A0" w:rsidRPr="002962A0">
      <w:rPr>
        <w:b/>
      </w:rPr>
      <w:t>2015-3</w:t>
    </w:r>
    <w:r>
      <w:rPr>
        <w:b/>
      </w:rPr>
      <w:fldChar w:fldCharType="end"/>
    </w:r>
    <w:r>
      <w:rPr>
        <w:b/>
      </w:rPr>
      <w:tab/>
    </w:r>
    <w:r>
      <w:fldChar w:fldCharType="begin"/>
    </w:r>
    <w:r>
      <w:instrText>PAGE</w:instrText>
    </w:r>
    <w:r>
      <w:fldChar w:fldCharType="separate"/>
    </w:r>
    <w:r w:rsidR="00CB3D0D">
      <w:rPr>
        <w:noProof/>
      </w:rPr>
      <w:t>2</w:t>
    </w:r>
    <w:r>
      <w:fldChar w:fldCharType="end"/>
    </w:r>
    <w:r>
      <w:tab/>
    </w:r>
    <w:r>
      <w:rPr>
        <w:b/>
        <w:bCs/>
      </w:rPr>
      <w:t>COPYRIGHT</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96702" w:rsidRDefault="00A96702" w:rsidP="00EF6488">
    <w:pPr>
      <w:pStyle w:val="Footer"/>
      <w:tabs>
        <w:tab w:val="clear" w:pos="3119"/>
        <w:tab w:val="clear" w:pos="6237"/>
        <w:tab w:val="center" w:pos="4820"/>
        <w:tab w:val="right" w:pos="9639"/>
      </w:tabs>
      <w:rPr>
        <w:b/>
      </w:rPr>
    </w:pPr>
    <w:r>
      <w:rPr>
        <w:b/>
      </w:rPr>
      <w:t xml:space="preserve">AASB </w:t>
    </w:r>
    <w:r>
      <w:rPr>
        <w:b/>
      </w:rPr>
      <w:fldChar w:fldCharType="begin" w:fldLock="1"/>
    </w:r>
    <w:r>
      <w:rPr>
        <w:b/>
      </w:rPr>
      <w:instrText xml:space="preserve"> REF DocNo  \* charformat </w:instrText>
    </w:r>
    <w:r>
      <w:rPr>
        <w:b/>
      </w:rPr>
      <w:fldChar w:fldCharType="separate"/>
    </w:r>
    <w:r w:rsidR="002962A0" w:rsidRPr="002962A0">
      <w:rPr>
        <w:b/>
      </w:rPr>
      <w:t>2015-3</w:t>
    </w:r>
    <w:r>
      <w:rPr>
        <w:b/>
      </w:rPr>
      <w:fldChar w:fldCharType="end"/>
    </w:r>
    <w:r>
      <w:rPr>
        <w:b/>
      </w:rPr>
      <w:tab/>
    </w:r>
    <w:r>
      <w:fldChar w:fldCharType="begin"/>
    </w:r>
    <w:r>
      <w:instrText>PAGE</w:instrText>
    </w:r>
    <w:r>
      <w:fldChar w:fldCharType="separate"/>
    </w:r>
    <w:r w:rsidR="00CB3D0D">
      <w:rPr>
        <w:noProof/>
      </w:rPr>
      <w:t>3</w:t>
    </w:r>
    <w:r>
      <w:fldChar w:fldCharType="end"/>
    </w:r>
    <w:r>
      <w:tab/>
    </w:r>
    <w:r w:rsidR="000F683F">
      <w:rPr>
        <w:b/>
      </w:rPr>
      <w:t xml:space="preserve">CONTENTS AND </w:t>
    </w:r>
    <w:r>
      <w:rPr>
        <w:b/>
        <w:bCs/>
      </w:rPr>
      <w:t>PREFACE</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96702" w:rsidRDefault="00A96702" w:rsidP="00EF6488">
    <w:pPr>
      <w:pStyle w:val="Footer"/>
      <w:tabs>
        <w:tab w:val="clear" w:pos="3119"/>
        <w:tab w:val="clear" w:pos="6237"/>
        <w:tab w:val="center" w:pos="4820"/>
        <w:tab w:val="right" w:pos="9639"/>
      </w:tabs>
      <w:rPr>
        <w:b/>
      </w:rPr>
    </w:pPr>
    <w:r>
      <w:rPr>
        <w:b/>
      </w:rPr>
      <w:t xml:space="preserve">AASB </w:t>
    </w:r>
    <w:r>
      <w:rPr>
        <w:b/>
      </w:rPr>
      <w:fldChar w:fldCharType="begin" w:fldLock="1"/>
    </w:r>
    <w:r>
      <w:rPr>
        <w:b/>
      </w:rPr>
      <w:instrText xml:space="preserve"> REF DocNo  \* charformat </w:instrText>
    </w:r>
    <w:r>
      <w:rPr>
        <w:b/>
      </w:rPr>
      <w:fldChar w:fldCharType="separate"/>
    </w:r>
    <w:r w:rsidR="002962A0" w:rsidRPr="002962A0">
      <w:rPr>
        <w:b/>
      </w:rPr>
      <w:t>2015-3</w:t>
    </w:r>
    <w:r>
      <w:rPr>
        <w:b/>
      </w:rPr>
      <w:fldChar w:fldCharType="end"/>
    </w:r>
    <w:r>
      <w:rPr>
        <w:b/>
      </w:rPr>
      <w:tab/>
    </w:r>
    <w:r>
      <w:fldChar w:fldCharType="begin"/>
    </w:r>
    <w:r>
      <w:instrText>PAGE</w:instrText>
    </w:r>
    <w:r>
      <w:fldChar w:fldCharType="separate"/>
    </w:r>
    <w:r w:rsidR="00CB3D0D">
      <w:rPr>
        <w:noProof/>
      </w:rPr>
      <w:t>5</w:t>
    </w:r>
    <w:r>
      <w:fldChar w:fldCharType="end"/>
    </w:r>
    <w:r>
      <w:tab/>
    </w:r>
    <w:r>
      <w:rPr>
        <w:b/>
        <w:bCs/>
      </w:rPr>
      <w:t>STANDARD</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96702" w:rsidRDefault="00A96702">
    <w:pPr>
      <w:pStyle w:val="Foote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664C0" w:rsidRDefault="008664C0" w:rsidP="00EF6488">
    <w:pPr>
      <w:pStyle w:val="Footer"/>
      <w:tabs>
        <w:tab w:val="clear" w:pos="3119"/>
        <w:tab w:val="clear" w:pos="6237"/>
        <w:tab w:val="center" w:pos="4820"/>
        <w:tab w:val="right" w:pos="9639"/>
      </w:tabs>
      <w:rPr>
        <w:b/>
      </w:rPr>
    </w:pPr>
    <w:r>
      <w:rPr>
        <w:b/>
      </w:rPr>
      <w:t xml:space="preserve">AASB </w:t>
    </w:r>
    <w:r>
      <w:rPr>
        <w:b/>
      </w:rPr>
      <w:fldChar w:fldCharType="begin" w:fldLock="1"/>
    </w:r>
    <w:r>
      <w:rPr>
        <w:b/>
      </w:rPr>
      <w:instrText xml:space="preserve"> REF DocNo  \* charformat </w:instrText>
    </w:r>
    <w:r>
      <w:rPr>
        <w:b/>
      </w:rPr>
      <w:fldChar w:fldCharType="separate"/>
    </w:r>
    <w:r w:rsidR="002962A0" w:rsidRPr="002962A0">
      <w:rPr>
        <w:b/>
      </w:rPr>
      <w:t>2015-3</w:t>
    </w:r>
    <w:r>
      <w:rPr>
        <w:b/>
      </w:rPr>
      <w:fldChar w:fldCharType="end"/>
    </w:r>
    <w:r>
      <w:rPr>
        <w:b/>
      </w:rPr>
      <w:tab/>
    </w:r>
    <w:r>
      <w:fldChar w:fldCharType="begin"/>
    </w:r>
    <w:r>
      <w:instrText>PAGE</w:instrText>
    </w:r>
    <w:r>
      <w:fldChar w:fldCharType="separate"/>
    </w:r>
    <w:r w:rsidR="00CB3D0D">
      <w:rPr>
        <w:noProof/>
      </w:rPr>
      <w:t>7</w:t>
    </w:r>
    <w:r>
      <w:fldChar w:fldCharType="end"/>
    </w:r>
    <w:r>
      <w:tab/>
    </w:r>
    <w:r w:rsidR="000B3368">
      <w:rPr>
        <w:b/>
        <w:bCs/>
      </w:rPr>
      <w:t>APPENDIX</w: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B3368" w:rsidRDefault="000B3368" w:rsidP="00EF6488">
    <w:pPr>
      <w:pStyle w:val="Footer"/>
      <w:tabs>
        <w:tab w:val="clear" w:pos="3119"/>
        <w:tab w:val="clear" w:pos="6237"/>
        <w:tab w:val="center" w:pos="4820"/>
        <w:tab w:val="right" w:pos="9639"/>
      </w:tabs>
      <w:rPr>
        <w:b/>
      </w:rPr>
    </w:pPr>
    <w:r>
      <w:rPr>
        <w:b/>
      </w:rPr>
      <w:t xml:space="preserve">AASB </w:t>
    </w:r>
    <w:r>
      <w:rPr>
        <w:b/>
      </w:rPr>
      <w:fldChar w:fldCharType="begin" w:fldLock="1"/>
    </w:r>
    <w:r>
      <w:rPr>
        <w:b/>
      </w:rPr>
      <w:instrText xml:space="preserve"> REF DocNo  \* charformat </w:instrText>
    </w:r>
    <w:r>
      <w:rPr>
        <w:b/>
      </w:rPr>
      <w:fldChar w:fldCharType="separate"/>
    </w:r>
    <w:r w:rsidR="002962A0" w:rsidRPr="002962A0">
      <w:rPr>
        <w:b/>
      </w:rPr>
      <w:t>2015-3</w:t>
    </w:r>
    <w:r>
      <w:rPr>
        <w:b/>
      </w:rPr>
      <w:fldChar w:fldCharType="end"/>
    </w:r>
    <w:r>
      <w:rPr>
        <w:b/>
      </w:rPr>
      <w:tab/>
    </w:r>
    <w:r>
      <w:fldChar w:fldCharType="begin"/>
    </w:r>
    <w:r>
      <w:instrText>PAGE</w:instrText>
    </w:r>
    <w:r>
      <w:fldChar w:fldCharType="separate"/>
    </w:r>
    <w:r w:rsidR="00CB3D0D">
      <w:rPr>
        <w:noProof/>
      </w:rPr>
      <w:t>8</w:t>
    </w:r>
    <w:r>
      <w:fldChar w:fldCharType="end"/>
    </w:r>
    <w:r>
      <w:tab/>
    </w:r>
    <w:r>
      <w:rPr>
        <w:b/>
        <w:bCs/>
      </w:rPr>
      <w:t>BASIS FOR CONCLUSIONS</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51041" w:rsidRDefault="00851041">
      <w:r>
        <w:separator/>
      </w:r>
    </w:p>
  </w:footnote>
  <w:footnote w:type="continuationSeparator" w:id="0">
    <w:p w:rsidR="00851041" w:rsidRDefault="00851041">
      <w:r>
        <w:continuationSeparator/>
      </w:r>
    </w:p>
  </w:footnote>
  <w:footnote w:id="1">
    <w:p w:rsidR="00522110" w:rsidRPr="00522110" w:rsidRDefault="00522110">
      <w:pPr>
        <w:pStyle w:val="FootnoteText"/>
      </w:pPr>
      <w:r w:rsidRPr="00522110">
        <w:rPr>
          <w:rStyle w:val="FootnoteReference"/>
          <w:vertAlign w:val="baseline"/>
        </w:rPr>
        <w:footnoteRef/>
      </w:r>
      <w:r w:rsidRPr="00522110">
        <w:t xml:space="preserve"> </w:t>
      </w:r>
      <w:r>
        <w:tab/>
        <w:t xml:space="preserve">An amended AASB </w:t>
      </w:r>
      <w:r>
        <w:rPr>
          <w:i/>
        </w:rPr>
        <w:t>Framework for the Preparation and Presentation of Financial Statements</w:t>
      </w:r>
      <w:r>
        <w:t xml:space="preserve">, incorporating Chapters 1 and 3 of the revised IASB </w:t>
      </w:r>
      <w:r>
        <w:rPr>
          <w:i/>
        </w:rPr>
        <w:t>Conceptual Framework for Financial Reporting</w:t>
      </w:r>
      <w:r>
        <w:t xml:space="preserve"> was issued in December 2013.</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66F88" w:rsidRDefault="00E66F88" w:rsidP="00E66F88">
    <w:pPr>
      <w:pStyle w:val="Header"/>
      <w:jc w:val="center"/>
      <w:rPr>
        <w:b/>
        <w:lang w:val="en-US"/>
      </w:rPr>
    </w:pPr>
  </w:p>
  <w:p w:rsidR="00E66F88" w:rsidRDefault="00E66F88">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96702" w:rsidRDefault="00A96702">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96702" w:rsidRDefault="00A96702">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D5C05" w:rsidRPr="00A62B55" w:rsidRDefault="001D5C05" w:rsidP="00A62B55">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1A67DE"/>
    <w:multiLevelType w:val="multilevel"/>
    <w:tmpl w:val="8DC64E64"/>
    <w:styleLink w:val="AASBSubNumbersBold"/>
    <w:lvl w:ilvl="0">
      <w:start w:val="1"/>
      <w:numFmt w:val="none"/>
      <w:pStyle w:val="SubNumBold1"/>
      <w:suff w:val="nothing"/>
      <w:lvlText w:val="%1"/>
      <w:lvlJc w:val="left"/>
      <w:pPr>
        <w:ind w:left="1021" w:hanging="511"/>
      </w:pPr>
      <w:rPr>
        <w:rFonts w:hint="default"/>
      </w:rPr>
    </w:lvl>
    <w:lvl w:ilvl="1">
      <w:start w:val="1"/>
      <w:numFmt w:val="lowerLetter"/>
      <w:pStyle w:val="SubNumBold2"/>
      <w:lvlText w:val="(%2)"/>
      <w:lvlJc w:val="left"/>
      <w:pPr>
        <w:tabs>
          <w:tab w:val="num" w:pos="1020"/>
        </w:tabs>
        <w:ind w:left="1531" w:hanging="511"/>
      </w:pPr>
      <w:rPr>
        <w:rFonts w:hint="default"/>
      </w:rPr>
    </w:lvl>
    <w:lvl w:ilvl="2">
      <w:start w:val="1"/>
      <w:numFmt w:val="lowerRoman"/>
      <w:pStyle w:val="SubNumBold3"/>
      <w:lvlText w:val="(%3)"/>
      <w:lvlJc w:val="left"/>
      <w:pPr>
        <w:tabs>
          <w:tab w:val="num" w:pos="1530"/>
        </w:tabs>
        <w:ind w:left="2041" w:hanging="511"/>
      </w:pPr>
      <w:rPr>
        <w:rFonts w:hint="default"/>
      </w:rPr>
    </w:lvl>
    <w:lvl w:ilvl="3">
      <w:start w:val="1"/>
      <w:numFmt w:val="upperLetter"/>
      <w:pStyle w:val="SubNumBold4"/>
      <w:lvlText w:val="(%4)"/>
      <w:lvlJc w:val="left"/>
      <w:pPr>
        <w:tabs>
          <w:tab w:val="num" w:pos="2040"/>
        </w:tabs>
        <w:ind w:left="2551" w:hanging="511"/>
      </w:pPr>
      <w:rPr>
        <w:rFonts w:hint="default"/>
      </w:rPr>
    </w:lvl>
    <w:lvl w:ilvl="4">
      <w:start w:val="1"/>
      <w:numFmt w:val="lowerLetter"/>
      <w:lvlText w:val="(%5)"/>
      <w:lvlJc w:val="left"/>
      <w:pPr>
        <w:tabs>
          <w:tab w:val="num" w:pos="2550"/>
        </w:tabs>
        <w:ind w:left="3061" w:hanging="511"/>
      </w:pPr>
      <w:rPr>
        <w:rFonts w:hint="default"/>
      </w:rPr>
    </w:lvl>
    <w:lvl w:ilvl="5">
      <w:start w:val="1"/>
      <w:numFmt w:val="lowerRoman"/>
      <w:lvlText w:val="(%6)"/>
      <w:lvlJc w:val="left"/>
      <w:pPr>
        <w:tabs>
          <w:tab w:val="num" w:pos="3060"/>
        </w:tabs>
        <w:ind w:left="3571" w:hanging="511"/>
      </w:pPr>
      <w:rPr>
        <w:rFonts w:hint="default"/>
      </w:rPr>
    </w:lvl>
    <w:lvl w:ilvl="6">
      <w:start w:val="1"/>
      <w:numFmt w:val="decimal"/>
      <w:lvlText w:val="%7."/>
      <w:lvlJc w:val="left"/>
      <w:pPr>
        <w:tabs>
          <w:tab w:val="num" w:pos="3570"/>
        </w:tabs>
        <w:ind w:left="4081" w:hanging="511"/>
      </w:pPr>
      <w:rPr>
        <w:rFonts w:hint="default"/>
      </w:rPr>
    </w:lvl>
    <w:lvl w:ilvl="7">
      <w:start w:val="1"/>
      <w:numFmt w:val="lowerLetter"/>
      <w:lvlText w:val="%8."/>
      <w:lvlJc w:val="left"/>
      <w:pPr>
        <w:tabs>
          <w:tab w:val="num" w:pos="4080"/>
        </w:tabs>
        <w:ind w:left="4591" w:hanging="511"/>
      </w:pPr>
      <w:rPr>
        <w:rFonts w:hint="default"/>
      </w:rPr>
    </w:lvl>
    <w:lvl w:ilvl="8">
      <w:start w:val="1"/>
      <w:numFmt w:val="lowerRoman"/>
      <w:lvlText w:val="%9."/>
      <w:lvlJc w:val="left"/>
      <w:pPr>
        <w:tabs>
          <w:tab w:val="num" w:pos="4590"/>
        </w:tabs>
        <w:ind w:left="5101" w:hanging="511"/>
      </w:pPr>
      <w:rPr>
        <w:rFonts w:hint="default"/>
      </w:rPr>
    </w:lvl>
  </w:abstractNum>
  <w:abstractNum w:abstractNumId="1">
    <w:nsid w:val="03F92581"/>
    <w:multiLevelType w:val="multilevel"/>
    <w:tmpl w:val="AD5ABFF2"/>
    <w:numStyleLink w:val="AASBSubNumbers"/>
  </w:abstractNum>
  <w:abstractNum w:abstractNumId="2">
    <w:nsid w:val="13E035C2"/>
    <w:multiLevelType w:val="multilevel"/>
    <w:tmpl w:val="95A2D1B2"/>
    <w:lvl w:ilvl="0">
      <w:start w:val="1"/>
      <w:numFmt w:val="decimal"/>
      <w:pStyle w:val="NumBC1"/>
      <w:lvlText w:val="BC%1"/>
      <w:lvlJc w:val="left"/>
      <w:pPr>
        <w:tabs>
          <w:tab w:val="num" w:pos="624"/>
        </w:tabs>
        <w:ind w:left="624" w:hanging="624"/>
      </w:pPr>
      <w:rPr>
        <w:rFonts w:hint="default"/>
        <w:b w:val="0"/>
        <w:bCs w:val="0"/>
        <w:u w:val="none"/>
      </w:rPr>
    </w:lvl>
    <w:lvl w:ilvl="1">
      <w:start w:val="1"/>
      <w:numFmt w:val="lowerLetter"/>
      <w:pStyle w:val="NumBC2"/>
      <w:lvlText w:val="(%2)"/>
      <w:lvlJc w:val="left"/>
      <w:pPr>
        <w:tabs>
          <w:tab w:val="num" w:pos="1247"/>
        </w:tabs>
        <w:ind w:left="1247" w:hanging="623"/>
      </w:pPr>
      <w:rPr>
        <w:rFonts w:hint="default"/>
        <w:b w:val="0"/>
        <w:bCs w:val="0"/>
        <w:u w:val="none"/>
      </w:rPr>
    </w:lvl>
    <w:lvl w:ilvl="2">
      <w:start w:val="1"/>
      <w:numFmt w:val="lowerRoman"/>
      <w:pStyle w:val="NumBC3"/>
      <w:lvlText w:val="(%3)"/>
      <w:lvlJc w:val="left"/>
      <w:pPr>
        <w:tabs>
          <w:tab w:val="num" w:pos="1871"/>
        </w:tabs>
        <w:ind w:left="1871" w:hanging="624"/>
      </w:pPr>
      <w:rPr>
        <w:rFonts w:hint="default"/>
        <w:b w:val="0"/>
        <w:bCs w:val="0"/>
        <w:u w:val="none"/>
      </w:rPr>
    </w:lvl>
    <w:lvl w:ilvl="3">
      <w:start w:val="1"/>
      <w:numFmt w:val="upperLetter"/>
      <w:pStyle w:val="NumBC4"/>
      <w:lvlText w:val="(%4)"/>
      <w:lvlJc w:val="left"/>
      <w:pPr>
        <w:tabs>
          <w:tab w:val="num" w:pos="2495"/>
        </w:tabs>
        <w:ind w:left="2495" w:hanging="624"/>
      </w:pPr>
      <w:rPr>
        <w:rFonts w:hint="default"/>
        <w:b w:val="0"/>
        <w:bCs w:val="0"/>
        <w:u w:val="none"/>
      </w:rPr>
    </w:lvl>
    <w:lvl w:ilvl="4">
      <w:start w:val="1"/>
      <w:numFmt w:val="upperRoman"/>
      <w:lvlText w:val="%5"/>
      <w:lvlJc w:val="left"/>
      <w:pPr>
        <w:tabs>
          <w:tab w:val="num" w:pos="3543"/>
        </w:tabs>
        <w:ind w:left="3543" w:hanging="708"/>
      </w:pPr>
      <w:rPr>
        <w:rFonts w:hint="default"/>
        <w:b w:val="0"/>
        <w:bCs w:val="0"/>
        <w:u w:val="none"/>
      </w:rPr>
    </w:lvl>
    <w:lvl w:ilvl="5">
      <w:start w:val="1"/>
      <w:numFmt w:val="decimal"/>
      <w:lvlText w:val="%6"/>
      <w:lvlJc w:val="left"/>
      <w:pPr>
        <w:tabs>
          <w:tab w:val="num" w:pos="4253"/>
        </w:tabs>
        <w:ind w:left="4253" w:hanging="709"/>
      </w:pPr>
      <w:rPr>
        <w:rFonts w:hint="default"/>
      </w:rPr>
    </w:lvl>
    <w:lvl w:ilvl="6">
      <w:start w:val="1"/>
      <w:numFmt w:val="lowerLetter"/>
      <w:lvlText w:val="%7)"/>
      <w:lvlJc w:val="left"/>
      <w:pPr>
        <w:tabs>
          <w:tab w:val="num" w:pos="4961"/>
        </w:tabs>
        <w:ind w:left="4961" w:hanging="708"/>
      </w:pPr>
      <w:rPr>
        <w:rFonts w:hint="default"/>
      </w:rPr>
    </w:lvl>
    <w:lvl w:ilvl="7">
      <w:start w:val="1"/>
      <w:numFmt w:val="lowerRoman"/>
      <w:lvlText w:val="%8)"/>
      <w:lvlJc w:val="left"/>
      <w:pPr>
        <w:tabs>
          <w:tab w:val="num" w:pos="5670"/>
        </w:tabs>
        <w:ind w:left="5670" w:hanging="709"/>
      </w:pPr>
      <w:rPr>
        <w:rFonts w:hint="default"/>
      </w:rPr>
    </w:lvl>
    <w:lvl w:ilvl="8">
      <w:start w:val="1"/>
      <w:numFmt w:val="lowerRoman"/>
      <w:lvlText w:val="%9)"/>
      <w:lvlJc w:val="left"/>
      <w:pPr>
        <w:tabs>
          <w:tab w:val="num" w:pos="6379"/>
        </w:tabs>
        <w:ind w:left="6379" w:hanging="709"/>
      </w:pPr>
      <w:rPr>
        <w:rFonts w:hint="default"/>
      </w:rPr>
    </w:lvl>
  </w:abstractNum>
  <w:abstractNum w:abstractNumId="3">
    <w:nsid w:val="22217511"/>
    <w:multiLevelType w:val="multilevel"/>
    <w:tmpl w:val="017AF28C"/>
    <w:styleLink w:val="Bullets"/>
    <w:lvl w:ilvl="0">
      <w:start w:val="1"/>
      <w:numFmt w:val="bullet"/>
      <w:lvlText w:val=""/>
      <w:lvlJc w:val="left"/>
      <w:pPr>
        <w:ind w:left="504" w:hanging="504"/>
      </w:pPr>
      <w:rPr>
        <w:rFonts w:ascii="Symbol" w:hAnsi="Symbol" w:hint="default"/>
        <w:color w:val="auto"/>
      </w:rPr>
    </w:lvl>
    <w:lvl w:ilvl="1">
      <w:start w:val="1"/>
      <w:numFmt w:val="bullet"/>
      <w:lvlText w:val=""/>
      <w:lvlJc w:val="left"/>
      <w:pPr>
        <w:ind w:left="1008" w:hanging="504"/>
      </w:pPr>
      <w:rPr>
        <w:rFonts w:ascii="Symbol" w:hAnsi="Symbol" w:hint="default"/>
        <w:color w:val="auto"/>
      </w:rPr>
    </w:lvl>
    <w:lvl w:ilvl="2">
      <w:start w:val="1"/>
      <w:numFmt w:val="bullet"/>
      <w:lvlText w:val=""/>
      <w:lvlJc w:val="left"/>
      <w:pPr>
        <w:ind w:left="1512" w:hanging="504"/>
      </w:pPr>
      <w:rPr>
        <w:rFonts w:ascii="Symbol" w:hAnsi="Symbol" w:hint="default"/>
        <w:color w:val="auto"/>
      </w:rPr>
    </w:lvl>
    <w:lvl w:ilvl="3">
      <w:start w:val="1"/>
      <w:numFmt w:val="bullet"/>
      <w:lvlText w:val=""/>
      <w:lvlJc w:val="left"/>
      <w:pPr>
        <w:ind w:left="2016" w:hanging="504"/>
      </w:pPr>
      <w:rPr>
        <w:rFonts w:ascii="Symbol" w:hAnsi="Symbol" w:hint="default"/>
        <w:color w:val="auto"/>
      </w:rPr>
    </w:lvl>
    <w:lvl w:ilvl="4">
      <w:start w:val="1"/>
      <w:numFmt w:val="none"/>
      <w:lvlText w:val=""/>
      <w:lvlJc w:val="left"/>
      <w:pPr>
        <w:ind w:left="2520" w:hanging="504"/>
      </w:pPr>
      <w:rPr>
        <w:rFonts w:hint="default"/>
      </w:rPr>
    </w:lvl>
    <w:lvl w:ilvl="5">
      <w:start w:val="1"/>
      <w:numFmt w:val="none"/>
      <w:lvlText w:val=""/>
      <w:lvlJc w:val="left"/>
      <w:pPr>
        <w:ind w:left="3024" w:hanging="504"/>
      </w:pPr>
      <w:rPr>
        <w:rFonts w:hint="default"/>
      </w:rPr>
    </w:lvl>
    <w:lvl w:ilvl="6">
      <w:start w:val="1"/>
      <w:numFmt w:val="none"/>
      <w:lvlText w:val=""/>
      <w:lvlJc w:val="left"/>
      <w:pPr>
        <w:ind w:left="3528" w:hanging="504"/>
      </w:pPr>
      <w:rPr>
        <w:rFonts w:hint="default"/>
      </w:rPr>
    </w:lvl>
    <w:lvl w:ilvl="7">
      <w:start w:val="1"/>
      <w:numFmt w:val="none"/>
      <w:lvlText w:val=""/>
      <w:lvlJc w:val="left"/>
      <w:pPr>
        <w:ind w:left="4032" w:hanging="504"/>
      </w:pPr>
      <w:rPr>
        <w:rFonts w:hint="default"/>
      </w:rPr>
    </w:lvl>
    <w:lvl w:ilvl="8">
      <w:start w:val="1"/>
      <w:numFmt w:val="none"/>
      <w:lvlText w:val=""/>
      <w:lvlJc w:val="left"/>
      <w:pPr>
        <w:ind w:left="4536" w:hanging="504"/>
      </w:pPr>
      <w:rPr>
        <w:rFonts w:hint="default"/>
      </w:rPr>
    </w:lvl>
  </w:abstractNum>
  <w:abstractNum w:abstractNumId="4">
    <w:nsid w:val="24E64954"/>
    <w:multiLevelType w:val="multilevel"/>
    <w:tmpl w:val="AC6E7A16"/>
    <w:lvl w:ilvl="0">
      <w:start w:val="1"/>
      <w:numFmt w:val="decimal"/>
      <w:lvlText w:val="BC%1"/>
      <w:lvlJc w:val="left"/>
      <w:pPr>
        <w:tabs>
          <w:tab w:val="num" w:pos="624"/>
        </w:tabs>
        <w:ind w:left="624" w:hanging="624"/>
      </w:pPr>
      <w:rPr>
        <w:rFonts w:hint="default"/>
        <w:b w:val="0"/>
        <w:bCs w:val="0"/>
        <w:u w:val="none"/>
      </w:rPr>
    </w:lvl>
    <w:lvl w:ilvl="1">
      <w:start w:val="1"/>
      <w:numFmt w:val="lowerLetter"/>
      <w:lvlText w:val="(%2)"/>
      <w:lvlJc w:val="left"/>
      <w:pPr>
        <w:tabs>
          <w:tab w:val="num" w:pos="1247"/>
        </w:tabs>
        <w:ind w:left="1247" w:hanging="623"/>
      </w:pPr>
      <w:rPr>
        <w:rFonts w:hint="default"/>
        <w:b w:val="0"/>
        <w:bCs w:val="0"/>
        <w:u w:val="none"/>
      </w:rPr>
    </w:lvl>
    <w:lvl w:ilvl="2">
      <w:start w:val="1"/>
      <w:numFmt w:val="lowerRoman"/>
      <w:lvlText w:val="(%3)"/>
      <w:lvlJc w:val="left"/>
      <w:pPr>
        <w:tabs>
          <w:tab w:val="num" w:pos="1871"/>
        </w:tabs>
        <w:ind w:left="1871" w:hanging="624"/>
      </w:pPr>
      <w:rPr>
        <w:rFonts w:hint="default"/>
        <w:b w:val="0"/>
        <w:bCs w:val="0"/>
        <w:u w:val="none"/>
      </w:rPr>
    </w:lvl>
    <w:lvl w:ilvl="3">
      <w:start w:val="1"/>
      <w:numFmt w:val="upperLetter"/>
      <w:lvlText w:val="(%4)"/>
      <w:lvlJc w:val="left"/>
      <w:pPr>
        <w:tabs>
          <w:tab w:val="num" w:pos="2495"/>
        </w:tabs>
        <w:ind w:left="2495" w:hanging="624"/>
      </w:pPr>
      <w:rPr>
        <w:rFonts w:hint="default"/>
        <w:b w:val="0"/>
        <w:bCs w:val="0"/>
        <w:u w:val="none"/>
      </w:rPr>
    </w:lvl>
    <w:lvl w:ilvl="4">
      <w:start w:val="1"/>
      <w:numFmt w:val="upperRoman"/>
      <w:lvlText w:val="%5"/>
      <w:lvlJc w:val="left"/>
      <w:pPr>
        <w:tabs>
          <w:tab w:val="num" w:pos="3543"/>
        </w:tabs>
        <w:ind w:left="3543" w:hanging="708"/>
      </w:pPr>
      <w:rPr>
        <w:rFonts w:hint="default"/>
        <w:b w:val="0"/>
        <w:bCs w:val="0"/>
        <w:u w:val="none"/>
      </w:rPr>
    </w:lvl>
    <w:lvl w:ilvl="5">
      <w:start w:val="1"/>
      <w:numFmt w:val="decimal"/>
      <w:lvlText w:val="%6"/>
      <w:lvlJc w:val="left"/>
      <w:pPr>
        <w:tabs>
          <w:tab w:val="num" w:pos="4253"/>
        </w:tabs>
        <w:ind w:left="4253" w:hanging="709"/>
      </w:pPr>
      <w:rPr>
        <w:rFonts w:hint="default"/>
      </w:rPr>
    </w:lvl>
    <w:lvl w:ilvl="6">
      <w:start w:val="1"/>
      <w:numFmt w:val="lowerLetter"/>
      <w:lvlText w:val="%7)"/>
      <w:lvlJc w:val="left"/>
      <w:pPr>
        <w:tabs>
          <w:tab w:val="num" w:pos="4961"/>
        </w:tabs>
        <w:ind w:left="4961" w:hanging="708"/>
      </w:pPr>
      <w:rPr>
        <w:rFonts w:hint="default"/>
      </w:rPr>
    </w:lvl>
    <w:lvl w:ilvl="7">
      <w:start w:val="1"/>
      <w:numFmt w:val="lowerRoman"/>
      <w:lvlText w:val="%8)"/>
      <w:lvlJc w:val="left"/>
      <w:pPr>
        <w:tabs>
          <w:tab w:val="num" w:pos="5670"/>
        </w:tabs>
        <w:ind w:left="5670" w:hanging="709"/>
      </w:pPr>
      <w:rPr>
        <w:rFonts w:hint="default"/>
      </w:rPr>
    </w:lvl>
    <w:lvl w:ilvl="8">
      <w:start w:val="1"/>
      <w:numFmt w:val="lowerRoman"/>
      <w:lvlText w:val="%9)"/>
      <w:lvlJc w:val="left"/>
      <w:pPr>
        <w:tabs>
          <w:tab w:val="num" w:pos="6379"/>
        </w:tabs>
        <w:ind w:left="6379" w:hanging="709"/>
      </w:pPr>
      <w:rPr>
        <w:rFonts w:hint="default"/>
      </w:rPr>
    </w:lvl>
  </w:abstractNum>
  <w:abstractNum w:abstractNumId="5">
    <w:nsid w:val="2576465B"/>
    <w:multiLevelType w:val="multilevel"/>
    <w:tmpl w:val="D9F888A8"/>
    <w:lvl w:ilvl="0">
      <w:start w:val="1"/>
      <w:numFmt w:val="lowerLetter"/>
      <w:pStyle w:val="NumPlainA"/>
      <w:lvlText w:val="(%1)"/>
      <w:lvlJc w:val="left"/>
      <w:pPr>
        <w:tabs>
          <w:tab w:val="num" w:pos="510"/>
        </w:tabs>
        <w:ind w:left="510" w:hanging="510"/>
      </w:pPr>
      <w:rPr>
        <w:rFonts w:hint="default"/>
      </w:rPr>
    </w:lvl>
    <w:lvl w:ilvl="1">
      <w:start w:val="1"/>
      <w:numFmt w:val="lowerRoman"/>
      <w:pStyle w:val="NumPlainA2"/>
      <w:lvlText w:val="(%2)"/>
      <w:lvlJc w:val="left"/>
      <w:pPr>
        <w:tabs>
          <w:tab w:val="num" w:pos="1021"/>
        </w:tabs>
        <w:ind w:left="1021" w:hanging="511"/>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6">
    <w:nsid w:val="2A7A35E2"/>
    <w:multiLevelType w:val="multilevel"/>
    <w:tmpl w:val="AD5ABFF2"/>
    <w:styleLink w:val="AASBSubNumbers"/>
    <w:lvl w:ilvl="0">
      <w:start w:val="1"/>
      <w:numFmt w:val="none"/>
      <w:pStyle w:val="SubNumPlain1"/>
      <w:suff w:val="nothing"/>
      <w:lvlText w:val="%1"/>
      <w:lvlJc w:val="left"/>
      <w:pPr>
        <w:ind w:left="1021" w:hanging="511"/>
      </w:pPr>
      <w:rPr>
        <w:rFonts w:hint="default"/>
      </w:rPr>
    </w:lvl>
    <w:lvl w:ilvl="1">
      <w:start w:val="1"/>
      <w:numFmt w:val="lowerLetter"/>
      <w:pStyle w:val="SubNumPlain2"/>
      <w:lvlText w:val="(%2)"/>
      <w:lvlJc w:val="left"/>
      <w:pPr>
        <w:ind w:left="1531" w:hanging="511"/>
      </w:pPr>
      <w:rPr>
        <w:rFonts w:hint="default"/>
      </w:rPr>
    </w:lvl>
    <w:lvl w:ilvl="2">
      <w:start w:val="1"/>
      <w:numFmt w:val="lowerRoman"/>
      <w:pStyle w:val="SubNumPlain3"/>
      <w:lvlText w:val="(%3)"/>
      <w:lvlJc w:val="left"/>
      <w:pPr>
        <w:ind w:left="2041" w:hanging="511"/>
      </w:pPr>
      <w:rPr>
        <w:rFonts w:hint="default"/>
      </w:rPr>
    </w:lvl>
    <w:lvl w:ilvl="3">
      <w:start w:val="1"/>
      <w:numFmt w:val="upperLetter"/>
      <w:pStyle w:val="SubNumPlain4"/>
      <w:lvlText w:val="(%4)"/>
      <w:lvlJc w:val="left"/>
      <w:pPr>
        <w:ind w:left="2551" w:hanging="511"/>
      </w:pPr>
      <w:rPr>
        <w:rFonts w:hint="default"/>
      </w:rPr>
    </w:lvl>
    <w:lvl w:ilvl="4">
      <w:start w:val="1"/>
      <w:numFmt w:val="lowerLetter"/>
      <w:lvlText w:val="(%5)"/>
      <w:lvlJc w:val="left"/>
      <w:pPr>
        <w:ind w:left="3061" w:hanging="511"/>
      </w:pPr>
      <w:rPr>
        <w:rFonts w:hint="default"/>
      </w:rPr>
    </w:lvl>
    <w:lvl w:ilvl="5">
      <w:start w:val="1"/>
      <w:numFmt w:val="lowerRoman"/>
      <w:lvlText w:val="(%6)"/>
      <w:lvlJc w:val="left"/>
      <w:pPr>
        <w:ind w:left="3571" w:hanging="511"/>
      </w:pPr>
      <w:rPr>
        <w:rFonts w:hint="default"/>
      </w:rPr>
    </w:lvl>
    <w:lvl w:ilvl="6">
      <w:start w:val="1"/>
      <w:numFmt w:val="decimal"/>
      <w:lvlText w:val="%7."/>
      <w:lvlJc w:val="left"/>
      <w:pPr>
        <w:ind w:left="4081" w:hanging="511"/>
      </w:pPr>
      <w:rPr>
        <w:rFonts w:hint="default"/>
      </w:rPr>
    </w:lvl>
    <w:lvl w:ilvl="7">
      <w:start w:val="1"/>
      <w:numFmt w:val="lowerLetter"/>
      <w:lvlText w:val="%8."/>
      <w:lvlJc w:val="left"/>
      <w:pPr>
        <w:ind w:left="4591" w:hanging="511"/>
      </w:pPr>
      <w:rPr>
        <w:rFonts w:hint="default"/>
      </w:rPr>
    </w:lvl>
    <w:lvl w:ilvl="8">
      <w:start w:val="1"/>
      <w:numFmt w:val="lowerRoman"/>
      <w:lvlText w:val="%9."/>
      <w:lvlJc w:val="left"/>
      <w:pPr>
        <w:ind w:left="5101" w:hanging="511"/>
      </w:pPr>
      <w:rPr>
        <w:rFonts w:hint="default"/>
      </w:rPr>
    </w:lvl>
  </w:abstractNum>
  <w:abstractNum w:abstractNumId="7">
    <w:nsid w:val="61542243"/>
    <w:multiLevelType w:val="multilevel"/>
    <w:tmpl w:val="BDF015A6"/>
    <w:lvl w:ilvl="0">
      <w:start w:val="1"/>
      <w:numFmt w:val="decimal"/>
      <w:pStyle w:val="NumPlain1"/>
      <w:lvlText w:val="%1"/>
      <w:lvlJc w:val="left"/>
      <w:pPr>
        <w:tabs>
          <w:tab w:val="num" w:pos="510"/>
        </w:tabs>
        <w:ind w:left="510" w:hanging="510"/>
      </w:pPr>
      <w:rPr>
        <w:rFonts w:hint="default"/>
      </w:rPr>
    </w:lvl>
    <w:lvl w:ilvl="1">
      <w:start w:val="1"/>
      <w:numFmt w:val="lowerLetter"/>
      <w:pStyle w:val="NumPlain2"/>
      <w:lvlText w:val="(%2)"/>
      <w:lvlJc w:val="left"/>
      <w:pPr>
        <w:tabs>
          <w:tab w:val="num" w:pos="1021"/>
        </w:tabs>
        <w:ind w:left="1021" w:hanging="511"/>
      </w:pPr>
      <w:rPr>
        <w:rFonts w:hint="default"/>
      </w:rPr>
    </w:lvl>
    <w:lvl w:ilvl="2">
      <w:start w:val="1"/>
      <w:numFmt w:val="lowerRoman"/>
      <w:pStyle w:val="NumPlain3"/>
      <w:lvlText w:val="(%3)"/>
      <w:lvlJc w:val="left"/>
      <w:pPr>
        <w:tabs>
          <w:tab w:val="num" w:pos="1531"/>
        </w:tabs>
        <w:ind w:left="1531" w:hanging="510"/>
      </w:pPr>
      <w:rPr>
        <w:rFonts w:hint="default"/>
      </w:rPr>
    </w:lvl>
    <w:lvl w:ilvl="3">
      <w:start w:val="1"/>
      <w:numFmt w:val="upperLetter"/>
      <w:pStyle w:val="NumPlain4"/>
      <w:lvlText w:val="(%4)"/>
      <w:lvlJc w:val="left"/>
      <w:pPr>
        <w:tabs>
          <w:tab w:val="num" w:pos="2041"/>
        </w:tabs>
        <w:ind w:left="2041" w:hanging="510"/>
      </w:pPr>
      <w:rPr>
        <w:rFonts w:hint="default"/>
      </w:rPr>
    </w:lvl>
    <w:lvl w:ilvl="4">
      <w:start w:val="1"/>
      <w:numFmt w:val="lowerLetter"/>
      <w:lvlText w:val="(%5)"/>
      <w:lvlJc w:val="left"/>
      <w:pPr>
        <w:tabs>
          <w:tab w:val="num" w:pos="2651"/>
        </w:tabs>
        <w:ind w:left="2651" w:hanging="360"/>
      </w:pPr>
      <w:rPr>
        <w:rFonts w:hint="default"/>
      </w:rPr>
    </w:lvl>
    <w:lvl w:ilvl="5">
      <w:start w:val="1"/>
      <w:numFmt w:val="lowerRoman"/>
      <w:lvlText w:val="(%6)"/>
      <w:lvlJc w:val="left"/>
      <w:pPr>
        <w:tabs>
          <w:tab w:val="num" w:pos="3011"/>
        </w:tabs>
        <w:ind w:left="3011" w:hanging="360"/>
      </w:pPr>
      <w:rPr>
        <w:rFonts w:hint="default"/>
      </w:rPr>
    </w:lvl>
    <w:lvl w:ilvl="6">
      <w:start w:val="1"/>
      <w:numFmt w:val="decimal"/>
      <w:lvlText w:val="%7."/>
      <w:lvlJc w:val="left"/>
      <w:pPr>
        <w:tabs>
          <w:tab w:val="num" w:pos="3371"/>
        </w:tabs>
        <w:ind w:left="3371" w:hanging="360"/>
      </w:pPr>
      <w:rPr>
        <w:rFonts w:hint="default"/>
      </w:rPr>
    </w:lvl>
    <w:lvl w:ilvl="7">
      <w:start w:val="1"/>
      <w:numFmt w:val="lowerLetter"/>
      <w:lvlText w:val="%8."/>
      <w:lvlJc w:val="left"/>
      <w:pPr>
        <w:tabs>
          <w:tab w:val="num" w:pos="3731"/>
        </w:tabs>
        <w:ind w:left="3731" w:hanging="360"/>
      </w:pPr>
      <w:rPr>
        <w:rFonts w:hint="default"/>
      </w:rPr>
    </w:lvl>
    <w:lvl w:ilvl="8">
      <w:start w:val="1"/>
      <w:numFmt w:val="lowerRoman"/>
      <w:lvlText w:val="%9."/>
      <w:lvlJc w:val="left"/>
      <w:pPr>
        <w:tabs>
          <w:tab w:val="num" w:pos="4091"/>
        </w:tabs>
        <w:ind w:left="4091" w:hanging="360"/>
      </w:pPr>
      <w:rPr>
        <w:rFonts w:hint="default"/>
      </w:rPr>
    </w:lvl>
  </w:abstractNum>
  <w:abstractNum w:abstractNumId="8">
    <w:nsid w:val="6D2B46A3"/>
    <w:multiLevelType w:val="multilevel"/>
    <w:tmpl w:val="A80ECEA6"/>
    <w:lvl w:ilvl="0">
      <w:start w:val="1"/>
      <w:numFmt w:val="bullet"/>
      <w:pStyle w:val="Bullet1"/>
      <w:lvlText w:val=""/>
      <w:lvlJc w:val="left"/>
      <w:pPr>
        <w:ind w:left="504" w:hanging="504"/>
      </w:pPr>
      <w:rPr>
        <w:rFonts w:ascii="Symbol" w:hAnsi="Symbol" w:hint="default"/>
        <w:color w:val="auto"/>
      </w:rPr>
    </w:lvl>
    <w:lvl w:ilvl="1">
      <w:start w:val="1"/>
      <w:numFmt w:val="bullet"/>
      <w:pStyle w:val="Bullet2"/>
      <w:lvlText w:val=""/>
      <w:lvlJc w:val="left"/>
      <w:pPr>
        <w:ind w:left="1008" w:hanging="504"/>
      </w:pPr>
      <w:rPr>
        <w:rFonts w:ascii="Symbol" w:hAnsi="Symbol" w:hint="default"/>
        <w:color w:val="auto"/>
      </w:rPr>
    </w:lvl>
    <w:lvl w:ilvl="2">
      <w:start w:val="1"/>
      <w:numFmt w:val="bullet"/>
      <w:pStyle w:val="Bullet3"/>
      <w:lvlText w:val=""/>
      <w:lvlJc w:val="left"/>
      <w:pPr>
        <w:ind w:left="1512" w:hanging="504"/>
      </w:pPr>
      <w:rPr>
        <w:rFonts w:ascii="Symbol" w:hAnsi="Symbol" w:hint="default"/>
        <w:color w:val="auto"/>
      </w:rPr>
    </w:lvl>
    <w:lvl w:ilvl="3">
      <w:start w:val="1"/>
      <w:numFmt w:val="bullet"/>
      <w:pStyle w:val="Bullet4"/>
      <w:lvlText w:val=""/>
      <w:lvlJc w:val="left"/>
      <w:pPr>
        <w:ind w:left="2016" w:hanging="504"/>
      </w:pPr>
      <w:rPr>
        <w:rFonts w:ascii="Symbol" w:hAnsi="Symbol" w:hint="default"/>
        <w:color w:val="auto"/>
      </w:rPr>
    </w:lvl>
    <w:lvl w:ilvl="4">
      <w:start w:val="1"/>
      <w:numFmt w:val="none"/>
      <w:lvlText w:val=""/>
      <w:lvlJc w:val="left"/>
      <w:pPr>
        <w:ind w:left="2520" w:hanging="504"/>
      </w:pPr>
      <w:rPr>
        <w:rFonts w:hint="default"/>
      </w:rPr>
    </w:lvl>
    <w:lvl w:ilvl="5">
      <w:start w:val="1"/>
      <w:numFmt w:val="none"/>
      <w:lvlText w:val=""/>
      <w:lvlJc w:val="left"/>
      <w:pPr>
        <w:ind w:left="3024" w:hanging="504"/>
      </w:pPr>
      <w:rPr>
        <w:rFonts w:hint="default"/>
      </w:rPr>
    </w:lvl>
    <w:lvl w:ilvl="6">
      <w:start w:val="1"/>
      <w:numFmt w:val="none"/>
      <w:lvlText w:val=""/>
      <w:lvlJc w:val="left"/>
      <w:pPr>
        <w:ind w:left="3528" w:hanging="504"/>
      </w:pPr>
      <w:rPr>
        <w:rFonts w:hint="default"/>
      </w:rPr>
    </w:lvl>
    <w:lvl w:ilvl="7">
      <w:start w:val="1"/>
      <w:numFmt w:val="none"/>
      <w:lvlText w:val=""/>
      <w:lvlJc w:val="left"/>
      <w:pPr>
        <w:ind w:left="4032" w:hanging="504"/>
      </w:pPr>
      <w:rPr>
        <w:rFonts w:hint="default"/>
      </w:rPr>
    </w:lvl>
    <w:lvl w:ilvl="8">
      <w:start w:val="1"/>
      <w:numFmt w:val="none"/>
      <w:lvlText w:val=""/>
      <w:lvlJc w:val="left"/>
      <w:pPr>
        <w:ind w:left="4536" w:hanging="504"/>
      </w:pPr>
      <w:rPr>
        <w:rFonts w:hint="default"/>
      </w:rPr>
    </w:lvl>
  </w:abstractNum>
  <w:abstractNum w:abstractNumId="9">
    <w:nsid w:val="7034512C"/>
    <w:multiLevelType w:val="hybridMultilevel"/>
    <w:tmpl w:val="87A659DC"/>
    <w:lvl w:ilvl="0" w:tplc="0D1C2E8A">
      <w:start w:val="1"/>
      <w:numFmt w:val="decimal"/>
      <w:lvlRestart w:val="0"/>
      <w:pStyle w:val="NumberedList"/>
      <w:lvlText w:val="%1."/>
      <w:lvlJc w:val="left"/>
      <w:pPr>
        <w:tabs>
          <w:tab w:val="num" w:pos="510"/>
        </w:tabs>
        <w:ind w:left="510" w:hanging="51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7"/>
  </w:num>
  <w:num w:numId="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9"/>
  </w:num>
  <w:num w:numId="4">
    <w:abstractNumId w:val="2"/>
  </w:num>
  <w:num w:numId="5">
    <w:abstractNumId w:val="3"/>
  </w:num>
  <w:num w:numId="6">
    <w:abstractNumId w:val="8"/>
  </w:num>
  <w:num w:numId="7">
    <w:abstractNumId w:val="5"/>
  </w:num>
  <w:num w:numId="8">
    <w:abstractNumId w:val="6"/>
  </w:num>
  <w:num w:numId="9">
    <w:abstractNumId w:val="1"/>
  </w:num>
  <w:num w:numId="10">
    <w:abstractNumId w:val="0"/>
  </w:num>
  <w:num w:numId="11">
    <w:abstractNumId w:val="7"/>
  </w:num>
  <w:num w:numId="12">
    <w:abstractNumId w:val="7"/>
  </w:num>
  <w:num w:numId="13">
    <w:abstractNumId w:val="7"/>
  </w:num>
  <w:num w:numId="14">
    <w:abstractNumId w:val="7"/>
  </w:num>
  <w:num w:numId="15">
    <w:abstractNumId w:val="7"/>
  </w:num>
  <w:num w:numId="16">
    <w:abstractNumId w:val="7"/>
  </w:num>
  <w:num w:numId="17">
    <w:abstractNumId w:val="4"/>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intFractionalCharacterWidth/>
  <w:activeWritingStyle w:appName="MSWord" w:lang="en-AU" w:vendorID="64" w:dllVersion="131078" w:nlCheck="1" w:checkStyle="1"/>
  <w:activeWritingStyle w:appName="MSWord" w:lang="en-US" w:vendorID="64" w:dllVersion="131078" w:nlCheck="1" w:checkStyle="1"/>
  <w:activeWritingStyle w:appName="MSWord" w:lang="fr-FR" w:vendorID="64" w:dllVersion="131078" w:nlCheck="1" w:checkStyle="1"/>
  <w:proofState w:spelling="clean"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doNotHyphenateCaps/>
  <w:drawingGridHorizontalSpacing w:val="24"/>
  <w:displayHorizontalDrawingGridEvery w:val="0"/>
  <w:displayVerticalDrawingGridEvery w:val="0"/>
  <w:doNotShadeFormData/>
  <w:noPunctuationKerning/>
  <w:characterSpacingControl w:val="doNotCompress"/>
  <w:hdrShapeDefaults>
    <o:shapedefaults v:ext="edit" spidmax="38913">
      <o:colormru v:ext="edit" colors="#ddd,silver,#eaeaea"/>
    </o:shapedefaults>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51041"/>
    <w:rsid w:val="0000292B"/>
    <w:rsid w:val="00011F4C"/>
    <w:rsid w:val="0001727B"/>
    <w:rsid w:val="00017AA3"/>
    <w:rsid w:val="0002782F"/>
    <w:rsid w:val="00027E8B"/>
    <w:rsid w:val="0004455B"/>
    <w:rsid w:val="00074133"/>
    <w:rsid w:val="0007750F"/>
    <w:rsid w:val="00090A6F"/>
    <w:rsid w:val="00096027"/>
    <w:rsid w:val="000B3368"/>
    <w:rsid w:val="000B733C"/>
    <w:rsid w:val="000C3EB0"/>
    <w:rsid w:val="000D7B40"/>
    <w:rsid w:val="000F64CC"/>
    <w:rsid w:val="000F683F"/>
    <w:rsid w:val="00104C02"/>
    <w:rsid w:val="00110B96"/>
    <w:rsid w:val="0011253A"/>
    <w:rsid w:val="00112BB5"/>
    <w:rsid w:val="001162C5"/>
    <w:rsid w:val="001206CF"/>
    <w:rsid w:val="001217F4"/>
    <w:rsid w:val="001636FB"/>
    <w:rsid w:val="001662B8"/>
    <w:rsid w:val="00171F51"/>
    <w:rsid w:val="001761C6"/>
    <w:rsid w:val="001864D4"/>
    <w:rsid w:val="0019286F"/>
    <w:rsid w:val="001B33A5"/>
    <w:rsid w:val="001C225F"/>
    <w:rsid w:val="001D0491"/>
    <w:rsid w:val="001D5C05"/>
    <w:rsid w:val="001F4863"/>
    <w:rsid w:val="001F78DF"/>
    <w:rsid w:val="00204085"/>
    <w:rsid w:val="0022022E"/>
    <w:rsid w:val="00273339"/>
    <w:rsid w:val="0028086D"/>
    <w:rsid w:val="00283482"/>
    <w:rsid w:val="00286132"/>
    <w:rsid w:val="002962A0"/>
    <w:rsid w:val="0029647E"/>
    <w:rsid w:val="002A201D"/>
    <w:rsid w:val="002A6A24"/>
    <w:rsid w:val="002B7803"/>
    <w:rsid w:val="002D4FCF"/>
    <w:rsid w:val="002F1CD0"/>
    <w:rsid w:val="00307695"/>
    <w:rsid w:val="00307F26"/>
    <w:rsid w:val="0031026B"/>
    <w:rsid w:val="003251D8"/>
    <w:rsid w:val="0033581C"/>
    <w:rsid w:val="003440D7"/>
    <w:rsid w:val="0035101E"/>
    <w:rsid w:val="00355097"/>
    <w:rsid w:val="00364B30"/>
    <w:rsid w:val="00367DC9"/>
    <w:rsid w:val="00370945"/>
    <w:rsid w:val="00377B8D"/>
    <w:rsid w:val="00382796"/>
    <w:rsid w:val="0039009E"/>
    <w:rsid w:val="003A488F"/>
    <w:rsid w:val="003A5D12"/>
    <w:rsid w:val="003B0CAA"/>
    <w:rsid w:val="003B0E71"/>
    <w:rsid w:val="003B44C8"/>
    <w:rsid w:val="003D1DD4"/>
    <w:rsid w:val="003D261C"/>
    <w:rsid w:val="003D3C88"/>
    <w:rsid w:val="003E0A68"/>
    <w:rsid w:val="00401ECA"/>
    <w:rsid w:val="00405139"/>
    <w:rsid w:val="004150BD"/>
    <w:rsid w:val="00416FDC"/>
    <w:rsid w:val="00422E4D"/>
    <w:rsid w:val="00426876"/>
    <w:rsid w:val="00434D73"/>
    <w:rsid w:val="00434D86"/>
    <w:rsid w:val="00436A2D"/>
    <w:rsid w:val="00444687"/>
    <w:rsid w:val="0044702C"/>
    <w:rsid w:val="00460FBB"/>
    <w:rsid w:val="00470CE9"/>
    <w:rsid w:val="0047683E"/>
    <w:rsid w:val="0048155F"/>
    <w:rsid w:val="00487CF6"/>
    <w:rsid w:val="0049290E"/>
    <w:rsid w:val="004961F8"/>
    <w:rsid w:val="004A417F"/>
    <w:rsid w:val="004A76F2"/>
    <w:rsid w:val="004B038C"/>
    <w:rsid w:val="004B586E"/>
    <w:rsid w:val="004B736C"/>
    <w:rsid w:val="004C5BDE"/>
    <w:rsid w:val="004D3809"/>
    <w:rsid w:val="004D4D1C"/>
    <w:rsid w:val="004F55FE"/>
    <w:rsid w:val="00500E80"/>
    <w:rsid w:val="00504FDB"/>
    <w:rsid w:val="0051179F"/>
    <w:rsid w:val="00511C34"/>
    <w:rsid w:val="00513615"/>
    <w:rsid w:val="005166B2"/>
    <w:rsid w:val="00522110"/>
    <w:rsid w:val="0053452C"/>
    <w:rsid w:val="00535EC5"/>
    <w:rsid w:val="0056274D"/>
    <w:rsid w:val="00577065"/>
    <w:rsid w:val="0058004D"/>
    <w:rsid w:val="0058718F"/>
    <w:rsid w:val="00590051"/>
    <w:rsid w:val="00593CA3"/>
    <w:rsid w:val="00594B2D"/>
    <w:rsid w:val="005A2514"/>
    <w:rsid w:val="005B146F"/>
    <w:rsid w:val="005C661C"/>
    <w:rsid w:val="005E6BE4"/>
    <w:rsid w:val="005F171D"/>
    <w:rsid w:val="005F43AF"/>
    <w:rsid w:val="00602261"/>
    <w:rsid w:val="006176C9"/>
    <w:rsid w:val="00626DDF"/>
    <w:rsid w:val="00631477"/>
    <w:rsid w:val="00641282"/>
    <w:rsid w:val="006474B3"/>
    <w:rsid w:val="00652DF8"/>
    <w:rsid w:val="006A016D"/>
    <w:rsid w:val="006A3AE9"/>
    <w:rsid w:val="006A40E5"/>
    <w:rsid w:val="006B0CD6"/>
    <w:rsid w:val="006C2E37"/>
    <w:rsid w:val="006D055E"/>
    <w:rsid w:val="006D134A"/>
    <w:rsid w:val="006D4700"/>
    <w:rsid w:val="006D7679"/>
    <w:rsid w:val="006E20D6"/>
    <w:rsid w:val="006E2C39"/>
    <w:rsid w:val="006F57FF"/>
    <w:rsid w:val="0071351F"/>
    <w:rsid w:val="00714340"/>
    <w:rsid w:val="007333C2"/>
    <w:rsid w:val="00737714"/>
    <w:rsid w:val="00742E4B"/>
    <w:rsid w:val="007455F0"/>
    <w:rsid w:val="00751F6A"/>
    <w:rsid w:val="007554ED"/>
    <w:rsid w:val="00755E40"/>
    <w:rsid w:val="00756FF6"/>
    <w:rsid w:val="0076127E"/>
    <w:rsid w:val="00765ABF"/>
    <w:rsid w:val="00765AC5"/>
    <w:rsid w:val="00774184"/>
    <w:rsid w:val="0078116B"/>
    <w:rsid w:val="00783311"/>
    <w:rsid w:val="007A6BC3"/>
    <w:rsid w:val="007B0921"/>
    <w:rsid w:val="007B1CA1"/>
    <w:rsid w:val="007C3A1B"/>
    <w:rsid w:val="007C6547"/>
    <w:rsid w:val="007E7114"/>
    <w:rsid w:val="007F1D3D"/>
    <w:rsid w:val="00812637"/>
    <w:rsid w:val="00813227"/>
    <w:rsid w:val="00820794"/>
    <w:rsid w:val="00831497"/>
    <w:rsid w:val="00842653"/>
    <w:rsid w:val="008459E8"/>
    <w:rsid w:val="00851041"/>
    <w:rsid w:val="0086207D"/>
    <w:rsid w:val="00864ADE"/>
    <w:rsid w:val="008664C0"/>
    <w:rsid w:val="00871A12"/>
    <w:rsid w:val="00881956"/>
    <w:rsid w:val="00881BBE"/>
    <w:rsid w:val="008938A2"/>
    <w:rsid w:val="00894E2F"/>
    <w:rsid w:val="008A6182"/>
    <w:rsid w:val="008B1D94"/>
    <w:rsid w:val="008B643A"/>
    <w:rsid w:val="008C45AA"/>
    <w:rsid w:val="008C60B1"/>
    <w:rsid w:val="008C6BD0"/>
    <w:rsid w:val="008D2EBD"/>
    <w:rsid w:val="008E029E"/>
    <w:rsid w:val="008F0A81"/>
    <w:rsid w:val="008F5963"/>
    <w:rsid w:val="00905060"/>
    <w:rsid w:val="00923261"/>
    <w:rsid w:val="009256B7"/>
    <w:rsid w:val="009568DD"/>
    <w:rsid w:val="00970C7A"/>
    <w:rsid w:val="009721DB"/>
    <w:rsid w:val="00972305"/>
    <w:rsid w:val="009775EF"/>
    <w:rsid w:val="009919A6"/>
    <w:rsid w:val="009B6535"/>
    <w:rsid w:val="009C2479"/>
    <w:rsid w:val="009D019E"/>
    <w:rsid w:val="009D06F8"/>
    <w:rsid w:val="009D73F1"/>
    <w:rsid w:val="009E54A7"/>
    <w:rsid w:val="00A00591"/>
    <w:rsid w:val="00A05041"/>
    <w:rsid w:val="00A13F82"/>
    <w:rsid w:val="00A16664"/>
    <w:rsid w:val="00A41ED3"/>
    <w:rsid w:val="00A47FA2"/>
    <w:rsid w:val="00A55F4F"/>
    <w:rsid w:val="00A62B55"/>
    <w:rsid w:val="00A65D20"/>
    <w:rsid w:val="00A748BA"/>
    <w:rsid w:val="00A83862"/>
    <w:rsid w:val="00A8486C"/>
    <w:rsid w:val="00A96702"/>
    <w:rsid w:val="00A97EB2"/>
    <w:rsid w:val="00AA14A9"/>
    <w:rsid w:val="00AB780A"/>
    <w:rsid w:val="00AC0D02"/>
    <w:rsid w:val="00AC4315"/>
    <w:rsid w:val="00AD42DA"/>
    <w:rsid w:val="00AE550B"/>
    <w:rsid w:val="00AF61B8"/>
    <w:rsid w:val="00B110AD"/>
    <w:rsid w:val="00B271BA"/>
    <w:rsid w:val="00B3429E"/>
    <w:rsid w:val="00B41BD2"/>
    <w:rsid w:val="00B47AC5"/>
    <w:rsid w:val="00B74237"/>
    <w:rsid w:val="00B74356"/>
    <w:rsid w:val="00B93EC6"/>
    <w:rsid w:val="00BA2BBF"/>
    <w:rsid w:val="00BA3AB4"/>
    <w:rsid w:val="00BA4622"/>
    <w:rsid w:val="00BA754A"/>
    <w:rsid w:val="00BB02CE"/>
    <w:rsid w:val="00BB4C9F"/>
    <w:rsid w:val="00BC0794"/>
    <w:rsid w:val="00BC0D5D"/>
    <w:rsid w:val="00BE2F68"/>
    <w:rsid w:val="00BE38FC"/>
    <w:rsid w:val="00C03C7B"/>
    <w:rsid w:val="00C070AB"/>
    <w:rsid w:val="00C24995"/>
    <w:rsid w:val="00C3493B"/>
    <w:rsid w:val="00C37458"/>
    <w:rsid w:val="00C438DD"/>
    <w:rsid w:val="00C43CD1"/>
    <w:rsid w:val="00C45020"/>
    <w:rsid w:val="00C5022C"/>
    <w:rsid w:val="00C552FD"/>
    <w:rsid w:val="00C63573"/>
    <w:rsid w:val="00C712D0"/>
    <w:rsid w:val="00C9004D"/>
    <w:rsid w:val="00C95D8A"/>
    <w:rsid w:val="00CB0EFD"/>
    <w:rsid w:val="00CB3D0D"/>
    <w:rsid w:val="00CB719A"/>
    <w:rsid w:val="00CC6FCD"/>
    <w:rsid w:val="00CC763A"/>
    <w:rsid w:val="00CD5D1C"/>
    <w:rsid w:val="00CE2F8C"/>
    <w:rsid w:val="00CF75CA"/>
    <w:rsid w:val="00CF7B67"/>
    <w:rsid w:val="00D00FD5"/>
    <w:rsid w:val="00D10B76"/>
    <w:rsid w:val="00D204EF"/>
    <w:rsid w:val="00D42F7A"/>
    <w:rsid w:val="00D52086"/>
    <w:rsid w:val="00D54F5C"/>
    <w:rsid w:val="00D67336"/>
    <w:rsid w:val="00D718ED"/>
    <w:rsid w:val="00D74038"/>
    <w:rsid w:val="00D82397"/>
    <w:rsid w:val="00D932A0"/>
    <w:rsid w:val="00D942EB"/>
    <w:rsid w:val="00D96A64"/>
    <w:rsid w:val="00DA2A7B"/>
    <w:rsid w:val="00DC7E1B"/>
    <w:rsid w:val="00DD1DDC"/>
    <w:rsid w:val="00DD7E7A"/>
    <w:rsid w:val="00DE7E88"/>
    <w:rsid w:val="00DF0C81"/>
    <w:rsid w:val="00DF39E3"/>
    <w:rsid w:val="00E0271E"/>
    <w:rsid w:val="00E06C2F"/>
    <w:rsid w:val="00E24399"/>
    <w:rsid w:val="00E269B5"/>
    <w:rsid w:val="00E274C6"/>
    <w:rsid w:val="00E41399"/>
    <w:rsid w:val="00E63279"/>
    <w:rsid w:val="00E66F88"/>
    <w:rsid w:val="00E74BD5"/>
    <w:rsid w:val="00E7592A"/>
    <w:rsid w:val="00E839DA"/>
    <w:rsid w:val="00E90B4F"/>
    <w:rsid w:val="00E915E3"/>
    <w:rsid w:val="00E94DA2"/>
    <w:rsid w:val="00E97B4B"/>
    <w:rsid w:val="00EB4197"/>
    <w:rsid w:val="00EB4756"/>
    <w:rsid w:val="00EC4AFD"/>
    <w:rsid w:val="00ED06E4"/>
    <w:rsid w:val="00ED4624"/>
    <w:rsid w:val="00EE2509"/>
    <w:rsid w:val="00EE3D03"/>
    <w:rsid w:val="00EE4E18"/>
    <w:rsid w:val="00EE740D"/>
    <w:rsid w:val="00EF3430"/>
    <w:rsid w:val="00EF6488"/>
    <w:rsid w:val="00F14BDB"/>
    <w:rsid w:val="00F2677A"/>
    <w:rsid w:val="00F27D29"/>
    <w:rsid w:val="00F35F11"/>
    <w:rsid w:val="00F424C9"/>
    <w:rsid w:val="00F6246F"/>
    <w:rsid w:val="00F66B41"/>
    <w:rsid w:val="00F90279"/>
    <w:rsid w:val="00F970FB"/>
    <w:rsid w:val="00FA7F1D"/>
    <w:rsid w:val="00FB39CB"/>
    <w:rsid w:val="00FC2254"/>
    <w:rsid w:val="00FC64EE"/>
    <w:rsid w:val="00FE4146"/>
    <w:rsid w:val="00FF61E8"/>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8913">
      <o:colormru v:ext="edit" colors="#ddd,silver,#eaeaea"/>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header" w:uiPriority="99"/>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atentStyles>
  <w:style w:type="paragraph" w:default="1" w:styleId="Normal">
    <w:name w:val="Normal"/>
    <w:qFormat/>
    <w:rsid w:val="00B3429E"/>
    <w:pPr>
      <w:spacing w:line="200" w:lineRule="exact"/>
    </w:pPr>
    <w:rPr>
      <w:lang w:eastAsia="en-US"/>
    </w:rPr>
  </w:style>
  <w:style w:type="paragraph" w:styleId="Heading1">
    <w:name w:val="heading 1"/>
    <w:basedOn w:val="Normal"/>
    <w:next w:val="Normal"/>
    <w:qFormat/>
    <w:pPr>
      <w:keepNext/>
      <w:spacing w:after="200" w:line="280" w:lineRule="exact"/>
      <w:jc w:val="center"/>
      <w:outlineLvl w:val="0"/>
    </w:pPr>
    <w:rPr>
      <w:rFonts w:cs="Arial"/>
      <w:b/>
      <w:bCs/>
      <w:caps/>
      <w:sz w:val="28"/>
      <w:szCs w:val="32"/>
    </w:rPr>
  </w:style>
  <w:style w:type="paragraph" w:styleId="Heading2">
    <w:name w:val="heading 2"/>
    <w:basedOn w:val="Heading1"/>
    <w:next w:val="Normal"/>
    <w:qFormat/>
    <w:pPr>
      <w:jc w:val="left"/>
      <w:outlineLvl w:val="1"/>
    </w:pPr>
    <w:rPr>
      <w:bCs w:val="0"/>
      <w:iCs/>
      <w:caps w:val="0"/>
      <w:szCs w:val="28"/>
    </w:rPr>
  </w:style>
  <w:style w:type="paragraph" w:styleId="Heading3">
    <w:name w:val="heading 3"/>
    <w:basedOn w:val="Heading2"/>
    <w:next w:val="Normal"/>
    <w:qFormat/>
    <w:pPr>
      <w:spacing w:line="240" w:lineRule="exact"/>
      <w:outlineLvl w:val="2"/>
    </w:pPr>
    <w:rPr>
      <w:bCs/>
      <w:sz w:val="24"/>
      <w:szCs w:val="26"/>
    </w:rPr>
  </w:style>
  <w:style w:type="paragraph" w:styleId="Heading4">
    <w:name w:val="heading 4"/>
    <w:basedOn w:val="Heading3"/>
    <w:next w:val="Normal"/>
    <w:qFormat/>
    <w:pPr>
      <w:spacing w:line="200" w:lineRule="exact"/>
      <w:outlineLvl w:val="3"/>
    </w:pPr>
    <w:rPr>
      <w:bCs w:val="0"/>
      <w:sz w:val="20"/>
      <w:szCs w:val="28"/>
    </w:rPr>
  </w:style>
  <w:style w:type="paragraph" w:styleId="Heading5">
    <w:name w:val="heading 5"/>
    <w:basedOn w:val="Heading4"/>
    <w:next w:val="Normal"/>
    <w:qFormat/>
    <w:pPr>
      <w:outlineLvl w:val="4"/>
    </w:pPr>
    <w:rPr>
      <w:bCs/>
      <w:i/>
      <w:iCs w:val="0"/>
      <w:szCs w:val="26"/>
    </w:rPr>
  </w:style>
  <w:style w:type="paragraph" w:styleId="Heading6">
    <w:name w:val="heading 6"/>
    <w:basedOn w:val="Heading5"/>
    <w:next w:val="Normal"/>
    <w:qFormat/>
    <w:pPr>
      <w:outlineLvl w:val="5"/>
    </w:pPr>
    <w:rPr>
      <w:b w:val="0"/>
      <w:bCs w:val="0"/>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semiHidden/>
    <w:pPr>
      <w:spacing w:line="160" w:lineRule="exact"/>
      <w:ind w:left="340" w:hanging="340"/>
    </w:pPr>
    <w:rPr>
      <w:sz w:val="16"/>
    </w:rPr>
  </w:style>
  <w:style w:type="paragraph" w:customStyle="1" w:styleId="Heading1Italic">
    <w:name w:val="Heading 1 Italic"/>
    <w:basedOn w:val="Heading1"/>
    <w:next w:val="Normal"/>
    <w:rPr>
      <w:i/>
    </w:rPr>
  </w:style>
  <w:style w:type="paragraph" w:customStyle="1" w:styleId="Heading2Indent1">
    <w:name w:val="Heading 2 Indent1"/>
    <w:basedOn w:val="Heading2"/>
    <w:next w:val="Normal"/>
    <w:pPr>
      <w:ind w:left="510"/>
    </w:pPr>
  </w:style>
  <w:style w:type="paragraph" w:customStyle="1" w:styleId="Heading3Indent1">
    <w:name w:val="Heading 3 Indent1"/>
    <w:basedOn w:val="Heading3"/>
    <w:next w:val="Normal"/>
    <w:pPr>
      <w:ind w:left="510"/>
    </w:pPr>
  </w:style>
  <w:style w:type="paragraph" w:customStyle="1" w:styleId="Heading4Indent1">
    <w:name w:val="Heading 4 Indent1"/>
    <w:basedOn w:val="Heading4"/>
    <w:next w:val="Normal"/>
    <w:pPr>
      <w:ind w:left="510"/>
    </w:pPr>
  </w:style>
  <w:style w:type="paragraph" w:customStyle="1" w:styleId="Heading5Indent1">
    <w:name w:val="Heading 5 Indent1"/>
    <w:basedOn w:val="Heading5"/>
    <w:next w:val="Normal"/>
    <w:pPr>
      <w:ind w:left="510"/>
    </w:pPr>
  </w:style>
  <w:style w:type="paragraph" w:customStyle="1" w:styleId="Heading6Indent1">
    <w:name w:val="Heading 6 Indent1"/>
    <w:basedOn w:val="Heading6"/>
    <w:next w:val="Normal"/>
    <w:pPr>
      <w:ind w:left="510"/>
    </w:pPr>
  </w:style>
  <w:style w:type="paragraph" w:styleId="Header">
    <w:name w:val="header"/>
    <w:basedOn w:val="Normal"/>
    <w:link w:val="HeaderChar"/>
    <w:uiPriority w:val="99"/>
    <w:pPr>
      <w:tabs>
        <w:tab w:val="center" w:pos="3119"/>
        <w:tab w:val="right" w:pos="6237"/>
      </w:tabs>
    </w:pPr>
  </w:style>
  <w:style w:type="paragraph" w:styleId="Footer">
    <w:name w:val="footer"/>
    <w:basedOn w:val="Normal"/>
    <w:link w:val="FooterChar"/>
    <w:pPr>
      <w:tabs>
        <w:tab w:val="center" w:pos="3119"/>
        <w:tab w:val="right" w:pos="6237"/>
      </w:tabs>
    </w:pPr>
  </w:style>
  <w:style w:type="paragraph" w:customStyle="1" w:styleId="CoverStandard">
    <w:name w:val="Cover Standard"/>
    <w:basedOn w:val="Normal"/>
    <w:next w:val="Normal"/>
    <w:pPr>
      <w:spacing w:line="280" w:lineRule="exact"/>
    </w:pPr>
    <w:rPr>
      <w:b/>
      <w:sz w:val="28"/>
    </w:rPr>
  </w:style>
  <w:style w:type="paragraph" w:customStyle="1" w:styleId="CoverNumber">
    <w:name w:val="Cover Number"/>
    <w:basedOn w:val="Normal"/>
    <w:next w:val="Normal"/>
    <w:pPr>
      <w:spacing w:line="320" w:lineRule="exact"/>
      <w:jc w:val="right"/>
    </w:pPr>
    <w:rPr>
      <w:b/>
      <w:caps/>
      <w:sz w:val="32"/>
    </w:rPr>
  </w:style>
  <w:style w:type="paragraph" w:customStyle="1" w:styleId="CoverRelease">
    <w:name w:val="Cover Release"/>
    <w:basedOn w:val="Normal"/>
    <w:next w:val="Normal"/>
    <w:pPr>
      <w:spacing w:line="240" w:lineRule="exact"/>
    </w:pPr>
    <w:rPr>
      <w:sz w:val="24"/>
    </w:rPr>
  </w:style>
  <w:style w:type="paragraph" w:customStyle="1" w:styleId="CoverDate">
    <w:name w:val="Cover Date"/>
    <w:basedOn w:val="Normal"/>
    <w:next w:val="Normal"/>
    <w:pPr>
      <w:spacing w:line="240" w:lineRule="exact"/>
      <w:jc w:val="right"/>
    </w:pPr>
    <w:rPr>
      <w:sz w:val="24"/>
    </w:rPr>
  </w:style>
  <w:style w:type="paragraph" w:customStyle="1" w:styleId="CoverTitle">
    <w:name w:val="Cover Title"/>
    <w:basedOn w:val="Normal"/>
    <w:rsid w:val="00500E80"/>
    <w:pPr>
      <w:spacing w:before="800" w:after="500" w:line="500" w:lineRule="exact"/>
    </w:pPr>
    <w:rPr>
      <w:b/>
      <w:sz w:val="50"/>
    </w:rPr>
  </w:style>
  <w:style w:type="paragraph" w:customStyle="1" w:styleId="CoverBox">
    <w:name w:val="Cover Box"/>
    <w:basedOn w:val="Normal"/>
    <w:pPr>
      <w:pBdr>
        <w:top w:val="double" w:sz="4" w:space="1" w:color="auto"/>
        <w:left w:val="double" w:sz="4" w:space="4" w:color="auto"/>
        <w:bottom w:val="double" w:sz="4" w:space="1" w:color="auto"/>
        <w:right w:val="double" w:sz="4" w:space="4" w:color="auto"/>
      </w:pBdr>
    </w:pPr>
  </w:style>
  <w:style w:type="paragraph" w:customStyle="1" w:styleId="CoverContact">
    <w:name w:val="Cover Contact"/>
    <w:basedOn w:val="Normal"/>
    <w:next w:val="Normal"/>
    <w:pPr>
      <w:tabs>
        <w:tab w:val="left" w:pos="907"/>
      </w:tabs>
    </w:pPr>
  </w:style>
  <w:style w:type="paragraph" w:customStyle="1" w:styleId="CoverLeadPara">
    <w:name w:val="Cover LeadPara"/>
    <w:basedOn w:val="Normal"/>
    <w:next w:val="Normal"/>
    <w:pPr>
      <w:spacing w:after="100"/>
    </w:pPr>
  </w:style>
  <w:style w:type="paragraph" w:customStyle="1" w:styleId="ContentsCapsPlainPg">
    <w:name w:val="Contents CapsPlainPg"/>
    <w:basedOn w:val="Normal"/>
    <w:next w:val="ContentsLevel1"/>
    <w:pPr>
      <w:tabs>
        <w:tab w:val="right" w:pos="6237"/>
      </w:tabs>
      <w:spacing w:after="200"/>
      <w:ind w:left="170" w:right="1134" w:hanging="170"/>
    </w:pPr>
    <w:rPr>
      <w:caps/>
    </w:rPr>
  </w:style>
  <w:style w:type="paragraph" w:customStyle="1" w:styleId="ContentsLevel1">
    <w:name w:val="Contents Level1"/>
    <w:basedOn w:val="Normal"/>
    <w:pPr>
      <w:tabs>
        <w:tab w:val="right" w:pos="6237"/>
      </w:tabs>
      <w:spacing w:after="60"/>
      <w:ind w:left="170" w:right="1134" w:hanging="170"/>
    </w:pPr>
  </w:style>
  <w:style w:type="paragraph" w:customStyle="1" w:styleId="ContentsCapsBoldPg">
    <w:name w:val="Contents CapsBoldPg"/>
    <w:basedOn w:val="ContentsCapsPlainPg"/>
    <w:next w:val="ContentsLevel1"/>
    <w:rPr>
      <w:b/>
    </w:rPr>
  </w:style>
  <w:style w:type="paragraph" w:customStyle="1" w:styleId="ContentsLevel2">
    <w:name w:val="Contents Level2"/>
    <w:basedOn w:val="ContentsLevel1"/>
    <w:pPr>
      <w:ind w:left="510"/>
    </w:pPr>
  </w:style>
  <w:style w:type="paragraph" w:customStyle="1" w:styleId="ContentsLevel3">
    <w:name w:val="Contents Level3"/>
    <w:basedOn w:val="ContentsLevel2"/>
    <w:pPr>
      <w:ind w:left="850"/>
    </w:pPr>
  </w:style>
  <w:style w:type="paragraph" w:customStyle="1" w:styleId="ContentsLevel4">
    <w:name w:val="Contents Level4"/>
    <w:basedOn w:val="ContentsLevel3"/>
    <w:pPr>
      <w:ind w:left="1191"/>
    </w:pPr>
  </w:style>
  <w:style w:type="paragraph" w:customStyle="1" w:styleId="ContentsBox">
    <w:name w:val="Contents Box"/>
    <w:basedOn w:val="Normal"/>
    <w:pPr>
      <w:pBdr>
        <w:top w:val="single" w:sz="4" w:space="1" w:color="auto"/>
        <w:left w:val="single" w:sz="4" w:space="4" w:color="auto"/>
        <w:bottom w:val="single" w:sz="4" w:space="1" w:color="auto"/>
        <w:right w:val="single" w:sz="4" w:space="4" w:color="auto"/>
      </w:pBdr>
      <w:spacing w:after="100"/>
    </w:pPr>
  </w:style>
  <w:style w:type="paragraph" w:styleId="TOC1">
    <w:name w:val="toc 1"/>
    <w:basedOn w:val="Normal"/>
    <w:next w:val="Normal"/>
    <w:autoRedefine/>
    <w:semiHidden/>
    <w:rsid w:val="00AC4315"/>
  </w:style>
  <w:style w:type="character" w:styleId="Hyperlink">
    <w:name w:val="Hyperlink"/>
    <w:basedOn w:val="DefaultParagraphFont"/>
    <w:rsid w:val="00737714"/>
    <w:rPr>
      <w:color w:val="0000FF"/>
      <w:u w:val="single"/>
    </w:rPr>
  </w:style>
  <w:style w:type="paragraph" w:customStyle="1" w:styleId="NumPlainA">
    <w:name w:val="Num PlainA"/>
    <w:basedOn w:val="Normal"/>
    <w:qFormat/>
    <w:rsid w:val="003B0CAA"/>
    <w:pPr>
      <w:numPr>
        <w:numId w:val="7"/>
      </w:numPr>
      <w:spacing w:after="200"/>
    </w:pPr>
  </w:style>
  <w:style w:type="paragraph" w:customStyle="1" w:styleId="NoNumPlain1">
    <w:name w:val="NoNum Plain1"/>
    <w:basedOn w:val="Normal"/>
    <w:uiPriority w:val="2"/>
    <w:qFormat/>
    <w:pPr>
      <w:spacing w:after="200"/>
    </w:pPr>
  </w:style>
  <w:style w:type="paragraph" w:customStyle="1" w:styleId="NoNumPlain2">
    <w:name w:val="NoNum Plain2"/>
    <w:basedOn w:val="NoNumPlain1"/>
    <w:pPr>
      <w:ind w:left="510"/>
    </w:pPr>
  </w:style>
  <w:style w:type="paragraph" w:customStyle="1" w:styleId="NoNumPlain3">
    <w:name w:val="NoNum Plain3"/>
    <w:basedOn w:val="NoNumPlain2"/>
    <w:pPr>
      <w:ind w:left="1021"/>
    </w:pPr>
  </w:style>
  <w:style w:type="paragraph" w:customStyle="1" w:styleId="NoNumPlain4">
    <w:name w:val="NoNum Plain4"/>
    <w:basedOn w:val="NoNumPlain3"/>
    <w:pPr>
      <w:ind w:left="1531"/>
    </w:pPr>
  </w:style>
  <w:style w:type="paragraph" w:customStyle="1" w:styleId="NoNumBold1">
    <w:name w:val="NoNum Bold1"/>
    <w:basedOn w:val="Normal"/>
    <w:qFormat/>
    <w:pPr>
      <w:spacing w:after="200"/>
    </w:pPr>
    <w:rPr>
      <w:b/>
    </w:rPr>
  </w:style>
  <w:style w:type="paragraph" w:customStyle="1" w:styleId="NoNumBold2">
    <w:name w:val="NoNum Bold2"/>
    <w:basedOn w:val="NoNumBold1"/>
    <w:pPr>
      <w:ind w:left="510"/>
    </w:pPr>
  </w:style>
  <w:style w:type="paragraph" w:customStyle="1" w:styleId="NoNumBold3">
    <w:name w:val="NoNum Bold3"/>
    <w:basedOn w:val="NoNumBold2"/>
    <w:pPr>
      <w:ind w:left="1021"/>
    </w:pPr>
  </w:style>
  <w:style w:type="paragraph" w:customStyle="1" w:styleId="NoNumBold4">
    <w:name w:val="NoNum Bold4"/>
    <w:basedOn w:val="NoNumBold3"/>
    <w:pPr>
      <w:ind w:left="1531"/>
    </w:pPr>
  </w:style>
  <w:style w:type="paragraph" w:customStyle="1" w:styleId="NumPlain1">
    <w:name w:val="Num Plain1"/>
    <w:basedOn w:val="Normal"/>
    <w:link w:val="NumPlain1Char"/>
    <w:qFormat/>
    <w:rsid w:val="00426876"/>
    <w:pPr>
      <w:numPr>
        <w:numId w:val="1"/>
      </w:numPr>
      <w:spacing w:after="200"/>
    </w:pPr>
  </w:style>
  <w:style w:type="paragraph" w:customStyle="1" w:styleId="NumPlain2">
    <w:name w:val="Num Plain2"/>
    <w:basedOn w:val="NumPlain1"/>
    <w:rsid w:val="00426876"/>
    <w:pPr>
      <w:numPr>
        <w:ilvl w:val="1"/>
      </w:numPr>
    </w:pPr>
  </w:style>
  <w:style w:type="paragraph" w:customStyle="1" w:styleId="NumPlain3">
    <w:name w:val="Num Plain3"/>
    <w:basedOn w:val="NumPlain2"/>
    <w:rsid w:val="00426876"/>
    <w:pPr>
      <w:numPr>
        <w:ilvl w:val="2"/>
      </w:numPr>
    </w:pPr>
  </w:style>
  <w:style w:type="paragraph" w:customStyle="1" w:styleId="NumPlain4">
    <w:name w:val="Num Plain4"/>
    <w:basedOn w:val="NumPlain3"/>
    <w:rsid w:val="00426876"/>
    <w:pPr>
      <w:numPr>
        <w:ilvl w:val="3"/>
      </w:numPr>
    </w:pPr>
  </w:style>
  <w:style w:type="paragraph" w:customStyle="1" w:styleId="Bullet1">
    <w:name w:val="Bullet1"/>
    <w:basedOn w:val="Normal"/>
    <w:qFormat/>
    <w:rsid w:val="00F27D29"/>
    <w:pPr>
      <w:numPr>
        <w:numId w:val="6"/>
      </w:numPr>
      <w:spacing w:after="200"/>
    </w:pPr>
  </w:style>
  <w:style w:type="paragraph" w:customStyle="1" w:styleId="Bullet2">
    <w:name w:val="Bullet2"/>
    <w:basedOn w:val="Normal"/>
    <w:rsid w:val="00F27D29"/>
    <w:pPr>
      <w:numPr>
        <w:ilvl w:val="1"/>
        <w:numId w:val="6"/>
      </w:numPr>
      <w:spacing w:after="200"/>
    </w:pPr>
  </w:style>
  <w:style w:type="paragraph" w:customStyle="1" w:styleId="Bullet3">
    <w:name w:val="Bullet3"/>
    <w:basedOn w:val="Normal"/>
    <w:rsid w:val="00F27D29"/>
    <w:pPr>
      <w:numPr>
        <w:ilvl w:val="2"/>
        <w:numId w:val="6"/>
      </w:numPr>
      <w:spacing w:after="200"/>
    </w:pPr>
  </w:style>
  <w:style w:type="paragraph" w:customStyle="1" w:styleId="CommentsPage">
    <w:name w:val="CommentsPage"/>
    <w:basedOn w:val="Normal"/>
    <w:next w:val="Normal"/>
  </w:style>
  <w:style w:type="paragraph" w:customStyle="1" w:styleId="Bullet4">
    <w:name w:val="Bullet4"/>
    <w:basedOn w:val="Normal"/>
    <w:rsid w:val="00F27D29"/>
    <w:pPr>
      <w:numPr>
        <w:ilvl w:val="3"/>
        <w:numId w:val="6"/>
      </w:numPr>
      <w:spacing w:after="200"/>
    </w:pPr>
  </w:style>
  <w:style w:type="paragraph" w:customStyle="1" w:styleId="ContentsCapsPlain">
    <w:name w:val="Contents CapsPlain"/>
    <w:basedOn w:val="Normal"/>
    <w:next w:val="ContentsLevel1"/>
    <w:pPr>
      <w:spacing w:after="200"/>
    </w:pPr>
    <w:rPr>
      <w:caps/>
    </w:rPr>
  </w:style>
  <w:style w:type="paragraph" w:customStyle="1" w:styleId="ContentsCapsBold">
    <w:name w:val="Contents CapsBold"/>
    <w:basedOn w:val="ContentsCapsPlain"/>
    <w:next w:val="ContentsLevel1"/>
    <w:pPr>
      <w:spacing w:after="0"/>
    </w:pPr>
    <w:rPr>
      <w:b/>
    </w:rPr>
  </w:style>
  <w:style w:type="paragraph" w:customStyle="1" w:styleId="ContentsParaHead">
    <w:name w:val="Contents ParaHead"/>
    <w:basedOn w:val="Normal"/>
    <w:next w:val="Normal"/>
    <w:pPr>
      <w:spacing w:after="60"/>
      <w:jc w:val="right"/>
    </w:pPr>
    <w:rPr>
      <w:i/>
    </w:rPr>
  </w:style>
  <w:style w:type="paragraph" w:styleId="DocumentMap">
    <w:name w:val="Document Map"/>
    <w:basedOn w:val="Normal"/>
    <w:semiHidden/>
    <w:pPr>
      <w:shd w:val="clear" w:color="auto" w:fill="000080"/>
    </w:pPr>
    <w:rPr>
      <w:rFonts w:ascii="Tahoma" w:hAnsi="Tahoma" w:cs="Tahoma"/>
    </w:rPr>
  </w:style>
  <w:style w:type="paragraph" w:customStyle="1" w:styleId="ContentsLevel1NoIndent">
    <w:name w:val="Contents Level1 NoIndent"/>
    <w:basedOn w:val="ContentsLevel1"/>
    <w:pPr>
      <w:ind w:left="0" w:firstLine="0"/>
    </w:pPr>
  </w:style>
  <w:style w:type="paragraph" w:customStyle="1" w:styleId="AppendixNo">
    <w:name w:val="AppendixNo"/>
    <w:basedOn w:val="Normal"/>
    <w:next w:val="Normal"/>
    <w:link w:val="AppendixNoChar"/>
    <w:rsid w:val="0058004D"/>
    <w:pPr>
      <w:keepNext/>
      <w:spacing w:after="200" w:line="280" w:lineRule="exact"/>
      <w:jc w:val="center"/>
      <w:outlineLvl w:val="0"/>
    </w:pPr>
    <w:rPr>
      <w:b/>
      <w:caps/>
      <w:sz w:val="28"/>
      <w:szCs w:val="28"/>
    </w:rPr>
  </w:style>
  <w:style w:type="paragraph" w:customStyle="1" w:styleId="BCHanging0">
    <w:name w:val="BC Hanging0"/>
    <w:basedOn w:val="NoNumPlain1"/>
    <w:qFormat/>
    <w:rsid w:val="0058004D"/>
    <w:pPr>
      <w:ind w:left="624" w:hanging="624"/>
    </w:pPr>
  </w:style>
  <w:style w:type="paragraph" w:customStyle="1" w:styleId="AppendixNote">
    <w:name w:val="AppendixNote"/>
    <w:basedOn w:val="Normal"/>
    <w:next w:val="Normal"/>
    <w:rsid w:val="002A201D"/>
    <w:pPr>
      <w:spacing w:after="200"/>
    </w:pPr>
    <w:rPr>
      <w:i/>
      <w:iCs/>
    </w:rPr>
  </w:style>
  <w:style w:type="paragraph" w:customStyle="1" w:styleId="AppendixText">
    <w:name w:val="AppendixText"/>
    <w:basedOn w:val="Normal"/>
    <w:rsid w:val="002A201D"/>
    <w:pPr>
      <w:spacing w:after="200"/>
    </w:pPr>
  </w:style>
  <w:style w:type="paragraph" w:customStyle="1" w:styleId="AppendixTitle">
    <w:name w:val="AppendixTitle"/>
    <w:basedOn w:val="Normal"/>
    <w:next w:val="AppendixNote"/>
    <w:rsid w:val="002A201D"/>
    <w:pPr>
      <w:keepNext/>
      <w:spacing w:after="200" w:line="280" w:lineRule="exact"/>
      <w:jc w:val="center"/>
      <w:outlineLvl w:val="0"/>
    </w:pPr>
    <w:rPr>
      <w:b/>
      <w:caps/>
      <w:sz w:val="28"/>
      <w:szCs w:val="28"/>
    </w:rPr>
  </w:style>
  <w:style w:type="paragraph" w:customStyle="1" w:styleId="NoNumBC2">
    <w:name w:val="NoNum BC2"/>
    <w:basedOn w:val="NoNumPlain1"/>
    <w:rsid w:val="0058004D"/>
    <w:pPr>
      <w:ind w:left="624"/>
    </w:pPr>
  </w:style>
  <w:style w:type="paragraph" w:customStyle="1" w:styleId="BCHanging1">
    <w:name w:val="BC Hanging1"/>
    <w:basedOn w:val="NoNumBC2"/>
    <w:rsid w:val="0058004D"/>
    <w:pPr>
      <w:ind w:left="1248" w:hanging="624"/>
    </w:pPr>
  </w:style>
  <w:style w:type="paragraph" w:customStyle="1" w:styleId="BCHanging2">
    <w:name w:val="BC Hanging2"/>
    <w:basedOn w:val="BCHanging1"/>
    <w:rsid w:val="0058004D"/>
    <w:pPr>
      <w:ind w:left="1871"/>
    </w:pPr>
  </w:style>
  <w:style w:type="paragraph" w:customStyle="1" w:styleId="BCHanging3">
    <w:name w:val="BC Hanging3"/>
    <w:basedOn w:val="BCHanging1"/>
    <w:rsid w:val="0058004D"/>
    <w:pPr>
      <w:ind w:left="2495"/>
    </w:pPr>
  </w:style>
  <w:style w:type="paragraph" w:customStyle="1" w:styleId="CoverSubtitle">
    <w:name w:val="Cover Subtitle"/>
    <w:basedOn w:val="CoverTitle"/>
    <w:rsid w:val="00500E80"/>
    <w:pPr>
      <w:spacing w:before="0" w:after="0"/>
    </w:pPr>
    <w:rPr>
      <w:sz w:val="40"/>
      <w:szCs w:val="40"/>
    </w:rPr>
  </w:style>
  <w:style w:type="paragraph" w:customStyle="1" w:styleId="NumberedList">
    <w:name w:val="NumberedList"/>
    <w:basedOn w:val="Normal"/>
    <w:qFormat/>
    <w:rsid w:val="00401ECA"/>
    <w:pPr>
      <w:numPr>
        <w:numId w:val="3"/>
      </w:numPr>
      <w:spacing w:after="200"/>
    </w:pPr>
  </w:style>
  <w:style w:type="paragraph" w:customStyle="1" w:styleId="NumBold1">
    <w:name w:val="Num Bold1"/>
    <w:basedOn w:val="NumPlain1"/>
    <w:qFormat/>
    <w:rsid w:val="00027E8B"/>
    <w:rPr>
      <w:b/>
    </w:rPr>
  </w:style>
  <w:style w:type="paragraph" w:customStyle="1" w:styleId="NumBold2">
    <w:name w:val="Num Bold2"/>
    <w:basedOn w:val="NumPlain2"/>
    <w:rsid w:val="00027E8B"/>
    <w:rPr>
      <w:b/>
    </w:rPr>
  </w:style>
  <w:style w:type="paragraph" w:customStyle="1" w:styleId="NumBold3">
    <w:name w:val="Num Bold3"/>
    <w:basedOn w:val="NumPlain3"/>
    <w:rsid w:val="00027E8B"/>
    <w:rPr>
      <w:b/>
    </w:rPr>
  </w:style>
  <w:style w:type="paragraph" w:customStyle="1" w:styleId="NumBold4">
    <w:name w:val="Num Bold4"/>
    <w:basedOn w:val="NumPlain4"/>
    <w:rsid w:val="00027E8B"/>
    <w:rPr>
      <w:b/>
    </w:rPr>
  </w:style>
  <w:style w:type="paragraph" w:customStyle="1" w:styleId="PlainHanging1">
    <w:name w:val="Plain Hanging1"/>
    <w:basedOn w:val="NoNumPlain2"/>
    <w:rsid w:val="0039009E"/>
    <w:pPr>
      <w:ind w:left="1020" w:hanging="510"/>
    </w:pPr>
  </w:style>
  <w:style w:type="paragraph" w:customStyle="1" w:styleId="PlainHanging2">
    <w:name w:val="Plain Hanging2"/>
    <w:basedOn w:val="PlainHanging1"/>
    <w:rsid w:val="0039009E"/>
    <w:pPr>
      <w:ind w:left="1531"/>
    </w:pPr>
  </w:style>
  <w:style w:type="paragraph" w:customStyle="1" w:styleId="PlainHanging3">
    <w:name w:val="Plain Hanging3"/>
    <w:basedOn w:val="PlainHanging1"/>
    <w:rsid w:val="0039009E"/>
    <w:pPr>
      <w:ind w:left="2041"/>
    </w:pPr>
  </w:style>
  <w:style w:type="paragraph" w:customStyle="1" w:styleId="PlainHanging4">
    <w:name w:val="Plain Hanging4"/>
    <w:basedOn w:val="PlainHanging1"/>
    <w:rsid w:val="0039009E"/>
    <w:pPr>
      <w:ind w:left="2551"/>
    </w:pPr>
  </w:style>
  <w:style w:type="paragraph" w:customStyle="1" w:styleId="BoldHanging1">
    <w:name w:val="Bold Hanging1"/>
    <w:basedOn w:val="PlainHanging1"/>
    <w:rsid w:val="0039009E"/>
    <w:rPr>
      <w:b/>
    </w:rPr>
  </w:style>
  <w:style w:type="paragraph" w:customStyle="1" w:styleId="BoldHanging2">
    <w:name w:val="Bold Hanging2"/>
    <w:basedOn w:val="PlainHanging2"/>
    <w:rsid w:val="0039009E"/>
    <w:rPr>
      <w:b/>
    </w:rPr>
  </w:style>
  <w:style w:type="paragraph" w:customStyle="1" w:styleId="BoldHanging3">
    <w:name w:val="Bold Hanging3"/>
    <w:basedOn w:val="PlainHanging3"/>
    <w:rsid w:val="0039009E"/>
    <w:rPr>
      <w:b/>
    </w:rPr>
  </w:style>
  <w:style w:type="paragraph" w:customStyle="1" w:styleId="BoldHanging4">
    <w:name w:val="Bold Hanging4"/>
    <w:basedOn w:val="PlainHanging4"/>
    <w:rsid w:val="0039009E"/>
    <w:rPr>
      <w:b/>
    </w:rPr>
  </w:style>
  <w:style w:type="paragraph" w:customStyle="1" w:styleId="PlainHanging0">
    <w:name w:val="Plain Hanging0"/>
    <w:basedOn w:val="PlainHanging1"/>
    <w:qFormat/>
    <w:rsid w:val="003A488F"/>
    <w:pPr>
      <w:ind w:left="510"/>
    </w:pPr>
  </w:style>
  <w:style w:type="paragraph" w:customStyle="1" w:styleId="BoldHanging0">
    <w:name w:val="Bold Hanging0"/>
    <w:basedOn w:val="PlainHanging0"/>
    <w:qFormat/>
    <w:rsid w:val="003A488F"/>
    <w:rPr>
      <w:b/>
    </w:rPr>
  </w:style>
  <w:style w:type="paragraph" w:customStyle="1" w:styleId="BCHanging4">
    <w:name w:val="BC Hanging4"/>
    <w:basedOn w:val="BCHanging1"/>
    <w:rsid w:val="0058004D"/>
    <w:pPr>
      <w:ind w:left="3119"/>
    </w:pPr>
  </w:style>
  <w:style w:type="paragraph" w:customStyle="1" w:styleId="NoNumBC3">
    <w:name w:val="NoNum BC3"/>
    <w:basedOn w:val="NoNumBC2"/>
    <w:rsid w:val="0058004D"/>
    <w:pPr>
      <w:ind w:left="1247"/>
    </w:pPr>
  </w:style>
  <w:style w:type="paragraph" w:customStyle="1" w:styleId="NoNumBC4">
    <w:name w:val="NoNum BC4"/>
    <w:basedOn w:val="NoNumBC3"/>
    <w:rsid w:val="0058004D"/>
    <w:pPr>
      <w:ind w:left="1871"/>
    </w:pPr>
  </w:style>
  <w:style w:type="paragraph" w:customStyle="1" w:styleId="NumBC1">
    <w:name w:val="Num BC1"/>
    <w:basedOn w:val="Normal"/>
    <w:qFormat/>
    <w:rsid w:val="00426876"/>
    <w:pPr>
      <w:numPr>
        <w:numId w:val="4"/>
      </w:numPr>
      <w:spacing w:after="200"/>
    </w:pPr>
  </w:style>
  <w:style w:type="paragraph" w:customStyle="1" w:styleId="NumBC2">
    <w:name w:val="Num BC2"/>
    <w:basedOn w:val="NumBC1"/>
    <w:rsid w:val="00426876"/>
    <w:pPr>
      <w:numPr>
        <w:ilvl w:val="1"/>
      </w:numPr>
    </w:pPr>
  </w:style>
  <w:style w:type="paragraph" w:customStyle="1" w:styleId="NumBC3">
    <w:name w:val="Num BC3"/>
    <w:basedOn w:val="NumBC2"/>
    <w:rsid w:val="00426876"/>
    <w:pPr>
      <w:numPr>
        <w:ilvl w:val="2"/>
      </w:numPr>
    </w:pPr>
  </w:style>
  <w:style w:type="paragraph" w:customStyle="1" w:styleId="NumBC4">
    <w:name w:val="Num BC4"/>
    <w:basedOn w:val="NumBC3"/>
    <w:rsid w:val="00426876"/>
    <w:pPr>
      <w:numPr>
        <w:ilvl w:val="3"/>
      </w:numPr>
    </w:pPr>
  </w:style>
  <w:style w:type="numbering" w:customStyle="1" w:styleId="Bullets">
    <w:name w:val="Bullets"/>
    <w:uiPriority w:val="99"/>
    <w:rsid w:val="00F27D29"/>
    <w:pPr>
      <w:numPr>
        <w:numId w:val="5"/>
      </w:numPr>
    </w:pPr>
  </w:style>
  <w:style w:type="paragraph" w:customStyle="1" w:styleId="NumPlainA2">
    <w:name w:val="Num PlainA2"/>
    <w:basedOn w:val="NumPlainA"/>
    <w:rsid w:val="00171F51"/>
    <w:pPr>
      <w:numPr>
        <w:ilvl w:val="1"/>
      </w:numPr>
      <w:outlineLvl w:val="1"/>
    </w:pPr>
  </w:style>
  <w:style w:type="table" w:styleId="TableGrid">
    <w:name w:val="Table Grid"/>
    <w:basedOn w:val="TableNormal"/>
    <w:rsid w:val="00C03C7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ubNumPlain1">
    <w:name w:val="SubNum Plain1"/>
    <w:basedOn w:val="PlainHanging1"/>
    <w:qFormat/>
    <w:rsid w:val="00A96702"/>
    <w:pPr>
      <w:numPr>
        <w:numId w:val="9"/>
      </w:numPr>
    </w:pPr>
  </w:style>
  <w:style w:type="paragraph" w:customStyle="1" w:styleId="SubNumPlain2">
    <w:name w:val="SubNum Plain2"/>
    <w:basedOn w:val="PlainHanging2"/>
    <w:qFormat/>
    <w:rsid w:val="00A96702"/>
    <w:pPr>
      <w:numPr>
        <w:ilvl w:val="1"/>
        <w:numId w:val="9"/>
      </w:numPr>
    </w:pPr>
  </w:style>
  <w:style w:type="paragraph" w:customStyle="1" w:styleId="SubNumPlain3">
    <w:name w:val="SubNum Plain3"/>
    <w:basedOn w:val="PlainHanging3"/>
    <w:qFormat/>
    <w:rsid w:val="00A96702"/>
    <w:pPr>
      <w:numPr>
        <w:ilvl w:val="2"/>
        <w:numId w:val="9"/>
      </w:numPr>
    </w:pPr>
  </w:style>
  <w:style w:type="paragraph" w:customStyle="1" w:styleId="SubNumPlain4">
    <w:name w:val="SubNum Plain4"/>
    <w:basedOn w:val="PlainHanging4"/>
    <w:qFormat/>
    <w:rsid w:val="00A96702"/>
    <w:pPr>
      <w:numPr>
        <w:ilvl w:val="3"/>
        <w:numId w:val="9"/>
      </w:numPr>
    </w:pPr>
  </w:style>
  <w:style w:type="paragraph" w:customStyle="1" w:styleId="SubNumBold1">
    <w:name w:val="SubNum Bold1"/>
    <w:basedOn w:val="BoldHanging1"/>
    <w:qFormat/>
    <w:rsid w:val="00A96702"/>
    <w:pPr>
      <w:numPr>
        <w:numId w:val="10"/>
      </w:numPr>
    </w:pPr>
  </w:style>
  <w:style w:type="paragraph" w:customStyle="1" w:styleId="SubNumBold2">
    <w:name w:val="SubNum Bold2"/>
    <w:basedOn w:val="BoldHanging2"/>
    <w:qFormat/>
    <w:rsid w:val="00A96702"/>
    <w:pPr>
      <w:numPr>
        <w:ilvl w:val="1"/>
        <w:numId w:val="10"/>
      </w:numPr>
    </w:pPr>
  </w:style>
  <w:style w:type="paragraph" w:customStyle="1" w:styleId="SubNumBold3">
    <w:name w:val="SubNum Bold3"/>
    <w:basedOn w:val="BoldHanging3"/>
    <w:qFormat/>
    <w:rsid w:val="00A96702"/>
    <w:pPr>
      <w:numPr>
        <w:ilvl w:val="2"/>
        <w:numId w:val="10"/>
      </w:numPr>
    </w:pPr>
  </w:style>
  <w:style w:type="paragraph" w:customStyle="1" w:styleId="SubNumBold4">
    <w:name w:val="SubNum Bold4"/>
    <w:basedOn w:val="BoldHanging4"/>
    <w:qFormat/>
    <w:rsid w:val="00A96702"/>
    <w:pPr>
      <w:numPr>
        <w:ilvl w:val="3"/>
        <w:numId w:val="10"/>
      </w:numPr>
    </w:pPr>
  </w:style>
  <w:style w:type="numbering" w:customStyle="1" w:styleId="AASBSubNumbers">
    <w:name w:val="AASB SubNumbers"/>
    <w:uiPriority w:val="99"/>
    <w:rsid w:val="00A96702"/>
    <w:pPr>
      <w:numPr>
        <w:numId w:val="8"/>
      </w:numPr>
    </w:pPr>
  </w:style>
  <w:style w:type="numbering" w:customStyle="1" w:styleId="AASBSubNumbersBold">
    <w:name w:val="AASB SubNumbers Bold"/>
    <w:uiPriority w:val="99"/>
    <w:rsid w:val="00A96702"/>
    <w:pPr>
      <w:numPr>
        <w:numId w:val="10"/>
      </w:numPr>
    </w:pPr>
  </w:style>
  <w:style w:type="character" w:customStyle="1" w:styleId="NumPlain1Char">
    <w:name w:val="Num Plain1 Char"/>
    <w:basedOn w:val="DefaultParagraphFont"/>
    <w:link w:val="NumPlain1"/>
    <w:rsid w:val="00851041"/>
    <w:rPr>
      <w:lang w:eastAsia="en-US"/>
    </w:rPr>
  </w:style>
  <w:style w:type="character" w:customStyle="1" w:styleId="AppendixNoChar">
    <w:name w:val="AppendixNo Char"/>
    <w:basedOn w:val="DefaultParagraphFont"/>
    <w:link w:val="AppendixNo"/>
    <w:rsid w:val="008664C0"/>
    <w:rPr>
      <w:b/>
      <w:caps/>
      <w:sz w:val="28"/>
      <w:szCs w:val="28"/>
      <w:lang w:eastAsia="en-US"/>
    </w:rPr>
  </w:style>
  <w:style w:type="character" w:customStyle="1" w:styleId="FooterChar">
    <w:name w:val="Footer Char"/>
    <w:basedOn w:val="DefaultParagraphFont"/>
    <w:link w:val="Footer"/>
    <w:rsid w:val="008664C0"/>
    <w:rPr>
      <w:lang w:eastAsia="en-US"/>
    </w:rPr>
  </w:style>
  <w:style w:type="character" w:styleId="FootnoteReference">
    <w:name w:val="footnote reference"/>
    <w:basedOn w:val="DefaultParagraphFont"/>
    <w:rsid w:val="00522110"/>
    <w:rPr>
      <w:vertAlign w:val="superscript"/>
    </w:rPr>
  </w:style>
  <w:style w:type="paragraph" w:styleId="BalloonText">
    <w:name w:val="Balloon Text"/>
    <w:basedOn w:val="Normal"/>
    <w:link w:val="BalloonTextChar"/>
    <w:rsid w:val="003D3C88"/>
    <w:pPr>
      <w:spacing w:line="240" w:lineRule="auto"/>
    </w:pPr>
    <w:rPr>
      <w:rFonts w:ascii="Tahoma" w:hAnsi="Tahoma" w:cs="Tahoma"/>
      <w:sz w:val="16"/>
      <w:szCs w:val="16"/>
    </w:rPr>
  </w:style>
  <w:style w:type="character" w:customStyle="1" w:styleId="BalloonTextChar">
    <w:name w:val="Balloon Text Char"/>
    <w:basedOn w:val="DefaultParagraphFont"/>
    <w:link w:val="BalloonText"/>
    <w:rsid w:val="003D3C88"/>
    <w:rPr>
      <w:rFonts w:ascii="Tahoma" w:hAnsi="Tahoma" w:cs="Tahoma"/>
      <w:sz w:val="16"/>
      <w:szCs w:val="16"/>
      <w:lang w:eastAsia="en-US"/>
    </w:rPr>
  </w:style>
  <w:style w:type="paragraph" w:styleId="Revision">
    <w:name w:val="Revision"/>
    <w:hidden/>
    <w:uiPriority w:val="99"/>
    <w:semiHidden/>
    <w:rsid w:val="00017AA3"/>
    <w:rPr>
      <w:lang w:eastAsia="en-US"/>
    </w:rPr>
  </w:style>
  <w:style w:type="character" w:customStyle="1" w:styleId="HeaderChar">
    <w:name w:val="Header Char"/>
    <w:basedOn w:val="DefaultParagraphFont"/>
    <w:link w:val="Header"/>
    <w:uiPriority w:val="99"/>
    <w:rsid w:val="00E66F88"/>
    <w:rPr>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header" w:uiPriority="99"/>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atentStyles>
  <w:style w:type="paragraph" w:default="1" w:styleId="Normal">
    <w:name w:val="Normal"/>
    <w:qFormat/>
    <w:rsid w:val="00B3429E"/>
    <w:pPr>
      <w:spacing w:line="200" w:lineRule="exact"/>
    </w:pPr>
    <w:rPr>
      <w:lang w:eastAsia="en-US"/>
    </w:rPr>
  </w:style>
  <w:style w:type="paragraph" w:styleId="Heading1">
    <w:name w:val="heading 1"/>
    <w:basedOn w:val="Normal"/>
    <w:next w:val="Normal"/>
    <w:qFormat/>
    <w:pPr>
      <w:keepNext/>
      <w:spacing w:after="200" w:line="280" w:lineRule="exact"/>
      <w:jc w:val="center"/>
      <w:outlineLvl w:val="0"/>
    </w:pPr>
    <w:rPr>
      <w:rFonts w:cs="Arial"/>
      <w:b/>
      <w:bCs/>
      <w:caps/>
      <w:sz w:val="28"/>
      <w:szCs w:val="32"/>
    </w:rPr>
  </w:style>
  <w:style w:type="paragraph" w:styleId="Heading2">
    <w:name w:val="heading 2"/>
    <w:basedOn w:val="Heading1"/>
    <w:next w:val="Normal"/>
    <w:qFormat/>
    <w:pPr>
      <w:jc w:val="left"/>
      <w:outlineLvl w:val="1"/>
    </w:pPr>
    <w:rPr>
      <w:bCs w:val="0"/>
      <w:iCs/>
      <w:caps w:val="0"/>
      <w:szCs w:val="28"/>
    </w:rPr>
  </w:style>
  <w:style w:type="paragraph" w:styleId="Heading3">
    <w:name w:val="heading 3"/>
    <w:basedOn w:val="Heading2"/>
    <w:next w:val="Normal"/>
    <w:qFormat/>
    <w:pPr>
      <w:spacing w:line="240" w:lineRule="exact"/>
      <w:outlineLvl w:val="2"/>
    </w:pPr>
    <w:rPr>
      <w:bCs/>
      <w:sz w:val="24"/>
      <w:szCs w:val="26"/>
    </w:rPr>
  </w:style>
  <w:style w:type="paragraph" w:styleId="Heading4">
    <w:name w:val="heading 4"/>
    <w:basedOn w:val="Heading3"/>
    <w:next w:val="Normal"/>
    <w:qFormat/>
    <w:pPr>
      <w:spacing w:line="200" w:lineRule="exact"/>
      <w:outlineLvl w:val="3"/>
    </w:pPr>
    <w:rPr>
      <w:bCs w:val="0"/>
      <w:sz w:val="20"/>
      <w:szCs w:val="28"/>
    </w:rPr>
  </w:style>
  <w:style w:type="paragraph" w:styleId="Heading5">
    <w:name w:val="heading 5"/>
    <w:basedOn w:val="Heading4"/>
    <w:next w:val="Normal"/>
    <w:qFormat/>
    <w:pPr>
      <w:outlineLvl w:val="4"/>
    </w:pPr>
    <w:rPr>
      <w:bCs/>
      <w:i/>
      <w:iCs w:val="0"/>
      <w:szCs w:val="26"/>
    </w:rPr>
  </w:style>
  <w:style w:type="paragraph" w:styleId="Heading6">
    <w:name w:val="heading 6"/>
    <w:basedOn w:val="Heading5"/>
    <w:next w:val="Normal"/>
    <w:qFormat/>
    <w:pPr>
      <w:outlineLvl w:val="5"/>
    </w:pPr>
    <w:rPr>
      <w:b w:val="0"/>
      <w:bCs w:val="0"/>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semiHidden/>
    <w:pPr>
      <w:spacing w:line="160" w:lineRule="exact"/>
      <w:ind w:left="340" w:hanging="340"/>
    </w:pPr>
    <w:rPr>
      <w:sz w:val="16"/>
    </w:rPr>
  </w:style>
  <w:style w:type="paragraph" w:customStyle="1" w:styleId="Heading1Italic">
    <w:name w:val="Heading 1 Italic"/>
    <w:basedOn w:val="Heading1"/>
    <w:next w:val="Normal"/>
    <w:rPr>
      <w:i/>
    </w:rPr>
  </w:style>
  <w:style w:type="paragraph" w:customStyle="1" w:styleId="Heading2Indent1">
    <w:name w:val="Heading 2 Indent1"/>
    <w:basedOn w:val="Heading2"/>
    <w:next w:val="Normal"/>
    <w:pPr>
      <w:ind w:left="510"/>
    </w:pPr>
  </w:style>
  <w:style w:type="paragraph" w:customStyle="1" w:styleId="Heading3Indent1">
    <w:name w:val="Heading 3 Indent1"/>
    <w:basedOn w:val="Heading3"/>
    <w:next w:val="Normal"/>
    <w:pPr>
      <w:ind w:left="510"/>
    </w:pPr>
  </w:style>
  <w:style w:type="paragraph" w:customStyle="1" w:styleId="Heading4Indent1">
    <w:name w:val="Heading 4 Indent1"/>
    <w:basedOn w:val="Heading4"/>
    <w:next w:val="Normal"/>
    <w:pPr>
      <w:ind w:left="510"/>
    </w:pPr>
  </w:style>
  <w:style w:type="paragraph" w:customStyle="1" w:styleId="Heading5Indent1">
    <w:name w:val="Heading 5 Indent1"/>
    <w:basedOn w:val="Heading5"/>
    <w:next w:val="Normal"/>
    <w:pPr>
      <w:ind w:left="510"/>
    </w:pPr>
  </w:style>
  <w:style w:type="paragraph" w:customStyle="1" w:styleId="Heading6Indent1">
    <w:name w:val="Heading 6 Indent1"/>
    <w:basedOn w:val="Heading6"/>
    <w:next w:val="Normal"/>
    <w:pPr>
      <w:ind w:left="510"/>
    </w:pPr>
  </w:style>
  <w:style w:type="paragraph" w:styleId="Header">
    <w:name w:val="header"/>
    <w:basedOn w:val="Normal"/>
    <w:link w:val="HeaderChar"/>
    <w:uiPriority w:val="99"/>
    <w:pPr>
      <w:tabs>
        <w:tab w:val="center" w:pos="3119"/>
        <w:tab w:val="right" w:pos="6237"/>
      </w:tabs>
    </w:pPr>
  </w:style>
  <w:style w:type="paragraph" w:styleId="Footer">
    <w:name w:val="footer"/>
    <w:basedOn w:val="Normal"/>
    <w:link w:val="FooterChar"/>
    <w:pPr>
      <w:tabs>
        <w:tab w:val="center" w:pos="3119"/>
        <w:tab w:val="right" w:pos="6237"/>
      </w:tabs>
    </w:pPr>
  </w:style>
  <w:style w:type="paragraph" w:customStyle="1" w:styleId="CoverStandard">
    <w:name w:val="Cover Standard"/>
    <w:basedOn w:val="Normal"/>
    <w:next w:val="Normal"/>
    <w:pPr>
      <w:spacing w:line="280" w:lineRule="exact"/>
    </w:pPr>
    <w:rPr>
      <w:b/>
      <w:sz w:val="28"/>
    </w:rPr>
  </w:style>
  <w:style w:type="paragraph" w:customStyle="1" w:styleId="CoverNumber">
    <w:name w:val="Cover Number"/>
    <w:basedOn w:val="Normal"/>
    <w:next w:val="Normal"/>
    <w:pPr>
      <w:spacing w:line="320" w:lineRule="exact"/>
      <w:jc w:val="right"/>
    </w:pPr>
    <w:rPr>
      <w:b/>
      <w:caps/>
      <w:sz w:val="32"/>
    </w:rPr>
  </w:style>
  <w:style w:type="paragraph" w:customStyle="1" w:styleId="CoverRelease">
    <w:name w:val="Cover Release"/>
    <w:basedOn w:val="Normal"/>
    <w:next w:val="Normal"/>
    <w:pPr>
      <w:spacing w:line="240" w:lineRule="exact"/>
    </w:pPr>
    <w:rPr>
      <w:sz w:val="24"/>
    </w:rPr>
  </w:style>
  <w:style w:type="paragraph" w:customStyle="1" w:styleId="CoverDate">
    <w:name w:val="Cover Date"/>
    <w:basedOn w:val="Normal"/>
    <w:next w:val="Normal"/>
    <w:pPr>
      <w:spacing w:line="240" w:lineRule="exact"/>
      <w:jc w:val="right"/>
    </w:pPr>
    <w:rPr>
      <w:sz w:val="24"/>
    </w:rPr>
  </w:style>
  <w:style w:type="paragraph" w:customStyle="1" w:styleId="CoverTitle">
    <w:name w:val="Cover Title"/>
    <w:basedOn w:val="Normal"/>
    <w:rsid w:val="00500E80"/>
    <w:pPr>
      <w:spacing w:before="800" w:after="500" w:line="500" w:lineRule="exact"/>
    </w:pPr>
    <w:rPr>
      <w:b/>
      <w:sz w:val="50"/>
    </w:rPr>
  </w:style>
  <w:style w:type="paragraph" w:customStyle="1" w:styleId="CoverBox">
    <w:name w:val="Cover Box"/>
    <w:basedOn w:val="Normal"/>
    <w:pPr>
      <w:pBdr>
        <w:top w:val="double" w:sz="4" w:space="1" w:color="auto"/>
        <w:left w:val="double" w:sz="4" w:space="4" w:color="auto"/>
        <w:bottom w:val="double" w:sz="4" w:space="1" w:color="auto"/>
        <w:right w:val="double" w:sz="4" w:space="4" w:color="auto"/>
      </w:pBdr>
    </w:pPr>
  </w:style>
  <w:style w:type="paragraph" w:customStyle="1" w:styleId="CoverContact">
    <w:name w:val="Cover Contact"/>
    <w:basedOn w:val="Normal"/>
    <w:next w:val="Normal"/>
    <w:pPr>
      <w:tabs>
        <w:tab w:val="left" w:pos="907"/>
      </w:tabs>
    </w:pPr>
  </w:style>
  <w:style w:type="paragraph" w:customStyle="1" w:styleId="CoverLeadPara">
    <w:name w:val="Cover LeadPara"/>
    <w:basedOn w:val="Normal"/>
    <w:next w:val="Normal"/>
    <w:pPr>
      <w:spacing w:after="100"/>
    </w:pPr>
  </w:style>
  <w:style w:type="paragraph" w:customStyle="1" w:styleId="ContentsCapsPlainPg">
    <w:name w:val="Contents CapsPlainPg"/>
    <w:basedOn w:val="Normal"/>
    <w:next w:val="ContentsLevel1"/>
    <w:pPr>
      <w:tabs>
        <w:tab w:val="right" w:pos="6237"/>
      </w:tabs>
      <w:spacing w:after="200"/>
      <w:ind w:left="170" w:right="1134" w:hanging="170"/>
    </w:pPr>
    <w:rPr>
      <w:caps/>
    </w:rPr>
  </w:style>
  <w:style w:type="paragraph" w:customStyle="1" w:styleId="ContentsLevel1">
    <w:name w:val="Contents Level1"/>
    <w:basedOn w:val="Normal"/>
    <w:pPr>
      <w:tabs>
        <w:tab w:val="right" w:pos="6237"/>
      </w:tabs>
      <w:spacing w:after="60"/>
      <w:ind w:left="170" w:right="1134" w:hanging="170"/>
    </w:pPr>
  </w:style>
  <w:style w:type="paragraph" w:customStyle="1" w:styleId="ContentsCapsBoldPg">
    <w:name w:val="Contents CapsBoldPg"/>
    <w:basedOn w:val="ContentsCapsPlainPg"/>
    <w:next w:val="ContentsLevel1"/>
    <w:rPr>
      <w:b/>
    </w:rPr>
  </w:style>
  <w:style w:type="paragraph" w:customStyle="1" w:styleId="ContentsLevel2">
    <w:name w:val="Contents Level2"/>
    <w:basedOn w:val="ContentsLevel1"/>
    <w:pPr>
      <w:ind w:left="510"/>
    </w:pPr>
  </w:style>
  <w:style w:type="paragraph" w:customStyle="1" w:styleId="ContentsLevel3">
    <w:name w:val="Contents Level3"/>
    <w:basedOn w:val="ContentsLevel2"/>
    <w:pPr>
      <w:ind w:left="850"/>
    </w:pPr>
  </w:style>
  <w:style w:type="paragraph" w:customStyle="1" w:styleId="ContentsLevel4">
    <w:name w:val="Contents Level4"/>
    <w:basedOn w:val="ContentsLevel3"/>
    <w:pPr>
      <w:ind w:left="1191"/>
    </w:pPr>
  </w:style>
  <w:style w:type="paragraph" w:customStyle="1" w:styleId="ContentsBox">
    <w:name w:val="Contents Box"/>
    <w:basedOn w:val="Normal"/>
    <w:pPr>
      <w:pBdr>
        <w:top w:val="single" w:sz="4" w:space="1" w:color="auto"/>
        <w:left w:val="single" w:sz="4" w:space="4" w:color="auto"/>
        <w:bottom w:val="single" w:sz="4" w:space="1" w:color="auto"/>
        <w:right w:val="single" w:sz="4" w:space="4" w:color="auto"/>
      </w:pBdr>
      <w:spacing w:after="100"/>
    </w:pPr>
  </w:style>
  <w:style w:type="paragraph" w:styleId="TOC1">
    <w:name w:val="toc 1"/>
    <w:basedOn w:val="Normal"/>
    <w:next w:val="Normal"/>
    <w:autoRedefine/>
    <w:semiHidden/>
    <w:rsid w:val="00AC4315"/>
  </w:style>
  <w:style w:type="character" w:styleId="Hyperlink">
    <w:name w:val="Hyperlink"/>
    <w:basedOn w:val="DefaultParagraphFont"/>
    <w:rsid w:val="00737714"/>
    <w:rPr>
      <w:color w:val="0000FF"/>
      <w:u w:val="single"/>
    </w:rPr>
  </w:style>
  <w:style w:type="paragraph" w:customStyle="1" w:styleId="NumPlainA">
    <w:name w:val="Num PlainA"/>
    <w:basedOn w:val="Normal"/>
    <w:qFormat/>
    <w:rsid w:val="003B0CAA"/>
    <w:pPr>
      <w:numPr>
        <w:numId w:val="7"/>
      </w:numPr>
      <w:spacing w:after="200"/>
    </w:pPr>
  </w:style>
  <w:style w:type="paragraph" w:customStyle="1" w:styleId="NoNumPlain1">
    <w:name w:val="NoNum Plain1"/>
    <w:basedOn w:val="Normal"/>
    <w:uiPriority w:val="2"/>
    <w:qFormat/>
    <w:pPr>
      <w:spacing w:after="200"/>
    </w:pPr>
  </w:style>
  <w:style w:type="paragraph" w:customStyle="1" w:styleId="NoNumPlain2">
    <w:name w:val="NoNum Plain2"/>
    <w:basedOn w:val="NoNumPlain1"/>
    <w:pPr>
      <w:ind w:left="510"/>
    </w:pPr>
  </w:style>
  <w:style w:type="paragraph" w:customStyle="1" w:styleId="NoNumPlain3">
    <w:name w:val="NoNum Plain3"/>
    <w:basedOn w:val="NoNumPlain2"/>
    <w:pPr>
      <w:ind w:left="1021"/>
    </w:pPr>
  </w:style>
  <w:style w:type="paragraph" w:customStyle="1" w:styleId="NoNumPlain4">
    <w:name w:val="NoNum Plain4"/>
    <w:basedOn w:val="NoNumPlain3"/>
    <w:pPr>
      <w:ind w:left="1531"/>
    </w:pPr>
  </w:style>
  <w:style w:type="paragraph" w:customStyle="1" w:styleId="NoNumBold1">
    <w:name w:val="NoNum Bold1"/>
    <w:basedOn w:val="Normal"/>
    <w:qFormat/>
    <w:pPr>
      <w:spacing w:after="200"/>
    </w:pPr>
    <w:rPr>
      <w:b/>
    </w:rPr>
  </w:style>
  <w:style w:type="paragraph" w:customStyle="1" w:styleId="NoNumBold2">
    <w:name w:val="NoNum Bold2"/>
    <w:basedOn w:val="NoNumBold1"/>
    <w:pPr>
      <w:ind w:left="510"/>
    </w:pPr>
  </w:style>
  <w:style w:type="paragraph" w:customStyle="1" w:styleId="NoNumBold3">
    <w:name w:val="NoNum Bold3"/>
    <w:basedOn w:val="NoNumBold2"/>
    <w:pPr>
      <w:ind w:left="1021"/>
    </w:pPr>
  </w:style>
  <w:style w:type="paragraph" w:customStyle="1" w:styleId="NoNumBold4">
    <w:name w:val="NoNum Bold4"/>
    <w:basedOn w:val="NoNumBold3"/>
    <w:pPr>
      <w:ind w:left="1531"/>
    </w:pPr>
  </w:style>
  <w:style w:type="paragraph" w:customStyle="1" w:styleId="NumPlain1">
    <w:name w:val="Num Plain1"/>
    <w:basedOn w:val="Normal"/>
    <w:link w:val="NumPlain1Char"/>
    <w:qFormat/>
    <w:rsid w:val="00426876"/>
    <w:pPr>
      <w:numPr>
        <w:numId w:val="1"/>
      </w:numPr>
      <w:spacing w:after="200"/>
    </w:pPr>
  </w:style>
  <w:style w:type="paragraph" w:customStyle="1" w:styleId="NumPlain2">
    <w:name w:val="Num Plain2"/>
    <w:basedOn w:val="NumPlain1"/>
    <w:rsid w:val="00426876"/>
    <w:pPr>
      <w:numPr>
        <w:ilvl w:val="1"/>
      </w:numPr>
    </w:pPr>
  </w:style>
  <w:style w:type="paragraph" w:customStyle="1" w:styleId="NumPlain3">
    <w:name w:val="Num Plain3"/>
    <w:basedOn w:val="NumPlain2"/>
    <w:rsid w:val="00426876"/>
    <w:pPr>
      <w:numPr>
        <w:ilvl w:val="2"/>
      </w:numPr>
    </w:pPr>
  </w:style>
  <w:style w:type="paragraph" w:customStyle="1" w:styleId="NumPlain4">
    <w:name w:val="Num Plain4"/>
    <w:basedOn w:val="NumPlain3"/>
    <w:rsid w:val="00426876"/>
    <w:pPr>
      <w:numPr>
        <w:ilvl w:val="3"/>
      </w:numPr>
    </w:pPr>
  </w:style>
  <w:style w:type="paragraph" w:customStyle="1" w:styleId="Bullet1">
    <w:name w:val="Bullet1"/>
    <w:basedOn w:val="Normal"/>
    <w:qFormat/>
    <w:rsid w:val="00F27D29"/>
    <w:pPr>
      <w:numPr>
        <w:numId w:val="6"/>
      </w:numPr>
      <w:spacing w:after="200"/>
    </w:pPr>
  </w:style>
  <w:style w:type="paragraph" w:customStyle="1" w:styleId="Bullet2">
    <w:name w:val="Bullet2"/>
    <w:basedOn w:val="Normal"/>
    <w:rsid w:val="00F27D29"/>
    <w:pPr>
      <w:numPr>
        <w:ilvl w:val="1"/>
        <w:numId w:val="6"/>
      </w:numPr>
      <w:spacing w:after="200"/>
    </w:pPr>
  </w:style>
  <w:style w:type="paragraph" w:customStyle="1" w:styleId="Bullet3">
    <w:name w:val="Bullet3"/>
    <w:basedOn w:val="Normal"/>
    <w:rsid w:val="00F27D29"/>
    <w:pPr>
      <w:numPr>
        <w:ilvl w:val="2"/>
        <w:numId w:val="6"/>
      </w:numPr>
      <w:spacing w:after="200"/>
    </w:pPr>
  </w:style>
  <w:style w:type="paragraph" w:customStyle="1" w:styleId="CommentsPage">
    <w:name w:val="CommentsPage"/>
    <w:basedOn w:val="Normal"/>
    <w:next w:val="Normal"/>
  </w:style>
  <w:style w:type="paragraph" w:customStyle="1" w:styleId="Bullet4">
    <w:name w:val="Bullet4"/>
    <w:basedOn w:val="Normal"/>
    <w:rsid w:val="00F27D29"/>
    <w:pPr>
      <w:numPr>
        <w:ilvl w:val="3"/>
        <w:numId w:val="6"/>
      </w:numPr>
      <w:spacing w:after="200"/>
    </w:pPr>
  </w:style>
  <w:style w:type="paragraph" w:customStyle="1" w:styleId="ContentsCapsPlain">
    <w:name w:val="Contents CapsPlain"/>
    <w:basedOn w:val="Normal"/>
    <w:next w:val="ContentsLevel1"/>
    <w:pPr>
      <w:spacing w:after="200"/>
    </w:pPr>
    <w:rPr>
      <w:caps/>
    </w:rPr>
  </w:style>
  <w:style w:type="paragraph" w:customStyle="1" w:styleId="ContentsCapsBold">
    <w:name w:val="Contents CapsBold"/>
    <w:basedOn w:val="ContentsCapsPlain"/>
    <w:next w:val="ContentsLevel1"/>
    <w:pPr>
      <w:spacing w:after="0"/>
    </w:pPr>
    <w:rPr>
      <w:b/>
    </w:rPr>
  </w:style>
  <w:style w:type="paragraph" w:customStyle="1" w:styleId="ContentsParaHead">
    <w:name w:val="Contents ParaHead"/>
    <w:basedOn w:val="Normal"/>
    <w:next w:val="Normal"/>
    <w:pPr>
      <w:spacing w:after="60"/>
      <w:jc w:val="right"/>
    </w:pPr>
    <w:rPr>
      <w:i/>
    </w:rPr>
  </w:style>
  <w:style w:type="paragraph" w:styleId="DocumentMap">
    <w:name w:val="Document Map"/>
    <w:basedOn w:val="Normal"/>
    <w:semiHidden/>
    <w:pPr>
      <w:shd w:val="clear" w:color="auto" w:fill="000080"/>
    </w:pPr>
    <w:rPr>
      <w:rFonts w:ascii="Tahoma" w:hAnsi="Tahoma" w:cs="Tahoma"/>
    </w:rPr>
  </w:style>
  <w:style w:type="paragraph" w:customStyle="1" w:styleId="ContentsLevel1NoIndent">
    <w:name w:val="Contents Level1 NoIndent"/>
    <w:basedOn w:val="ContentsLevel1"/>
    <w:pPr>
      <w:ind w:left="0" w:firstLine="0"/>
    </w:pPr>
  </w:style>
  <w:style w:type="paragraph" w:customStyle="1" w:styleId="AppendixNo">
    <w:name w:val="AppendixNo"/>
    <w:basedOn w:val="Normal"/>
    <w:next w:val="Normal"/>
    <w:link w:val="AppendixNoChar"/>
    <w:rsid w:val="0058004D"/>
    <w:pPr>
      <w:keepNext/>
      <w:spacing w:after="200" w:line="280" w:lineRule="exact"/>
      <w:jc w:val="center"/>
      <w:outlineLvl w:val="0"/>
    </w:pPr>
    <w:rPr>
      <w:b/>
      <w:caps/>
      <w:sz w:val="28"/>
      <w:szCs w:val="28"/>
    </w:rPr>
  </w:style>
  <w:style w:type="paragraph" w:customStyle="1" w:styleId="BCHanging0">
    <w:name w:val="BC Hanging0"/>
    <w:basedOn w:val="NoNumPlain1"/>
    <w:qFormat/>
    <w:rsid w:val="0058004D"/>
    <w:pPr>
      <w:ind w:left="624" w:hanging="624"/>
    </w:pPr>
  </w:style>
  <w:style w:type="paragraph" w:customStyle="1" w:styleId="AppendixNote">
    <w:name w:val="AppendixNote"/>
    <w:basedOn w:val="Normal"/>
    <w:next w:val="Normal"/>
    <w:rsid w:val="002A201D"/>
    <w:pPr>
      <w:spacing w:after="200"/>
    </w:pPr>
    <w:rPr>
      <w:i/>
      <w:iCs/>
    </w:rPr>
  </w:style>
  <w:style w:type="paragraph" w:customStyle="1" w:styleId="AppendixText">
    <w:name w:val="AppendixText"/>
    <w:basedOn w:val="Normal"/>
    <w:rsid w:val="002A201D"/>
    <w:pPr>
      <w:spacing w:after="200"/>
    </w:pPr>
  </w:style>
  <w:style w:type="paragraph" w:customStyle="1" w:styleId="AppendixTitle">
    <w:name w:val="AppendixTitle"/>
    <w:basedOn w:val="Normal"/>
    <w:next w:val="AppendixNote"/>
    <w:rsid w:val="002A201D"/>
    <w:pPr>
      <w:keepNext/>
      <w:spacing w:after="200" w:line="280" w:lineRule="exact"/>
      <w:jc w:val="center"/>
      <w:outlineLvl w:val="0"/>
    </w:pPr>
    <w:rPr>
      <w:b/>
      <w:caps/>
      <w:sz w:val="28"/>
      <w:szCs w:val="28"/>
    </w:rPr>
  </w:style>
  <w:style w:type="paragraph" w:customStyle="1" w:styleId="NoNumBC2">
    <w:name w:val="NoNum BC2"/>
    <w:basedOn w:val="NoNumPlain1"/>
    <w:rsid w:val="0058004D"/>
    <w:pPr>
      <w:ind w:left="624"/>
    </w:pPr>
  </w:style>
  <w:style w:type="paragraph" w:customStyle="1" w:styleId="BCHanging1">
    <w:name w:val="BC Hanging1"/>
    <w:basedOn w:val="NoNumBC2"/>
    <w:rsid w:val="0058004D"/>
    <w:pPr>
      <w:ind w:left="1248" w:hanging="624"/>
    </w:pPr>
  </w:style>
  <w:style w:type="paragraph" w:customStyle="1" w:styleId="BCHanging2">
    <w:name w:val="BC Hanging2"/>
    <w:basedOn w:val="BCHanging1"/>
    <w:rsid w:val="0058004D"/>
    <w:pPr>
      <w:ind w:left="1871"/>
    </w:pPr>
  </w:style>
  <w:style w:type="paragraph" w:customStyle="1" w:styleId="BCHanging3">
    <w:name w:val="BC Hanging3"/>
    <w:basedOn w:val="BCHanging1"/>
    <w:rsid w:val="0058004D"/>
    <w:pPr>
      <w:ind w:left="2495"/>
    </w:pPr>
  </w:style>
  <w:style w:type="paragraph" w:customStyle="1" w:styleId="CoverSubtitle">
    <w:name w:val="Cover Subtitle"/>
    <w:basedOn w:val="CoverTitle"/>
    <w:rsid w:val="00500E80"/>
    <w:pPr>
      <w:spacing w:before="0" w:after="0"/>
    </w:pPr>
    <w:rPr>
      <w:sz w:val="40"/>
      <w:szCs w:val="40"/>
    </w:rPr>
  </w:style>
  <w:style w:type="paragraph" w:customStyle="1" w:styleId="NumberedList">
    <w:name w:val="NumberedList"/>
    <w:basedOn w:val="Normal"/>
    <w:qFormat/>
    <w:rsid w:val="00401ECA"/>
    <w:pPr>
      <w:numPr>
        <w:numId w:val="3"/>
      </w:numPr>
      <w:spacing w:after="200"/>
    </w:pPr>
  </w:style>
  <w:style w:type="paragraph" w:customStyle="1" w:styleId="NumBold1">
    <w:name w:val="Num Bold1"/>
    <w:basedOn w:val="NumPlain1"/>
    <w:qFormat/>
    <w:rsid w:val="00027E8B"/>
    <w:rPr>
      <w:b/>
    </w:rPr>
  </w:style>
  <w:style w:type="paragraph" w:customStyle="1" w:styleId="NumBold2">
    <w:name w:val="Num Bold2"/>
    <w:basedOn w:val="NumPlain2"/>
    <w:rsid w:val="00027E8B"/>
    <w:rPr>
      <w:b/>
    </w:rPr>
  </w:style>
  <w:style w:type="paragraph" w:customStyle="1" w:styleId="NumBold3">
    <w:name w:val="Num Bold3"/>
    <w:basedOn w:val="NumPlain3"/>
    <w:rsid w:val="00027E8B"/>
    <w:rPr>
      <w:b/>
    </w:rPr>
  </w:style>
  <w:style w:type="paragraph" w:customStyle="1" w:styleId="NumBold4">
    <w:name w:val="Num Bold4"/>
    <w:basedOn w:val="NumPlain4"/>
    <w:rsid w:val="00027E8B"/>
    <w:rPr>
      <w:b/>
    </w:rPr>
  </w:style>
  <w:style w:type="paragraph" w:customStyle="1" w:styleId="PlainHanging1">
    <w:name w:val="Plain Hanging1"/>
    <w:basedOn w:val="NoNumPlain2"/>
    <w:rsid w:val="0039009E"/>
    <w:pPr>
      <w:ind w:left="1020" w:hanging="510"/>
    </w:pPr>
  </w:style>
  <w:style w:type="paragraph" w:customStyle="1" w:styleId="PlainHanging2">
    <w:name w:val="Plain Hanging2"/>
    <w:basedOn w:val="PlainHanging1"/>
    <w:rsid w:val="0039009E"/>
    <w:pPr>
      <w:ind w:left="1531"/>
    </w:pPr>
  </w:style>
  <w:style w:type="paragraph" w:customStyle="1" w:styleId="PlainHanging3">
    <w:name w:val="Plain Hanging3"/>
    <w:basedOn w:val="PlainHanging1"/>
    <w:rsid w:val="0039009E"/>
    <w:pPr>
      <w:ind w:left="2041"/>
    </w:pPr>
  </w:style>
  <w:style w:type="paragraph" w:customStyle="1" w:styleId="PlainHanging4">
    <w:name w:val="Plain Hanging4"/>
    <w:basedOn w:val="PlainHanging1"/>
    <w:rsid w:val="0039009E"/>
    <w:pPr>
      <w:ind w:left="2551"/>
    </w:pPr>
  </w:style>
  <w:style w:type="paragraph" w:customStyle="1" w:styleId="BoldHanging1">
    <w:name w:val="Bold Hanging1"/>
    <w:basedOn w:val="PlainHanging1"/>
    <w:rsid w:val="0039009E"/>
    <w:rPr>
      <w:b/>
    </w:rPr>
  </w:style>
  <w:style w:type="paragraph" w:customStyle="1" w:styleId="BoldHanging2">
    <w:name w:val="Bold Hanging2"/>
    <w:basedOn w:val="PlainHanging2"/>
    <w:rsid w:val="0039009E"/>
    <w:rPr>
      <w:b/>
    </w:rPr>
  </w:style>
  <w:style w:type="paragraph" w:customStyle="1" w:styleId="BoldHanging3">
    <w:name w:val="Bold Hanging3"/>
    <w:basedOn w:val="PlainHanging3"/>
    <w:rsid w:val="0039009E"/>
    <w:rPr>
      <w:b/>
    </w:rPr>
  </w:style>
  <w:style w:type="paragraph" w:customStyle="1" w:styleId="BoldHanging4">
    <w:name w:val="Bold Hanging4"/>
    <w:basedOn w:val="PlainHanging4"/>
    <w:rsid w:val="0039009E"/>
    <w:rPr>
      <w:b/>
    </w:rPr>
  </w:style>
  <w:style w:type="paragraph" w:customStyle="1" w:styleId="PlainHanging0">
    <w:name w:val="Plain Hanging0"/>
    <w:basedOn w:val="PlainHanging1"/>
    <w:qFormat/>
    <w:rsid w:val="003A488F"/>
    <w:pPr>
      <w:ind w:left="510"/>
    </w:pPr>
  </w:style>
  <w:style w:type="paragraph" w:customStyle="1" w:styleId="BoldHanging0">
    <w:name w:val="Bold Hanging0"/>
    <w:basedOn w:val="PlainHanging0"/>
    <w:qFormat/>
    <w:rsid w:val="003A488F"/>
    <w:rPr>
      <w:b/>
    </w:rPr>
  </w:style>
  <w:style w:type="paragraph" w:customStyle="1" w:styleId="BCHanging4">
    <w:name w:val="BC Hanging4"/>
    <w:basedOn w:val="BCHanging1"/>
    <w:rsid w:val="0058004D"/>
    <w:pPr>
      <w:ind w:left="3119"/>
    </w:pPr>
  </w:style>
  <w:style w:type="paragraph" w:customStyle="1" w:styleId="NoNumBC3">
    <w:name w:val="NoNum BC3"/>
    <w:basedOn w:val="NoNumBC2"/>
    <w:rsid w:val="0058004D"/>
    <w:pPr>
      <w:ind w:left="1247"/>
    </w:pPr>
  </w:style>
  <w:style w:type="paragraph" w:customStyle="1" w:styleId="NoNumBC4">
    <w:name w:val="NoNum BC4"/>
    <w:basedOn w:val="NoNumBC3"/>
    <w:rsid w:val="0058004D"/>
    <w:pPr>
      <w:ind w:left="1871"/>
    </w:pPr>
  </w:style>
  <w:style w:type="paragraph" w:customStyle="1" w:styleId="NumBC1">
    <w:name w:val="Num BC1"/>
    <w:basedOn w:val="Normal"/>
    <w:qFormat/>
    <w:rsid w:val="00426876"/>
    <w:pPr>
      <w:numPr>
        <w:numId w:val="4"/>
      </w:numPr>
      <w:spacing w:after="200"/>
    </w:pPr>
  </w:style>
  <w:style w:type="paragraph" w:customStyle="1" w:styleId="NumBC2">
    <w:name w:val="Num BC2"/>
    <w:basedOn w:val="NumBC1"/>
    <w:rsid w:val="00426876"/>
    <w:pPr>
      <w:numPr>
        <w:ilvl w:val="1"/>
      </w:numPr>
    </w:pPr>
  </w:style>
  <w:style w:type="paragraph" w:customStyle="1" w:styleId="NumBC3">
    <w:name w:val="Num BC3"/>
    <w:basedOn w:val="NumBC2"/>
    <w:rsid w:val="00426876"/>
    <w:pPr>
      <w:numPr>
        <w:ilvl w:val="2"/>
      </w:numPr>
    </w:pPr>
  </w:style>
  <w:style w:type="paragraph" w:customStyle="1" w:styleId="NumBC4">
    <w:name w:val="Num BC4"/>
    <w:basedOn w:val="NumBC3"/>
    <w:rsid w:val="00426876"/>
    <w:pPr>
      <w:numPr>
        <w:ilvl w:val="3"/>
      </w:numPr>
    </w:pPr>
  </w:style>
  <w:style w:type="numbering" w:customStyle="1" w:styleId="Bullets">
    <w:name w:val="Bullets"/>
    <w:uiPriority w:val="99"/>
    <w:rsid w:val="00F27D29"/>
    <w:pPr>
      <w:numPr>
        <w:numId w:val="5"/>
      </w:numPr>
    </w:pPr>
  </w:style>
  <w:style w:type="paragraph" w:customStyle="1" w:styleId="NumPlainA2">
    <w:name w:val="Num PlainA2"/>
    <w:basedOn w:val="NumPlainA"/>
    <w:rsid w:val="00171F51"/>
    <w:pPr>
      <w:numPr>
        <w:ilvl w:val="1"/>
      </w:numPr>
      <w:outlineLvl w:val="1"/>
    </w:pPr>
  </w:style>
  <w:style w:type="table" w:styleId="TableGrid">
    <w:name w:val="Table Grid"/>
    <w:basedOn w:val="TableNormal"/>
    <w:rsid w:val="00C03C7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ubNumPlain1">
    <w:name w:val="SubNum Plain1"/>
    <w:basedOn w:val="PlainHanging1"/>
    <w:qFormat/>
    <w:rsid w:val="00A96702"/>
    <w:pPr>
      <w:numPr>
        <w:numId w:val="9"/>
      </w:numPr>
    </w:pPr>
  </w:style>
  <w:style w:type="paragraph" w:customStyle="1" w:styleId="SubNumPlain2">
    <w:name w:val="SubNum Plain2"/>
    <w:basedOn w:val="PlainHanging2"/>
    <w:qFormat/>
    <w:rsid w:val="00A96702"/>
    <w:pPr>
      <w:numPr>
        <w:ilvl w:val="1"/>
        <w:numId w:val="9"/>
      </w:numPr>
    </w:pPr>
  </w:style>
  <w:style w:type="paragraph" w:customStyle="1" w:styleId="SubNumPlain3">
    <w:name w:val="SubNum Plain3"/>
    <w:basedOn w:val="PlainHanging3"/>
    <w:qFormat/>
    <w:rsid w:val="00A96702"/>
    <w:pPr>
      <w:numPr>
        <w:ilvl w:val="2"/>
        <w:numId w:val="9"/>
      </w:numPr>
    </w:pPr>
  </w:style>
  <w:style w:type="paragraph" w:customStyle="1" w:styleId="SubNumPlain4">
    <w:name w:val="SubNum Plain4"/>
    <w:basedOn w:val="PlainHanging4"/>
    <w:qFormat/>
    <w:rsid w:val="00A96702"/>
    <w:pPr>
      <w:numPr>
        <w:ilvl w:val="3"/>
        <w:numId w:val="9"/>
      </w:numPr>
    </w:pPr>
  </w:style>
  <w:style w:type="paragraph" w:customStyle="1" w:styleId="SubNumBold1">
    <w:name w:val="SubNum Bold1"/>
    <w:basedOn w:val="BoldHanging1"/>
    <w:qFormat/>
    <w:rsid w:val="00A96702"/>
    <w:pPr>
      <w:numPr>
        <w:numId w:val="10"/>
      </w:numPr>
    </w:pPr>
  </w:style>
  <w:style w:type="paragraph" w:customStyle="1" w:styleId="SubNumBold2">
    <w:name w:val="SubNum Bold2"/>
    <w:basedOn w:val="BoldHanging2"/>
    <w:qFormat/>
    <w:rsid w:val="00A96702"/>
    <w:pPr>
      <w:numPr>
        <w:ilvl w:val="1"/>
        <w:numId w:val="10"/>
      </w:numPr>
    </w:pPr>
  </w:style>
  <w:style w:type="paragraph" w:customStyle="1" w:styleId="SubNumBold3">
    <w:name w:val="SubNum Bold3"/>
    <w:basedOn w:val="BoldHanging3"/>
    <w:qFormat/>
    <w:rsid w:val="00A96702"/>
    <w:pPr>
      <w:numPr>
        <w:ilvl w:val="2"/>
        <w:numId w:val="10"/>
      </w:numPr>
    </w:pPr>
  </w:style>
  <w:style w:type="paragraph" w:customStyle="1" w:styleId="SubNumBold4">
    <w:name w:val="SubNum Bold4"/>
    <w:basedOn w:val="BoldHanging4"/>
    <w:qFormat/>
    <w:rsid w:val="00A96702"/>
    <w:pPr>
      <w:numPr>
        <w:ilvl w:val="3"/>
        <w:numId w:val="10"/>
      </w:numPr>
    </w:pPr>
  </w:style>
  <w:style w:type="numbering" w:customStyle="1" w:styleId="AASBSubNumbers">
    <w:name w:val="AASB SubNumbers"/>
    <w:uiPriority w:val="99"/>
    <w:rsid w:val="00A96702"/>
    <w:pPr>
      <w:numPr>
        <w:numId w:val="8"/>
      </w:numPr>
    </w:pPr>
  </w:style>
  <w:style w:type="numbering" w:customStyle="1" w:styleId="AASBSubNumbersBold">
    <w:name w:val="AASB SubNumbers Bold"/>
    <w:uiPriority w:val="99"/>
    <w:rsid w:val="00A96702"/>
    <w:pPr>
      <w:numPr>
        <w:numId w:val="10"/>
      </w:numPr>
    </w:pPr>
  </w:style>
  <w:style w:type="character" w:customStyle="1" w:styleId="NumPlain1Char">
    <w:name w:val="Num Plain1 Char"/>
    <w:basedOn w:val="DefaultParagraphFont"/>
    <w:link w:val="NumPlain1"/>
    <w:rsid w:val="00851041"/>
    <w:rPr>
      <w:lang w:eastAsia="en-US"/>
    </w:rPr>
  </w:style>
  <w:style w:type="character" w:customStyle="1" w:styleId="AppendixNoChar">
    <w:name w:val="AppendixNo Char"/>
    <w:basedOn w:val="DefaultParagraphFont"/>
    <w:link w:val="AppendixNo"/>
    <w:rsid w:val="008664C0"/>
    <w:rPr>
      <w:b/>
      <w:caps/>
      <w:sz w:val="28"/>
      <w:szCs w:val="28"/>
      <w:lang w:eastAsia="en-US"/>
    </w:rPr>
  </w:style>
  <w:style w:type="character" w:customStyle="1" w:styleId="FooterChar">
    <w:name w:val="Footer Char"/>
    <w:basedOn w:val="DefaultParagraphFont"/>
    <w:link w:val="Footer"/>
    <w:rsid w:val="008664C0"/>
    <w:rPr>
      <w:lang w:eastAsia="en-US"/>
    </w:rPr>
  </w:style>
  <w:style w:type="character" w:styleId="FootnoteReference">
    <w:name w:val="footnote reference"/>
    <w:basedOn w:val="DefaultParagraphFont"/>
    <w:rsid w:val="00522110"/>
    <w:rPr>
      <w:vertAlign w:val="superscript"/>
    </w:rPr>
  </w:style>
  <w:style w:type="paragraph" w:styleId="BalloonText">
    <w:name w:val="Balloon Text"/>
    <w:basedOn w:val="Normal"/>
    <w:link w:val="BalloonTextChar"/>
    <w:rsid w:val="003D3C88"/>
    <w:pPr>
      <w:spacing w:line="240" w:lineRule="auto"/>
    </w:pPr>
    <w:rPr>
      <w:rFonts w:ascii="Tahoma" w:hAnsi="Tahoma" w:cs="Tahoma"/>
      <w:sz w:val="16"/>
      <w:szCs w:val="16"/>
    </w:rPr>
  </w:style>
  <w:style w:type="character" w:customStyle="1" w:styleId="BalloonTextChar">
    <w:name w:val="Balloon Text Char"/>
    <w:basedOn w:val="DefaultParagraphFont"/>
    <w:link w:val="BalloonText"/>
    <w:rsid w:val="003D3C88"/>
    <w:rPr>
      <w:rFonts w:ascii="Tahoma" w:hAnsi="Tahoma" w:cs="Tahoma"/>
      <w:sz w:val="16"/>
      <w:szCs w:val="16"/>
      <w:lang w:eastAsia="en-US"/>
    </w:rPr>
  </w:style>
  <w:style w:type="paragraph" w:styleId="Revision">
    <w:name w:val="Revision"/>
    <w:hidden/>
    <w:uiPriority w:val="99"/>
    <w:semiHidden/>
    <w:rsid w:val="00017AA3"/>
    <w:rPr>
      <w:lang w:eastAsia="en-US"/>
    </w:rPr>
  </w:style>
  <w:style w:type="character" w:customStyle="1" w:styleId="HeaderChar">
    <w:name w:val="Header Char"/>
    <w:basedOn w:val="DefaultParagraphFont"/>
    <w:link w:val="Header"/>
    <w:uiPriority w:val="99"/>
    <w:rsid w:val="00E66F88"/>
    <w:rPr>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25250229">
      <w:bodyDiv w:val="1"/>
      <w:marLeft w:val="0"/>
      <w:marRight w:val="0"/>
      <w:marTop w:val="0"/>
      <w:marBottom w:val="0"/>
      <w:divBdr>
        <w:top w:val="none" w:sz="0" w:space="0" w:color="auto"/>
        <w:left w:val="none" w:sz="0" w:space="0" w:color="auto"/>
        <w:bottom w:val="none" w:sz="0" w:space="0" w:color="auto"/>
        <w:right w:val="none" w:sz="0" w:space="0" w:color="auto"/>
      </w:divBdr>
    </w:div>
    <w:div w:id="17868513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footer" Target="footer5.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header" Target="header4.xml"/><Relationship Id="rId2" Type="http://schemas.openxmlformats.org/officeDocument/2006/relationships/numbering" Target="numbering.xml"/><Relationship Id="rId16" Type="http://schemas.openxmlformats.org/officeDocument/2006/relationships/footer" Target="footer4.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header" Target="header3.xml"/><Relationship Id="rId10" Type="http://schemas.openxmlformats.org/officeDocument/2006/relationships/image" Target="media/image1.png"/><Relationship Id="rId19" Type="http://schemas.openxmlformats.org/officeDocument/2006/relationships/footer" Target="footer6.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internal.aasb.com.au\shareddata\General\AASB\Templates\2010\WordGlobal\AmendingStandard.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5687DF7-CFC7-47C3-8852-3E8DEE0E8E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AmendingStandard</Template>
  <TotalTime>30</TotalTime>
  <Pages>8</Pages>
  <Words>1936</Words>
  <Characters>11080</Characters>
  <Application>Microsoft Office Word</Application>
  <DocSecurity>0</DocSecurity>
  <Lines>92</Lines>
  <Paragraphs>25</Paragraphs>
  <ScaleCrop>false</ScaleCrop>
  <HeadingPairs>
    <vt:vector size="2" baseType="variant">
      <vt:variant>
        <vt:lpstr>Title</vt:lpstr>
      </vt:variant>
      <vt:variant>
        <vt:i4>1</vt:i4>
      </vt:variant>
    </vt:vector>
  </HeadingPairs>
  <TitlesOfParts>
    <vt:vector size="1" baseType="lpstr">
      <vt:lpstr>Amending Standard 2015-3</vt:lpstr>
    </vt:vector>
  </TitlesOfParts>
  <Company>Australian Accounting Standards Board</Company>
  <LinksUpToDate>false</LinksUpToDate>
  <CharactersWithSpaces>12991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Amending Standard 2015-3</dc:title>
  <dc:creator>Joanna Spencer</dc:creator>
  <cp:lastModifiedBy>Joanna Spencer</cp:lastModifiedBy>
  <cp:revision>9</cp:revision>
  <cp:lastPrinted>2015-01-28T22:57:00Z</cp:lastPrinted>
  <dcterms:created xsi:type="dcterms:W3CDTF">2015-01-29T03:40:00Z</dcterms:created>
  <dcterms:modified xsi:type="dcterms:W3CDTF">2015-01-29T04:21:00Z</dcterms:modified>
</cp:coreProperties>
</file>