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B36" w:rsidRDefault="00EF0B36" w:rsidP="00EF0B36">
      <w:pPr>
        <w:pStyle w:val="Title"/>
        <w:rPr>
          <w:sz w:val="26"/>
        </w:rPr>
      </w:pPr>
      <w:r>
        <w:rPr>
          <w:sz w:val="26"/>
        </w:rPr>
        <w:t>EXPLANATORY STATEMENT</w:t>
      </w:r>
    </w:p>
    <w:p w:rsidR="00EF0B36" w:rsidRDefault="00EF0B36" w:rsidP="00EF0B36">
      <w:pPr>
        <w:pStyle w:val="Title"/>
        <w:rPr>
          <w:sz w:val="26"/>
        </w:rPr>
      </w:pPr>
    </w:p>
    <w:p w:rsidR="00EF0B36" w:rsidRPr="0064007F" w:rsidRDefault="00EF0B36" w:rsidP="00EF0B36">
      <w:pPr>
        <w:pStyle w:val="Title"/>
      </w:pPr>
      <w:r w:rsidRPr="0064007F">
        <w:t>(Issued by the Authority of the Minister for Sustainability, Environment, Water, Population and Communities)</w:t>
      </w:r>
    </w:p>
    <w:p w:rsidR="00EF0B36" w:rsidRDefault="00EF0B36" w:rsidP="00EF0B36">
      <w:pPr>
        <w:jc w:val="center"/>
        <w:rPr>
          <w:b/>
          <w:bCs/>
          <w:sz w:val="12"/>
        </w:rPr>
      </w:pPr>
    </w:p>
    <w:p w:rsidR="00EF0B36" w:rsidRPr="0064007F" w:rsidRDefault="00EF0B36" w:rsidP="00EF0B36">
      <w:pPr>
        <w:pStyle w:val="Subtitle"/>
        <w:rPr>
          <w:b/>
        </w:rPr>
      </w:pPr>
      <w:r w:rsidRPr="0064007F">
        <w:rPr>
          <w:b/>
        </w:rPr>
        <w:t>Environment Protection and Biodiversity Conservation Act 1999</w:t>
      </w:r>
    </w:p>
    <w:p w:rsidR="00EF0B36" w:rsidRDefault="00EF0B36" w:rsidP="00EF0B36">
      <w:pPr>
        <w:jc w:val="center"/>
        <w:rPr>
          <w:i/>
          <w:iCs/>
          <w:sz w:val="12"/>
          <w:szCs w:val="12"/>
        </w:rPr>
      </w:pPr>
    </w:p>
    <w:p w:rsidR="00EF0B36" w:rsidRPr="0064007F" w:rsidRDefault="00EF0B36" w:rsidP="00EF0B36">
      <w:pPr>
        <w:jc w:val="center"/>
        <w:rPr>
          <w:b/>
          <w:i/>
        </w:rPr>
      </w:pPr>
      <w:r w:rsidRPr="0064007F">
        <w:rPr>
          <w:b/>
          <w:i/>
        </w:rPr>
        <w:t xml:space="preserve">Amendment </w:t>
      </w:r>
      <w:r>
        <w:rPr>
          <w:b/>
          <w:i/>
        </w:rPr>
        <w:t>to</w:t>
      </w:r>
      <w:r w:rsidRPr="0064007F">
        <w:rPr>
          <w:b/>
          <w:i/>
        </w:rPr>
        <w:t xml:space="preserve"> List of CITES Species </w:t>
      </w:r>
    </w:p>
    <w:p w:rsidR="00EF0B36" w:rsidRDefault="00EF0B36" w:rsidP="00EF0B36">
      <w:pPr>
        <w:jc w:val="center"/>
        <w:rPr>
          <w:sz w:val="12"/>
          <w:szCs w:val="12"/>
        </w:rPr>
      </w:pPr>
    </w:p>
    <w:p w:rsidR="00EF0B36" w:rsidRDefault="00EF0B36" w:rsidP="00EF0B36">
      <w:pPr>
        <w:jc w:val="center"/>
        <w:rPr>
          <w:sz w:val="12"/>
          <w:szCs w:val="12"/>
        </w:rPr>
      </w:pPr>
    </w:p>
    <w:p w:rsidR="00EF0B36" w:rsidRDefault="00EF0B36" w:rsidP="007C146B">
      <w:pPr>
        <w:rPr>
          <w:bCs/>
        </w:rPr>
      </w:pPr>
      <w:r>
        <w:rPr>
          <w:bCs/>
        </w:rPr>
        <w:t xml:space="preserve">The </w:t>
      </w:r>
      <w:r>
        <w:rPr>
          <w:rFonts w:ascii="Times" w:hAnsi="Times"/>
          <w:bCs/>
          <w:i/>
        </w:rPr>
        <w:t>Environment Protection and Biodiversity Conservation Act 1999</w:t>
      </w:r>
      <w:r>
        <w:rPr>
          <w:bCs/>
        </w:rPr>
        <w:t xml:space="preserve"> (the Act) provides for the protection of the environment, including wildlife that may be adversely affected by trade, and the implementation of Australia’s international environmental responsibilities.</w:t>
      </w:r>
    </w:p>
    <w:p w:rsidR="00EF0B36" w:rsidRDefault="00EF0B36" w:rsidP="007C146B">
      <w:pPr>
        <w:rPr>
          <w:bCs/>
        </w:rPr>
      </w:pPr>
    </w:p>
    <w:p w:rsidR="00EF0B36" w:rsidRDefault="00664071" w:rsidP="007C146B">
      <w:r w:rsidRPr="00220F07">
        <w:rPr>
          <w:bCs/>
        </w:rPr>
        <w:t>Section 303CA of the Act provides for a list of species under the Convention on International Trade in Endangered Species of Wild Fauna and Flora (</w:t>
      </w:r>
      <w:r>
        <w:rPr>
          <w:bCs/>
        </w:rPr>
        <w:t>the Convention</w:t>
      </w:r>
      <w:r w:rsidRPr="00220F07">
        <w:rPr>
          <w:bCs/>
        </w:rPr>
        <w:t>) fo</w:t>
      </w:r>
      <w:r>
        <w:rPr>
          <w:bCs/>
        </w:rPr>
        <w:t>r the purposes of the Act (the l</w:t>
      </w:r>
      <w:r w:rsidRPr="00220F07">
        <w:rPr>
          <w:bCs/>
        </w:rPr>
        <w:t xml:space="preserve">ist). </w:t>
      </w:r>
      <w:r w:rsidRPr="00220F07">
        <w:t xml:space="preserve">Under subsection 303CA (3) of the Act, the </w:t>
      </w:r>
      <w:r>
        <w:t>l</w:t>
      </w:r>
      <w:r w:rsidRPr="00220F07">
        <w:t xml:space="preserve">ist must include all species from time to time included in any of Appendices I, II and III to </w:t>
      </w:r>
      <w:r>
        <w:t>the Convention</w:t>
      </w:r>
      <w:r w:rsidRPr="00220F07">
        <w:t>. Subsections 303CA (9)(b) and (9)(c) of the Act provide t</w:t>
      </w:r>
      <w:r>
        <w:t>hat the Minister may amend the l</w:t>
      </w:r>
      <w:r w:rsidRPr="00220F07">
        <w:t xml:space="preserve">ist, as necessary, so that it includes all species required to be included in the list under subsection 303CA (3) and so that the notations in the list are consistent with </w:t>
      </w:r>
      <w:r>
        <w:t>the Convention</w:t>
      </w:r>
      <w:r w:rsidRPr="00220F07">
        <w:t>.</w:t>
      </w:r>
    </w:p>
    <w:p w:rsidR="00664071" w:rsidRDefault="00664071" w:rsidP="007C146B"/>
    <w:p w:rsidR="0026273A" w:rsidRDefault="00EF0B36" w:rsidP="0026273A">
      <w:r>
        <w:t>Under Article XVI</w:t>
      </w:r>
      <w:r w:rsidR="00664071">
        <w:t>,</w:t>
      </w:r>
      <w:r>
        <w:t xml:space="preserve"> p</w:t>
      </w:r>
      <w:r w:rsidR="00664071">
        <w:t xml:space="preserve">aragraph 1 of </w:t>
      </w:r>
      <w:r w:rsidR="00C47FE6">
        <w:t>the Convention</w:t>
      </w:r>
      <w:r w:rsidR="00664071">
        <w:t>, Parties may at any time,</w:t>
      </w:r>
      <w:r>
        <w:t xml:space="preserve"> include </w:t>
      </w:r>
      <w:r w:rsidR="00664071">
        <w:t>a species</w:t>
      </w:r>
      <w:r w:rsidR="003E5B26">
        <w:t xml:space="preserve"> or </w:t>
      </w:r>
      <w:r w:rsidR="008008A9">
        <w:t xml:space="preserve">a national </w:t>
      </w:r>
      <w:r w:rsidR="003E5B26">
        <w:t>population of a species</w:t>
      </w:r>
      <w:r w:rsidR="00664071">
        <w:t xml:space="preserve"> which is subject to regulation within its</w:t>
      </w:r>
      <w:r>
        <w:t xml:space="preserve"> juri</w:t>
      </w:r>
      <w:r w:rsidR="00664071">
        <w:t xml:space="preserve">sdiction in Appendix III of </w:t>
      </w:r>
      <w:r w:rsidR="00C47FE6">
        <w:t>the Convention</w:t>
      </w:r>
      <w:r w:rsidR="003E025F">
        <w:t xml:space="preserve">. </w:t>
      </w:r>
      <w:r w:rsidR="00664071">
        <w:t>Inclusions in</w:t>
      </w:r>
      <w:r w:rsidR="00DA21D8">
        <w:t xml:space="preserve"> Appendix III enter into force </w:t>
      </w:r>
      <w:r w:rsidR="00664071">
        <w:t xml:space="preserve">for all Parties 90 days after the Convention’s Secretariat has communicated the amendment. The Convention’s </w:t>
      </w:r>
      <w:r w:rsidR="00DA21D8">
        <w:t xml:space="preserve">Notification to the Parties </w:t>
      </w:r>
      <w:r w:rsidR="004E4AC1">
        <w:t>2014/051</w:t>
      </w:r>
      <w:r w:rsidR="00DA21D8">
        <w:t xml:space="preserve"> (dated </w:t>
      </w:r>
      <w:r w:rsidR="004E4AC1">
        <w:t>7 November 2014</w:t>
      </w:r>
      <w:r w:rsidR="00DA21D8">
        <w:t>) has advised of the inclusion</w:t>
      </w:r>
      <w:r w:rsidR="00C47FE6">
        <w:t xml:space="preserve"> of</w:t>
      </w:r>
      <w:r w:rsidR="00284ACF">
        <w:t xml:space="preserve"> four</w:t>
      </w:r>
      <w:r w:rsidR="00C47FE6">
        <w:t xml:space="preserve"> </w:t>
      </w:r>
      <w:r w:rsidR="0026273A">
        <w:t xml:space="preserve">Dalbergia </w:t>
      </w:r>
      <w:r w:rsidR="00C47FE6">
        <w:t>species</w:t>
      </w:r>
      <w:r w:rsidR="00DA21D8">
        <w:t xml:space="preserve"> </w:t>
      </w:r>
      <w:r w:rsidR="0026273A">
        <w:t>(</w:t>
      </w:r>
      <w:r w:rsidR="0026273A">
        <w:rPr>
          <w:i/>
          <w:iCs/>
          <w:sz w:val="22"/>
          <w:szCs w:val="22"/>
        </w:rPr>
        <w:t>Dalbergia calycina, Dalbergia cubilquitzensis, Dalbergia glomerat</w:t>
      </w:r>
      <w:r w:rsidR="00D917F7">
        <w:rPr>
          <w:i/>
          <w:iCs/>
          <w:sz w:val="22"/>
          <w:szCs w:val="22"/>
        </w:rPr>
        <w:t xml:space="preserve"> </w:t>
      </w:r>
      <w:r w:rsidR="00D917F7" w:rsidRPr="005660C7">
        <w:rPr>
          <w:iCs/>
          <w:sz w:val="22"/>
          <w:szCs w:val="22"/>
        </w:rPr>
        <w:t>and</w:t>
      </w:r>
      <w:r w:rsidR="0026273A">
        <w:t xml:space="preserve"> </w:t>
      </w:r>
      <w:r w:rsidR="0026273A" w:rsidRPr="00BA341F">
        <w:rPr>
          <w:i/>
          <w:iCs/>
          <w:sz w:val="22"/>
          <w:szCs w:val="22"/>
        </w:rPr>
        <w:t>Dalbergia tucurensis</w:t>
      </w:r>
      <w:r w:rsidR="0026273A" w:rsidRPr="0026273A">
        <w:rPr>
          <w:iCs/>
          <w:sz w:val="22"/>
          <w:szCs w:val="22"/>
        </w:rPr>
        <w:t>)</w:t>
      </w:r>
      <w:r w:rsidR="0026273A" w:rsidRPr="0026273A">
        <w:t xml:space="preserve"> </w:t>
      </w:r>
      <w:r w:rsidR="00DA21D8" w:rsidRPr="0026273A">
        <w:t>i</w:t>
      </w:r>
      <w:r w:rsidR="00DA21D8">
        <w:t>n Appendix III</w:t>
      </w:r>
      <w:r w:rsidR="00C47FE6">
        <w:t>.</w:t>
      </w:r>
      <w:r w:rsidR="00DA21D8">
        <w:t xml:space="preserve"> </w:t>
      </w:r>
      <w:r w:rsidR="005660C7">
        <w:t>T</w:t>
      </w:r>
      <w:r w:rsidR="00C62524">
        <w:t>he listing applies</w:t>
      </w:r>
      <w:r w:rsidR="005660C7">
        <w:t xml:space="preserve"> to logs, sawn wood, veneer sheets and plywood </w:t>
      </w:r>
      <w:r w:rsidR="00C62524">
        <w:t xml:space="preserve">only </w:t>
      </w:r>
      <w:r w:rsidR="005660C7">
        <w:t>and do</w:t>
      </w:r>
      <w:r w:rsidR="00C62524">
        <w:t>es</w:t>
      </w:r>
      <w:r w:rsidR="005660C7">
        <w:t xml:space="preserve"> not extend to manufactured products such as furniture or other carved items.</w:t>
      </w:r>
    </w:p>
    <w:p w:rsidR="0026273A" w:rsidRDefault="0026273A" w:rsidP="0026273A"/>
    <w:p w:rsidR="00C9502C" w:rsidRDefault="0026273A" w:rsidP="003E025F">
      <w:r w:rsidRPr="00220F07">
        <w:t>As Australia does not propose to lodge a reservation to the amendments</w:t>
      </w:r>
      <w:r>
        <w:t xml:space="preserve"> outlined in Notification to the Parties 2014/051</w:t>
      </w:r>
      <w:r w:rsidRPr="00220F07">
        <w:t xml:space="preserve">, the Appendix III amendments will enter into force </w:t>
      </w:r>
      <w:r>
        <w:t xml:space="preserve">on 5 February 2015. </w:t>
      </w:r>
      <w:r w:rsidR="003E025F" w:rsidRPr="00220F07">
        <w:rPr>
          <w:bCs/>
        </w:rPr>
        <w:t xml:space="preserve">The action is consistent with Australia’s strong commitment to the Convention and to international cooperation for the protection and conservation of wildlife more generally. </w:t>
      </w:r>
      <w:r w:rsidR="003E025F" w:rsidRPr="00220F07">
        <w:t>The</w:t>
      </w:r>
      <w:r w:rsidR="003E025F" w:rsidRPr="00220F07">
        <w:rPr>
          <w:color w:val="FF0000"/>
        </w:rPr>
        <w:t xml:space="preserve"> </w:t>
      </w:r>
      <w:r w:rsidR="003E025F" w:rsidRPr="00220F07">
        <w:t xml:space="preserve">Office of Best Practice Regulation, </w:t>
      </w:r>
      <w:r w:rsidR="003E025F" w:rsidRPr="00B44754">
        <w:t>Department of Prime Minister and Cabinet,</w:t>
      </w:r>
      <w:r w:rsidR="00E00D79">
        <w:t xml:space="preserve"> have advised that the</w:t>
      </w:r>
      <w:r w:rsidR="003E025F" w:rsidRPr="00220F07">
        <w:t xml:space="preserve"> </w:t>
      </w:r>
      <w:r w:rsidR="00C9502C">
        <w:t>impact of the inclusion of the four Dalbergia species in the list for the purposes of the Act</w:t>
      </w:r>
      <w:r w:rsidR="00C9502C" w:rsidRPr="00C9502C">
        <w:t xml:space="preserve"> </w:t>
      </w:r>
      <w:r w:rsidR="00C9502C">
        <w:t>would</w:t>
      </w:r>
      <w:r w:rsidR="00C9502C" w:rsidRPr="00220F07">
        <w:t xml:space="preserve"> be </w:t>
      </w:r>
      <w:r w:rsidR="00C9502C">
        <w:t xml:space="preserve">minor </w:t>
      </w:r>
      <w:r w:rsidR="00C9502C" w:rsidRPr="00220F07">
        <w:t>and that a Regulatory Impact Statement is not required</w:t>
      </w:r>
      <w:r w:rsidR="00C9502C">
        <w:t xml:space="preserve">. </w:t>
      </w:r>
    </w:p>
    <w:p w:rsidR="00C9502C" w:rsidRDefault="00C9502C" w:rsidP="003E025F"/>
    <w:p w:rsidR="00541AA3" w:rsidRDefault="00DA2D44" w:rsidP="00541AA3">
      <w:r>
        <w:t xml:space="preserve">The Convention’s Notification to the Parties 2014/014 (dated 26 March 2014) announced the inclusion in Appendix III of the subspecies </w:t>
      </w:r>
      <w:r w:rsidRPr="00DA2D44">
        <w:rPr>
          <w:i/>
        </w:rPr>
        <w:t>Capra hircus aegagrus</w:t>
      </w:r>
      <w:r>
        <w:t xml:space="preserve"> at the request of Pakistan. Australia gave effect to this inclusion in the list of species f</w:t>
      </w:r>
      <w:r w:rsidR="00D917F7">
        <w:t>or the purposes of the Act on 30</w:t>
      </w:r>
      <w:r>
        <w:t xml:space="preserve"> July 2014. Subsequent to the inclusion of this species on Appendix III, t</w:t>
      </w:r>
      <w:r w:rsidR="00576DEE">
        <w:t xml:space="preserve">he Convention’s Notification to the Parties 2014/044 (dated 10 October 2014) has advised of the inclusion of a notation to </w:t>
      </w:r>
      <w:r>
        <w:t xml:space="preserve">the existing </w:t>
      </w:r>
      <w:r w:rsidR="00576DEE">
        <w:t>Appendix III listing</w:t>
      </w:r>
      <w:r>
        <w:t xml:space="preserve"> for </w:t>
      </w:r>
      <w:r w:rsidRPr="00DA2D44">
        <w:rPr>
          <w:i/>
        </w:rPr>
        <w:t>Capra hircus aegagrus</w:t>
      </w:r>
      <w:r>
        <w:t>.</w:t>
      </w:r>
      <w:r w:rsidR="00576DEE">
        <w:t xml:space="preserve"> </w:t>
      </w:r>
      <w:r w:rsidR="00BD6936">
        <w:t xml:space="preserve">The notation was included to </w:t>
      </w:r>
      <w:r w:rsidR="00576DEE">
        <w:t>provide further clarification on the type of specimens listed</w:t>
      </w:r>
      <w:r w:rsidR="00BD6936">
        <w:t xml:space="preserve"> </w:t>
      </w:r>
      <w:r w:rsidR="00D917F7">
        <w:t>to address the</w:t>
      </w:r>
      <w:r w:rsidR="00BD6936">
        <w:t xml:space="preserve"> confusion among some Parties to the Convention</w:t>
      </w:r>
      <w:r w:rsidR="00576DEE">
        <w:t xml:space="preserve">. Subsection 303CA (9)(c) provides </w:t>
      </w:r>
      <w:r w:rsidR="00754C11">
        <w:t>for</w:t>
      </w:r>
      <w:r w:rsidR="00576DEE">
        <w:t xml:space="preserve"> the list </w:t>
      </w:r>
      <w:r w:rsidR="00754C11">
        <w:t>to</w:t>
      </w:r>
      <w:r w:rsidR="00576DEE">
        <w:t xml:space="preserve"> be amended to ensure that </w:t>
      </w:r>
      <w:r w:rsidR="00491405">
        <w:t xml:space="preserve">all notations on the list of species for the purposes of the Act </w:t>
      </w:r>
      <w:r w:rsidR="00576DEE">
        <w:t>are</w:t>
      </w:r>
      <w:r w:rsidR="00491405">
        <w:t xml:space="preserve"> consistent with the Convention.</w:t>
      </w:r>
      <w:r w:rsidR="00576DEE">
        <w:t xml:space="preserve"> </w:t>
      </w:r>
    </w:p>
    <w:p w:rsidR="00DB34BB" w:rsidRDefault="00DB34BB" w:rsidP="00541AA3"/>
    <w:p w:rsidR="002A70F3" w:rsidRPr="00EE47E0" w:rsidRDefault="00D917F7" w:rsidP="002A70F3">
      <w:r>
        <w:t>The Minister may, through s</w:t>
      </w:r>
      <w:r w:rsidR="00754C11">
        <w:t>ubsection 303CB (2)(a)</w:t>
      </w:r>
      <w:r>
        <w:t>,</w:t>
      </w:r>
      <w:r w:rsidR="00754C11">
        <w:t xml:space="preserve"> amend the list </w:t>
      </w:r>
      <w:r w:rsidR="004E6899">
        <w:t xml:space="preserve">for the purposes of the Act </w:t>
      </w:r>
      <w:r w:rsidR="00754C11">
        <w:t xml:space="preserve">to have the effect of treating a specified specimen </w:t>
      </w:r>
      <w:r w:rsidR="00867A39">
        <w:t>that is included on Appendix II to the Convention as if the specimen were included in Appendix I to the Convention.</w:t>
      </w:r>
      <w:r w:rsidR="00754C11">
        <w:t xml:space="preserve"> </w:t>
      </w:r>
      <w:r w:rsidR="002A70F3">
        <w:t xml:space="preserve">Australia, under the </w:t>
      </w:r>
      <w:r w:rsidR="002A70F3" w:rsidRPr="00B3263C">
        <w:rPr>
          <w:i/>
        </w:rPr>
        <w:t>Listing of CITES Species – Declaration of Stricter Domestic Measure</w:t>
      </w:r>
      <w:r w:rsidR="002A70F3">
        <w:t xml:space="preserve"> dated 10 December 2002 (F2007B00192), treats all specimens of </w:t>
      </w:r>
      <w:r w:rsidR="002A70F3" w:rsidRPr="00B3263C">
        <w:rPr>
          <w:i/>
        </w:rPr>
        <w:t>Loxodonta africana</w:t>
      </w:r>
      <w:r w:rsidR="002A70F3">
        <w:t xml:space="preserve"> (African elephant) as though they are included on Appendix I to </w:t>
      </w:r>
      <w:r w:rsidR="002A70F3">
        <w:lastRenderedPageBreak/>
        <w:t xml:space="preserve">the Convention. The current notation to the listing of </w:t>
      </w:r>
      <w:r w:rsidR="002A70F3">
        <w:rPr>
          <w:i/>
        </w:rPr>
        <w:t>Loxodonta africana</w:t>
      </w:r>
      <w:r w:rsidR="002A70F3">
        <w:t xml:space="preserve"> gives the incorrect impression that some populations are listed under Appendix II. To ensure that the list of species under </w:t>
      </w:r>
      <w:r w:rsidR="00F321FF">
        <w:t>the Convention</w:t>
      </w:r>
      <w:r w:rsidR="002A70F3">
        <w:t xml:space="preserve"> for the purposes of the Act is </w:t>
      </w:r>
      <w:r w:rsidR="00DB06A4">
        <w:t xml:space="preserve">interpreted </w:t>
      </w:r>
      <w:r w:rsidR="002A70F3">
        <w:t xml:space="preserve">consistent with the stricter domestic measure, the notation on the list under the Act has been amended. </w:t>
      </w:r>
    </w:p>
    <w:p w:rsidR="00541AA3" w:rsidRDefault="00541AA3" w:rsidP="00541AA3"/>
    <w:p w:rsidR="005D0E42" w:rsidRDefault="00DA2D44" w:rsidP="006A0539">
      <w:r>
        <w:t>The amendments to notations</w:t>
      </w:r>
      <w:r w:rsidR="00BD6936">
        <w:t xml:space="preserve"> for </w:t>
      </w:r>
      <w:r w:rsidR="00BD6936" w:rsidRPr="00DA2D44">
        <w:rPr>
          <w:i/>
        </w:rPr>
        <w:t>Capra hircus aegagrus</w:t>
      </w:r>
      <w:r w:rsidR="00BD6936">
        <w:t xml:space="preserve"> and </w:t>
      </w:r>
      <w:r w:rsidR="00BD6936">
        <w:rPr>
          <w:i/>
        </w:rPr>
        <w:t>Loxodonta africana</w:t>
      </w:r>
      <w:r>
        <w:t xml:space="preserve"> provide </w:t>
      </w:r>
      <w:r w:rsidR="00BD6936">
        <w:t xml:space="preserve">further </w:t>
      </w:r>
      <w:r>
        <w:t>clari</w:t>
      </w:r>
      <w:r w:rsidR="00AE0CEB">
        <w:t>fication about listing intent and</w:t>
      </w:r>
      <w:r>
        <w:t xml:space="preserve"> the effect of the stricter domestic measure. These amendments do not change existing permitting</w:t>
      </w:r>
      <w:r w:rsidR="00AE0CEB">
        <w:t xml:space="preserve"> and regulatory</w:t>
      </w:r>
      <w:r>
        <w:t xml:space="preserve"> requirements and will therefore have minimal impact.</w:t>
      </w:r>
      <w:r w:rsidR="006A0539" w:rsidRPr="00220F07">
        <w:t xml:space="preserve"> </w:t>
      </w:r>
    </w:p>
    <w:p w:rsidR="005D0E42" w:rsidRDefault="005D0E42" w:rsidP="006A0539"/>
    <w:p w:rsidR="006A0539" w:rsidRDefault="006A0539" w:rsidP="006A0539">
      <w:r w:rsidRPr="00220F07">
        <w:t xml:space="preserve">The purpose of this Instrument is to effect </w:t>
      </w:r>
      <w:r w:rsidR="00BD6936">
        <w:t xml:space="preserve">notation </w:t>
      </w:r>
      <w:r w:rsidRPr="00220F07">
        <w:t>amendments</w:t>
      </w:r>
      <w:r w:rsidR="00BD6936">
        <w:t xml:space="preserve"> for </w:t>
      </w:r>
      <w:r w:rsidR="00BD6936" w:rsidRPr="00DA2D44">
        <w:rPr>
          <w:i/>
        </w:rPr>
        <w:t>Capra hircus aegagrus</w:t>
      </w:r>
      <w:r w:rsidR="00BD6936">
        <w:t xml:space="preserve"> and </w:t>
      </w:r>
      <w:r w:rsidR="00BD6936">
        <w:rPr>
          <w:i/>
        </w:rPr>
        <w:t>Loxodonta africana</w:t>
      </w:r>
      <w:r w:rsidR="00BD6936">
        <w:t>, as well as the inclusion of the four Dalbergia species in Appendix III</w:t>
      </w:r>
      <w:r w:rsidRPr="00220F07">
        <w:t>.</w:t>
      </w:r>
    </w:p>
    <w:p w:rsidR="004E6899" w:rsidRDefault="004E6899" w:rsidP="00DA21D8"/>
    <w:p w:rsidR="00DA21D8" w:rsidRPr="00220F07" w:rsidRDefault="00DA21D8" w:rsidP="00DA21D8">
      <w:r w:rsidRPr="00220F07">
        <w:t xml:space="preserve">The instrument is a legislative instrument for the purposes of the </w:t>
      </w:r>
      <w:r w:rsidRPr="00220F07">
        <w:rPr>
          <w:i/>
        </w:rPr>
        <w:t>Legislative Instruments Act 2003</w:t>
      </w:r>
      <w:r w:rsidRPr="00220F07">
        <w:t>.</w:t>
      </w:r>
    </w:p>
    <w:p w:rsidR="00DA21D8" w:rsidRDefault="00DA21D8" w:rsidP="007C146B"/>
    <w:p w:rsidR="00EF0B36" w:rsidRDefault="00EF0B36" w:rsidP="007C146B">
      <w:r>
        <w:t xml:space="preserve">The Instrument will commence </w:t>
      </w:r>
      <w:r w:rsidR="000B0F0E" w:rsidRPr="00FA292E">
        <w:t>on the day after registration</w:t>
      </w:r>
      <w:r w:rsidR="000B0F0E">
        <w:t xml:space="preserve"> on the Federal Register of Legislative Instruments</w:t>
      </w:r>
      <w:r w:rsidR="00A670DE">
        <w:t>.</w:t>
      </w:r>
    </w:p>
    <w:p w:rsidR="00EF0B36" w:rsidRDefault="00EF0B36" w:rsidP="00EF0B36">
      <w:pPr>
        <w:rPr>
          <w:u w:val="single"/>
        </w:rPr>
      </w:pPr>
    </w:p>
    <w:p w:rsidR="004A79C6" w:rsidRDefault="00EF0B36">
      <w:r w:rsidRPr="00303E1D">
        <w:rPr>
          <w:u w:val="single"/>
        </w:rPr>
        <w:t xml:space="preserve">Authority: </w:t>
      </w:r>
      <w:r w:rsidRPr="00303E1D">
        <w:t>section</w:t>
      </w:r>
      <w:r>
        <w:t>s</w:t>
      </w:r>
      <w:r w:rsidRPr="00303E1D">
        <w:t xml:space="preserve"> 303CA(9)(b) and (c) of the </w:t>
      </w:r>
      <w:r w:rsidRPr="00303E1D">
        <w:rPr>
          <w:i/>
        </w:rPr>
        <w:t>Environment Protection and Biodiversity Conservation Act 1999</w:t>
      </w:r>
      <w:r w:rsidRPr="00303E1D">
        <w:t>.</w:t>
      </w:r>
    </w:p>
    <w:sectPr w:rsidR="004A79C6" w:rsidSect="00E809E9">
      <w:pgSz w:w="11906" w:h="16838"/>
      <w:pgMar w:top="1440" w:right="1080" w:bottom="851" w:left="108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02C" w:rsidRDefault="00C9502C" w:rsidP="001E350C">
      <w:r>
        <w:separator/>
      </w:r>
    </w:p>
  </w:endnote>
  <w:endnote w:type="continuationSeparator" w:id="0">
    <w:p w:rsidR="00C9502C" w:rsidRDefault="00C9502C" w:rsidP="001E3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02C" w:rsidRDefault="00C9502C" w:rsidP="001E350C">
      <w:r>
        <w:separator/>
      </w:r>
    </w:p>
  </w:footnote>
  <w:footnote w:type="continuationSeparator" w:id="0">
    <w:p w:rsidR="00C9502C" w:rsidRDefault="00C9502C" w:rsidP="001E35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B36"/>
    <w:rsid w:val="0000156C"/>
    <w:rsid w:val="0001416C"/>
    <w:rsid w:val="000354FB"/>
    <w:rsid w:val="00054765"/>
    <w:rsid w:val="000B0F0E"/>
    <w:rsid w:val="000B1485"/>
    <w:rsid w:val="000D0B4D"/>
    <w:rsid w:val="0010501C"/>
    <w:rsid w:val="00106B25"/>
    <w:rsid w:val="0011264A"/>
    <w:rsid w:val="00157853"/>
    <w:rsid w:val="00184A4C"/>
    <w:rsid w:val="001A3FA7"/>
    <w:rsid w:val="001E350C"/>
    <w:rsid w:val="002440F5"/>
    <w:rsid w:val="0026273A"/>
    <w:rsid w:val="00262A97"/>
    <w:rsid w:val="00284ACF"/>
    <w:rsid w:val="002A70F3"/>
    <w:rsid w:val="002F729F"/>
    <w:rsid w:val="00343A91"/>
    <w:rsid w:val="003C0C2A"/>
    <w:rsid w:val="003E025F"/>
    <w:rsid w:val="003E5B26"/>
    <w:rsid w:val="0045498A"/>
    <w:rsid w:val="004562B0"/>
    <w:rsid w:val="00462572"/>
    <w:rsid w:val="00490378"/>
    <w:rsid w:val="0049040D"/>
    <w:rsid w:val="00491405"/>
    <w:rsid w:val="00495140"/>
    <w:rsid w:val="004A79C6"/>
    <w:rsid w:val="004B3135"/>
    <w:rsid w:val="004D5C5D"/>
    <w:rsid w:val="004E4253"/>
    <w:rsid w:val="004E4AC1"/>
    <w:rsid w:val="004E6899"/>
    <w:rsid w:val="00505EF5"/>
    <w:rsid w:val="00513342"/>
    <w:rsid w:val="00541AA3"/>
    <w:rsid w:val="005660C7"/>
    <w:rsid w:val="00571A09"/>
    <w:rsid w:val="00576DEE"/>
    <w:rsid w:val="005D0E42"/>
    <w:rsid w:val="005E4425"/>
    <w:rsid w:val="00610FB6"/>
    <w:rsid w:val="00664071"/>
    <w:rsid w:val="00676A7E"/>
    <w:rsid w:val="00676CD3"/>
    <w:rsid w:val="006A0539"/>
    <w:rsid w:val="006E5A84"/>
    <w:rsid w:val="00754C11"/>
    <w:rsid w:val="007C146B"/>
    <w:rsid w:val="008008A9"/>
    <w:rsid w:val="00805E0F"/>
    <w:rsid w:val="00835587"/>
    <w:rsid w:val="00867A39"/>
    <w:rsid w:val="00903D32"/>
    <w:rsid w:val="009232EC"/>
    <w:rsid w:val="00977964"/>
    <w:rsid w:val="009A0688"/>
    <w:rsid w:val="009B5A08"/>
    <w:rsid w:val="009E63D0"/>
    <w:rsid w:val="00A4435C"/>
    <w:rsid w:val="00A670DE"/>
    <w:rsid w:val="00AA05C6"/>
    <w:rsid w:val="00AC3E44"/>
    <w:rsid w:val="00AE0CEB"/>
    <w:rsid w:val="00B0065B"/>
    <w:rsid w:val="00B10971"/>
    <w:rsid w:val="00B12520"/>
    <w:rsid w:val="00B3263C"/>
    <w:rsid w:val="00B44754"/>
    <w:rsid w:val="00B461BE"/>
    <w:rsid w:val="00B47295"/>
    <w:rsid w:val="00B5002D"/>
    <w:rsid w:val="00BC1A22"/>
    <w:rsid w:val="00BD6936"/>
    <w:rsid w:val="00C0455E"/>
    <w:rsid w:val="00C23041"/>
    <w:rsid w:val="00C47FE6"/>
    <w:rsid w:val="00C62524"/>
    <w:rsid w:val="00C9502C"/>
    <w:rsid w:val="00CE46C7"/>
    <w:rsid w:val="00CF0B9B"/>
    <w:rsid w:val="00D30A42"/>
    <w:rsid w:val="00D377CC"/>
    <w:rsid w:val="00D917F7"/>
    <w:rsid w:val="00DA21D8"/>
    <w:rsid w:val="00DA2D44"/>
    <w:rsid w:val="00DA6C3E"/>
    <w:rsid w:val="00DB06A4"/>
    <w:rsid w:val="00DB34BB"/>
    <w:rsid w:val="00DC6945"/>
    <w:rsid w:val="00DC73AE"/>
    <w:rsid w:val="00E00D79"/>
    <w:rsid w:val="00E104C4"/>
    <w:rsid w:val="00E809E9"/>
    <w:rsid w:val="00ED1639"/>
    <w:rsid w:val="00ED67AD"/>
    <w:rsid w:val="00EE47E0"/>
    <w:rsid w:val="00EF0B36"/>
    <w:rsid w:val="00F321FF"/>
    <w:rsid w:val="00F36203"/>
    <w:rsid w:val="00F82DC2"/>
    <w:rsid w:val="00F9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0B36"/>
    <w:pPr>
      <w:widowControl w:val="0"/>
      <w:tabs>
        <w:tab w:val="center" w:pos="4153"/>
        <w:tab w:val="right" w:pos="8306"/>
      </w:tabs>
    </w:pPr>
    <w:rPr>
      <w:snapToGrid w:val="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F0B3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rsid w:val="00EF0B3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F0B36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ageNumber">
    <w:name w:val="page number"/>
    <w:basedOn w:val="DefaultParagraphFont"/>
    <w:rsid w:val="00EF0B36"/>
  </w:style>
  <w:style w:type="paragraph" w:styleId="Title">
    <w:name w:val="Title"/>
    <w:basedOn w:val="Normal"/>
    <w:link w:val="TitleChar"/>
    <w:qFormat/>
    <w:rsid w:val="00EF0B36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EF0B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EF0B36"/>
    <w:pPr>
      <w:jc w:val="center"/>
    </w:pPr>
    <w:rPr>
      <w:i/>
      <w:iCs/>
      <w:lang w:eastAsia="en-US"/>
    </w:rPr>
  </w:style>
  <w:style w:type="character" w:customStyle="1" w:styleId="SubtitleChar">
    <w:name w:val="Subtitle Char"/>
    <w:basedOn w:val="DefaultParagraphFont"/>
    <w:link w:val="Subtitle"/>
    <w:rsid w:val="00EF0B36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6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7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7AD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7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7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7AD"/>
    <w:rPr>
      <w:rFonts w:ascii="Tahoma" w:eastAsia="Times New Roman" w:hAnsi="Tahoma" w:cs="Tahoma"/>
      <w:sz w:val="16"/>
      <w:szCs w:val="16"/>
      <w:lang w:eastAsia="en-AU"/>
    </w:rPr>
  </w:style>
  <w:style w:type="paragraph" w:styleId="Revision">
    <w:name w:val="Revision"/>
    <w:hidden/>
    <w:uiPriority w:val="99"/>
    <w:semiHidden/>
    <w:rsid w:val="00AA0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Approval xmlns="7d1753f3-b6db-484b-93d6-b74f5ca30d2d">For Review</Approval>
    <Function xmlns="7d1753f3-b6db-484b-93d6-b74f5ca30d2d">International</Function>
    <DocumentDescription xmlns="7d1753f3-b6db-484b-93d6-b74f5ca30d2d">Explanatory statement for amendment to the List of CITES Species under section 303CA of the EPBC Act to include several species on Appendix III as of 5 February 2015</DocumentDescription>
    <RecordNumber xmlns="7d1753f3-b6db-484b-93d6-b74f5ca30d2d">000262326</Record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PIRE Document" ma:contentTypeID="0x010100BB2CA5D4910ACE4AADB481B488BD147400FA829B4AF55F244EAE47CDC9BD732406" ma:contentTypeVersion="7" ma:contentTypeDescription="SPIRE Document" ma:contentTypeScope="" ma:versionID="2dd36d450d929e4bef24488138dc89e2">
  <xsd:schema xmlns:xsd="http://www.w3.org/2001/XMLSchema" xmlns:p="http://schemas.microsoft.com/office/2006/metadata/properties" xmlns:ns2="7d1753f3-b6db-484b-93d6-b74f5ca30d2d" xmlns:ns3="http://schemas.microsoft.com/sharepoint/v4" targetNamespace="http://schemas.microsoft.com/office/2006/metadata/properties" ma:root="true" ma:fieldsID="b2ec096d03561c45652c1a9423b4ccb8" ns2:_="" ns3:_="">
    <xsd:import namespace="7d1753f3-b6db-484b-93d6-b74f5ca30d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d1753f3-b6db-484b-93d6-b74f5ca30d2d" elementFormDefault="qualified">
    <xsd:import namespace="http://schemas.microsoft.com/office/2006/documentManagement/types"/>
    <xsd:element name="DocumentDescription" ma:index="8" nillable="true" ma:displayName="Document Description" ma:description="Document Description. Max 255 characters" ma:internalName="DocumentDescription">
      <xsd:simpleType>
        <xsd:restriction base="dms:Note"/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Administration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</xsd:restriction>
      </xsd:simpleType>
    </xsd:element>
  </xsd:schema>
  <xsd:schema xmlns:xsd="http://www.w3.org/2001/XMLSchema" xmlns:dms="http://schemas.microsoft.com/office/2006/documentManagement/types" targetNamespace="http://schemas.microsoft.com/sharepoint/v4" elementFormDefault="qualified">
    <xsd:import namespace="http://schemas.microsoft.com/office/2006/documentManagement/type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C4CA911-F7D8-4336-910A-B789E92BE2C3}"/>
</file>

<file path=customXml/itemProps2.xml><?xml version="1.0" encoding="utf-8"?>
<ds:datastoreItem xmlns:ds="http://schemas.openxmlformats.org/officeDocument/2006/customXml" ds:itemID="{7489C390-117E-47AD-B488-F21F90AFEF88}"/>
</file>

<file path=customXml/itemProps3.xml><?xml version="1.0" encoding="utf-8"?>
<ds:datastoreItem xmlns:ds="http://schemas.openxmlformats.org/officeDocument/2006/customXml" ds:itemID="{7EA5F2A4-FAA8-450A-AA28-01DF41A7788D}"/>
</file>

<file path=customXml/itemProps4.xml><?xml version="1.0" encoding="utf-8"?>
<ds:datastoreItem xmlns:ds="http://schemas.openxmlformats.org/officeDocument/2006/customXml" ds:itemID="{81AF2190-666E-4323-8F10-48209CEC9474}"/>
</file>

<file path=customXml/itemProps5.xml><?xml version="1.0" encoding="utf-8"?>
<ds:datastoreItem xmlns:ds="http://schemas.openxmlformats.org/officeDocument/2006/customXml" ds:itemID="{57C36231-C001-4EC1-910E-2FA6910F56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- Explanatory Statement Dalbergia App III - 150129</vt:lpstr>
    </vt:vector>
  </TitlesOfParts>
  <Company>DEWHA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- Explanatory Statement Dalbergia App III - 150129</dc:title>
  <dc:creator>A05850</dc:creator>
  <cp:lastModifiedBy>a15139</cp:lastModifiedBy>
  <cp:revision>2</cp:revision>
  <cp:lastPrinted>2014-06-27T00:26:00Z</cp:lastPrinted>
  <dcterms:created xsi:type="dcterms:W3CDTF">2015-02-04T22:26:00Z</dcterms:created>
  <dcterms:modified xsi:type="dcterms:W3CDTF">2015-02-04T22:26:00Z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0x010100BB2CA5D4910ACE4AADB481B488BD147400FA829B4AF55F244EAE47CDC9BD732406</vt:lpwstr>
  </property>
  <property fmtid="{D5CDD505-2E9C-101B-9397-08002B2CF9AE}" pid="3" name="RecordPoint_SubmissionDate">
    <vt:lpwstr/>
  </property>
  <property fmtid="{D5CDD505-2E9C-101B-9397-08002B2CF9AE}" pid="4" name="RecordPoint_RecordNumberSubmitted">
    <vt:lpwstr>000262326</vt:lpwstr>
  </property>
  <property fmtid="{D5CDD505-2E9C-101B-9397-08002B2CF9AE}" pid="5" name="RecordPoint_ActiveItemSiteId">
    <vt:lpwstr>{890acc58-830d-4c0f-8f38-0a6dcc0cb92f}</vt:lpwstr>
  </property>
  <property fmtid="{D5CDD505-2E9C-101B-9397-08002B2CF9AE}" pid="6" name="RecordPoint_ActiveItemListId">
    <vt:lpwstr>{8603bb64-ffce-48ca-be1c-084f01c244e0}</vt:lpwstr>
  </property>
  <property fmtid="{D5CDD505-2E9C-101B-9397-08002B2CF9AE}" pid="7" name="RecordPoint_RecordFormat">
    <vt:lpwstr/>
  </property>
  <property fmtid="{D5CDD505-2E9C-101B-9397-08002B2CF9AE}" pid="8" name="RecordPoint_SubmissionCompleted">
    <vt:lpwstr>2015-02-05T09:30:30.8939805+11:00</vt:lpwstr>
  </property>
  <property fmtid="{D5CDD505-2E9C-101B-9397-08002B2CF9AE}" pid="9" name="RecordPoint_ActiveItemMoved">
    <vt:lpwstr/>
  </property>
  <property fmtid="{D5CDD505-2E9C-101B-9397-08002B2CF9AE}" pid="10" name="RecordPoint_ActiveItemUniqueId">
    <vt:lpwstr>{85b17a08-ecff-40a7-93d6-d45829474fa3}</vt:lpwstr>
  </property>
  <property fmtid="{D5CDD505-2E9C-101B-9397-08002B2CF9AE}" pid="11" name="RecordPoint_ActiveItemWebId">
    <vt:lpwstr>{7d1753f3-b6db-484b-93d6-b74f5ca30d2d}</vt:lpwstr>
  </property>
  <property fmtid="{D5CDD505-2E9C-101B-9397-08002B2CF9AE}" pid="12" name="RecordPoint_WorkflowType">
    <vt:lpwstr>ActiveSubmitStub</vt:lpwstr>
  </property>
</Properties>
</file>