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25" w:rsidRPr="001C757B" w:rsidRDefault="00E43F29" w:rsidP="00E43F29">
      <w:pPr>
        <w:spacing w:before="0" w:after="240"/>
        <w:ind w:right="91"/>
        <w:jc w:val="center"/>
        <w:rPr>
          <w:b/>
          <w:sz w:val="28"/>
          <w:u w:val="single"/>
        </w:rPr>
      </w:pPr>
      <w:r w:rsidRPr="001C757B">
        <w:rPr>
          <w:b/>
          <w:sz w:val="28"/>
          <w:u w:val="single"/>
        </w:rPr>
        <w:t>EXPLANATORY STATEMENT</w:t>
      </w:r>
    </w:p>
    <w:p w:rsidR="00E43F29" w:rsidRPr="00CC27E5" w:rsidRDefault="00CC27E5" w:rsidP="00E43F29">
      <w:pPr>
        <w:spacing w:before="0"/>
        <w:rPr>
          <w:b/>
        </w:rPr>
      </w:pPr>
      <w:r w:rsidRPr="00CC27E5">
        <w:rPr>
          <w:b/>
        </w:rPr>
        <w:t>Issued by the authority of the Minister for Infrastructure and Regional Development</w:t>
      </w:r>
    </w:p>
    <w:p w:rsidR="00CC27E5" w:rsidRDefault="00CC27E5" w:rsidP="00E43F29">
      <w:pPr>
        <w:spacing w:before="0"/>
        <w:rPr>
          <w:i/>
        </w:rPr>
      </w:pPr>
    </w:p>
    <w:p w:rsidR="00E43F29" w:rsidRPr="00CC27E5" w:rsidRDefault="00E43F29" w:rsidP="005932C1">
      <w:pPr>
        <w:spacing w:before="0"/>
        <w:rPr>
          <w:i/>
        </w:rPr>
      </w:pPr>
      <w:r w:rsidRPr="00CC27E5">
        <w:rPr>
          <w:i/>
        </w:rPr>
        <w:t xml:space="preserve">International Interests in Mobile Equipment (Cape Town Convention) Rules 2014 </w:t>
      </w:r>
    </w:p>
    <w:p w:rsidR="005932C1" w:rsidRDefault="005932C1" w:rsidP="0057748F">
      <w:pPr>
        <w:spacing w:before="0"/>
      </w:pPr>
    </w:p>
    <w:p w:rsidR="005932C1" w:rsidRPr="006F551B" w:rsidRDefault="00B54CD9" w:rsidP="0057748F">
      <w:pPr>
        <w:spacing w:before="0"/>
        <w:rPr>
          <w:b/>
          <w:u w:val="single"/>
        </w:rPr>
      </w:pPr>
      <w:r w:rsidRPr="006F551B">
        <w:rPr>
          <w:b/>
          <w:u w:val="single"/>
        </w:rPr>
        <w:t xml:space="preserve">Background </w:t>
      </w:r>
    </w:p>
    <w:p w:rsidR="00B54CD9" w:rsidRPr="00537CB0" w:rsidRDefault="00B54CD9" w:rsidP="00B54CD9">
      <w:r w:rsidRPr="00537CB0">
        <w:t xml:space="preserve">The </w:t>
      </w:r>
      <w:r w:rsidRPr="00537CB0">
        <w:rPr>
          <w:i/>
        </w:rPr>
        <w:t>International Interests in Mobile Equipment (Cape Town Convention) Act 2013</w:t>
      </w:r>
      <w:r w:rsidRPr="00537CB0">
        <w:t xml:space="preserve"> received Royal Assent in June 2013.  The Act set</w:t>
      </w:r>
      <w:r w:rsidR="001C3FB3">
        <w:t>s</w:t>
      </w:r>
      <w:r w:rsidRPr="00537CB0">
        <w:t xml:space="preserve"> the legislative framework for Australia’s accession to the </w:t>
      </w:r>
      <w:r w:rsidR="001C3FB3" w:rsidRPr="001C3FB3">
        <w:rPr>
          <w:i/>
        </w:rPr>
        <w:t xml:space="preserve">Convention on International Interests in Mobile Equipment </w:t>
      </w:r>
      <w:r w:rsidR="001C3FB3" w:rsidRPr="00225047">
        <w:t>and</w:t>
      </w:r>
      <w:r w:rsidR="00225047">
        <w:t xml:space="preserve"> the</w:t>
      </w:r>
      <w:r w:rsidR="001C3FB3" w:rsidRPr="00225047">
        <w:t xml:space="preserve"> Protocol thereto on matters specific to aircraft equipment</w:t>
      </w:r>
      <w:r w:rsidR="001C3FB3">
        <w:t xml:space="preserve"> (collectively, the ‘</w:t>
      </w:r>
      <w:r w:rsidRPr="00537CB0">
        <w:t>Cape Town Convention</w:t>
      </w:r>
      <w:r w:rsidR="001C3FB3">
        <w:t xml:space="preserve">’).  </w:t>
      </w:r>
      <w:r w:rsidRPr="00537CB0">
        <w:t xml:space="preserve"> </w:t>
      </w:r>
      <w:r w:rsidR="001C3FB3">
        <w:t>The Act p</w:t>
      </w:r>
      <w:r w:rsidRPr="00537CB0">
        <w:t>rovide</w:t>
      </w:r>
      <w:r w:rsidR="001C3FB3">
        <w:t>s</w:t>
      </w:r>
      <w:r w:rsidRPr="00537CB0">
        <w:t xml:space="preserve"> for instruments to be made under the legislation to give the Cape Town Convention effect in Australia.  </w:t>
      </w:r>
    </w:p>
    <w:p w:rsidR="005932C1" w:rsidRPr="006F551B" w:rsidRDefault="005932C1" w:rsidP="00E43F29">
      <w:pPr>
        <w:rPr>
          <w:b/>
          <w:u w:val="single"/>
        </w:rPr>
      </w:pPr>
      <w:r w:rsidRPr="006F551B">
        <w:rPr>
          <w:b/>
          <w:u w:val="single"/>
        </w:rPr>
        <w:t xml:space="preserve">Purpose </w:t>
      </w:r>
    </w:p>
    <w:p w:rsidR="005932C1" w:rsidRDefault="00B54CD9" w:rsidP="00E43F29">
      <w:r w:rsidRPr="00E43F29">
        <w:t xml:space="preserve">The purpose of the legislative rules </w:t>
      </w:r>
      <w:r w:rsidR="006729B5">
        <w:t>(the R</w:t>
      </w:r>
      <w:r>
        <w:t xml:space="preserve">ules) </w:t>
      </w:r>
      <w:r w:rsidRPr="00E43F29">
        <w:t xml:space="preserve">is to confer powers upon </w:t>
      </w:r>
      <w:r>
        <w:t xml:space="preserve">the </w:t>
      </w:r>
      <w:r w:rsidRPr="00E43F29">
        <w:t>C</w:t>
      </w:r>
      <w:r>
        <w:t xml:space="preserve">ivil Aviation </w:t>
      </w:r>
      <w:r w:rsidRPr="00E43F29">
        <w:t>S</w:t>
      </w:r>
      <w:r>
        <w:t xml:space="preserve">afety Authority (CASA) </w:t>
      </w:r>
      <w:r w:rsidRPr="00E43F29">
        <w:t>in relation to an Irrevocable Deregistration and Export Request Authorisation (IDERA).  IDERAs are a voluntary measure that provides greater security to creditors by preventing a debtor from flying the asset to a jurisdiction w</w:t>
      </w:r>
      <w:r w:rsidR="00FE7DDD">
        <w:t>here the Cape Town Convention does</w:t>
      </w:r>
      <w:r w:rsidRPr="00E43F29">
        <w:t xml:space="preserve"> not apply.  </w:t>
      </w:r>
    </w:p>
    <w:p w:rsidR="00613606" w:rsidRDefault="00613606" w:rsidP="00E43F29">
      <w:r w:rsidRPr="00E43F29">
        <w:t xml:space="preserve">To facilitate this remedy, the registration holder will be able to submit an IDERA to CASA indicating that the ‘authorised party’ is the only party that has the right to deregister and export a specified aircraft object.  </w:t>
      </w:r>
    </w:p>
    <w:p w:rsidR="002725DC" w:rsidRPr="00E43F29" w:rsidRDefault="00D141FC" w:rsidP="002725DC">
      <w:r>
        <w:t>The R</w:t>
      </w:r>
      <w:r w:rsidR="002725DC" w:rsidRPr="00E43F29">
        <w:t>ules also provide for an</w:t>
      </w:r>
      <w:r w:rsidR="002725DC" w:rsidRPr="000E4051">
        <w:t xml:space="preserve"> authorised party</w:t>
      </w:r>
      <w:r w:rsidR="002725DC">
        <w:t xml:space="preserve"> to</w:t>
      </w:r>
      <w:r w:rsidR="002725DC" w:rsidRPr="000E4051">
        <w:t xml:space="preserve"> issu</w:t>
      </w:r>
      <w:r w:rsidR="002725DC">
        <w:t>e</w:t>
      </w:r>
      <w:r w:rsidR="002725DC" w:rsidRPr="000E4051">
        <w:t xml:space="preserve"> a certified designee confirmation letter </w:t>
      </w:r>
      <w:r w:rsidR="002725DC">
        <w:t>(</w:t>
      </w:r>
      <w:r w:rsidR="002725DC" w:rsidRPr="000E4051">
        <w:t>CDCL</w:t>
      </w:r>
      <w:r w:rsidR="002725DC">
        <w:t>)</w:t>
      </w:r>
      <w:r w:rsidR="002725DC" w:rsidRPr="000E4051">
        <w:t>.</w:t>
      </w:r>
      <w:r w:rsidR="002725DC">
        <w:t xml:space="preserve">  </w:t>
      </w:r>
      <w:r w:rsidR="002725DC" w:rsidRPr="00E43F29">
        <w:t xml:space="preserve">By signing a CDCL an authorised party will </w:t>
      </w:r>
      <w:r w:rsidR="002725DC">
        <w:t>transfer its</w:t>
      </w:r>
      <w:r w:rsidR="002725DC" w:rsidRPr="00E43F29">
        <w:t xml:space="preserve"> r</w:t>
      </w:r>
      <w:bookmarkStart w:id="0" w:name="_GoBack"/>
      <w:bookmarkEnd w:id="0"/>
      <w:r w:rsidR="002725DC" w:rsidRPr="00E43F29">
        <w:t xml:space="preserve">ights to the certified designee.  The CDCL </w:t>
      </w:r>
      <w:r w:rsidR="002725DC">
        <w:t>cannot</w:t>
      </w:r>
      <w:r w:rsidR="002725DC" w:rsidRPr="00E43F29">
        <w:t xml:space="preserve"> be withdrawn unless it has the consent of the certified designee.  </w:t>
      </w:r>
    </w:p>
    <w:p w:rsidR="002725DC" w:rsidRDefault="00D141FC" w:rsidP="00E43F29">
      <w:r>
        <w:t>The R</w:t>
      </w:r>
      <w:r w:rsidR="002725DC" w:rsidRPr="00E43F29">
        <w:t xml:space="preserve">ules provide for CASA to charge a processing fee to cover the administrative costs associated with the recording, removal and exercise of an IDERA. </w:t>
      </w:r>
    </w:p>
    <w:p w:rsidR="003D7B26" w:rsidRDefault="003D7B26" w:rsidP="00E43F29">
      <w:r>
        <w:t xml:space="preserve">Further detail on the administrative processes for the registration, </w:t>
      </w:r>
      <w:r w:rsidRPr="003D7B26">
        <w:t>cancellation and removal of an IDERA or CDCL</w:t>
      </w:r>
      <w:r>
        <w:t xml:space="preserve"> will be provided in future CASA advisory circulars.   </w:t>
      </w:r>
    </w:p>
    <w:p w:rsidR="005932C1" w:rsidRPr="006F551B" w:rsidRDefault="005932C1" w:rsidP="00E43F29">
      <w:pPr>
        <w:rPr>
          <w:b/>
          <w:u w:val="single"/>
        </w:rPr>
      </w:pPr>
      <w:r w:rsidRPr="006F551B">
        <w:rPr>
          <w:b/>
          <w:u w:val="single"/>
        </w:rPr>
        <w:t>Consultation</w:t>
      </w:r>
    </w:p>
    <w:p w:rsidR="00BF69A7" w:rsidRDefault="009802BC" w:rsidP="00BB10E8">
      <w:pPr>
        <w:pStyle w:val="NumberList"/>
        <w:numPr>
          <w:ilvl w:val="0"/>
          <w:numId w:val="0"/>
        </w:numPr>
        <w:tabs>
          <w:tab w:val="clear" w:pos="1985"/>
        </w:tabs>
        <w:spacing w:line="240" w:lineRule="auto"/>
      </w:pPr>
      <w:r w:rsidRPr="00BF69A7">
        <w:rPr>
          <w:lang w:eastAsia="en-AU"/>
        </w:rPr>
        <w:t>A public consultation</w:t>
      </w:r>
      <w:r w:rsidR="00FE7DDD" w:rsidRPr="00BF69A7">
        <w:rPr>
          <w:lang w:eastAsia="en-AU"/>
        </w:rPr>
        <w:t xml:space="preserve"> process on the draft Rules was conducted </w:t>
      </w:r>
      <w:r w:rsidR="00BF69A7">
        <w:rPr>
          <w:lang w:eastAsia="en-AU"/>
        </w:rPr>
        <w:t xml:space="preserve">for a period of four weeks </w:t>
      </w:r>
      <w:r w:rsidR="00FE7DDD" w:rsidRPr="00BF69A7">
        <w:rPr>
          <w:lang w:eastAsia="en-AU"/>
        </w:rPr>
        <w:t>in August 2014.</w:t>
      </w:r>
      <w:r w:rsidR="00BF69A7" w:rsidRPr="00BF69A7">
        <w:rPr>
          <w:lang w:eastAsia="en-AU"/>
        </w:rPr>
        <w:t xml:space="preserve">  </w:t>
      </w:r>
      <w:r w:rsidR="00BF69A7" w:rsidRPr="00BF69A7">
        <w:t xml:space="preserve">The Department </w:t>
      </w:r>
      <w:r w:rsidR="003F49F0">
        <w:t xml:space="preserve">of Infrastructure and Regional Development (the Department) </w:t>
      </w:r>
      <w:r w:rsidR="00BF69A7" w:rsidRPr="00BF69A7">
        <w:t>po</w:t>
      </w:r>
      <w:r w:rsidR="00720253">
        <w:t>sted a draft copy of the Rules and an explanation of the purpose and intent of the Rules o</w:t>
      </w:r>
      <w:r w:rsidR="00BF69A7" w:rsidRPr="00BF69A7">
        <w:t xml:space="preserve">n the Department’s website and publicised the process through industry organisations.  </w:t>
      </w:r>
    </w:p>
    <w:p w:rsidR="006F7155" w:rsidRDefault="006F7155" w:rsidP="00BF69A7">
      <w:pPr>
        <w:pStyle w:val="NumberList"/>
        <w:numPr>
          <w:ilvl w:val="0"/>
          <w:numId w:val="0"/>
        </w:numPr>
        <w:tabs>
          <w:tab w:val="clear" w:pos="1985"/>
        </w:tabs>
        <w:spacing w:before="0" w:line="240" w:lineRule="auto"/>
      </w:pPr>
    </w:p>
    <w:p w:rsidR="00F12C87" w:rsidRDefault="00F12C87" w:rsidP="00BF69A7">
      <w:pPr>
        <w:pStyle w:val="NumberList"/>
        <w:numPr>
          <w:ilvl w:val="0"/>
          <w:numId w:val="0"/>
        </w:numPr>
        <w:tabs>
          <w:tab w:val="clear" w:pos="1985"/>
        </w:tabs>
        <w:spacing w:before="0" w:line="240" w:lineRule="auto"/>
      </w:pPr>
      <w:r w:rsidRPr="00BF69A7">
        <w:t>Copies of the documentation were also provided to airlines, lawyers and financiers who have engaged with the Department in developing the implementation legislation.</w:t>
      </w:r>
      <w:r w:rsidRPr="00BF69A7">
        <w:rPr>
          <w:lang w:eastAsia="en-AU"/>
        </w:rPr>
        <w:t xml:space="preserve"> </w:t>
      </w:r>
    </w:p>
    <w:p w:rsidR="00F12C87" w:rsidRDefault="00F12C87" w:rsidP="00BF69A7">
      <w:pPr>
        <w:pStyle w:val="NumberList"/>
        <w:numPr>
          <w:ilvl w:val="0"/>
          <w:numId w:val="0"/>
        </w:numPr>
        <w:tabs>
          <w:tab w:val="clear" w:pos="1985"/>
        </w:tabs>
        <w:spacing w:before="0" w:line="240" w:lineRule="auto"/>
      </w:pPr>
    </w:p>
    <w:p w:rsidR="006F7155" w:rsidRDefault="006F7155" w:rsidP="00BF69A7">
      <w:pPr>
        <w:pStyle w:val="NumberList"/>
        <w:numPr>
          <w:ilvl w:val="0"/>
          <w:numId w:val="0"/>
        </w:numPr>
        <w:tabs>
          <w:tab w:val="clear" w:pos="1985"/>
        </w:tabs>
        <w:spacing w:before="0" w:line="240" w:lineRule="auto"/>
      </w:pPr>
      <w:r>
        <w:t xml:space="preserve">Submissions made to the Department were supportive of </w:t>
      </w:r>
      <w:r w:rsidR="00720253">
        <w:t>the draft Rules</w:t>
      </w:r>
      <w:r w:rsidR="00264357">
        <w:t xml:space="preserve"> and s</w:t>
      </w:r>
      <w:r w:rsidR="00F12C87">
        <w:t xml:space="preserve">takeholders </w:t>
      </w:r>
      <w:r>
        <w:t xml:space="preserve">noted </w:t>
      </w:r>
      <w:r w:rsidR="00655FC0">
        <w:t>that the processing fee charged</w:t>
      </w:r>
      <w:r>
        <w:t xml:space="preserve"> by CASA </w:t>
      </w:r>
      <w:r w:rsidR="00655FC0">
        <w:t xml:space="preserve">is reasonable given the potential savings airlines will be eligible for following the Cape Town Convention’s entry into force.  </w:t>
      </w:r>
    </w:p>
    <w:p w:rsidR="00BF69A7" w:rsidRPr="00BF69A7" w:rsidRDefault="00BF69A7" w:rsidP="00BF69A7">
      <w:pPr>
        <w:pStyle w:val="NumberList"/>
        <w:numPr>
          <w:ilvl w:val="0"/>
          <w:numId w:val="0"/>
        </w:numPr>
        <w:tabs>
          <w:tab w:val="clear" w:pos="1985"/>
        </w:tabs>
        <w:spacing w:before="0" w:line="240" w:lineRule="auto"/>
      </w:pPr>
    </w:p>
    <w:p w:rsidR="00C0223B" w:rsidRDefault="00C57D30" w:rsidP="000E0319">
      <w:pPr>
        <w:pStyle w:val="SignatureBlock-DOTARS"/>
        <w:tabs>
          <w:tab w:val="left" w:pos="720"/>
        </w:tabs>
        <w:rPr>
          <w:szCs w:val="24"/>
        </w:rPr>
      </w:pPr>
      <w:r>
        <w:rPr>
          <w:szCs w:val="24"/>
        </w:rPr>
        <w:lastRenderedPageBreak/>
        <w:t>The 2014 pub</w:t>
      </w:r>
      <w:r w:rsidR="00720253">
        <w:rPr>
          <w:szCs w:val="24"/>
        </w:rPr>
        <w:t>lic consultation process followed</w:t>
      </w:r>
      <w:r>
        <w:rPr>
          <w:szCs w:val="24"/>
        </w:rPr>
        <w:t xml:space="preserve"> f</w:t>
      </w:r>
      <w:r w:rsidR="000E0319" w:rsidRPr="004F3DF9">
        <w:rPr>
          <w:szCs w:val="24"/>
        </w:rPr>
        <w:t>ormal stakeholder consultations regarding the merits of Australia’s accession t</w:t>
      </w:r>
      <w:r>
        <w:rPr>
          <w:szCs w:val="24"/>
        </w:rPr>
        <w:t xml:space="preserve">o the Cape Town Convention </w:t>
      </w:r>
      <w:r w:rsidR="000E0319" w:rsidRPr="004F3DF9">
        <w:rPr>
          <w:szCs w:val="24"/>
        </w:rPr>
        <w:t xml:space="preserve">conducted by the Attorney General’s Department in 2003 and the Department in 2008.  </w:t>
      </w:r>
      <w:r w:rsidR="00C0223B">
        <w:rPr>
          <w:szCs w:val="24"/>
        </w:rPr>
        <w:t xml:space="preserve">Limited feedback was received but, of those that responded, there was broad support for accession.  </w:t>
      </w:r>
    </w:p>
    <w:p w:rsidR="00C0223B" w:rsidRDefault="00C0223B" w:rsidP="000E0319">
      <w:pPr>
        <w:pStyle w:val="SignatureBlock-DOTARS"/>
        <w:tabs>
          <w:tab w:val="left" w:pos="720"/>
        </w:tabs>
        <w:rPr>
          <w:szCs w:val="24"/>
        </w:rPr>
      </w:pPr>
    </w:p>
    <w:p w:rsidR="00C0223B" w:rsidRDefault="000E0319" w:rsidP="000E0319">
      <w:pPr>
        <w:pStyle w:val="SignatureBlock-DOTARS"/>
        <w:tabs>
          <w:tab w:val="left" w:pos="720"/>
        </w:tabs>
        <w:rPr>
          <w:szCs w:val="24"/>
        </w:rPr>
      </w:pPr>
      <w:r w:rsidRPr="004F3DF9">
        <w:rPr>
          <w:szCs w:val="24"/>
        </w:rPr>
        <w:t>The Department also released the Cape Town Convention Consultation Paper on 22 November 2010, inviting stakeholders to comment on a numb</w:t>
      </w:r>
      <w:r w:rsidR="00264357">
        <w:rPr>
          <w:szCs w:val="24"/>
        </w:rPr>
        <w:t>er of Convention issues that had</w:t>
      </w:r>
      <w:r w:rsidRPr="004F3DF9">
        <w:rPr>
          <w:szCs w:val="24"/>
        </w:rPr>
        <w:t xml:space="preserve"> yet to be explored with industry.  </w:t>
      </w:r>
      <w:r w:rsidR="00C0223B">
        <w:rPr>
          <w:szCs w:val="24"/>
        </w:rPr>
        <w:t xml:space="preserve">This consultation round generated greater industry interest and, again, there was </w:t>
      </w:r>
      <w:r w:rsidR="008F3426">
        <w:rPr>
          <w:szCs w:val="24"/>
        </w:rPr>
        <w:t>broad</w:t>
      </w:r>
      <w:r w:rsidR="00C0223B">
        <w:rPr>
          <w:szCs w:val="24"/>
        </w:rPr>
        <w:t xml:space="preserve"> support amongst the respondents to accede to the Convention.  </w:t>
      </w:r>
    </w:p>
    <w:p w:rsidR="00C0223B" w:rsidRDefault="00C0223B" w:rsidP="000E0319">
      <w:pPr>
        <w:pStyle w:val="SignatureBlock-DOTARS"/>
        <w:tabs>
          <w:tab w:val="left" w:pos="720"/>
        </w:tabs>
        <w:rPr>
          <w:szCs w:val="24"/>
        </w:rPr>
      </w:pPr>
    </w:p>
    <w:p w:rsidR="00C57D30" w:rsidRPr="00D0153A" w:rsidRDefault="00C57D30" w:rsidP="00D0153A">
      <w:pPr>
        <w:pStyle w:val="SignatureBlock-DOTARS"/>
        <w:tabs>
          <w:tab w:val="left" w:pos="720"/>
        </w:tabs>
        <w:rPr>
          <w:szCs w:val="24"/>
        </w:rPr>
      </w:pPr>
      <w:r w:rsidRPr="004F3DF9">
        <w:rPr>
          <w:szCs w:val="24"/>
        </w:rPr>
        <w:t xml:space="preserve">Australia’s accession to the Cape Town Convention was </w:t>
      </w:r>
      <w:r>
        <w:rPr>
          <w:szCs w:val="24"/>
        </w:rPr>
        <w:t xml:space="preserve">also </w:t>
      </w:r>
      <w:r w:rsidRPr="004F3DF9">
        <w:rPr>
          <w:szCs w:val="24"/>
        </w:rPr>
        <w:t>considered by the Joint Standing Committee on Treaties on 4 February 2013</w:t>
      </w:r>
      <w:r>
        <w:rPr>
          <w:szCs w:val="24"/>
        </w:rPr>
        <w:t xml:space="preserve">.  </w:t>
      </w:r>
      <w:r w:rsidR="00264357">
        <w:rPr>
          <w:szCs w:val="24"/>
        </w:rPr>
        <w:t>The</w:t>
      </w:r>
      <w:r w:rsidRPr="0092011E">
        <w:rPr>
          <w:szCs w:val="24"/>
        </w:rPr>
        <w:t xml:space="preserve"> Committee </w:t>
      </w:r>
      <w:r>
        <w:rPr>
          <w:szCs w:val="24"/>
        </w:rPr>
        <w:t>recommend</w:t>
      </w:r>
      <w:r w:rsidR="00264357">
        <w:rPr>
          <w:szCs w:val="24"/>
        </w:rPr>
        <w:t>ed</w:t>
      </w:r>
      <w:r w:rsidRPr="0092011E">
        <w:rPr>
          <w:szCs w:val="24"/>
        </w:rPr>
        <w:t xml:space="preserve"> that binding treaty action be taken.</w:t>
      </w:r>
      <w:r>
        <w:rPr>
          <w:szCs w:val="24"/>
        </w:rPr>
        <w:t xml:space="preserve">  </w:t>
      </w:r>
    </w:p>
    <w:p w:rsidR="00AF2CA9" w:rsidRPr="006F551B" w:rsidRDefault="00AF2CA9" w:rsidP="00675540">
      <w:pPr>
        <w:rPr>
          <w:b/>
          <w:u w:val="single"/>
        </w:rPr>
      </w:pPr>
      <w:r w:rsidRPr="006F551B">
        <w:rPr>
          <w:b/>
          <w:u w:val="single"/>
        </w:rPr>
        <w:t xml:space="preserve">Statement of </w:t>
      </w:r>
      <w:r w:rsidR="00881CDC" w:rsidRPr="006F551B">
        <w:rPr>
          <w:b/>
          <w:u w:val="single"/>
        </w:rPr>
        <w:t xml:space="preserve">Compatibility </w:t>
      </w:r>
      <w:r w:rsidRPr="006F551B">
        <w:rPr>
          <w:b/>
          <w:u w:val="single"/>
        </w:rPr>
        <w:t xml:space="preserve"> </w:t>
      </w:r>
    </w:p>
    <w:p w:rsidR="00AF2CA9" w:rsidRPr="00881CDC" w:rsidRDefault="00881CDC" w:rsidP="00881CDC">
      <w:pPr>
        <w:spacing w:before="120" w:after="120"/>
        <w:rPr>
          <w:szCs w:val="24"/>
        </w:rPr>
      </w:pPr>
      <w:r>
        <w:rPr>
          <w:szCs w:val="24"/>
        </w:rPr>
        <w:t xml:space="preserve">These Rules </w:t>
      </w:r>
      <w:r w:rsidR="00BF69A7">
        <w:rPr>
          <w:szCs w:val="24"/>
        </w:rPr>
        <w:t>do not engage</w:t>
      </w:r>
      <w:r w:rsidR="004F6F1A">
        <w:rPr>
          <w:szCs w:val="24"/>
        </w:rPr>
        <w:t xml:space="preserve"> any of the appl</w:t>
      </w:r>
      <w:r w:rsidR="006F7155">
        <w:rPr>
          <w:szCs w:val="24"/>
        </w:rPr>
        <w:t>icable rights or freedoms and are</w:t>
      </w:r>
      <w:r w:rsidR="004F6F1A">
        <w:rPr>
          <w:szCs w:val="24"/>
        </w:rPr>
        <w:t xml:space="preserve"> compatible</w:t>
      </w:r>
      <w:r w:rsidRPr="00441947">
        <w:rPr>
          <w:szCs w:val="24"/>
        </w:rPr>
        <w:t xml:space="preserve"> with the human rights and freedoms recognised or declared in the</w:t>
      </w:r>
      <w:r>
        <w:rPr>
          <w:szCs w:val="24"/>
        </w:rPr>
        <w:t xml:space="preserve"> </w:t>
      </w:r>
      <w:r w:rsidRPr="00441947">
        <w:rPr>
          <w:szCs w:val="24"/>
        </w:rPr>
        <w:t xml:space="preserve">international instruments listed in section 3 of the </w:t>
      </w:r>
      <w:r w:rsidRPr="00733A2D">
        <w:rPr>
          <w:i/>
          <w:szCs w:val="24"/>
        </w:rPr>
        <w:t>Human Rights (Parliamentary Scrutiny) Act 2011.</w:t>
      </w:r>
    </w:p>
    <w:p w:rsidR="00675540" w:rsidRPr="00B9312C" w:rsidRDefault="005932C1" w:rsidP="00675540">
      <w:r w:rsidRPr="006F551B">
        <w:rPr>
          <w:b/>
          <w:u w:val="single"/>
        </w:rPr>
        <w:t>Authority</w:t>
      </w:r>
      <w:r w:rsidRPr="0059737D">
        <w:rPr>
          <w:b/>
        </w:rPr>
        <w:t>:</w:t>
      </w:r>
      <w:r>
        <w:t xml:space="preserve">  Section 10 of the </w:t>
      </w:r>
      <w:r w:rsidRPr="00E43F29">
        <w:rPr>
          <w:i/>
        </w:rPr>
        <w:t>International Interests in Mobile Equipment (</w:t>
      </w:r>
      <w:r>
        <w:rPr>
          <w:i/>
        </w:rPr>
        <w:t>Cape Town Convention) Act 201</w:t>
      </w:r>
      <w:r w:rsidR="00646520">
        <w:rPr>
          <w:i/>
        </w:rPr>
        <w:t>3</w:t>
      </w:r>
      <w:r w:rsidR="00B9312C">
        <w:t>.</w:t>
      </w:r>
    </w:p>
    <w:p w:rsidR="00570C4A" w:rsidRDefault="000E0319" w:rsidP="000E0319">
      <w:pPr>
        <w:spacing w:before="0" w:after="200" w:line="276" w:lineRule="auto"/>
        <w:rPr>
          <w:b/>
        </w:rPr>
      </w:pPr>
      <w:r>
        <w:rPr>
          <w:b/>
        </w:rPr>
        <w:br w:type="page"/>
      </w:r>
      <w:r w:rsidR="005932C1" w:rsidRPr="0059737D">
        <w:rPr>
          <w:b/>
        </w:rPr>
        <w:lastRenderedPageBreak/>
        <w:t xml:space="preserve">Notes on Rules </w:t>
      </w:r>
    </w:p>
    <w:p w:rsidR="005A38B5" w:rsidRPr="005A38B5" w:rsidRDefault="005A38B5" w:rsidP="00570C4A">
      <w:pPr>
        <w:rPr>
          <w:b/>
          <w:u w:val="single"/>
        </w:rPr>
      </w:pPr>
      <w:r w:rsidRPr="005A38B5">
        <w:rPr>
          <w:b/>
          <w:u w:val="single"/>
        </w:rPr>
        <w:t>Part 1</w:t>
      </w:r>
      <w:r w:rsidR="00BD5F71" w:rsidRPr="00570C4A">
        <w:rPr>
          <w:b/>
        </w:rPr>
        <w:tab/>
      </w:r>
      <w:r w:rsidR="00BD5F71" w:rsidRPr="00BD5F71">
        <w:rPr>
          <w:b/>
        </w:rPr>
        <w:tab/>
      </w:r>
      <w:r w:rsidR="00BD5F71">
        <w:rPr>
          <w:b/>
          <w:u w:val="single"/>
        </w:rPr>
        <w:t>PRELIMINARY</w:t>
      </w:r>
    </w:p>
    <w:p w:rsidR="005A38B5" w:rsidRDefault="005A38B5">
      <w:pPr>
        <w:rPr>
          <w:b/>
        </w:rPr>
      </w:pPr>
      <w:r>
        <w:rPr>
          <w:b/>
        </w:rPr>
        <w:t xml:space="preserve">Rule 1 </w:t>
      </w:r>
      <w:r>
        <w:rPr>
          <w:b/>
        </w:rPr>
        <w:tab/>
        <w:t>Name of Rules</w:t>
      </w:r>
    </w:p>
    <w:p w:rsidR="005A38B5" w:rsidRDefault="00270A12" w:rsidP="005A38B5">
      <w:r>
        <w:t xml:space="preserve">This clause is a formal provision specifying the title of the Rules. </w:t>
      </w:r>
    </w:p>
    <w:p w:rsidR="005A38B5" w:rsidRPr="005A38B5" w:rsidRDefault="005A38B5" w:rsidP="005A38B5">
      <w:pPr>
        <w:rPr>
          <w:b/>
        </w:rPr>
      </w:pPr>
      <w:r>
        <w:rPr>
          <w:b/>
        </w:rPr>
        <w:t>Rule</w:t>
      </w:r>
      <w:r w:rsidRPr="005A38B5">
        <w:rPr>
          <w:b/>
        </w:rPr>
        <w:t xml:space="preserve"> 2</w:t>
      </w:r>
      <w:r w:rsidRPr="005A38B5">
        <w:rPr>
          <w:b/>
        </w:rPr>
        <w:tab/>
      </w:r>
      <w:r w:rsidRPr="005A38B5">
        <w:rPr>
          <w:b/>
        </w:rPr>
        <w:tab/>
        <w:t>Commencement</w:t>
      </w:r>
    </w:p>
    <w:p w:rsidR="005A38B5" w:rsidRPr="004C0164" w:rsidRDefault="00270A12" w:rsidP="005A38B5">
      <w:r>
        <w:t xml:space="preserve">This Rule sets out the commencement date of the Rules.  The </w:t>
      </w:r>
      <w:r w:rsidR="00BD5F71">
        <w:t>R</w:t>
      </w:r>
      <w:r w:rsidR="005A38B5">
        <w:t xml:space="preserve">ules </w:t>
      </w:r>
      <w:r>
        <w:t>will</w:t>
      </w:r>
      <w:r w:rsidR="00525B82">
        <w:t xml:space="preserve"> </w:t>
      </w:r>
      <w:r w:rsidR="005A38B5">
        <w:t xml:space="preserve">commence </w:t>
      </w:r>
      <w:r w:rsidR="005A38B5" w:rsidRPr="005A38B5">
        <w:t xml:space="preserve">on the day </w:t>
      </w:r>
      <w:r>
        <w:t>sections 3 to 10</w:t>
      </w:r>
      <w:r w:rsidR="004C0164">
        <w:t xml:space="preserve"> of the </w:t>
      </w:r>
      <w:r w:rsidR="004C0164" w:rsidRPr="00E43F29">
        <w:rPr>
          <w:i/>
        </w:rPr>
        <w:t>International Interests in Mobile Equipment (</w:t>
      </w:r>
      <w:r w:rsidR="004C0164">
        <w:rPr>
          <w:i/>
        </w:rPr>
        <w:t>Cape Town Convention) Act 2014</w:t>
      </w:r>
      <w:r w:rsidR="004C0164">
        <w:t xml:space="preserve"> </w:t>
      </w:r>
      <w:r>
        <w:t>are</w:t>
      </w:r>
      <w:r w:rsidR="004C0164">
        <w:t xml:space="preserve"> </w:t>
      </w:r>
      <w:proofErr w:type="gramStart"/>
      <w:r w:rsidR="004C0164">
        <w:t>Proclaimed</w:t>
      </w:r>
      <w:proofErr w:type="gramEnd"/>
      <w:r w:rsidR="004C0164">
        <w:t>.</w:t>
      </w:r>
      <w:r>
        <w:t xml:space="preserve">  It is intended that the Rules will commence on the same day as the Cape Town Convention and Protocol come into force in Australia.  </w:t>
      </w:r>
      <w:r w:rsidR="004C0164">
        <w:t xml:space="preserve"> </w:t>
      </w:r>
    </w:p>
    <w:p w:rsidR="005A38B5" w:rsidRDefault="005A38B5">
      <w:pPr>
        <w:rPr>
          <w:b/>
        </w:rPr>
      </w:pPr>
      <w:r>
        <w:rPr>
          <w:b/>
        </w:rPr>
        <w:t>Rule 3</w:t>
      </w:r>
      <w:r>
        <w:rPr>
          <w:b/>
        </w:rPr>
        <w:tab/>
      </w:r>
      <w:r>
        <w:rPr>
          <w:b/>
        </w:rPr>
        <w:tab/>
        <w:t>Definitions</w:t>
      </w:r>
    </w:p>
    <w:p w:rsidR="005A38B5" w:rsidRDefault="00270A12">
      <w:r>
        <w:t>This Rule</w:t>
      </w:r>
      <w:r w:rsidR="00525B82">
        <w:t xml:space="preserve"> defines specific terms and clarifies meanings of terms </w:t>
      </w:r>
      <w:r w:rsidR="001C3FB3">
        <w:t>used in</w:t>
      </w:r>
      <w:r w:rsidR="00525B82">
        <w:t xml:space="preserve"> the Rules</w:t>
      </w:r>
      <w:r w:rsidR="001C3FB3">
        <w:t xml:space="preserve"> and their relation to terms used in</w:t>
      </w:r>
      <w:r w:rsidR="00525B82">
        <w:t xml:space="preserve"> the </w:t>
      </w:r>
      <w:r w:rsidR="001C3FB3">
        <w:t xml:space="preserve">Cape Town </w:t>
      </w:r>
      <w:r w:rsidR="00525B82">
        <w:t>Convention</w:t>
      </w:r>
      <w:r w:rsidR="001C3FB3">
        <w:t xml:space="preserve"> and </w:t>
      </w:r>
      <w:r w:rsidR="00525B82">
        <w:t xml:space="preserve">Part 47 of the </w:t>
      </w:r>
      <w:r w:rsidR="00525B82" w:rsidRPr="001C3FB3">
        <w:rPr>
          <w:i/>
        </w:rPr>
        <w:t>C</w:t>
      </w:r>
      <w:r w:rsidR="001C3FB3" w:rsidRPr="001C3FB3">
        <w:rPr>
          <w:i/>
        </w:rPr>
        <w:t xml:space="preserve">ivil Aviation </w:t>
      </w:r>
      <w:r w:rsidR="00525B82" w:rsidRPr="001C3FB3">
        <w:rPr>
          <w:i/>
        </w:rPr>
        <w:t>S</w:t>
      </w:r>
      <w:r w:rsidR="001C3FB3" w:rsidRPr="001C3FB3">
        <w:rPr>
          <w:i/>
        </w:rPr>
        <w:t xml:space="preserve">afety </w:t>
      </w:r>
      <w:r w:rsidR="00525B82" w:rsidRPr="001C3FB3">
        <w:rPr>
          <w:i/>
        </w:rPr>
        <w:t>R</w:t>
      </w:r>
      <w:r w:rsidR="001C3FB3" w:rsidRPr="001C3FB3">
        <w:rPr>
          <w:i/>
        </w:rPr>
        <w:t>egulations</w:t>
      </w:r>
      <w:r w:rsidR="001C3FB3">
        <w:rPr>
          <w:i/>
        </w:rPr>
        <w:t xml:space="preserve">  </w:t>
      </w:r>
      <w:r w:rsidR="00C60C73">
        <w:rPr>
          <w:i/>
        </w:rPr>
        <w:t>1998.</w:t>
      </w:r>
      <w:r w:rsidR="001C3FB3">
        <w:t xml:space="preserve"> </w:t>
      </w:r>
      <w:r w:rsidR="00525B82">
        <w:t xml:space="preserve">   </w:t>
      </w:r>
    </w:p>
    <w:p w:rsidR="00BD5F71" w:rsidRDefault="00BD5F71" w:rsidP="003813CD">
      <w:pPr>
        <w:spacing w:before="0"/>
      </w:pPr>
    </w:p>
    <w:p w:rsidR="007F6C22" w:rsidRPr="007F6C22" w:rsidRDefault="00BD5F71" w:rsidP="007F6C22">
      <w:pPr>
        <w:ind w:left="1440" w:hanging="1440"/>
        <w:rPr>
          <w:b/>
          <w:u w:val="single"/>
        </w:rPr>
      </w:pPr>
      <w:r w:rsidRPr="00BD5F71">
        <w:rPr>
          <w:b/>
          <w:u w:val="single"/>
        </w:rPr>
        <w:t xml:space="preserve">Part </w:t>
      </w:r>
      <w:proofErr w:type="gramStart"/>
      <w:r w:rsidRPr="00BD5F71">
        <w:rPr>
          <w:b/>
          <w:u w:val="single"/>
        </w:rPr>
        <w:t>2</w:t>
      </w:r>
      <w:r w:rsidRPr="00BD5F71">
        <w:rPr>
          <w:b/>
        </w:rPr>
        <w:tab/>
      </w:r>
      <w:r>
        <w:rPr>
          <w:b/>
          <w:u w:val="single"/>
        </w:rPr>
        <w:t xml:space="preserve">RECORDATION OF AUTHORISATIONS ON THE AUSTRALIAN </w:t>
      </w:r>
      <w:r w:rsidR="007F6C22">
        <w:rPr>
          <w:b/>
          <w:u w:val="single"/>
        </w:rPr>
        <w:t>CIVIL AIRCRAFT REGISTER</w:t>
      </w:r>
      <w:proofErr w:type="gramEnd"/>
    </w:p>
    <w:p w:rsidR="00BD5F71" w:rsidRDefault="007F6C22" w:rsidP="00BD5F71">
      <w:pPr>
        <w:ind w:left="1440" w:hanging="1440"/>
        <w:rPr>
          <w:b/>
        </w:rPr>
      </w:pPr>
      <w:r w:rsidRPr="007F6C22">
        <w:rPr>
          <w:b/>
        </w:rPr>
        <w:t>Rule 4</w:t>
      </w:r>
      <w:r>
        <w:rPr>
          <w:b/>
        </w:rPr>
        <w:tab/>
      </w:r>
      <w:proofErr w:type="gramStart"/>
      <w:r>
        <w:rPr>
          <w:b/>
        </w:rPr>
        <w:t>Submission</w:t>
      </w:r>
      <w:proofErr w:type="gramEnd"/>
      <w:r>
        <w:rPr>
          <w:b/>
        </w:rPr>
        <w:t xml:space="preserve"> and Recording of an IDERA </w:t>
      </w:r>
    </w:p>
    <w:p w:rsidR="00F53F9A" w:rsidRDefault="00270A12" w:rsidP="00E6303D">
      <w:r>
        <w:t>This Rule</w:t>
      </w:r>
      <w:r w:rsidR="00F53F9A">
        <w:t xml:space="preserve"> </w:t>
      </w:r>
      <w:r>
        <w:t xml:space="preserve">outlines the process by which </w:t>
      </w:r>
      <w:r w:rsidR="00CE797E">
        <w:t xml:space="preserve">IDERAs </w:t>
      </w:r>
      <w:r>
        <w:t>are</w:t>
      </w:r>
      <w:r w:rsidR="00CE797E">
        <w:t xml:space="preserve"> submitted to CASA.  Provided the request is made in accordance with the terms </w:t>
      </w:r>
      <w:r>
        <w:t>this Rule</w:t>
      </w:r>
      <w:r w:rsidR="00CE797E">
        <w:t xml:space="preserve">, </w:t>
      </w:r>
      <w:r w:rsidR="00D00836">
        <w:t xml:space="preserve">CASA </w:t>
      </w:r>
      <w:r>
        <w:t xml:space="preserve">will record the IDERA on the Australian Civil Aircraft Register and </w:t>
      </w:r>
      <w:r w:rsidR="00D00836">
        <w:t xml:space="preserve">return </w:t>
      </w:r>
      <w:r w:rsidR="001C3FB3">
        <w:t>a</w:t>
      </w:r>
      <w:r w:rsidR="00C60C73">
        <w:t xml:space="preserve"> countersigned original</w:t>
      </w:r>
      <w:r w:rsidR="00D00836">
        <w:t xml:space="preserve"> copy to the requesting registration holder within </w:t>
      </w:r>
      <w:r w:rsidR="00C60C73">
        <w:t>five</w:t>
      </w:r>
      <w:r w:rsidR="00D00836">
        <w:t xml:space="preserve"> working days.</w:t>
      </w:r>
      <w:r w:rsidR="00C60C73">
        <w:t xml:space="preserve">  Only one IDERA can be recorded against a specific aircraft at any given time.   </w:t>
      </w:r>
      <w:r w:rsidR="00D00836">
        <w:t xml:space="preserve">   </w:t>
      </w:r>
      <w:r w:rsidR="00340C25">
        <w:t xml:space="preserve">   </w:t>
      </w:r>
      <w:r w:rsidR="00F53F9A">
        <w:t xml:space="preserve"> </w:t>
      </w:r>
    </w:p>
    <w:p w:rsidR="0057748F" w:rsidRPr="0057748F" w:rsidRDefault="0057748F" w:rsidP="00E6303D">
      <w:pPr>
        <w:rPr>
          <w:b/>
        </w:rPr>
      </w:pPr>
      <w:r w:rsidRPr="0057748F">
        <w:rPr>
          <w:b/>
        </w:rPr>
        <w:t>Rule 5</w:t>
      </w:r>
      <w:r w:rsidRPr="0057748F">
        <w:rPr>
          <w:b/>
        </w:rPr>
        <w:tab/>
      </w:r>
      <w:r w:rsidRPr="0057748F">
        <w:rPr>
          <w:b/>
        </w:rPr>
        <w:tab/>
      </w:r>
      <w:r w:rsidR="0064296C">
        <w:rPr>
          <w:b/>
        </w:rPr>
        <w:t>Submission and recording of CDC</w:t>
      </w:r>
      <w:r w:rsidRPr="0057748F">
        <w:rPr>
          <w:b/>
        </w:rPr>
        <w:t>L</w:t>
      </w:r>
    </w:p>
    <w:p w:rsidR="0057748F" w:rsidRDefault="00270A12" w:rsidP="00E6303D">
      <w:r>
        <w:t>This Rule</w:t>
      </w:r>
      <w:r w:rsidR="00D00836">
        <w:t xml:space="preserve"> provides </w:t>
      </w:r>
      <w:r w:rsidR="00CE797E">
        <w:t xml:space="preserve">for CDCLs to be recorded </w:t>
      </w:r>
      <w:r>
        <w:t xml:space="preserve">against </w:t>
      </w:r>
      <w:r w:rsidR="00CE797E">
        <w:t xml:space="preserve">an IDERA </w:t>
      </w:r>
      <w:r w:rsidR="00C60C73">
        <w:t xml:space="preserve">which has already been registered </w:t>
      </w:r>
      <w:r w:rsidR="008F1DB5">
        <w:t xml:space="preserve">on the </w:t>
      </w:r>
      <w:r>
        <w:t xml:space="preserve">Australian </w:t>
      </w:r>
      <w:r w:rsidR="008F1DB5">
        <w:t>Civil Aircraft</w:t>
      </w:r>
      <w:r w:rsidR="0057748F">
        <w:t xml:space="preserve"> Register.</w:t>
      </w:r>
      <w:r w:rsidR="00D00836">
        <w:t xml:space="preserve">  </w:t>
      </w:r>
      <w:r w:rsidR="003F7D44">
        <w:t xml:space="preserve">Provided the request is made in accordance with the terms </w:t>
      </w:r>
      <w:r>
        <w:t>of this Rule</w:t>
      </w:r>
      <w:r w:rsidR="003F7D44">
        <w:t xml:space="preserve">, </w:t>
      </w:r>
      <w:r w:rsidR="00D00836">
        <w:t xml:space="preserve">CASA </w:t>
      </w:r>
      <w:r>
        <w:t xml:space="preserve">will record the CDCL on the Australian Civil Aircraft Register and </w:t>
      </w:r>
      <w:r w:rsidR="00D00836">
        <w:t xml:space="preserve">return </w:t>
      </w:r>
      <w:r w:rsidR="00C60C73">
        <w:t xml:space="preserve">a countersigned original </w:t>
      </w:r>
      <w:r w:rsidR="00D00836">
        <w:t>copy to the requesting registrati</w:t>
      </w:r>
      <w:r w:rsidR="00C60C73">
        <w:t xml:space="preserve">on holder within five working days.  Only one CDCL can be recorded against a specific aircraft at any given time. </w:t>
      </w:r>
      <w:r w:rsidR="00D00836">
        <w:t xml:space="preserve">         </w:t>
      </w:r>
      <w:r w:rsidR="0057748F">
        <w:t xml:space="preserve"> </w:t>
      </w:r>
    </w:p>
    <w:p w:rsidR="00104982" w:rsidRDefault="00F726D8" w:rsidP="00E6303D">
      <w:pPr>
        <w:rPr>
          <w:b/>
        </w:rPr>
      </w:pPr>
      <w:r>
        <w:rPr>
          <w:b/>
        </w:rPr>
        <w:t>Rule 6</w:t>
      </w:r>
      <w:r>
        <w:rPr>
          <w:b/>
        </w:rPr>
        <w:tab/>
      </w:r>
      <w:r>
        <w:rPr>
          <w:b/>
        </w:rPr>
        <w:tab/>
        <w:t xml:space="preserve">Removal of an IDERA </w:t>
      </w:r>
    </w:p>
    <w:p w:rsidR="007537BE" w:rsidRDefault="00270A12" w:rsidP="00E6303D">
      <w:r>
        <w:t>This Rule</w:t>
      </w:r>
      <w:r w:rsidR="008F1DB5">
        <w:t xml:space="preserve"> provides for the removal of an IDERA fro</w:t>
      </w:r>
      <w:r w:rsidR="00CE797E">
        <w:t xml:space="preserve">m the </w:t>
      </w:r>
      <w:r>
        <w:t xml:space="preserve">Australian </w:t>
      </w:r>
      <w:r w:rsidR="00CE797E">
        <w:t>Civil A</w:t>
      </w:r>
      <w:r>
        <w:t>ircraft</w:t>
      </w:r>
      <w:r w:rsidR="00CE797E">
        <w:t xml:space="preserve"> Register.</w:t>
      </w:r>
      <w:r w:rsidR="003F7D44">
        <w:t xml:space="preserve"> </w:t>
      </w:r>
      <w:r w:rsidR="00CE797E">
        <w:t xml:space="preserve">Provided the request is made in accordance with the terms of </w:t>
      </w:r>
      <w:r>
        <w:t xml:space="preserve">this Rule, </w:t>
      </w:r>
      <w:r w:rsidR="008F1DB5">
        <w:t xml:space="preserve">CASA </w:t>
      </w:r>
      <w:r>
        <w:t xml:space="preserve">will </w:t>
      </w:r>
      <w:r w:rsidR="008F1DB5">
        <w:t xml:space="preserve">remove </w:t>
      </w:r>
      <w:r w:rsidR="007537BE">
        <w:t>the IDERA from the Australian Civil A</w:t>
      </w:r>
      <w:r w:rsidR="00B048E9">
        <w:t xml:space="preserve">ircraft </w:t>
      </w:r>
      <w:r w:rsidR="007537BE">
        <w:t>Register</w:t>
      </w:r>
      <w:r w:rsidR="00C60C73">
        <w:t xml:space="preserve"> as soon as practicable</w:t>
      </w:r>
      <w:r w:rsidR="003F7D44">
        <w:t>.</w:t>
      </w:r>
    </w:p>
    <w:p w:rsidR="007537BE" w:rsidRPr="00413DD2" w:rsidRDefault="00413DD2" w:rsidP="00E6303D">
      <w:pPr>
        <w:rPr>
          <w:b/>
        </w:rPr>
      </w:pPr>
      <w:r w:rsidRPr="00413DD2">
        <w:rPr>
          <w:b/>
        </w:rPr>
        <w:t>Rule 7</w:t>
      </w:r>
      <w:r w:rsidRPr="00413DD2">
        <w:rPr>
          <w:b/>
        </w:rPr>
        <w:tab/>
      </w:r>
      <w:r w:rsidRPr="00413DD2">
        <w:rPr>
          <w:b/>
        </w:rPr>
        <w:tab/>
        <w:t>Removal of CDCL</w:t>
      </w:r>
    </w:p>
    <w:p w:rsidR="00FF74CC" w:rsidRDefault="00270A12" w:rsidP="00FF74CC">
      <w:r>
        <w:t>This Rule</w:t>
      </w:r>
      <w:r w:rsidR="008F1DB5">
        <w:t xml:space="preserve"> provides for the removal of a CDCL from the </w:t>
      </w:r>
      <w:r>
        <w:t xml:space="preserve">Australian </w:t>
      </w:r>
      <w:r w:rsidR="008F1DB5">
        <w:t xml:space="preserve">Civil </w:t>
      </w:r>
      <w:r>
        <w:t xml:space="preserve">Aircraft </w:t>
      </w:r>
      <w:r w:rsidR="008F1DB5">
        <w:t xml:space="preserve">Register.  </w:t>
      </w:r>
      <w:r w:rsidR="003F7D44">
        <w:t xml:space="preserve">Provided the request is made in the approved form, CASA </w:t>
      </w:r>
      <w:r>
        <w:t>will</w:t>
      </w:r>
      <w:r w:rsidR="003F7D44">
        <w:t xml:space="preserve"> remove the </w:t>
      </w:r>
      <w:r>
        <w:t>CDCL</w:t>
      </w:r>
      <w:r w:rsidR="003F7D44">
        <w:t xml:space="preserve"> from the Australian Civil Aircraft Register</w:t>
      </w:r>
      <w:r w:rsidR="00C60C73">
        <w:t xml:space="preserve"> as soon as practicable</w:t>
      </w:r>
      <w:r w:rsidR="003F7D44">
        <w:t>.</w:t>
      </w:r>
    </w:p>
    <w:p w:rsidR="00360BFD" w:rsidRDefault="00FF74CC" w:rsidP="00E6303D">
      <w:pPr>
        <w:rPr>
          <w:b/>
        </w:rPr>
      </w:pPr>
      <w:r>
        <w:rPr>
          <w:b/>
        </w:rPr>
        <w:lastRenderedPageBreak/>
        <w:t xml:space="preserve">Rule 8 </w:t>
      </w:r>
      <w:r>
        <w:rPr>
          <w:b/>
        </w:rPr>
        <w:tab/>
        <w:t>De-registration requests</w:t>
      </w:r>
    </w:p>
    <w:p w:rsidR="00C60C73" w:rsidRDefault="00270A12" w:rsidP="00E6303D">
      <w:r>
        <w:t>This Rule</w:t>
      </w:r>
      <w:r w:rsidR="00296B01">
        <w:t xml:space="preserve"> prescribes the proces</w:t>
      </w:r>
      <w:r w:rsidR="008F1DB5">
        <w:t xml:space="preserve">s </w:t>
      </w:r>
      <w:r>
        <w:t>of exercising a deregistration request under</w:t>
      </w:r>
      <w:r w:rsidR="008F1DB5">
        <w:t xml:space="preserve"> </w:t>
      </w:r>
      <w:r w:rsidR="003813CD">
        <w:t xml:space="preserve">an IDERA or </w:t>
      </w:r>
      <w:r>
        <w:t xml:space="preserve">a </w:t>
      </w:r>
      <w:r w:rsidR="003813CD">
        <w:t>CDCL</w:t>
      </w:r>
      <w:r w:rsidR="008F1DB5">
        <w:t>.</w:t>
      </w:r>
      <w:r w:rsidR="00034077">
        <w:t xml:space="preserve">  A</w:t>
      </w:r>
      <w:r w:rsidR="00C60C73">
        <w:t xml:space="preserve">n authorised party or, if a CDCL has been recorded against the IDERA, a certified designee are the only parties who request de-registration of an aircraft.  </w:t>
      </w:r>
    </w:p>
    <w:p w:rsidR="00C60C73" w:rsidRDefault="00C60C73" w:rsidP="00E6303D">
      <w:r>
        <w:t>In making the request, the authorised party (or certified designee)</w:t>
      </w:r>
      <w:r w:rsidR="00296B01">
        <w:t xml:space="preserve"> must </w:t>
      </w:r>
      <w:r>
        <w:t xml:space="preserve">certify </w:t>
      </w:r>
      <w:r w:rsidR="00296B01">
        <w:t xml:space="preserve">that the </w:t>
      </w:r>
      <w:r>
        <w:t>aircraft is</w:t>
      </w:r>
      <w:r w:rsidR="00296B01">
        <w:t xml:space="preserve"> not subject to a</w:t>
      </w:r>
      <w:r>
        <w:t>n</w:t>
      </w:r>
      <w:r w:rsidR="00296B01">
        <w:t xml:space="preserve"> interest that ranks in priority to it and</w:t>
      </w:r>
      <w:r>
        <w:t>,</w:t>
      </w:r>
      <w:r w:rsidR="00296B01">
        <w:t xml:space="preserve"> if so, that the higher ranking interest has consented to its de</w:t>
      </w:r>
      <w:r w:rsidR="005A051E">
        <w:t>-</w:t>
      </w:r>
      <w:r w:rsidR="00296B01">
        <w:t>registration.</w:t>
      </w:r>
      <w:r w:rsidR="00010881">
        <w:t xml:space="preserve">  </w:t>
      </w:r>
    </w:p>
    <w:p w:rsidR="008F1DB5" w:rsidRDefault="00010881" w:rsidP="00E6303D">
      <w:r>
        <w:t xml:space="preserve">Provided the request is made in accordance with this Rule, CASA will facilitate </w:t>
      </w:r>
      <w:proofErr w:type="gramStart"/>
      <w:r>
        <w:t xml:space="preserve">the </w:t>
      </w:r>
      <w:r w:rsidR="00C60C73">
        <w:t>de-registration</w:t>
      </w:r>
      <w:proofErr w:type="gramEnd"/>
      <w:r w:rsidR="00C60C73">
        <w:t xml:space="preserve"> within five</w:t>
      </w:r>
      <w:r>
        <w:t xml:space="preserve"> days</w:t>
      </w:r>
      <w:r w:rsidR="00C60C73">
        <w:t xml:space="preserve"> and, to the extent consistent with its functions, cooperate and assist with the export of the aircraft</w:t>
      </w:r>
      <w:r>
        <w:t xml:space="preserve">.   </w:t>
      </w:r>
      <w:r w:rsidR="00296B01">
        <w:t xml:space="preserve">  </w:t>
      </w:r>
      <w:r w:rsidR="008F1DB5">
        <w:t xml:space="preserve">  </w:t>
      </w:r>
    </w:p>
    <w:p w:rsidR="00FF74CC" w:rsidRDefault="00B22C0D" w:rsidP="00E6303D">
      <w:pPr>
        <w:rPr>
          <w:b/>
          <w:u w:val="single"/>
        </w:rPr>
      </w:pPr>
      <w:r w:rsidRPr="00B22C0D">
        <w:rPr>
          <w:b/>
          <w:u w:val="single"/>
        </w:rPr>
        <w:t>Part 3</w:t>
      </w:r>
      <w:r w:rsidR="00092EBF">
        <w:rPr>
          <w:b/>
        </w:rPr>
        <w:tab/>
      </w:r>
      <w:r w:rsidRPr="00B22C0D">
        <w:rPr>
          <w:b/>
        </w:rPr>
        <w:tab/>
      </w:r>
      <w:r w:rsidRPr="00B22C0D">
        <w:rPr>
          <w:b/>
          <w:u w:val="single"/>
        </w:rPr>
        <w:t xml:space="preserve">ADMINISTRATIVE PROCEDURES </w:t>
      </w:r>
      <w:r w:rsidR="0011528F" w:rsidRPr="00B22C0D">
        <w:rPr>
          <w:b/>
          <w:u w:val="single"/>
        </w:rPr>
        <w:t xml:space="preserve"> </w:t>
      </w:r>
    </w:p>
    <w:p w:rsidR="003813CD" w:rsidRPr="003813CD" w:rsidRDefault="003813CD" w:rsidP="00E6303D">
      <w:pPr>
        <w:rPr>
          <w:b/>
        </w:rPr>
      </w:pPr>
      <w:r w:rsidRPr="003813CD">
        <w:rPr>
          <w:b/>
        </w:rPr>
        <w:t>Rule 9</w:t>
      </w:r>
      <w:r w:rsidRPr="003813CD">
        <w:rPr>
          <w:b/>
        </w:rPr>
        <w:tab/>
      </w:r>
      <w:r w:rsidRPr="003813CD">
        <w:rPr>
          <w:b/>
        </w:rPr>
        <w:tab/>
        <w:t>Forms and Administrative Procedures</w:t>
      </w:r>
    </w:p>
    <w:p w:rsidR="00B048E9" w:rsidRDefault="005A051E" w:rsidP="00E6303D">
      <w:r>
        <w:t>This Rule</w:t>
      </w:r>
      <w:r w:rsidR="003813CD">
        <w:t xml:space="preserve"> </w:t>
      </w:r>
      <w:r w:rsidR="003D7B26">
        <w:t xml:space="preserve">requires CASA to approve forms </w:t>
      </w:r>
      <w:r w:rsidR="002116B5">
        <w:t xml:space="preserve">associated with the registration, cancellation and removal of an IDERA or CDCL.  It also gives CASA </w:t>
      </w:r>
      <w:r>
        <w:t xml:space="preserve">the </w:t>
      </w:r>
      <w:r w:rsidR="002116B5">
        <w:t xml:space="preserve">authority </w:t>
      </w:r>
      <w:r w:rsidR="002176C8">
        <w:t>to use</w:t>
      </w:r>
      <w:r w:rsidR="00B048E9">
        <w:t xml:space="preserve"> and disclose the personal information contained in an IDERA of CDCL on the Australian Civil Aircraft Register.  </w:t>
      </w:r>
    </w:p>
    <w:p w:rsidR="00881CDC" w:rsidRPr="003813CD" w:rsidRDefault="003813CD" w:rsidP="00E6303D">
      <w:pPr>
        <w:rPr>
          <w:b/>
        </w:rPr>
      </w:pPr>
      <w:r w:rsidRPr="003813CD">
        <w:rPr>
          <w:b/>
        </w:rPr>
        <w:t xml:space="preserve">Rule 10 </w:t>
      </w:r>
      <w:r>
        <w:rPr>
          <w:b/>
        </w:rPr>
        <w:tab/>
        <w:t>Fees</w:t>
      </w:r>
    </w:p>
    <w:p w:rsidR="00F63FED" w:rsidRDefault="005A051E" w:rsidP="00E6303D">
      <w:r w:rsidRPr="003D7B26">
        <w:t>This Rule</w:t>
      </w:r>
      <w:r w:rsidR="00F63FED" w:rsidRPr="003D7B26">
        <w:t xml:space="preserve"> s</w:t>
      </w:r>
      <w:r w:rsidR="003D7B26" w:rsidRPr="003D7B26">
        <w:t>pecifies fees payable to CASA for the registration, cancellation and removal of an IDERA or CDCL (outlined in the fee schedule at Schedule 3).</w:t>
      </w:r>
      <w:r w:rsidR="00F63FED" w:rsidRPr="003D7B26">
        <w:t xml:space="preserve"> </w:t>
      </w:r>
      <w:r w:rsidR="003D7B26" w:rsidRPr="003D7B26">
        <w:t xml:space="preserve"> It also requires </w:t>
      </w:r>
      <w:r w:rsidR="00F63FED" w:rsidRPr="003D7B26">
        <w:t xml:space="preserve">CASA to not act on a request </w:t>
      </w:r>
      <w:r w:rsidR="003D7B26" w:rsidRPr="003D7B26">
        <w:t>unless payment for that request has been</w:t>
      </w:r>
      <w:r w:rsidR="00F63FED" w:rsidRPr="003D7B26">
        <w:t xml:space="preserve"> tendered.</w:t>
      </w:r>
      <w:r w:rsidR="00F63FED">
        <w:t xml:space="preserve">  </w:t>
      </w:r>
    </w:p>
    <w:p w:rsidR="00092EBF" w:rsidRPr="00092EBF" w:rsidRDefault="00F63FED" w:rsidP="00E6303D">
      <w:pPr>
        <w:rPr>
          <w:b/>
        </w:rPr>
      </w:pPr>
      <w:r>
        <w:t xml:space="preserve"> </w:t>
      </w:r>
      <w:r w:rsidR="00092EBF" w:rsidRPr="00092EBF">
        <w:rPr>
          <w:b/>
        </w:rPr>
        <w:t xml:space="preserve">Schedule 1 </w:t>
      </w:r>
      <w:r w:rsidR="00092EBF" w:rsidRPr="00092EBF">
        <w:rPr>
          <w:b/>
        </w:rPr>
        <w:tab/>
        <w:t>IDERA</w:t>
      </w:r>
    </w:p>
    <w:p w:rsidR="00092EBF" w:rsidRDefault="00F40D1C" w:rsidP="00E6303D">
      <w:r>
        <w:t xml:space="preserve">Schedule 1 </w:t>
      </w:r>
      <w:r w:rsidR="005A051E">
        <w:t>prescribes the form of the</w:t>
      </w:r>
      <w:r>
        <w:t xml:space="preserve"> Irrevocable De-Registration and Export Request Authorisation.  </w:t>
      </w:r>
    </w:p>
    <w:p w:rsidR="00881CDC" w:rsidRPr="00881CDC" w:rsidRDefault="00881CDC" w:rsidP="00E6303D">
      <w:pPr>
        <w:rPr>
          <w:b/>
        </w:rPr>
      </w:pPr>
      <w:r w:rsidRPr="00092EBF">
        <w:rPr>
          <w:b/>
        </w:rPr>
        <w:t>Schedule</w:t>
      </w:r>
      <w:r>
        <w:rPr>
          <w:b/>
        </w:rPr>
        <w:t xml:space="preserve"> 2</w:t>
      </w:r>
      <w:r w:rsidRPr="00092EBF">
        <w:rPr>
          <w:b/>
        </w:rPr>
        <w:tab/>
      </w:r>
      <w:r>
        <w:rPr>
          <w:b/>
        </w:rPr>
        <w:t xml:space="preserve">CERTIFIED DESIGNEE CONFIRMATION LETTER </w:t>
      </w:r>
    </w:p>
    <w:p w:rsidR="00F40D1C" w:rsidRDefault="00F40D1C" w:rsidP="00E6303D">
      <w:r>
        <w:t xml:space="preserve">Schedule 2 </w:t>
      </w:r>
      <w:r w:rsidR="005A051E">
        <w:t>prescribes the form of the</w:t>
      </w:r>
      <w:r>
        <w:t xml:space="preserve"> Certified Designee Conformation Letter</w:t>
      </w:r>
      <w:r w:rsidR="00A31170">
        <w:t xml:space="preserve"> template</w:t>
      </w:r>
      <w:r>
        <w:t>.</w:t>
      </w:r>
    </w:p>
    <w:p w:rsidR="00F40D1C" w:rsidRDefault="00F40D1C" w:rsidP="00634902">
      <w:pPr>
        <w:spacing w:before="0"/>
      </w:pPr>
    </w:p>
    <w:p w:rsidR="00881CDC" w:rsidRDefault="00881CDC" w:rsidP="00E6303D">
      <w:r w:rsidRPr="00881CDC">
        <w:rPr>
          <w:b/>
        </w:rPr>
        <w:t>Schedule 3</w:t>
      </w:r>
      <w:r w:rsidRPr="00881CDC">
        <w:rPr>
          <w:b/>
        </w:rPr>
        <w:tab/>
        <w:t>FEE SCHEDULE</w:t>
      </w:r>
      <w:r>
        <w:t xml:space="preserve"> </w:t>
      </w:r>
    </w:p>
    <w:p w:rsidR="002F09EA" w:rsidRDefault="00F40D1C" w:rsidP="00E6303D">
      <w:r w:rsidRPr="00A11E18">
        <w:t xml:space="preserve">Schedule 3 </w:t>
      </w:r>
      <w:r w:rsidR="002F09EA">
        <w:t xml:space="preserve">prescribes the applicable fees for the IDERA process.  </w:t>
      </w:r>
    </w:p>
    <w:p w:rsidR="002F09EA" w:rsidRPr="00092EBF" w:rsidRDefault="002F09EA" w:rsidP="00E6303D"/>
    <w:sectPr w:rsidR="002F09EA" w:rsidRPr="00092EBF" w:rsidSect="0057748F">
      <w:footerReference w:type="default" r:id="rId9"/>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120" w:rsidRDefault="00D84120" w:rsidP="000F6F4A">
      <w:pPr>
        <w:spacing w:before="0"/>
      </w:pPr>
      <w:r>
        <w:separator/>
      </w:r>
    </w:p>
  </w:endnote>
  <w:endnote w:type="continuationSeparator" w:id="0">
    <w:p w:rsidR="00D84120" w:rsidRDefault="00D84120" w:rsidP="000F6F4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046031"/>
      <w:docPartObj>
        <w:docPartGallery w:val="Page Numbers (Bottom of Page)"/>
        <w:docPartUnique/>
      </w:docPartObj>
    </w:sdtPr>
    <w:sdtEndPr>
      <w:rPr>
        <w:noProof/>
      </w:rPr>
    </w:sdtEndPr>
    <w:sdtContent>
      <w:p w:rsidR="000F6F4A" w:rsidRDefault="000F6F4A">
        <w:pPr>
          <w:pStyle w:val="Footer"/>
          <w:jc w:val="right"/>
        </w:pPr>
        <w:r>
          <w:fldChar w:fldCharType="begin"/>
        </w:r>
        <w:r>
          <w:instrText xml:space="preserve"> PAGE   \* MERGEFORMAT </w:instrText>
        </w:r>
        <w:r>
          <w:fldChar w:fldCharType="separate"/>
        </w:r>
        <w:r w:rsidR="00246244">
          <w:rPr>
            <w:noProof/>
          </w:rPr>
          <w:t>4</w:t>
        </w:r>
        <w:r>
          <w:rPr>
            <w:noProof/>
          </w:rPr>
          <w:fldChar w:fldCharType="end"/>
        </w:r>
      </w:p>
    </w:sdtContent>
  </w:sdt>
  <w:p w:rsidR="000F6F4A" w:rsidRDefault="000F6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120" w:rsidRDefault="00D84120" w:rsidP="000F6F4A">
      <w:pPr>
        <w:spacing w:before="0"/>
      </w:pPr>
      <w:r>
        <w:separator/>
      </w:r>
    </w:p>
  </w:footnote>
  <w:footnote w:type="continuationSeparator" w:id="0">
    <w:p w:rsidR="00D84120" w:rsidRDefault="00D84120" w:rsidP="000F6F4A">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29"/>
    <w:rsid w:val="00010881"/>
    <w:rsid w:val="00011432"/>
    <w:rsid w:val="00034077"/>
    <w:rsid w:val="00092C52"/>
    <w:rsid w:val="00092EBF"/>
    <w:rsid w:val="000D1D1C"/>
    <w:rsid w:val="000D383B"/>
    <w:rsid w:val="000E0319"/>
    <w:rsid w:val="000E3C05"/>
    <w:rsid w:val="000F6F4A"/>
    <w:rsid w:val="00104982"/>
    <w:rsid w:val="0011528F"/>
    <w:rsid w:val="00145DFD"/>
    <w:rsid w:val="0014778E"/>
    <w:rsid w:val="0015308F"/>
    <w:rsid w:val="00160556"/>
    <w:rsid w:val="001801E4"/>
    <w:rsid w:val="001C0E03"/>
    <w:rsid w:val="001C3FB3"/>
    <w:rsid w:val="001C757B"/>
    <w:rsid w:val="001E5E62"/>
    <w:rsid w:val="00203314"/>
    <w:rsid w:val="002116B5"/>
    <w:rsid w:val="002176C8"/>
    <w:rsid w:val="00225047"/>
    <w:rsid w:val="002250C9"/>
    <w:rsid w:val="00246244"/>
    <w:rsid w:val="00264357"/>
    <w:rsid w:val="002646D6"/>
    <w:rsid w:val="00270A12"/>
    <w:rsid w:val="002725DC"/>
    <w:rsid w:val="00296B01"/>
    <w:rsid w:val="002E6084"/>
    <w:rsid w:val="002F09EA"/>
    <w:rsid w:val="00316421"/>
    <w:rsid w:val="00340C25"/>
    <w:rsid w:val="00360BFD"/>
    <w:rsid w:val="003655B5"/>
    <w:rsid w:val="003813CD"/>
    <w:rsid w:val="003B19EF"/>
    <w:rsid w:val="003C4735"/>
    <w:rsid w:val="003C6F6D"/>
    <w:rsid w:val="003D285A"/>
    <w:rsid w:val="003D7B26"/>
    <w:rsid w:val="003F49F0"/>
    <w:rsid w:val="003F7D44"/>
    <w:rsid w:val="00413DD2"/>
    <w:rsid w:val="00422BCC"/>
    <w:rsid w:val="0048620D"/>
    <w:rsid w:val="004C0164"/>
    <w:rsid w:val="004C3460"/>
    <w:rsid w:val="004E473F"/>
    <w:rsid w:val="004F6F1A"/>
    <w:rsid w:val="00510516"/>
    <w:rsid w:val="00525B82"/>
    <w:rsid w:val="00533FF3"/>
    <w:rsid w:val="00537CB0"/>
    <w:rsid w:val="00570C4A"/>
    <w:rsid w:val="00571CED"/>
    <w:rsid w:val="0057748F"/>
    <w:rsid w:val="005932C1"/>
    <w:rsid w:val="0059737D"/>
    <w:rsid w:val="005A051E"/>
    <w:rsid w:val="005A38B5"/>
    <w:rsid w:val="005E2E61"/>
    <w:rsid w:val="00613606"/>
    <w:rsid w:val="00633E27"/>
    <w:rsid w:val="00634902"/>
    <w:rsid w:val="0064296C"/>
    <w:rsid w:val="00646520"/>
    <w:rsid w:val="00655FC0"/>
    <w:rsid w:val="006729B5"/>
    <w:rsid w:val="00675540"/>
    <w:rsid w:val="006F5490"/>
    <w:rsid w:val="006F551B"/>
    <w:rsid w:val="006F7155"/>
    <w:rsid w:val="00707BCA"/>
    <w:rsid w:val="00720253"/>
    <w:rsid w:val="00721790"/>
    <w:rsid w:val="007537BE"/>
    <w:rsid w:val="0079355D"/>
    <w:rsid w:val="00795CF0"/>
    <w:rsid w:val="007A523D"/>
    <w:rsid w:val="007A7156"/>
    <w:rsid w:val="007D1907"/>
    <w:rsid w:val="007F0B7C"/>
    <w:rsid w:val="007F6C22"/>
    <w:rsid w:val="00881CDC"/>
    <w:rsid w:val="008C50DE"/>
    <w:rsid w:val="008F1DB5"/>
    <w:rsid w:val="008F3426"/>
    <w:rsid w:val="009211F6"/>
    <w:rsid w:val="0095652D"/>
    <w:rsid w:val="009802BC"/>
    <w:rsid w:val="009F06C2"/>
    <w:rsid w:val="00A11E18"/>
    <w:rsid w:val="00A30818"/>
    <w:rsid w:val="00A31170"/>
    <w:rsid w:val="00A441C9"/>
    <w:rsid w:val="00AF2CA9"/>
    <w:rsid w:val="00B048E9"/>
    <w:rsid w:val="00B06B29"/>
    <w:rsid w:val="00B22C0D"/>
    <w:rsid w:val="00B43638"/>
    <w:rsid w:val="00B54CD9"/>
    <w:rsid w:val="00B9312C"/>
    <w:rsid w:val="00BB10E8"/>
    <w:rsid w:val="00BD5F71"/>
    <w:rsid w:val="00BE44AC"/>
    <w:rsid w:val="00BF69A7"/>
    <w:rsid w:val="00C0223B"/>
    <w:rsid w:val="00C537F0"/>
    <w:rsid w:val="00C57D30"/>
    <w:rsid w:val="00C60C73"/>
    <w:rsid w:val="00CB5880"/>
    <w:rsid w:val="00CC27E5"/>
    <w:rsid w:val="00CD16E8"/>
    <w:rsid w:val="00CD438B"/>
    <w:rsid w:val="00CE797E"/>
    <w:rsid w:val="00CF2892"/>
    <w:rsid w:val="00D00836"/>
    <w:rsid w:val="00D0153A"/>
    <w:rsid w:val="00D141FC"/>
    <w:rsid w:val="00D84120"/>
    <w:rsid w:val="00E247DC"/>
    <w:rsid w:val="00E43F29"/>
    <w:rsid w:val="00E6303D"/>
    <w:rsid w:val="00E734F2"/>
    <w:rsid w:val="00F12C87"/>
    <w:rsid w:val="00F40D1C"/>
    <w:rsid w:val="00F53F9A"/>
    <w:rsid w:val="00F54630"/>
    <w:rsid w:val="00F63FED"/>
    <w:rsid w:val="00F726D8"/>
    <w:rsid w:val="00FB331C"/>
    <w:rsid w:val="00FE7DDD"/>
    <w:rsid w:val="00FF74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F29"/>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F29"/>
    <w:pPr>
      <w:spacing w:before="0" w:after="200" w:line="276" w:lineRule="auto"/>
      <w:ind w:left="720"/>
      <w:contextualSpacing/>
    </w:pPr>
    <w:rPr>
      <w:rFonts w:eastAsia="Calibri"/>
      <w:szCs w:val="22"/>
      <w:lang w:eastAsia="en-US"/>
    </w:rPr>
  </w:style>
  <w:style w:type="paragraph" w:customStyle="1" w:styleId="NumberList">
    <w:name w:val="Number List"/>
    <w:basedOn w:val="Normal"/>
    <w:rsid w:val="00537CB0"/>
    <w:pPr>
      <w:numPr>
        <w:numId w:val="1"/>
      </w:numPr>
      <w:tabs>
        <w:tab w:val="left" w:pos="1985"/>
      </w:tabs>
      <w:spacing w:line="240" w:lineRule="atLeast"/>
    </w:pPr>
    <w:rPr>
      <w:szCs w:val="24"/>
      <w:lang w:eastAsia="en-US"/>
    </w:rPr>
  </w:style>
  <w:style w:type="paragraph" w:customStyle="1" w:styleId="NumberListSub">
    <w:name w:val="Number List Sub"/>
    <w:basedOn w:val="NumberList"/>
    <w:rsid w:val="00537CB0"/>
    <w:pPr>
      <w:numPr>
        <w:ilvl w:val="1"/>
      </w:numPr>
      <w:tabs>
        <w:tab w:val="left" w:pos="2552"/>
      </w:tabs>
    </w:pPr>
  </w:style>
  <w:style w:type="paragraph" w:styleId="Header">
    <w:name w:val="header"/>
    <w:basedOn w:val="Normal"/>
    <w:link w:val="HeaderChar"/>
    <w:uiPriority w:val="99"/>
    <w:unhideWhenUsed/>
    <w:rsid w:val="000F6F4A"/>
    <w:pPr>
      <w:tabs>
        <w:tab w:val="center" w:pos="4513"/>
        <w:tab w:val="right" w:pos="9026"/>
      </w:tabs>
      <w:spacing w:before="0"/>
    </w:pPr>
  </w:style>
  <w:style w:type="character" w:customStyle="1" w:styleId="HeaderChar">
    <w:name w:val="Header Char"/>
    <w:basedOn w:val="DefaultParagraphFont"/>
    <w:link w:val="Header"/>
    <w:uiPriority w:val="99"/>
    <w:rsid w:val="000F6F4A"/>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0F6F4A"/>
    <w:pPr>
      <w:tabs>
        <w:tab w:val="center" w:pos="4513"/>
        <w:tab w:val="right" w:pos="9026"/>
      </w:tabs>
      <w:spacing w:before="0"/>
    </w:pPr>
  </w:style>
  <w:style w:type="character" w:customStyle="1" w:styleId="FooterChar">
    <w:name w:val="Footer Char"/>
    <w:basedOn w:val="DefaultParagraphFont"/>
    <w:link w:val="Footer"/>
    <w:uiPriority w:val="99"/>
    <w:rsid w:val="000F6F4A"/>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5E2E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E61"/>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A051E"/>
    <w:rPr>
      <w:sz w:val="16"/>
      <w:szCs w:val="16"/>
    </w:rPr>
  </w:style>
  <w:style w:type="paragraph" w:styleId="CommentText">
    <w:name w:val="annotation text"/>
    <w:basedOn w:val="Normal"/>
    <w:link w:val="CommentTextChar"/>
    <w:uiPriority w:val="99"/>
    <w:semiHidden/>
    <w:unhideWhenUsed/>
    <w:rsid w:val="005A051E"/>
    <w:rPr>
      <w:sz w:val="20"/>
    </w:rPr>
  </w:style>
  <w:style w:type="character" w:customStyle="1" w:styleId="CommentTextChar">
    <w:name w:val="Comment Text Char"/>
    <w:basedOn w:val="DefaultParagraphFont"/>
    <w:link w:val="CommentText"/>
    <w:uiPriority w:val="99"/>
    <w:semiHidden/>
    <w:rsid w:val="005A051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A051E"/>
    <w:rPr>
      <w:b/>
      <w:bCs/>
    </w:rPr>
  </w:style>
  <w:style w:type="character" w:customStyle="1" w:styleId="CommentSubjectChar">
    <w:name w:val="Comment Subject Char"/>
    <w:basedOn w:val="CommentTextChar"/>
    <w:link w:val="CommentSubject"/>
    <w:uiPriority w:val="99"/>
    <w:semiHidden/>
    <w:rsid w:val="005A051E"/>
    <w:rPr>
      <w:rFonts w:ascii="Times New Roman" w:eastAsia="Times New Roman" w:hAnsi="Times New Roman" w:cs="Times New Roman"/>
      <w:b/>
      <w:bCs/>
      <w:sz w:val="20"/>
      <w:szCs w:val="20"/>
      <w:lang w:eastAsia="en-AU"/>
    </w:rPr>
  </w:style>
  <w:style w:type="paragraph" w:styleId="Revision">
    <w:name w:val="Revision"/>
    <w:hidden/>
    <w:uiPriority w:val="99"/>
    <w:semiHidden/>
    <w:rsid w:val="005A051E"/>
    <w:pPr>
      <w:spacing w:after="0" w:line="240" w:lineRule="auto"/>
    </w:pPr>
    <w:rPr>
      <w:rFonts w:ascii="Times New Roman" w:eastAsia="Times New Roman" w:hAnsi="Times New Roman" w:cs="Times New Roman"/>
      <w:sz w:val="24"/>
      <w:szCs w:val="20"/>
      <w:lang w:eastAsia="en-AU"/>
    </w:rPr>
  </w:style>
  <w:style w:type="paragraph" w:customStyle="1" w:styleId="SignatureBlock-DOTARS">
    <w:name w:val="Signature Block - DOTARS"/>
    <w:basedOn w:val="Normal"/>
    <w:rsid w:val="000E0319"/>
    <w:pPr>
      <w:spacing w:before="0"/>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F29"/>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F29"/>
    <w:pPr>
      <w:spacing w:before="0" w:after="200" w:line="276" w:lineRule="auto"/>
      <w:ind w:left="720"/>
      <w:contextualSpacing/>
    </w:pPr>
    <w:rPr>
      <w:rFonts w:eastAsia="Calibri"/>
      <w:szCs w:val="22"/>
      <w:lang w:eastAsia="en-US"/>
    </w:rPr>
  </w:style>
  <w:style w:type="paragraph" w:customStyle="1" w:styleId="NumberList">
    <w:name w:val="Number List"/>
    <w:basedOn w:val="Normal"/>
    <w:rsid w:val="00537CB0"/>
    <w:pPr>
      <w:numPr>
        <w:numId w:val="1"/>
      </w:numPr>
      <w:tabs>
        <w:tab w:val="left" w:pos="1985"/>
      </w:tabs>
      <w:spacing w:line="240" w:lineRule="atLeast"/>
    </w:pPr>
    <w:rPr>
      <w:szCs w:val="24"/>
      <w:lang w:eastAsia="en-US"/>
    </w:rPr>
  </w:style>
  <w:style w:type="paragraph" w:customStyle="1" w:styleId="NumberListSub">
    <w:name w:val="Number List Sub"/>
    <w:basedOn w:val="NumberList"/>
    <w:rsid w:val="00537CB0"/>
    <w:pPr>
      <w:numPr>
        <w:ilvl w:val="1"/>
      </w:numPr>
      <w:tabs>
        <w:tab w:val="left" w:pos="2552"/>
      </w:tabs>
    </w:pPr>
  </w:style>
  <w:style w:type="paragraph" w:styleId="Header">
    <w:name w:val="header"/>
    <w:basedOn w:val="Normal"/>
    <w:link w:val="HeaderChar"/>
    <w:uiPriority w:val="99"/>
    <w:unhideWhenUsed/>
    <w:rsid w:val="000F6F4A"/>
    <w:pPr>
      <w:tabs>
        <w:tab w:val="center" w:pos="4513"/>
        <w:tab w:val="right" w:pos="9026"/>
      </w:tabs>
      <w:spacing w:before="0"/>
    </w:pPr>
  </w:style>
  <w:style w:type="character" w:customStyle="1" w:styleId="HeaderChar">
    <w:name w:val="Header Char"/>
    <w:basedOn w:val="DefaultParagraphFont"/>
    <w:link w:val="Header"/>
    <w:uiPriority w:val="99"/>
    <w:rsid w:val="000F6F4A"/>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0F6F4A"/>
    <w:pPr>
      <w:tabs>
        <w:tab w:val="center" w:pos="4513"/>
        <w:tab w:val="right" w:pos="9026"/>
      </w:tabs>
      <w:spacing w:before="0"/>
    </w:pPr>
  </w:style>
  <w:style w:type="character" w:customStyle="1" w:styleId="FooterChar">
    <w:name w:val="Footer Char"/>
    <w:basedOn w:val="DefaultParagraphFont"/>
    <w:link w:val="Footer"/>
    <w:uiPriority w:val="99"/>
    <w:rsid w:val="000F6F4A"/>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5E2E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E61"/>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A051E"/>
    <w:rPr>
      <w:sz w:val="16"/>
      <w:szCs w:val="16"/>
    </w:rPr>
  </w:style>
  <w:style w:type="paragraph" w:styleId="CommentText">
    <w:name w:val="annotation text"/>
    <w:basedOn w:val="Normal"/>
    <w:link w:val="CommentTextChar"/>
    <w:uiPriority w:val="99"/>
    <w:semiHidden/>
    <w:unhideWhenUsed/>
    <w:rsid w:val="005A051E"/>
    <w:rPr>
      <w:sz w:val="20"/>
    </w:rPr>
  </w:style>
  <w:style w:type="character" w:customStyle="1" w:styleId="CommentTextChar">
    <w:name w:val="Comment Text Char"/>
    <w:basedOn w:val="DefaultParagraphFont"/>
    <w:link w:val="CommentText"/>
    <w:uiPriority w:val="99"/>
    <w:semiHidden/>
    <w:rsid w:val="005A051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A051E"/>
    <w:rPr>
      <w:b/>
      <w:bCs/>
    </w:rPr>
  </w:style>
  <w:style w:type="character" w:customStyle="1" w:styleId="CommentSubjectChar">
    <w:name w:val="Comment Subject Char"/>
    <w:basedOn w:val="CommentTextChar"/>
    <w:link w:val="CommentSubject"/>
    <w:uiPriority w:val="99"/>
    <w:semiHidden/>
    <w:rsid w:val="005A051E"/>
    <w:rPr>
      <w:rFonts w:ascii="Times New Roman" w:eastAsia="Times New Roman" w:hAnsi="Times New Roman" w:cs="Times New Roman"/>
      <w:b/>
      <w:bCs/>
      <w:sz w:val="20"/>
      <w:szCs w:val="20"/>
      <w:lang w:eastAsia="en-AU"/>
    </w:rPr>
  </w:style>
  <w:style w:type="paragraph" w:styleId="Revision">
    <w:name w:val="Revision"/>
    <w:hidden/>
    <w:uiPriority w:val="99"/>
    <w:semiHidden/>
    <w:rsid w:val="005A051E"/>
    <w:pPr>
      <w:spacing w:after="0" w:line="240" w:lineRule="auto"/>
    </w:pPr>
    <w:rPr>
      <w:rFonts w:ascii="Times New Roman" w:eastAsia="Times New Roman" w:hAnsi="Times New Roman" w:cs="Times New Roman"/>
      <w:sz w:val="24"/>
      <w:szCs w:val="20"/>
      <w:lang w:eastAsia="en-AU"/>
    </w:rPr>
  </w:style>
  <w:style w:type="paragraph" w:customStyle="1" w:styleId="SignatureBlock-DOTARS">
    <w:name w:val="Signature Block - DOTARS"/>
    <w:basedOn w:val="Normal"/>
    <w:rsid w:val="000E0319"/>
    <w:pPr>
      <w:spacing w:before="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9A0B-C127-453C-9A6D-58DCEDB5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Martino Maria</dc:creator>
  <cp:lastModifiedBy>Martino Maria</cp:lastModifiedBy>
  <cp:revision>8</cp:revision>
  <cp:lastPrinted>2015-02-02T23:50:00Z</cp:lastPrinted>
  <dcterms:created xsi:type="dcterms:W3CDTF">2014-12-19T00:27:00Z</dcterms:created>
  <dcterms:modified xsi:type="dcterms:W3CDTF">2015-02-03T00:05:00Z</dcterms:modified>
</cp:coreProperties>
</file>