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381" w:rsidRDefault="00202381" w:rsidP="000A5642">
      <w:bookmarkStart w:id="0" w:name="_GoBack"/>
      <w:bookmarkEnd w:id="0"/>
    </w:p>
    <w:p w:rsidR="003A6026" w:rsidRPr="001006D2" w:rsidRDefault="003A6026" w:rsidP="000A5642">
      <w:pPr>
        <w:jc w:val="center"/>
        <w:rPr>
          <w:b/>
        </w:rPr>
      </w:pPr>
      <w:r w:rsidRPr="001006D2">
        <w:rPr>
          <w:b/>
        </w:rPr>
        <w:t>EXPLANATORY STATEMENT</w:t>
      </w:r>
    </w:p>
    <w:p w:rsidR="003A6026" w:rsidRDefault="003A6026" w:rsidP="000A5642">
      <w:pPr>
        <w:jc w:val="center"/>
        <w:rPr>
          <w:u w:val="single"/>
        </w:rPr>
      </w:pPr>
    </w:p>
    <w:p w:rsidR="00202381" w:rsidRPr="001006D2" w:rsidRDefault="001006D2" w:rsidP="000A5642">
      <w:pPr>
        <w:jc w:val="center"/>
        <w:rPr>
          <w:b/>
        </w:rPr>
      </w:pPr>
      <w:r w:rsidRPr="001006D2">
        <w:rPr>
          <w:b/>
        </w:rPr>
        <w:t xml:space="preserve">Issued by the authority of the </w:t>
      </w:r>
      <w:r w:rsidR="001C1B3B">
        <w:rPr>
          <w:b/>
        </w:rPr>
        <w:t xml:space="preserve">Assistant </w:t>
      </w:r>
      <w:r w:rsidRPr="001006D2">
        <w:rPr>
          <w:b/>
        </w:rPr>
        <w:t xml:space="preserve">Minister for </w:t>
      </w:r>
      <w:r w:rsidR="001C1B3B">
        <w:rPr>
          <w:b/>
        </w:rPr>
        <w:t>Social Services</w:t>
      </w:r>
    </w:p>
    <w:p w:rsidR="001006D2" w:rsidRDefault="001006D2" w:rsidP="000A5642">
      <w:pPr>
        <w:jc w:val="center"/>
        <w:rPr>
          <w:u w:val="single"/>
        </w:rPr>
      </w:pPr>
    </w:p>
    <w:p w:rsidR="00AC5491" w:rsidRPr="001006D2" w:rsidRDefault="00AC5491" w:rsidP="000A5642">
      <w:pPr>
        <w:jc w:val="center"/>
        <w:rPr>
          <w:b/>
          <w:i/>
        </w:rPr>
      </w:pPr>
      <w:r>
        <w:rPr>
          <w:b/>
          <w:i/>
        </w:rPr>
        <w:t>A New Tax System (Goods and Services Tax) Act 1999</w:t>
      </w:r>
    </w:p>
    <w:p w:rsidR="003A6026" w:rsidRDefault="003A6026" w:rsidP="000A5642">
      <w:pPr>
        <w:jc w:val="center"/>
      </w:pPr>
    </w:p>
    <w:p w:rsidR="008A614C" w:rsidRPr="001006D2" w:rsidRDefault="007F5BC9" w:rsidP="000A5642">
      <w:pPr>
        <w:jc w:val="center"/>
        <w:rPr>
          <w:b/>
          <w:i/>
        </w:rPr>
      </w:pPr>
      <w:r>
        <w:rPr>
          <w:b/>
          <w:i/>
        </w:rPr>
        <w:t xml:space="preserve">A New Tax System (Goods and Services Tax) (GST-free Supply </w:t>
      </w:r>
      <w:r w:rsidR="00C67BA5">
        <w:rPr>
          <w:b/>
          <w:i/>
        </w:rPr>
        <w:t>–</w:t>
      </w:r>
      <w:r>
        <w:rPr>
          <w:b/>
          <w:i/>
        </w:rPr>
        <w:t xml:space="preserve"> </w:t>
      </w:r>
      <w:r w:rsidR="008A614C">
        <w:rPr>
          <w:b/>
          <w:i/>
        </w:rPr>
        <w:t>Residential</w:t>
      </w:r>
      <w:r w:rsidR="00C67BA5">
        <w:rPr>
          <w:b/>
          <w:i/>
        </w:rPr>
        <w:t xml:space="preserve"> </w:t>
      </w:r>
      <w:r w:rsidR="008A614C">
        <w:rPr>
          <w:b/>
          <w:i/>
        </w:rPr>
        <w:t>Care</w:t>
      </w:r>
      <w:r w:rsidR="00C67BA5">
        <w:rPr>
          <w:b/>
          <w:i/>
        </w:rPr>
        <w:t xml:space="preserve"> – </w:t>
      </w:r>
      <w:r w:rsidR="008A614C">
        <w:rPr>
          <w:b/>
          <w:i/>
        </w:rPr>
        <w:t>Non-</w:t>
      </w:r>
      <w:r w:rsidR="00C67BA5">
        <w:rPr>
          <w:b/>
          <w:i/>
        </w:rPr>
        <w:t>g</w:t>
      </w:r>
      <w:r w:rsidR="008A614C">
        <w:rPr>
          <w:b/>
          <w:i/>
        </w:rPr>
        <w:t>overn</w:t>
      </w:r>
      <w:r w:rsidR="00C67BA5">
        <w:rPr>
          <w:b/>
          <w:i/>
        </w:rPr>
        <w:t xml:space="preserve">ment </w:t>
      </w:r>
      <w:r>
        <w:rPr>
          <w:b/>
          <w:i/>
        </w:rPr>
        <w:t xml:space="preserve">Funded Supplier) Determination </w:t>
      </w:r>
      <w:r w:rsidR="00605D14">
        <w:rPr>
          <w:b/>
          <w:i/>
        </w:rPr>
        <w:t>2015</w:t>
      </w:r>
    </w:p>
    <w:p w:rsidR="00AB1D6C" w:rsidRDefault="00AB1D6C" w:rsidP="000A5642">
      <w:pPr>
        <w:jc w:val="center"/>
      </w:pPr>
    </w:p>
    <w:p w:rsidR="00605C18" w:rsidRDefault="00605C18" w:rsidP="000A5642"/>
    <w:p w:rsidR="008A614C" w:rsidRDefault="00342D5D" w:rsidP="000A5642">
      <w:r>
        <w:t xml:space="preserve">Paragraph 177-10 (1)(c) of </w:t>
      </w:r>
      <w:r w:rsidRPr="007F5BC9">
        <w:rPr>
          <w:i/>
        </w:rPr>
        <w:t>A New Tax System (Goods and Services Tax) Act 1999</w:t>
      </w:r>
      <w:r>
        <w:t xml:space="preserve"> (the GST Act) </w:t>
      </w:r>
      <w:r w:rsidR="00346CFC">
        <w:t>authorises</w:t>
      </w:r>
      <w:r>
        <w:t xml:space="preserve"> the Assistant Minister for Social Services to make a determination for the purposes of </w:t>
      </w:r>
      <w:r w:rsidR="00346CFC">
        <w:t xml:space="preserve">paragraph </w:t>
      </w:r>
      <w:r>
        <w:t>38-25(3)(b) of the GST Act which covers the provision of GST-free services to aged or disabled people living in privately funded residential care services.</w:t>
      </w:r>
    </w:p>
    <w:p w:rsidR="00342D5D" w:rsidRDefault="00342D5D" w:rsidP="000A5642"/>
    <w:p w:rsidR="00342D5D" w:rsidRDefault="00346CFC" w:rsidP="000A5642">
      <w:r>
        <w:t xml:space="preserve">Paragraphs </w:t>
      </w:r>
      <w:r w:rsidR="00342D5D">
        <w:t>38-25(3)(a) and (c) cover the circumstances in which the provision of GST</w:t>
      </w:r>
      <w:r>
        <w:noBreakHyphen/>
      </w:r>
      <w:r w:rsidR="00342D5D">
        <w:t xml:space="preserve">free services to aged or disabled people living in privately funded residential accommodation can occur, while the Minister’s determination under </w:t>
      </w:r>
      <w:r>
        <w:t xml:space="preserve">paragraph </w:t>
      </w:r>
      <w:r w:rsidR="00342D5D">
        <w:t>38-25(3)(b) specifies the kinds of services which will be GST-free to eligible residents.</w:t>
      </w:r>
    </w:p>
    <w:p w:rsidR="006E7B70" w:rsidRDefault="006E7B70" w:rsidP="000A5642"/>
    <w:p w:rsidR="006E7B70" w:rsidRDefault="006E7B70" w:rsidP="000A5642">
      <w:pPr>
        <w:rPr>
          <w:i/>
        </w:rPr>
      </w:pPr>
      <w:r>
        <w:t xml:space="preserve">The intent of </w:t>
      </w:r>
      <w:r w:rsidR="00346CFC">
        <w:t>this determination</w:t>
      </w:r>
      <w:r>
        <w:t xml:space="preserve"> is for aged or disabled people in like care situations, </w:t>
      </w:r>
      <w:proofErr w:type="gramStart"/>
      <w:r>
        <w:t>who</w:t>
      </w:r>
      <w:proofErr w:type="gramEnd"/>
      <w:r>
        <w:t xml:space="preserve"> are living in privately funded residential accommodation, to be treated similarly in terms of their access to GST-free services, as aged or disabled people living in Commonwealth funded residential aged care services under the </w:t>
      </w:r>
      <w:r w:rsidRPr="006E7B70">
        <w:rPr>
          <w:i/>
        </w:rPr>
        <w:t>Aged Care Act 1997.</w:t>
      </w:r>
    </w:p>
    <w:p w:rsidR="006E7B70" w:rsidRDefault="006E7B70" w:rsidP="000A5642">
      <w:pPr>
        <w:rPr>
          <w:i/>
        </w:rPr>
      </w:pPr>
    </w:p>
    <w:p w:rsidR="006E7B70" w:rsidRDefault="006E7B70" w:rsidP="000A5642">
      <w:pPr>
        <w:rPr>
          <w:i/>
        </w:rPr>
      </w:pPr>
      <w:r>
        <w:t xml:space="preserve">This determination ensures that eligible aged or disabled residents of privately funded residential aged care services will receive GST-free all the residential care services that are GST-free to aged and disabled residents of Commonwealth </w:t>
      </w:r>
      <w:r w:rsidR="006467BE">
        <w:t xml:space="preserve">or a State or Territory </w:t>
      </w:r>
      <w:r w:rsidR="00A14D6A">
        <w:t xml:space="preserve">government </w:t>
      </w:r>
      <w:r>
        <w:t>funde</w:t>
      </w:r>
      <w:r w:rsidR="00142F29">
        <w:t>d residential aged care service</w:t>
      </w:r>
      <w:r>
        <w:t xml:space="preserve"> under the </w:t>
      </w:r>
      <w:r w:rsidRPr="006E7B70">
        <w:rPr>
          <w:i/>
        </w:rPr>
        <w:t>Aged Care Act 1997.</w:t>
      </w:r>
    </w:p>
    <w:p w:rsidR="006E7B70" w:rsidRDefault="006E7B70" w:rsidP="000A5642">
      <w:pPr>
        <w:rPr>
          <w:i/>
        </w:rPr>
      </w:pPr>
    </w:p>
    <w:p w:rsidR="006E7B70" w:rsidRDefault="006E7B70" w:rsidP="000A5642">
      <w:r>
        <w:t xml:space="preserve">The services as listed in </w:t>
      </w:r>
      <w:r w:rsidR="00346CFC">
        <w:t>section 6</w:t>
      </w:r>
      <w:r>
        <w:t xml:space="preserve"> to this determination reflect the same range of services as those in Schedule 1 to the </w:t>
      </w:r>
      <w:r w:rsidRPr="006E7B70">
        <w:rPr>
          <w:i/>
        </w:rPr>
        <w:t>Quality of Care Principles 2014</w:t>
      </w:r>
      <w:r>
        <w:t xml:space="preserve"> as made under the </w:t>
      </w:r>
      <w:r w:rsidRPr="006E7B70">
        <w:rPr>
          <w:i/>
        </w:rPr>
        <w:t>Aged Care Act 1997</w:t>
      </w:r>
      <w:r>
        <w:t xml:space="preserve">, and which are GST-free to residents of Commonwealth funded residential aged care services. The services listed in </w:t>
      </w:r>
      <w:r w:rsidR="00346CFC">
        <w:t>subsections 6(1) and 6(2)</w:t>
      </w:r>
      <w:r>
        <w:t xml:space="preserve"> to the determination cover the general accommodation and care services to be provided to all residents, while </w:t>
      </w:r>
      <w:r w:rsidR="00346CFC">
        <w:t>subsection 6(3)</w:t>
      </w:r>
      <w:r w:rsidR="00142F29">
        <w:t xml:space="preserve"> </w:t>
      </w:r>
      <w:r>
        <w:t xml:space="preserve">covers the </w:t>
      </w:r>
      <w:r w:rsidR="00346CFC">
        <w:t>other</w:t>
      </w:r>
      <w:r>
        <w:t xml:space="preserve"> care needs to be provided to residents</w:t>
      </w:r>
      <w:r w:rsidR="00346CFC">
        <w:t>.</w:t>
      </w:r>
    </w:p>
    <w:p w:rsidR="006E7B70" w:rsidRDefault="006E7B70" w:rsidP="000A5642"/>
    <w:p w:rsidR="00B72D92" w:rsidRPr="006A0462" w:rsidRDefault="006E7B70" w:rsidP="000A5642">
      <w:r>
        <w:t>The purpose of the</w:t>
      </w:r>
      <w:r w:rsidRPr="006E7B70">
        <w:rPr>
          <w:i/>
        </w:rPr>
        <w:t xml:space="preserve"> </w:t>
      </w:r>
      <w:r w:rsidR="007F5BC9">
        <w:rPr>
          <w:i/>
        </w:rPr>
        <w:t>A New Tax System (Goods and Services Tax) (</w:t>
      </w:r>
      <w:r w:rsidRPr="006A0462">
        <w:rPr>
          <w:i/>
        </w:rPr>
        <w:t>GST-free Supply</w:t>
      </w:r>
      <w:r w:rsidR="00C67BA5">
        <w:rPr>
          <w:i/>
        </w:rPr>
        <w:t xml:space="preserve"> – (</w:t>
      </w:r>
      <w:r w:rsidRPr="006A0462">
        <w:rPr>
          <w:i/>
        </w:rPr>
        <w:t>Residential Care</w:t>
      </w:r>
      <w:r w:rsidR="007F5BC9">
        <w:rPr>
          <w:i/>
        </w:rPr>
        <w:t xml:space="preserve"> </w:t>
      </w:r>
      <w:r w:rsidR="00C67BA5">
        <w:rPr>
          <w:i/>
        </w:rPr>
        <w:t>–</w:t>
      </w:r>
      <w:r w:rsidR="00B72D92">
        <w:rPr>
          <w:i/>
        </w:rPr>
        <w:t xml:space="preserve"> Non-</w:t>
      </w:r>
      <w:r w:rsidR="00C67BA5">
        <w:rPr>
          <w:i/>
        </w:rPr>
        <w:t>g</w:t>
      </w:r>
      <w:r w:rsidRPr="006A0462">
        <w:rPr>
          <w:i/>
        </w:rPr>
        <w:t>overn</w:t>
      </w:r>
      <w:r w:rsidR="00C67BA5">
        <w:rPr>
          <w:i/>
        </w:rPr>
        <w:t xml:space="preserve">ment </w:t>
      </w:r>
      <w:r w:rsidR="007F5BC9">
        <w:rPr>
          <w:i/>
        </w:rPr>
        <w:t xml:space="preserve">Funded Supplier) Determination </w:t>
      </w:r>
      <w:r w:rsidR="00605D14">
        <w:rPr>
          <w:i/>
        </w:rPr>
        <w:t>2015</w:t>
      </w:r>
      <w:r>
        <w:rPr>
          <w:i/>
        </w:rPr>
        <w:t xml:space="preserve"> </w:t>
      </w:r>
      <w:r w:rsidR="00B72D92">
        <w:t xml:space="preserve">is to reflect amendments made to the specified care and services listed in Schedule 1 of the </w:t>
      </w:r>
      <w:r w:rsidR="00B72D92" w:rsidRPr="006A0462">
        <w:rPr>
          <w:i/>
        </w:rPr>
        <w:t>Quality of Care Principles 2014</w:t>
      </w:r>
      <w:r w:rsidR="00B72D92">
        <w:t xml:space="preserve"> that came into effect on 1 July 2014.</w:t>
      </w:r>
    </w:p>
    <w:p w:rsidR="00B72D92" w:rsidRDefault="00B72D92" w:rsidP="000A5642"/>
    <w:p w:rsidR="000A5642" w:rsidRPr="00F13E8C" w:rsidRDefault="000A5642" w:rsidP="000A5642">
      <w:pPr>
        <w:rPr>
          <w:sz w:val="20"/>
          <w:szCs w:val="20"/>
        </w:rPr>
      </w:pPr>
      <w:r w:rsidRPr="009844AB">
        <w:t xml:space="preserve">The </w:t>
      </w:r>
      <w:r w:rsidRPr="008229E2">
        <w:t>instrument does</w:t>
      </w:r>
      <w:r>
        <w:t xml:space="preserve"> not impose any new liabilities on individuals or organisations, and in fact reduces the tax burden on individuals. The instrument provides that various goods and services provided to various care recipients continue to be provided free of GST. This has already been occurring in practice in anticipation of this instrument being made. Consequently, there did not appear to be any circumstances where a person (other than the Commonwealth) would be disadvantaged.</w:t>
      </w:r>
    </w:p>
    <w:p w:rsidR="000A5642" w:rsidRDefault="000A5642" w:rsidP="000A5642"/>
    <w:p w:rsidR="00B72D92" w:rsidRDefault="00B72D92" w:rsidP="000A5642">
      <w:pPr>
        <w:rPr>
          <w:i/>
          <w:iCs/>
        </w:rPr>
      </w:pPr>
      <w:r>
        <w:lastRenderedPageBreak/>
        <w:t xml:space="preserve">This Determination is </w:t>
      </w:r>
      <w:r w:rsidRPr="00523A4F">
        <w:t xml:space="preserve">a legislative instrument for the purposes of the </w:t>
      </w:r>
      <w:r w:rsidRPr="00523A4F">
        <w:rPr>
          <w:i/>
          <w:iCs/>
        </w:rPr>
        <w:t>Legislative Instruments Act 2003.</w:t>
      </w:r>
    </w:p>
    <w:p w:rsidR="002935A3" w:rsidRDefault="002935A3" w:rsidP="000A5642">
      <w:pPr>
        <w:rPr>
          <w:u w:val="single"/>
        </w:rPr>
      </w:pPr>
    </w:p>
    <w:p w:rsidR="00B72D92" w:rsidRDefault="00B72D92" w:rsidP="000A5642">
      <w:pPr>
        <w:rPr>
          <w:u w:val="single"/>
        </w:rPr>
      </w:pPr>
      <w:r w:rsidRPr="001006D2">
        <w:rPr>
          <w:u w:val="single"/>
        </w:rPr>
        <w:t>Consultation</w:t>
      </w:r>
    </w:p>
    <w:p w:rsidR="00B72D92" w:rsidRPr="0092009F" w:rsidRDefault="00B72D92" w:rsidP="000A5642">
      <w:pPr>
        <w:rPr>
          <w:u w:val="single"/>
        </w:rPr>
      </w:pPr>
      <w:r w:rsidRPr="0092009F">
        <w:t>As the amen</w:t>
      </w:r>
      <w:r>
        <w:t>dments in this Determination are a consequence of amendments that were made to another instrument</w:t>
      </w:r>
      <w:r w:rsidRPr="0092009F">
        <w:t>, no specific consultation was undertaken in relation to this instrument.</w:t>
      </w:r>
    </w:p>
    <w:p w:rsidR="008A614C" w:rsidRDefault="008A614C" w:rsidP="000A5642"/>
    <w:p w:rsidR="00C1396C" w:rsidRPr="0012399A" w:rsidRDefault="00C1396C" w:rsidP="000A5642">
      <w:pPr>
        <w:rPr>
          <w:u w:val="single"/>
        </w:rPr>
      </w:pPr>
      <w:r w:rsidRPr="0012399A">
        <w:rPr>
          <w:u w:val="single"/>
        </w:rPr>
        <w:t>Regulation Impact Statement</w:t>
      </w:r>
    </w:p>
    <w:p w:rsidR="00C1396C" w:rsidRDefault="00C1396C" w:rsidP="000A5642">
      <w:r>
        <w:t xml:space="preserve">The Office of Best Practice Regulation has </w:t>
      </w:r>
      <w:r w:rsidRPr="002E3982">
        <w:t>advised that</w:t>
      </w:r>
      <w:r w:rsidR="005F7B9B" w:rsidRPr="002E3982">
        <w:t xml:space="preserve"> no </w:t>
      </w:r>
      <w:proofErr w:type="spellStart"/>
      <w:r w:rsidR="002577DE">
        <w:t>RIS</w:t>
      </w:r>
      <w:proofErr w:type="spellEnd"/>
      <w:r w:rsidR="002E3982" w:rsidRPr="002E3982">
        <w:t xml:space="preserve"> is</w:t>
      </w:r>
      <w:r w:rsidR="002E3982">
        <w:t xml:space="preserve"> required</w:t>
      </w:r>
      <w:r>
        <w:t xml:space="preserve"> </w:t>
      </w:r>
      <w:r w:rsidRPr="006A7A9B">
        <w:t>(</w:t>
      </w:r>
      <w:proofErr w:type="spellStart"/>
      <w:r w:rsidRPr="006A7A9B">
        <w:t>OBPR</w:t>
      </w:r>
      <w:proofErr w:type="spellEnd"/>
      <w:r w:rsidRPr="006A7A9B">
        <w:t xml:space="preserve"> ID</w:t>
      </w:r>
      <w:r w:rsidR="005F7B9B" w:rsidRPr="006A7A9B">
        <w:t xml:space="preserve"> </w:t>
      </w:r>
      <w:r w:rsidR="00282398">
        <w:t>17649</w:t>
      </w:r>
      <w:r w:rsidRPr="006A7A9B">
        <w:t>).</w:t>
      </w:r>
    </w:p>
    <w:p w:rsidR="002935A3" w:rsidRDefault="002935A3" w:rsidP="000A5642">
      <w:pPr>
        <w:rPr>
          <w:u w:val="single"/>
        </w:rPr>
      </w:pPr>
    </w:p>
    <w:p w:rsidR="00C1396C" w:rsidRPr="0012399A" w:rsidRDefault="00C1396C" w:rsidP="000A5642">
      <w:pPr>
        <w:rPr>
          <w:u w:val="single"/>
        </w:rPr>
      </w:pPr>
      <w:r w:rsidRPr="0012399A">
        <w:rPr>
          <w:u w:val="single"/>
        </w:rPr>
        <w:t>Commencement</w:t>
      </w:r>
    </w:p>
    <w:p w:rsidR="000A30E4" w:rsidRDefault="000A30E4" w:rsidP="000A5642">
      <w:r w:rsidRPr="00815762">
        <w:t>Th</w:t>
      </w:r>
      <w:r>
        <w:t xml:space="preserve">e Amending Determination is taken to have commenced on 1 July </w:t>
      </w:r>
      <w:r w:rsidRPr="005F7B9B">
        <w:t>2014.</w:t>
      </w:r>
    </w:p>
    <w:p w:rsidR="008D2E60" w:rsidRDefault="007F5BC9" w:rsidP="000A5642">
      <w:pPr>
        <w:rPr>
          <w:b/>
        </w:rPr>
      </w:pPr>
      <w:r>
        <w:rPr>
          <w:b/>
        </w:rPr>
        <w:br w:type="page"/>
      </w:r>
    </w:p>
    <w:p w:rsidR="007F5BC9" w:rsidRDefault="007F5BC9" w:rsidP="000A5642">
      <w:pPr>
        <w:ind w:left="6480"/>
        <w:jc w:val="center"/>
        <w:rPr>
          <w:b/>
        </w:rPr>
      </w:pPr>
      <w:r>
        <w:rPr>
          <w:b/>
        </w:rPr>
        <w:t>ATTACHMENT</w:t>
      </w:r>
    </w:p>
    <w:p w:rsidR="007F5BC9" w:rsidRDefault="007F5BC9" w:rsidP="000A5642">
      <w:pPr>
        <w:ind w:left="6480"/>
        <w:jc w:val="center"/>
        <w:rPr>
          <w:b/>
        </w:rPr>
      </w:pPr>
    </w:p>
    <w:p w:rsidR="007F5BC9" w:rsidRDefault="007F5BC9" w:rsidP="000A5642">
      <w:pPr>
        <w:ind w:left="6480"/>
        <w:jc w:val="center"/>
        <w:rPr>
          <w:b/>
        </w:rPr>
      </w:pPr>
    </w:p>
    <w:p w:rsidR="00C67BA5" w:rsidRPr="00C67BA5" w:rsidRDefault="007F5BC9" w:rsidP="00C67BA5">
      <w:pPr>
        <w:rPr>
          <w:b/>
          <w:i/>
          <w:u w:val="single"/>
        </w:rPr>
      </w:pPr>
      <w:r w:rsidRPr="00C67BA5">
        <w:rPr>
          <w:b/>
          <w:i/>
          <w:u w:val="single"/>
        </w:rPr>
        <w:t xml:space="preserve">Details of the </w:t>
      </w:r>
      <w:r w:rsidR="00C67BA5" w:rsidRPr="00C67BA5">
        <w:rPr>
          <w:b/>
          <w:i/>
          <w:u w:val="single"/>
        </w:rPr>
        <w:t xml:space="preserve">A New Tax System (Goods and Services Tax) (GST-free Supply – Residential Care – Non-government Funded Supplier) Determination </w:t>
      </w:r>
      <w:r w:rsidR="00605D14">
        <w:rPr>
          <w:b/>
          <w:i/>
          <w:u w:val="single"/>
        </w:rPr>
        <w:t>2015</w:t>
      </w:r>
    </w:p>
    <w:p w:rsidR="007F5BC9" w:rsidRDefault="007F5BC9" w:rsidP="000A5642">
      <w:pPr>
        <w:rPr>
          <w:b/>
          <w:i/>
          <w:u w:val="single"/>
        </w:rPr>
      </w:pPr>
    </w:p>
    <w:p w:rsidR="007F5BC9" w:rsidRDefault="007F5BC9" w:rsidP="000A5642">
      <w:pPr>
        <w:rPr>
          <w:b/>
        </w:rPr>
      </w:pPr>
      <w:r>
        <w:rPr>
          <w:b/>
        </w:rPr>
        <w:t>Item 1 – Name</w:t>
      </w:r>
    </w:p>
    <w:p w:rsidR="007F5BC9" w:rsidRDefault="007F5BC9" w:rsidP="000A5642">
      <w:r>
        <w:t xml:space="preserve">This item states that the name of the amending determination is the </w:t>
      </w:r>
      <w:r>
        <w:rPr>
          <w:i/>
        </w:rPr>
        <w:t>A New Tax System (Goods and Services Tax) (GST-free Supply – Residential Care – Non-</w:t>
      </w:r>
      <w:r w:rsidR="00C67BA5">
        <w:rPr>
          <w:i/>
        </w:rPr>
        <w:t>g</w:t>
      </w:r>
      <w:r>
        <w:rPr>
          <w:i/>
        </w:rPr>
        <w:t xml:space="preserve">overnment Funded Supplier) Determination </w:t>
      </w:r>
      <w:r w:rsidR="00605D14">
        <w:rPr>
          <w:i/>
        </w:rPr>
        <w:t>2015</w:t>
      </w:r>
      <w:r>
        <w:rPr>
          <w:i/>
        </w:rPr>
        <w:t>.</w:t>
      </w:r>
    </w:p>
    <w:p w:rsidR="007F5BC9" w:rsidRDefault="007F5BC9" w:rsidP="000A5642"/>
    <w:p w:rsidR="007F5BC9" w:rsidRPr="00445618" w:rsidRDefault="007F5BC9" w:rsidP="000A5642">
      <w:pPr>
        <w:rPr>
          <w:b/>
        </w:rPr>
      </w:pPr>
      <w:r>
        <w:rPr>
          <w:b/>
        </w:rPr>
        <w:t>Item</w:t>
      </w:r>
      <w:r w:rsidRPr="00445618">
        <w:rPr>
          <w:b/>
        </w:rPr>
        <w:t xml:space="preserve"> 2 - Commencement</w:t>
      </w:r>
    </w:p>
    <w:p w:rsidR="007F5BC9" w:rsidRDefault="007F5BC9" w:rsidP="000A5642">
      <w:r>
        <w:t>This item states that this instrument is taken to have commenced on 1 July 2014.</w:t>
      </w:r>
    </w:p>
    <w:p w:rsidR="007F5BC9" w:rsidRDefault="007F5BC9" w:rsidP="000A5642"/>
    <w:p w:rsidR="007F5BC9" w:rsidRDefault="007F5BC9" w:rsidP="000A5642">
      <w:pPr>
        <w:rPr>
          <w:b/>
        </w:rPr>
      </w:pPr>
      <w:r>
        <w:rPr>
          <w:b/>
        </w:rPr>
        <w:t>Item</w:t>
      </w:r>
      <w:r w:rsidRPr="00445618">
        <w:rPr>
          <w:b/>
        </w:rPr>
        <w:t xml:space="preserve"> 3 </w:t>
      </w:r>
      <w:r>
        <w:rPr>
          <w:b/>
        </w:rPr>
        <w:t>–</w:t>
      </w:r>
      <w:r w:rsidRPr="00445618">
        <w:rPr>
          <w:b/>
        </w:rPr>
        <w:t xml:space="preserve"> Authority</w:t>
      </w:r>
    </w:p>
    <w:p w:rsidR="007F5BC9" w:rsidRDefault="007F5BC9" w:rsidP="000A5642">
      <w:pPr>
        <w:rPr>
          <w:i/>
        </w:rPr>
      </w:pPr>
      <w:r>
        <w:t>This item</w:t>
      </w:r>
      <w:r w:rsidRPr="00E95A51">
        <w:t xml:space="preserve"> states that the authority by which this instrument is made is </w:t>
      </w:r>
      <w:r w:rsidR="00346CFC">
        <w:t>paragraph </w:t>
      </w:r>
      <w:r>
        <w:t>177-10(1</w:t>
      </w:r>
      <w:proofErr w:type="gramStart"/>
      <w:r>
        <w:t>)(</w:t>
      </w:r>
      <w:proofErr w:type="gramEnd"/>
      <w:r>
        <w:t>c)</w:t>
      </w:r>
      <w:r w:rsidRPr="00E95A51">
        <w:t xml:space="preserve"> of the </w:t>
      </w:r>
      <w:r w:rsidRPr="00E95A51">
        <w:rPr>
          <w:i/>
        </w:rPr>
        <w:t>A New Tax System (Goods and Services Tax) Act 1999.</w:t>
      </w:r>
    </w:p>
    <w:p w:rsidR="007F5BC9" w:rsidRDefault="007F5BC9" w:rsidP="000A5642">
      <w:pPr>
        <w:rPr>
          <w:i/>
        </w:rPr>
      </w:pPr>
    </w:p>
    <w:p w:rsidR="007F5BC9" w:rsidRDefault="007F5BC9" w:rsidP="000A5642">
      <w:pPr>
        <w:rPr>
          <w:b/>
        </w:rPr>
      </w:pPr>
      <w:r>
        <w:rPr>
          <w:b/>
        </w:rPr>
        <w:t>Item</w:t>
      </w:r>
      <w:r w:rsidRPr="00E95A51">
        <w:rPr>
          <w:b/>
        </w:rPr>
        <w:t xml:space="preserve"> 4 </w:t>
      </w:r>
      <w:r>
        <w:rPr>
          <w:b/>
        </w:rPr>
        <w:t>–</w:t>
      </w:r>
      <w:r w:rsidRPr="00E95A51">
        <w:rPr>
          <w:b/>
        </w:rPr>
        <w:t xml:space="preserve"> Schedules</w:t>
      </w:r>
    </w:p>
    <w:p w:rsidR="007F5BC9" w:rsidRDefault="007F5BC9" w:rsidP="000A5642">
      <w:r>
        <w:t>This item</w:t>
      </w:r>
      <w:r w:rsidRPr="00E95A51">
        <w:t xml:space="preserve"> states that </w:t>
      </w:r>
      <w:r>
        <w:t>e</w:t>
      </w:r>
      <w:r w:rsidRPr="00E95A51">
        <w:t>ach instrument that is specified in a Schedule to this instrument is amended or repealed as set out in the applicable items in the Schedule concerned, and any other item in a Schedule to this instrument has effect according to its terms.</w:t>
      </w:r>
    </w:p>
    <w:p w:rsidR="000A5642" w:rsidRDefault="000A5642" w:rsidP="000A5642"/>
    <w:p w:rsidR="000A5642" w:rsidRPr="00E95A51" w:rsidRDefault="000A5642" w:rsidP="000A5642">
      <w:r w:rsidRPr="008229E2">
        <w:t xml:space="preserve">Under subsection 33(3) of the </w:t>
      </w:r>
      <w:r w:rsidRPr="008229E2">
        <w:rPr>
          <w:i/>
          <w:iCs/>
        </w:rPr>
        <w:t>Acts Interpretation Act 1901</w:t>
      </w:r>
      <w:r w:rsidRPr="008229E2">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7F5BC9" w:rsidRDefault="007F5BC9" w:rsidP="000A5642">
      <w:pPr>
        <w:rPr>
          <w:b/>
        </w:rPr>
      </w:pPr>
    </w:p>
    <w:p w:rsidR="007F5BC9" w:rsidRDefault="007F5BC9" w:rsidP="000A5642">
      <w:pPr>
        <w:rPr>
          <w:b/>
        </w:rPr>
      </w:pPr>
      <w:r>
        <w:rPr>
          <w:b/>
        </w:rPr>
        <w:t>Item 5 – Definitions</w:t>
      </w:r>
    </w:p>
    <w:p w:rsidR="007F5BC9" w:rsidRDefault="007F5BC9" w:rsidP="000A5642">
      <w:r w:rsidRPr="00DF4325">
        <w:t>This item notes that a number of expressions used throughout this instrument</w:t>
      </w:r>
      <w:r>
        <w:t xml:space="preserve"> are defined in the GST Act, including the terms GST-free, Quality of Care Principles and supply.</w:t>
      </w:r>
    </w:p>
    <w:p w:rsidR="007F5BC9" w:rsidRDefault="007F5BC9" w:rsidP="000A5642"/>
    <w:p w:rsidR="007F5BC9" w:rsidRDefault="007F5BC9" w:rsidP="000A5642">
      <w:r>
        <w:t>Throughout this instrument:</w:t>
      </w:r>
    </w:p>
    <w:p w:rsidR="007F5BC9" w:rsidRDefault="007F5BC9" w:rsidP="000A5642">
      <w:pPr>
        <w:rPr>
          <w:b/>
          <w:i/>
        </w:rPr>
      </w:pPr>
    </w:p>
    <w:p w:rsidR="007F5BC9" w:rsidRDefault="007F5BC9" w:rsidP="000A5642">
      <w:r w:rsidRPr="00FD43B0">
        <w:rPr>
          <w:b/>
          <w:i/>
        </w:rPr>
        <w:t>Act</w:t>
      </w:r>
      <w:r>
        <w:t xml:space="preserve"> has the meaning of </w:t>
      </w:r>
      <w:r w:rsidRPr="00FD43B0">
        <w:rPr>
          <w:i/>
        </w:rPr>
        <w:t>A New Tax System (Goods and Services Tax) Act 1999</w:t>
      </w:r>
      <w:r>
        <w:t>.</w:t>
      </w:r>
    </w:p>
    <w:p w:rsidR="007F5BC9" w:rsidRDefault="007F5BC9" w:rsidP="000A5642"/>
    <w:p w:rsidR="007F5BC9" w:rsidRDefault="007F5BC9" w:rsidP="000A5642">
      <w:proofErr w:type="gramStart"/>
      <w:r w:rsidRPr="00FD43B0">
        <w:rPr>
          <w:b/>
          <w:i/>
        </w:rPr>
        <w:t>resident</w:t>
      </w:r>
      <w:proofErr w:type="gramEnd"/>
      <w:r>
        <w:t xml:space="preserve"> has the meaning of a person as mentioned in paragraph 38-25(3)(a) of the Act.</w:t>
      </w:r>
    </w:p>
    <w:p w:rsidR="007F5BC9" w:rsidRDefault="007F5BC9" w:rsidP="000A5642"/>
    <w:p w:rsidR="007F5BC9" w:rsidRDefault="007F5BC9" w:rsidP="000A5642">
      <w:pPr>
        <w:rPr>
          <w:b/>
        </w:rPr>
      </w:pPr>
      <w:r w:rsidRPr="00FD43B0">
        <w:rPr>
          <w:b/>
        </w:rPr>
        <w:t>Item 6 – Kinds of services</w:t>
      </w:r>
    </w:p>
    <w:p w:rsidR="007F5BC9" w:rsidRDefault="007F5BC9" w:rsidP="000A5642">
      <w:pPr>
        <w:rPr>
          <w:b/>
        </w:rPr>
      </w:pPr>
    </w:p>
    <w:p w:rsidR="007F5BC9" w:rsidRDefault="007F5BC9" w:rsidP="000A5642">
      <w:pPr>
        <w:rPr>
          <w:i/>
        </w:rPr>
      </w:pPr>
      <w:r w:rsidRPr="00FD43B0">
        <w:rPr>
          <w:i/>
        </w:rPr>
        <w:t>Hotel services supplied to residents in a residential facility</w:t>
      </w:r>
    </w:p>
    <w:p w:rsidR="007F5BC9" w:rsidRDefault="007F5BC9" w:rsidP="000A5642">
      <w:pPr>
        <w:rPr>
          <w:i/>
        </w:rPr>
      </w:pPr>
    </w:p>
    <w:p w:rsidR="007F5BC9" w:rsidRDefault="007F5BC9" w:rsidP="000A5642">
      <w:r>
        <w:t>Item 6(1) states that for the purposes of paragraph 38-25(3)(b) of the Act, hotel services that are supplied to a resident in a residential facility as specified in Part 1 of Schedule 1 to the Quality of Care Principles are services of a kind covered by Schedule 1 to the Quality of Care Principles.</w:t>
      </w:r>
      <w:r w:rsidR="00A06C8E">
        <w:t xml:space="preserve"> This item also states that this only applies if the services are provided in accordance with </w:t>
      </w:r>
      <w:proofErr w:type="spellStart"/>
      <w:r w:rsidR="00A06C8E">
        <w:t>subitem</w:t>
      </w:r>
      <w:proofErr w:type="spellEnd"/>
      <w:r w:rsidR="00A06C8E">
        <w:t xml:space="preserve"> 6(4).</w:t>
      </w:r>
    </w:p>
    <w:p w:rsidR="007F5BC9" w:rsidRDefault="007F5BC9" w:rsidP="000A5642"/>
    <w:p w:rsidR="007F5BC9" w:rsidRDefault="007F5BC9" w:rsidP="00142F29">
      <w:pPr>
        <w:keepNext/>
        <w:rPr>
          <w:i/>
        </w:rPr>
      </w:pPr>
      <w:r w:rsidRPr="003668AD">
        <w:rPr>
          <w:i/>
        </w:rPr>
        <w:lastRenderedPageBreak/>
        <w:t>General care services supplied to residents in a residential facility</w:t>
      </w:r>
    </w:p>
    <w:p w:rsidR="007F5BC9" w:rsidRDefault="007F5BC9" w:rsidP="00142F29">
      <w:pPr>
        <w:keepNext/>
        <w:rPr>
          <w:i/>
        </w:rPr>
      </w:pPr>
    </w:p>
    <w:p w:rsidR="007F5BC9" w:rsidRDefault="007F5BC9" w:rsidP="000A5642">
      <w:r>
        <w:t>Item 6(2) states that care and services that are supplied to a resident in a residential facility</w:t>
      </w:r>
      <w:r w:rsidR="007E28B5">
        <w:t xml:space="preserve"> </w:t>
      </w:r>
      <w:r w:rsidR="00A06C8E">
        <w:t xml:space="preserve">that are </w:t>
      </w:r>
      <w:r>
        <w:t>specified in Part 2 of Schedule 1 to the Quality of Care Principles</w:t>
      </w:r>
      <w:r w:rsidR="007E28B5">
        <w:t>,</w:t>
      </w:r>
      <w:r>
        <w:t xml:space="preserve"> are services </w:t>
      </w:r>
      <w:r w:rsidR="00A06C8E">
        <w:t xml:space="preserve">considered to be </w:t>
      </w:r>
      <w:r>
        <w:t>covered by Schedule 1 to the Quality of Care Principles</w:t>
      </w:r>
      <w:r w:rsidR="00A06C8E">
        <w:t xml:space="preserve"> for the purposes of paragraph 38-25(3)(b) of the Act</w:t>
      </w:r>
      <w:r>
        <w:t>.</w:t>
      </w:r>
      <w:r w:rsidR="00A06C8E">
        <w:t xml:space="preserve"> It also states that this only applies if the services are provided in accordance with </w:t>
      </w:r>
      <w:proofErr w:type="spellStart"/>
      <w:r w:rsidR="00A06C8E">
        <w:t>subitem</w:t>
      </w:r>
      <w:proofErr w:type="spellEnd"/>
      <w:r w:rsidR="00A06C8E">
        <w:t xml:space="preserve"> 6(4).</w:t>
      </w:r>
    </w:p>
    <w:p w:rsidR="007E28B5" w:rsidRDefault="007E28B5" w:rsidP="000A5642">
      <w:pPr>
        <w:rPr>
          <w:i/>
        </w:rPr>
      </w:pPr>
    </w:p>
    <w:p w:rsidR="007F5BC9" w:rsidRDefault="00914F52" w:rsidP="000A5642">
      <w:pPr>
        <w:rPr>
          <w:i/>
        </w:rPr>
      </w:pPr>
      <w:r>
        <w:rPr>
          <w:i/>
        </w:rPr>
        <w:t>Other care services supplied to residents in</w:t>
      </w:r>
      <w:r w:rsidR="007F5BC9" w:rsidRPr="003668AD">
        <w:rPr>
          <w:i/>
        </w:rPr>
        <w:t xml:space="preserve"> a residential facility</w:t>
      </w:r>
    </w:p>
    <w:p w:rsidR="007F5BC9" w:rsidRDefault="007F5BC9" w:rsidP="000A5642">
      <w:pPr>
        <w:rPr>
          <w:i/>
        </w:rPr>
      </w:pPr>
    </w:p>
    <w:p w:rsidR="007F5BC9" w:rsidRDefault="007F5BC9" w:rsidP="000A5642">
      <w:r>
        <w:t>Item 6(3) states that for t</w:t>
      </w:r>
      <w:r w:rsidR="007E28B5">
        <w:t>he purposes of paragraph 38-25(3</w:t>
      </w:r>
      <w:proofErr w:type="gramStart"/>
      <w:r>
        <w:t>)(</w:t>
      </w:r>
      <w:proofErr w:type="gramEnd"/>
      <w:r>
        <w:t>b) of the Act, care and services that are supplied to a resident in a residential facility</w:t>
      </w:r>
      <w:r w:rsidR="007E28B5">
        <w:t xml:space="preserve"> in the circumstances set out in </w:t>
      </w:r>
      <w:proofErr w:type="spellStart"/>
      <w:r w:rsidR="00346CFC">
        <w:t>subitem</w:t>
      </w:r>
      <w:proofErr w:type="spellEnd"/>
      <w:r w:rsidR="00346CFC">
        <w:t xml:space="preserve"> </w:t>
      </w:r>
      <w:r w:rsidR="007E28B5">
        <w:t>6(4)</w:t>
      </w:r>
      <w:r>
        <w:t xml:space="preserve"> as specified in Part 3 of Schedule 1 to the Quality of Care Principles are services covered by Schedule 1 to the Quality of Care Principles.</w:t>
      </w:r>
    </w:p>
    <w:p w:rsidR="007F5BC9" w:rsidRDefault="007F5BC9" w:rsidP="000A5642"/>
    <w:p w:rsidR="007E28B5" w:rsidRDefault="007E28B5" w:rsidP="000A5642">
      <w:pPr>
        <w:rPr>
          <w:i/>
        </w:rPr>
      </w:pPr>
      <w:r>
        <w:rPr>
          <w:i/>
        </w:rPr>
        <w:t>Circumstances</w:t>
      </w:r>
    </w:p>
    <w:p w:rsidR="00A213B3" w:rsidRDefault="00A213B3" w:rsidP="000A5642"/>
    <w:p w:rsidR="007E28B5" w:rsidRDefault="007E28B5" w:rsidP="000A5642">
      <w:r>
        <w:t xml:space="preserve">Item 6(4) states that the circumstances </w:t>
      </w:r>
      <w:r w:rsidR="00D87C43">
        <w:t xml:space="preserve">in which </w:t>
      </w:r>
      <w:proofErr w:type="spellStart"/>
      <w:r w:rsidR="00D87C43">
        <w:t>subitems</w:t>
      </w:r>
      <w:proofErr w:type="spellEnd"/>
      <w:r w:rsidR="00D87C43">
        <w:t xml:space="preserve"> 6(1) – 6(3) apply </w:t>
      </w:r>
      <w:r>
        <w:t>are that:</w:t>
      </w:r>
    </w:p>
    <w:p w:rsidR="007E28B5" w:rsidRDefault="007E28B5" w:rsidP="000A5642">
      <w:pPr>
        <w:numPr>
          <w:ilvl w:val="0"/>
          <w:numId w:val="88"/>
        </w:numPr>
        <w:ind w:left="284" w:firstLine="0"/>
      </w:pPr>
      <w:proofErr w:type="gramStart"/>
      <w:r>
        <w:t>the</w:t>
      </w:r>
      <w:proofErr w:type="gramEnd"/>
      <w:r>
        <w:t xml:space="preserve"> resident has a continued need for the services listed in item 2.1 or 3.8 of Schedule 1 to the Quality of Care Principles</w:t>
      </w:r>
      <w:r w:rsidR="00A06C8E">
        <w:t>. That is, a continued need for assistance with daily living activities and/or nursing services</w:t>
      </w:r>
      <w:r>
        <w:t>; and</w:t>
      </w:r>
    </w:p>
    <w:p w:rsidR="007E28B5" w:rsidRDefault="007E28B5" w:rsidP="000A5642">
      <w:pPr>
        <w:numPr>
          <w:ilvl w:val="0"/>
          <w:numId w:val="88"/>
        </w:numPr>
        <w:ind w:left="284" w:firstLine="0"/>
      </w:pPr>
      <w:r>
        <w:t xml:space="preserve">via a written agreement, the services are supplied in a package consisting of the services listed in item 2.1 </w:t>
      </w:r>
      <w:r w:rsidR="00142F29">
        <w:t>or</w:t>
      </w:r>
      <w:r>
        <w:t xml:space="preserve"> 3.8 of Schedule 1 to the Quality of Care Principles, other services mentioned in </w:t>
      </w:r>
      <w:r w:rsidR="00A213B3">
        <w:t>the Schedule that are needed by the resident</w:t>
      </w:r>
      <w:r w:rsidR="00B94006">
        <w:t>,</w:t>
      </w:r>
      <w:r w:rsidR="00A213B3">
        <w:t xml:space="preserve"> and accommodation; and</w:t>
      </w:r>
    </w:p>
    <w:p w:rsidR="00A213B3" w:rsidRPr="007E28B5" w:rsidRDefault="00A213B3" w:rsidP="000A5642">
      <w:pPr>
        <w:numPr>
          <w:ilvl w:val="0"/>
          <w:numId w:val="88"/>
        </w:numPr>
        <w:ind w:left="284" w:firstLine="0"/>
      </w:pPr>
      <w:proofErr w:type="gramStart"/>
      <w:r>
        <w:t>charges</w:t>
      </w:r>
      <w:proofErr w:type="gramEnd"/>
      <w:r>
        <w:t xml:space="preserve"> for services and accommodation are payable to the same entity.</w:t>
      </w:r>
    </w:p>
    <w:p w:rsidR="007E28B5" w:rsidRDefault="007E28B5" w:rsidP="000A5642">
      <w:pPr>
        <w:rPr>
          <w:i/>
        </w:rPr>
      </w:pPr>
    </w:p>
    <w:p w:rsidR="007F5BC9" w:rsidRDefault="007F5BC9" w:rsidP="000A5642">
      <w:pPr>
        <w:rPr>
          <w:i/>
        </w:rPr>
      </w:pPr>
      <w:r w:rsidRPr="00C53756">
        <w:rPr>
          <w:i/>
        </w:rPr>
        <w:t>Translation of references in Quality of Care Principles</w:t>
      </w:r>
    </w:p>
    <w:p w:rsidR="007F5BC9" w:rsidRDefault="007F5BC9" w:rsidP="000A5642">
      <w:pPr>
        <w:rPr>
          <w:i/>
        </w:rPr>
      </w:pPr>
    </w:p>
    <w:p w:rsidR="007F5BC9" w:rsidRDefault="00346CFC" w:rsidP="000A5642">
      <w:proofErr w:type="spellStart"/>
      <w:r>
        <w:t>Subi</w:t>
      </w:r>
      <w:r w:rsidR="007E28B5">
        <w:t>tem</w:t>
      </w:r>
      <w:proofErr w:type="spellEnd"/>
      <w:r w:rsidR="007E28B5">
        <w:t xml:space="preserve"> 6(5</w:t>
      </w:r>
      <w:r w:rsidR="007F5BC9">
        <w:t>) states that for the purposes of this section, a reference in Schedule 1 to the Quality of Care Principles to a care recipient is to be read as a reference to a resident and a reference to a residential care service is to be read as a reference to a residential facility.</w:t>
      </w:r>
    </w:p>
    <w:p w:rsidR="007F5BC9" w:rsidRDefault="007F5BC9" w:rsidP="000A5642"/>
    <w:p w:rsidR="007F5BC9" w:rsidRPr="00C53756" w:rsidRDefault="007F5BC9" w:rsidP="000A5642">
      <w:r>
        <w:t>This item notes that the supply of any of the services mentioned in this section is GST-free, subject to the re</w:t>
      </w:r>
      <w:r w:rsidR="00A213B3">
        <w:t>quirements of paragraphs 38-25(3</w:t>
      </w:r>
      <w:proofErr w:type="gramStart"/>
      <w:r>
        <w:t>)(</w:t>
      </w:r>
      <w:proofErr w:type="gramEnd"/>
      <w:r>
        <w:t>a) and (c) of the Act.</w:t>
      </w:r>
    </w:p>
    <w:p w:rsidR="007F5BC9" w:rsidRPr="00DF4325" w:rsidRDefault="007F5BC9" w:rsidP="000A5642"/>
    <w:p w:rsidR="007F5BC9" w:rsidRDefault="007F5BC9" w:rsidP="000A5642">
      <w:pPr>
        <w:rPr>
          <w:b/>
          <w:sz w:val="28"/>
          <w:szCs w:val="28"/>
        </w:rPr>
      </w:pPr>
      <w:r w:rsidRPr="00E95A51">
        <w:rPr>
          <w:b/>
          <w:sz w:val="28"/>
          <w:szCs w:val="28"/>
        </w:rPr>
        <w:t xml:space="preserve">Schedule 1 </w:t>
      </w:r>
      <w:r>
        <w:rPr>
          <w:b/>
          <w:sz w:val="28"/>
          <w:szCs w:val="28"/>
        </w:rPr>
        <w:t>– Repeals</w:t>
      </w:r>
    </w:p>
    <w:p w:rsidR="007F5BC9" w:rsidRDefault="007F5BC9" w:rsidP="000A5642">
      <w:pPr>
        <w:rPr>
          <w:b/>
          <w:sz w:val="28"/>
          <w:szCs w:val="28"/>
        </w:rPr>
      </w:pPr>
    </w:p>
    <w:p w:rsidR="007F5BC9" w:rsidRDefault="007F5BC9" w:rsidP="000A5642">
      <w:pPr>
        <w:rPr>
          <w:b/>
          <w:i/>
        </w:rPr>
      </w:pPr>
      <w:bookmarkStart w:id="1" w:name="_Toc401820923"/>
      <w:r w:rsidRPr="00C53756">
        <w:rPr>
          <w:b/>
          <w:i/>
        </w:rPr>
        <w:t>GST</w:t>
      </w:r>
      <w:r w:rsidRPr="00C53756">
        <w:rPr>
          <w:b/>
          <w:i/>
        </w:rPr>
        <w:noBreakHyphen/>
        <w:t>free Supply (Residential Care —</w:t>
      </w:r>
      <w:bookmarkStart w:id="2" w:name="BK_S4P4L4C36"/>
      <w:bookmarkEnd w:id="2"/>
      <w:r w:rsidRPr="00C53756">
        <w:rPr>
          <w:b/>
          <w:i/>
        </w:rPr>
        <w:t xml:space="preserve"> </w:t>
      </w:r>
      <w:bookmarkStart w:id="3" w:name="BK_S4P4L4C37"/>
      <w:bookmarkEnd w:id="3"/>
      <w:r w:rsidR="00A213B3">
        <w:rPr>
          <w:b/>
          <w:i/>
        </w:rPr>
        <w:t>Non-</w:t>
      </w:r>
      <w:r w:rsidRPr="00C53756">
        <w:rPr>
          <w:b/>
          <w:i/>
        </w:rPr>
        <w:t>Government</w:t>
      </w:r>
      <w:r w:rsidRPr="00C53756">
        <w:rPr>
          <w:b/>
          <w:i/>
        </w:rPr>
        <w:noBreakHyphen/>
        <w:t>Funded Supplier) Determination 2000</w:t>
      </w:r>
      <w:bookmarkEnd w:id="1"/>
    </w:p>
    <w:p w:rsidR="007F5BC9" w:rsidRDefault="007F5BC9" w:rsidP="000A5642">
      <w:pPr>
        <w:rPr>
          <w:b/>
          <w:i/>
        </w:rPr>
      </w:pPr>
    </w:p>
    <w:p w:rsidR="007F5BC9" w:rsidRDefault="007F5BC9" w:rsidP="000A5642">
      <w:pPr>
        <w:rPr>
          <w:b/>
        </w:rPr>
      </w:pPr>
      <w:r>
        <w:rPr>
          <w:b/>
        </w:rPr>
        <w:t>Item 1 – The whole of the Determination</w:t>
      </w:r>
    </w:p>
    <w:p w:rsidR="007F5BC9" w:rsidRPr="00C53756" w:rsidRDefault="007F5BC9" w:rsidP="000A5642">
      <w:pPr>
        <w:rPr>
          <w:i/>
        </w:rPr>
      </w:pPr>
      <w:r w:rsidRPr="00C53756">
        <w:t xml:space="preserve">This item repeals the </w:t>
      </w:r>
      <w:r w:rsidRPr="00C53756">
        <w:rPr>
          <w:i/>
        </w:rPr>
        <w:t>GST</w:t>
      </w:r>
      <w:r w:rsidRPr="00C53756">
        <w:rPr>
          <w:i/>
        </w:rPr>
        <w:noBreakHyphen/>
        <w:t xml:space="preserve">free Supply (Residential Care — </w:t>
      </w:r>
      <w:r w:rsidR="00A213B3">
        <w:rPr>
          <w:i/>
        </w:rPr>
        <w:t>Non-</w:t>
      </w:r>
      <w:r w:rsidRPr="00C53756">
        <w:rPr>
          <w:i/>
        </w:rPr>
        <w:t>Government</w:t>
      </w:r>
      <w:r w:rsidRPr="00C53756">
        <w:rPr>
          <w:i/>
        </w:rPr>
        <w:noBreakHyphen/>
        <w:t>Funded Supplier) Determination 2000</w:t>
      </w:r>
      <w:r w:rsidR="009E746D">
        <w:rPr>
          <w:i/>
        </w:rPr>
        <w:t>.</w:t>
      </w:r>
    </w:p>
    <w:p w:rsidR="008D2E60" w:rsidRPr="00A213B3" w:rsidRDefault="007F5BC9" w:rsidP="000A5642">
      <w:pPr>
        <w:jc w:val="center"/>
        <w:rPr>
          <w:b/>
        </w:rPr>
      </w:pPr>
      <w:r>
        <w:rPr>
          <w:b/>
        </w:rPr>
        <w:br w:type="page"/>
      </w:r>
      <w:r w:rsidR="008D2E60" w:rsidRPr="00E4135E">
        <w:rPr>
          <w:i/>
        </w:rPr>
        <w:lastRenderedPageBreak/>
        <w:t>Prepared in accordance with Part 3 of the Human Rights (Parliamentary Scrutiny) Act 2011</w:t>
      </w:r>
    </w:p>
    <w:p w:rsidR="008D2E60" w:rsidRDefault="008D2E60" w:rsidP="000A5642"/>
    <w:p w:rsidR="00C67BA5" w:rsidRPr="001006D2" w:rsidRDefault="00C67BA5" w:rsidP="00C67BA5">
      <w:pPr>
        <w:jc w:val="center"/>
        <w:rPr>
          <w:b/>
          <w:i/>
        </w:rPr>
      </w:pPr>
      <w:r>
        <w:rPr>
          <w:b/>
          <w:i/>
        </w:rPr>
        <w:t xml:space="preserve">A New Tax System (Goods and Services Tax) (GST-free Supply – Residential Care – Non-government Funded Supplier) Determination </w:t>
      </w:r>
      <w:r w:rsidR="00605D14">
        <w:rPr>
          <w:b/>
          <w:i/>
        </w:rPr>
        <w:t>2015</w:t>
      </w:r>
    </w:p>
    <w:p w:rsidR="004E65FB" w:rsidRDefault="004E65FB" w:rsidP="000A5642">
      <w:pPr>
        <w:rPr>
          <w:b/>
          <w:i/>
        </w:rPr>
      </w:pPr>
    </w:p>
    <w:p w:rsidR="008D2E60" w:rsidRPr="0019458E" w:rsidRDefault="008D2E60" w:rsidP="000A5642">
      <w:r w:rsidRPr="0019458E">
        <w:t xml:space="preserve">The </w:t>
      </w:r>
      <w:r w:rsidR="00A213B3" w:rsidRPr="00A213B3">
        <w:rPr>
          <w:i/>
        </w:rPr>
        <w:t xml:space="preserve">A New Tax System (Goods and Services Tax) (GST-free Supply - Residential Care –Non-Government Funded Supplier) Determination </w:t>
      </w:r>
      <w:r w:rsidR="00605D14">
        <w:rPr>
          <w:i/>
        </w:rPr>
        <w:t>2015</w:t>
      </w:r>
      <w:r w:rsidR="00A213B3" w:rsidRPr="00A213B3">
        <w:t xml:space="preserve"> </w:t>
      </w:r>
      <w:r>
        <w:t xml:space="preserve">(the </w:t>
      </w:r>
      <w:r w:rsidR="006A7A9B">
        <w:t>Legislative Instrument) is</w:t>
      </w:r>
      <w:r w:rsidRPr="0019458E">
        <w:t xml:space="preserve"> compatible with the human rights and freedoms recognised or declared in the international instruments listed in section 3 of the </w:t>
      </w:r>
      <w:r w:rsidRPr="0019458E">
        <w:rPr>
          <w:i/>
        </w:rPr>
        <w:t>Human Rights (Parliamentary Scrutiny) Act 2011</w:t>
      </w:r>
      <w:r w:rsidRPr="0019458E">
        <w:t>.</w:t>
      </w:r>
    </w:p>
    <w:p w:rsidR="008D2E60" w:rsidRPr="0019458E" w:rsidRDefault="008D2E60" w:rsidP="000A5642"/>
    <w:p w:rsidR="008D2E60" w:rsidRPr="00644F06" w:rsidRDefault="008D2E60" w:rsidP="000A5642">
      <w:pPr>
        <w:rPr>
          <w:b/>
        </w:rPr>
      </w:pPr>
      <w:r w:rsidRPr="00644F06">
        <w:rPr>
          <w:b/>
        </w:rPr>
        <w:t>Overview of the Legislative Instrument</w:t>
      </w:r>
    </w:p>
    <w:p w:rsidR="00A213B3" w:rsidRDefault="00D87C43" w:rsidP="000A5642">
      <w:pPr>
        <w:rPr>
          <w:i/>
        </w:rPr>
      </w:pPr>
      <w:r>
        <w:t>This L</w:t>
      </w:r>
      <w:r w:rsidR="00A213B3">
        <w:t xml:space="preserve">egislative Instrument ensures that eligible aged or disabled residents of privately funded residential aged care services will receive GST-free all the residential care services that are GST-free to </w:t>
      </w:r>
      <w:proofErr w:type="gramStart"/>
      <w:r w:rsidR="00A213B3">
        <w:t>aged</w:t>
      </w:r>
      <w:proofErr w:type="gramEnd"/>
      <w:r w:rsidR="00A213B3">
        <w:t xml:space="preserve"> and disabled residents of Commonwealth funded residential aged care services under the </w:t>
      </w:r>
      <w:r w:rsidR="00A213B3" w:rsidRPr="006E7B70">
        <w:rPr>
          <w:i/>
        </w:rPr>
        <w:t>Aged Care Act 1997.</w:t>
      </w:r>
    </w:p>
    <w:p w:rsidR="00A213B3" w:rsidRDefault="00A213B3" w:rsidP="000A5642">
      <w:pPr>
        <w:rPr>
          <w:i/>
        </w:rPr>
      </w:pPr>
    </w:p>
    <w:p w:rsidR="00A213B3" w:rsidRDefault="00A213B3" w:rsidP="000A5642">
      <w:r>
        <w:t xml:space="preserve">The services as listed in Schedule 1 to this determination reflect the same range of services as those in Schedule 1 to the </w:t>
      </w:r>
      <w:r w:rsidRPr="006E7B70">
        <w:rPr>
          <w:i/>
        </w:rPr>
        <w:t>Quality of Care Principles 2014</w:t>
      </w:r>
      <w:r>
        <w:t xml:space="preserve"> as made under the </w:t>
      </w:r>
      <w:r w:rsidRPr="006E7B70">
        <w:rPr>
          <w:i/>
        </w:rPr>
        <w:t>Aged Care Act 1997</w:t>
      </w:r>
      <w:r>
        <w:t xml:space="preserve">, which are GST-free to residents of Commonwealth funded residential aged care services. </w:t>
      </w:r>
    </w:p>
    <w:p w:rsidR="00D87C43" w:rsidRDefault="00D87C43" w:rsidP="000A5642"/>
    <w:p w:rsidR="00A213B3" w:rsidRPr="006A0462" w:rsidRDefault="00A213B3" w:rsidP="000A5642">
      <w:r>
        <w:t>The purpose of the</w:t>
      </w:r>
      <w:r w:rsidRPr="006E7B70">
        <w:rPr>
          <w:i/>
        </w:rPr>
        <w:t xml:space="preserve"> </w:t>
      </w:r>
      <w:r>
        <w:rPr>
          <w:i/>
        </w:rPr>
        <w:t>A New Tax System (Goods and Services Tax) (</w:t>
      </w:r>
      <w:r w:rsidRPr="006A0462">
        <w:rPr>
          <w:i/>
        </w:rPr>
        <w:t>GST-free Supply</w:t>
      </w:r>
      <w:r w:rsidR="00C67BA5">
        <w:rPr>
          <w:i/>
        </w:rPr>
        <w:t xml:space="preserve"> – (</w:t>
      </w:r>
      <w:r w:rsidRPr="006A0462">
        <w:rPr>
          <w:i/>
        </w:rPr>
        <w:t>Residential Care</w:t>
      </w:r>
      <w:r>
        <w:rPr>
          <w:i/>
        </w:rPr>
        <w:t xml:space="preserve"> </w:t>
      </w:r>
      <w:r w:rsidR="00C67BA5">
        <w:rPr>
          <w:i/>
        </w:rPr>
        <w:t>–</w:t>
      </w:r>
      <w:r>
        <w:rPr>
          <w:i/>
        </w:rPr>
        <w:t xml:space="preserve"> Non</w:t>
      </w:r>
      <w:r w:rsidR="00C67BA5">
        <w:rPr>
          <w:i/>
        </w:rPr>
        <w:t>-g</w:t>
      </w:r>
      <w:r w:rsidRPr="006A0462">
        <w:rPr>
          <w:i/>
        </w:rPr>
        <w:t>overn</w:t>
      </w:r>
      <w:r w:rsidR="00C67BA5">
        <w:rPr>
          <w:i/>
        </w:rPr>
        <w:t xml:space="preserve">ment </w:t>
      </w:r>
      <w:r>
        <w:rPr>
          <w:i/>
        </w:rPr>
        <w:t xml:space="preserve">Funded Supplier) Determination </w:t>
      </w:r>
      <w:r w:rsidR="00605D14">
        <w:rPr>
          <w:i/>
        </w:rPr>
        <w:t>2015</w:t>
      </w:r>
      <w:r>
        <w:rPr>
          <w:i/>
        </w:rPr>
        <w:t xml:space="preserve"> </w:t>
      </w:r>
      <w:r>
        <w:t xml:space="preserve">is to reflect amendments made to the specified care and services listed in Schedule 1 of the </w:t>
      </w:r>
      <w:r w:rsidRPr="006A0462">
        <w:rPr>
          <w:i/>
        </w:rPr>
        <w:t>Quality of Care Principles 2014</w:t>
      </w:r>
      <w:r>
        <w:t xml:space="preserve"> that came into effect on 1 July 2014.</w:t>
      </w:r>
    </w:p>
    <w:p w:rsidR="00A213B3" w:rsidRDefault="00A213B3" w:rsidP="000A5642"/>
    <w:p w:rsidR="008D2E60" w:rsidRPr="00644F06" w:rsidRDefault="008D2E60" w:rsidP="000A5642">
      <w:pPr>
        <w:rPr>
          <w:b/>
        </w:rPr>
      </w:pPr>
      <w:r w:rsidRPr="00644F06">
        <w:rPr>
          <w:b/>
        </w:rPr>
        <w:t>Human Rights Implications</w:t>
      </w:r>
    </w:p>
    <w:p w:rsidR="000A5642" w:rsidRDefault="000A5642" w:rsidP="000A5642">
      <w:pPr>
        <w:rPr>
          <w:color w:val="000000"/>
        </w:rPr>
      </w:pPr>
    </w:p>
    <w:p w:rsidR="000A5642" w:rsidRPr="00142F29" w:rsidRDefault="000A5642" w:rsidP="00142F29">
      <w:pPr>
        <w:autoSpaceDE w:val="0"/>
        <w:autoSpaceDN w:val="0"/>
      </w:pPr>
      <w:r w:rsidRPr="008229E2">
        <w:t xml:space="preserve">The </w:t>
      </w:r>
      <w:r w:rsidR="009B1C01">
        <w:rPr>
          <w:color w:val="000000"/>
        </w:rPr>
        <w:t>Legislative Instrument</w:t>
      </w:r>
      <w:r w:rsidR="009B1C01" w:rsidRPr="008229E2">
        <w:t xml:space="preserve"> </w:t>
      </w:r>
      <w:r w:rsidRPr="008229E2">
        <w:t xml:space="preserve">is compatible with the right to an adequate standard of living and the right to the enjoyment of the highest attainable standard of physical and mental health as contained in article 11(1) and article 12(1) of the International Covenant on Economic, Social and Cultural Rights, and article 25 and article 28 of the Convention on the Rights of Persons with Disabilities. The </w:t>
      </w:r>
      <w:r w:rsidR="009B1C01">
        <w:rPr>
          <w:color w:val="000000"/>
        </w:rPr>
        <w:t>Legislative Instrument</w:t>
      </w:r>
      <w:r w:rsidR="009B1C01" w:rsidRPr="008229E2">
        <w:t xml:space="preserve"> </w:t>
      </w:r>
      <w:r>
        <w:t xml:space="preserve">ensures that eligible aged or disabled residents of privately funded residential aged care services will receive GST-free all the residential care services that are GST-free to </w:t>
      </w:r>
      <w:proofErr w:type="gramStart"/>
      <w:r>
        <w:t>aged</w:t>
      </w:r>
      <w:proofErr w:type="gramEnd"/>
      <w:r>
        <w:t xml:space="preserve"> and disabled residents of Commonwealth funded residential aged care services under the </w:t>
      </w:r>
      <w:r w:rsidRPr="006E7B70">
        <w:rPr>
          <w:i/>
        </w:rPr>
        <w:t>Aged Care Act 1997.</w:t>
      </w:r>
      <w:r>
        <w:rPr>
          <w:i/>
        </w:rPr>
        <w:t xml:space="preserve"> </w:t>
      </w:r>
      <w:r>
        <w:t xml:space="preserve">In this way, the </w:t>
      </w:r>
      <w:r w:rsidR="009B1C01">
        <w:rPr>
          <w:color w:val="000000"/>
        </w:rPr>
        <w:t>Legislative Instrument</w:t>
      </w:r>
      <w:r w:rsidR="009B1C01">
        <w:t xml:space="preserve"> </w:t>
      </w:r>
      <w:r>
        <w:t>improves peoples’ access to care and services and is beneficial to human rights.</w:t>
      </w:r>
    </w:p>
    <w:p w:rsidR="006A7A9B" w:rsidRDefault="006A7A9B" w:rsidP="000A5642">
      <w:pPr>
        <w:rPr>
          <w:b/>
        </w:rPr>
      </w:pPr>
    </w:p>
    <w:p w:rsidR="008D2E60" w:rsidRPr="00644F06" w:rsidRDefault="008D2E60" w:rsidP="000A5642">
      <w:pPr>
        <w:rPr>
          <w:b/>
        </w:rPr>
      </w:pPr>
      <w:r w:rsidRPr="00644F06">
        <w:rPr>
          <w:b/>
        </w:rPr>
        <w:t>Conclusion</w:t>
      </w:r>
    </w:p>
    <w:p w:rsidR="008D2E60" w:rsidRDefault="006A7A9B" w:rsidP="000A5642">
      <w:pPr>
        <w:rPr>
          <w:b/>
        </w:rPr>
      </w:pPr>
      <w:r>
        <w:t>The Legislative Instrument is compatible with human rights as it does not raise any human rights issues.</w:t>
      </w:r>
    </w:p>
    <w:p w:rsidR="008D2E60" w:rsidRDefault="008D2E60" w:rsidP="000A5642">
      <w:pPr>
        <w:rPr>
          <w:b/>
          <w:u w:val="single"/>
        </w:rPr>
      </w:pPr>
    </w:p>
    <w:p w:rsidR="004E65FB" w:rsidRDefault="004E65FB" w:rsidP="000A5642">
      <w:pPr>
        <w:jc w:val="center"/>
        <w:rPr>
          <w:b/>
        </w:rPr>
      </w:pPr>
    </w:p>
    <w:p w:rsidR="008D2E60" w:rsidRDefault="008D2E60" w:rsidP="000A5642">
      <w:pPr>
        <w:jc w:val="center"/>
        <w:rPr>
          <w:b/>
        </w:rPr>
      </w:pPr>
      <w:r>
        <w:rPr>
          <w:b/>
        </w:rPr>
        <w:t>Senator the Hon Mitch Fifield</w:t>
      </w:r>
    </w:p>
    <w:p w:rsidR="00233054" w:rsidRPr="00233054" w:rsidRDefault="008D2E60" w:rsidP="000A5642">
      <w:pPr>
        <w:jc w:val="center"/>
        <w:rPr>
          <w:b/>
          <w:u w:val="single"/>
        </w:rPr>
      </w:pPr>
      <w:r>
        <w:rPr>
          <w:b/>
        </w:rPr>
        <w:t>Assistant Minister for Social Services</w:t>
      </w:r>
    </w:p>
    <w:sectPr w:rsidR="00233054" w:rsidRPr="00233054" w:rsidSect="00142F29">
      <w:footerReference w:type="default" r:id="rId9"/>
      <w:pgSz w:w="11906" w:h="16838"/>
      <w:pgMar w:top="1276" w:right="1558" w:bottom="993"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DB9" w:rsidRDefault="00C64DB9" w:rsidP="001C1B3B">
      <w:r>
        <w:separator/>
      </w:r>
    </w:p>
  </w:endnote>
  <w:endnote w:type="continuationSeparator" w:id="0">
    <w:p w:rsidR="00C64DB9" w:rsidRDefault="00C64DB9" w:rsidP="001C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D7" w:rsidRDefault="00695DD7">
    <w:pPr>
      <w:pStyle w:val="Footer"/>
      <w:jc w:val="center"/>
    </w:pPr>
    <w:r>
      <w:fldChar w:fldCharType="begin"/>
    </w:r>
    <w:r>
      <w:instrText xml:space="preserve"> PAGE   \* MERGEFORMAT </w:instrText>
    </w:r>
    <w:r>
      <w:fldChar w:fldCharType="separate"/>
    </w:r>
    <w:r w:rsidR="000121CB">
      <w:rPr>
        <w:noProof/>
      </w:rPr>
      <w:t>2</w:t>
    </w:r>
    <w:r>
      <w:rPr>
        <w:noProof/>
      </w:rPr>
      <w:fldChar w:fldCharType="end"/>
    </w:r>
  </w:p>
  <w:p w:rsidR="00695DD7" w:rsidRDefault="00695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DB9" w:rsidRDefault="00C64DB9" w:rsidP="001C1B3B">
      <w:r>
        <w:separator/>
      </w:r>
    </w:p>
  </w:footnote>
  <w:footnote w:type="continuationSeparator" w:id="0">
    <w:p w:rsidR="00C64DB9" w:rsidRDefault="00C64DB9" w:rsidP="001C1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31263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A6610"/>
    <w:multiLevelType w:val="hybridMultilevel"/>
    <w:tmpl w:val="9ED00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BE600C"/>
    <w:multiLevelType w:val="hybridMultilevel"/>
    <w:tmpl w:val="0D9C9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D87F61"/>
    <w:multiLevelType w:val="hybridMultilevel"/>
    <w:tmpl w:val="0374D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E6131E"/>
    <w:multiLevelType w:val="hybridMultilevel"/>
    <w:tmpl w:val="1BEC8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F210C2"/>
    <w:multiLevelType w:val="hybridMultilevel"/>
    <w:tmpl w:val="42C4B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B4E529E"/>
    <w:multiLevelType w:val="hybridMultilevel"/>
    <w:tmpl w:val="87A67EF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170528"/>
    <w:multiLevelType w:val="hybridMultilevel"/>
    <w:tmpl w:val="0C3C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7E6398"/>
    <w:multiLevelType w:val="hybridMultilevel"/>
    <w:tmpl w:val="0FF0D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5360AD"/>
    <w:multiLevelType w:val="hybridMultilevel"/>
    <w:tmpl w:val="C3A08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C14E74"/>
    <w:multiLevelType w:val="hybridMultilevel"/>
    <w:tmpl w:val="EFF29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5D25553"/>
    <w:multiLevelType w:val="hybridMultilevel"/>
    <w:tmpl w:val="17E887BA"/>
    <w:lvl w:ilvl="0" w:tplc="08A88454">
      <w:start w:val="8"/>
      <w:numFmt w:val="bullet"/>
      <w:lvlText w:val="-"/>
      <w:lvlJc w:val="left"/>
      <w:pPr>
        <w:ind w:left="1440" w:hanging="360"/>
      </w:pPr>
      <w:rPr>
        <w:rFonts w:ascii="Arial" w:eastAsia="Times New Roman" w:hAnsi="Arial" w:cs="Arial"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1779342C"/>
    <w:multiLevelType w:val="hybridMultilevel"/>
    <w:tmpl w:val="8EAC0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E362DA"/>
    <w:multiLevelType w:val="hybridMultilevel"/>
    <w:tmpl w:val="07603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9DF434E"/>
    <w:multiLevelType w:val="hybridMultilevel"/>
    <w:tmpl w:val="81540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B7C11BC"/>
    <w:multiLevelType w:val="hybridMultilevel"/>
    <w:tmpl w:val="09DEF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D2B3429"/>
    <w:multiLevelType w:val="hybridMultilevel"/>
    <w:tmpl w:val="3A66A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1FCE5BD8"/>
    <w:multiLevelType w:val="hybridMultilevel"/>
    <w:tmpl w:val="532AF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FCE6186"/>
    <w:multiLevelType w:val="hybridMultilevel"/>
    <w:tmpl w:val="C226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10A38C2"/>
    <w:multiLevelType w:val="hybridMultilevel"/>
    <w:tmpl w:val="F0CEB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3290982"/>
    <w:multiLevelType w:val="hybridMultilevel"/>
    <w:tmpl w:val="D4069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61B159B"/>
    <w:multiLevelType w:val="hybridMultilevel"/>
    <w:tmpl w:val="0F08E1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8A1657A"/>
    <w:multiLevelType w:val="hybridMultilevel"/>
    <w:tmpl w:val="8A38F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C6E26F4"/>
    <w:multiLevelType w:val="hybridMultilevel"/>
    <w:tmpl w:val="1FD20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C9D40FC"/>
    <w:multiLevelType w:val="hybridMultilevel"/>
    <w:tmpl w:val="A8DE01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ED6792F"/>
    <w:multiLevelType w:val="hybridMultilevel"/>
    <w:tmpl w:val="90C08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2FDA7254"/>
    <w:multiLevelType w:val="hybridMultilevel"/>
    <w:tmpl w:val="B246B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FF2187F"/>
    <w:multiLevelType w:val="hybridMultilevel"/>
    <w:tmpl w:val="C7186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27C6CD2"/>
    <w:multiLevelType w:val="hybridMultilevel"/>
    <w:tmpl w:val="FA7AC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3463CD3"/>
    <w:multiLevelType w:val="hybridMultilevel"/>
    <w:tmpl w:val="45AC5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50E164B"/>
    <w:multiLevelType w:val="hybridMultilevel"/>
    <w:tmpl w:val="F2DA1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70570C9"/>
    <w:multiLevelType w:val="hybridMultilevel"/>
    <w:tmpl w:val="63DA15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7085EF8"/>
    <w:multiLevelType w:val="hybridMultilevel"/>
    <w:tmpl w:val="2E201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7D46DA7"/>
    <w:multiLevelType w:val="hybridMultilevel"/>
    <w:tmpl w:val="E48C7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387E02DC"/>
    <w:multiLevelType w:val="hybridMultilevel"/>
    <w:tmpl w:val="C81ED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98E3A97"/>
    <w:multiLevelType w:val="hybridMultilevel"/>
    <w:tmpl w:val="CBECB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3BEC0E49"/>
    <w:multiLevelType w:val="hybridMultilevel"/>
    <w:tmpl w:val="663A31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3C5257BB"/>
    <w:multiLevelType w:val="multilevel"/>
    <w:tmpl w:val="968AD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CD442D8"/>
    <w:multiLevelType w:val="hybridMultilevel"/>
    <w:tmpl w:val="28F81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3D6209B5"/>
    <w:multiLevelType w:val="hybridMultilevel"/>
    <w:tmpl w:val="1DCA3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3FC64345"/>
    <w:multiLevelType w:val="hybridMultilevel"/>
    <w:tmpl w:val="D7AEF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3FD80482"/>
    <w:multiLevelType w:val="hybridMultilevel"/>
    <w:tmpl w:val="20DAC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00F3FB3"/>
    <w:multiLevelType w:val="hybridMultilevel"/>
    <w:tmpl w:val="CBD68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03F5F5E"/>
    <w:multiLevelType w:val="hybridMultilevel"/>
    <w:tmpl w:val="CC102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42DD524F"/>
    <w:multiLevelType w:val="hybridMultilevel"/>
    <w:tmpl w:val="B2D63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43914540"/>
    <w:multiLevelType w:val="hybridMultilevel"/>
    <w:tmpl w:val="BDC273DE"/>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6">
    <w:nsid w:val="4565062E"/>
    <w:multiLevelType w:val="hybridMultilevel"/>
    <w:tmpl w:val="80629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460E439C"/>
    <w:multiLevelType w:val="hybridMultilevel"/>
    <w:tmpl w:val="0E6A3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47CD52CE"/>
    <w:multiLevelType w:val="hybridMultilevel"/>
    <w:tmpl w:val="0E4E2248"/>
    <w:lvl w:ilvl="0" w:tplc="08A88454">
      <w:start w:val="8"/>
      <w:numFmt w:val="bullet"/>
      <w:lvlText w:val="-"/>
      <w:lvlJc w:val="left"/>
      <w:pPr>
        <w:ind w:left="1440" w:hanging="360"/>
      </w:pPr>
      <w:rPr>
        <w:rFonts w:ascii="Arial" w:eastAsia="Times New Roman" w:hAnsi="Arial" w:cs="Arial"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nsid w:val="4D667C7D"/>
    <w:multiLevelType w:val="hybridMultilevel"/>
    <w:tmpl w:val="2E68C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E2A6762"/>
    <w:multiLevelType w:val="hybridMultilevel"/>
    <w:tmpl w:val="BCB27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51CF28D0"/>
    <w:multiLevelType w:val="hybridMultilevel"/>
    <w:tmpl w:val="ED5C6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547426B0"/>
    <w:multiLevelType w:val="hybridMultilevel"/>
    <w:tmpl w:val="4900E7E8"/>
    <w:lvl w:ilvl="0" w:tplc="08A88454">
      <w:start w:val="8"/>
      <w:numFmt w:val="bullet"/>
      <w:lvlText w:val="-"/>
      <w:lvlJc w:val="left"/>
      <w:pPr>
        <w:ind w:left="1440" w:hanging="360"/>
      </w:pPr>
      <w:rPr>
        <w:rFonts w:ascii="Arial" w:eastAsia="Times New Roman" w:hAnsi="Arial" w:cs="Arial"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nsid w:val="557B0E85"/>
    <w:multiLevelType w:val="hybridMultilevel"/>
    <w:tmpl w:val="6F800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56D6290D"/>
    <w:multiLevelType w:val="hybridMultilevel"/>
    <w:tmpl w:val="47422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579F33B4"/>
    <w:multiLevelType w:val="hybridMultilevel"/>
    <w:tmpl w:val="968AD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5A361687"/>
    <w:multiLevelType w:val="hybridMultilevel"/>
    <w:tmpl w:val="2F74C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5A566C26"/>
    <w:multiLevelType w:val="hybridMultilevel"/>
    <w:tmpl w:val="72D4B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5AF24E8B"/>
    <w:multiLevelType w:val="hybridMultilevel"/>
    <w:tmpl w:val="06BCA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5B092836"/>
    <w:multiLevelType w:val="hybridMultilevel"/>
    <w:tmpl w:val="D7043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5F767C1C"/>
    <w:multiLevelType w:val="hybridMultilevel"/>
    <w:tmpl w:val="0A3E6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60433089"/>
    <w:multiLevelType w:val="hybridMultilevel"/>
    <w:tmpl w:val="54CA4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nsid w:val="638F241E"/>
    <w:multiLevelType w:val="hybridMultilevel"/>
    <w:tmpl w:val="781E8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64694D8E"/>
    <w:multiLevelType w:val="hybridMultilevel"/>
    <w:tmpl w:val="062E9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64F00629"/>
    <w:multiLevelType w:val="hybridMultilevel"/>
    <w:tmpl w:val="FCAE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65566242"/>
    <w:multiLevelType w:val="hybridMultilevel"/>
    <w:tmpl w:val="8EF86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67557E5E"/>
    <w:multiLevelType w:val="hybridMultilevel"/>
    <w:tmpl w:val="68F4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67B563A6"/>
    <w:multiLevelType w:val="hybridMultilevel"/>
    <w:tmpl w:val="481CD2B8"/>
    <w:lvl w:ilvl="0" w:tplc="08A88454">
      <w:start w:val="8"/>
      <w:numFmt w:val="bullet"/>
      <w:lvlText w:val="-"/>
      <w:lvlJc w:val="left"/>
      <w:pPr>
        <w:ind w:left="720" w:hanging="360"/>
      </w:pPr>
      <w:rPr>
        <w:rFonts w:ascii="Arial" w:eastAsia="Times New Roman"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680970ED"/>
    <w:multiLevelType w:val="hybridMultilevel"/>
    <w:tmpl w:val="16E23286"/>
    <w:lvl w:ilvl="0" w:tplc="DFD0E8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6B64318B"/>
    <w:multiLevelType w:val="hybridMultilevel"/>
    <w:tmpl w:val="A336D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6B956F63"/>
    <w:multiLevelType w:val="hybridMultilevel"/>
    <w:tmpl w:val="D0CE1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6C900E53"/>
    <w:multiLevelType w:val="hybridMultilevel"/>
    <w:tmpl w:val="6658A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6CBD70A4"/>
    <w:multiLevelType w:val="hybridMultilevel"/>
    <w:tmpl w:val="1E700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6DA81788"/>
    <w:multiLevelType w:val="hybridMultilevel"/>
    <w:tmpl w:val="C2B8B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6EEA5584"/>
    <w:multiLevelType w:val="hybridMultilevel"/>
    <w:tmpl w:val="E7EAB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73624C5E"/>
    <w:multiLevelType w:val="hybridMultilevel"/>
    <w:tmpl w:val="FBFC7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74152482"/>
    <w:multiLevelType w:val="hybridMultilevel"/>
    <w:tmpl w:val="6F2E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768D4013"/>
    <w:multiLevelType w:val="hybridMultilevel"/>
    <w:tmpl w:val="AF0A9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nsid w:val="775537AE"/>
    <w:multiLevelType w:val="hybridMultilevel"/>
    <w:tmpl w:val="91BE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77F95E1D"/>
    <w:multiLevelType w:val="hybridMultilevel"/>
    <w:tmpl w:val="C358B0DA"/>
    <w:lvl w:ilvl="0" w:tplc="08A88454">
      <w:start w:val="8"/>
      <w:numFmt w:val="bullet"/>
      <w:lvlText w:val="-"/>
      <w:lvlJc w:val="left"/>
      <w:pPr>
        <w:ind w:left="1440" w:hanging="360"/>
      </w:pPr>
      <w:rPr>
        <w:rFonts w:ascii="Arial" w:eastAsia="Times New Roman" w:hAnsi="Arial" w:cs="Arial" w:hint="default"/>
        <w:b w:val="0"/>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0">
    <w:nsid w:val="79D36757"/>
    <w:multiLevelType w:val="hybridMultilevel"/>
    <w:tmpl w:val="90FCB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nsid w:val="7B9C6DA9"/>
    <w:multiLevelType w:val="hybridMultilevel"/>
    <w:tmpl w:val="7408D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nsid w:val="7C9006A2"/>
    <w:multiLevelType w:val="hybridMultilevel"/>
    <w:tmpl w:val="33B626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3">
    <w:nsid w:val="7D921FFE"/>
    <w:multiLevelType w:val="hybridMultilevel"/>
    <w:tmpl w:val="0C986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nsid w:val="7ED04036"/>
    <w:multiLevelType w:val="hybridMultilevel"/>
    <w:tmpl w:val="22B28E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77"/>
  </w:num>
  <w:num w:numId="2">
    <w:abstractNumId w:val="63"/>
  </w:num>
  <w:num w:numId="3">
    <w:abstractNumId w:val="28"/>
  </w:num>
  <w:num w:numId="4">
    <w:abstractNumId w:val="62"/>
  </w:num>
  <w:num w:numId="5">
    <w:abstractNumId w:val="29"/>
  </w:num>
  <w:num w:numId="6">
    <w:abstractNumId w:val="42"/>
  </w:num>
  <w:num w:numId="7">
    <w:abstractNumId w:val="39"/>
  </w:num>
  <w:num w:numId="8">
    <w:abstractNumId w:val="66"/>
  </w:num>
  <w:num w:numId="9">
    <w:abstractNumId w:val="6"/>
  </w:num>
  <w:num w:numId="10">
    <w:abstractNumId w:val="17"/>
  </w:num>
  <w:num w:numId="11">
    <w:abstractNumId w:val="58"/>
  </w:num>
  <w:num w:numId="12">
    <w:abstractNumId w:val="83"/>
  </w:num>
  <w:num w:numId="13">
    <w:abstractNumId w:val="22"/>
  </w:num>
  <w:num w:numId="14">
    <w:abstractNumId w:val="31"/>
  </w:num>
  <w:num w:numId="15">
    <w:abstractNumId w:val="70"/>
  </w:num>
  <w:num w:numId="16">
    <w:abstractNumId w:val="36"/>
  </w:num>
  <w:num w:numId="17">
    <w:abstractNumId w:val="21"/>
  </w:num>
  <w:num w:numId="18">
    <w:abstractNumId w:val="50"/>
  </w:num>
  <w:num w:numId="19">
    <w:abstractNumId w:val="26"/>
  </w:num>
  <w:num w:numId="20">
    <w:abstractNumId w:val="12"/>
  </w:num>
  <w:num w:numId="21">
    <w:abstractNumId w:val="24"/>
  </w:num>
  <w:num w:numId="22">
    <w:abstractNumId w:val="80"/>
  </w:num>
  <w:num w:numId="23">
    <w:abstractNumId w:val="51"/>
  </w:num>
  <w:num w:numId="24">
    <w:abstractNumId w:val="43"/>
  </w:num>
  <w:num w:numId="25">
    <w:abstractNumId w:val="4"/>
  </w:num>
  <w:num w:numId="26">
    <w:abstractNumId w:val="44"/>
  </w:num>
  <w:num w:numId="27">
    <w:abstractNumId w:val="3"/>
  </w:num>
  <w:num w:numId="28">
    <w:abstractNumId w:val="72"/>
  </w:num>
  <w:num w:numId="29">
    <w:abstractNumId w:val="14"/>
  </w:num>
  <w:num w:numId="30">
    <w:abstractNumId w:val="9"/>
  </w:num>
  <w:num w:numId="31">
    <w:abstractNumId w:val="81"/>
  </w:num>
  <w:num w:numId="32">
    <w:abstractNumId w:val="10"/>
  </w:num>
  <w:num w:numId="33">
    <w:abstractNumId w:val="48"/>
  </w:num>
  <w:num w:numId="34">
    <w:abstractNumId w:val="79"/>
  </w:num>
  <w:num w:numId="35">
    <w:abstractNumId w:val="11"/>
  </w:num>
  <w:num w:numId="36">
    <w:abstractNumId w:val="52"/>
  </w:num>
  <w:num w:numId="37">
    <w:abstractNumId w:val="73"/>
  </w:num>
  <w:num w:numId="38">
    <w:abstractNumId w:val="2"/>
  </w:num>
  <w:num w:numId="39">
    <w:abstractNumId w:val="76"/>
  </w:num>
  <w:num w:numId="40">
    <w:abstractNumId w:val="84"/>
  </w:num>
  <w:num w:numId="41">
    <w:abstractNumId w:val="75"/>
  </w:num>
  <w:num w:numId="42">
    <w:abstractNumId w:val="34"/>
  </w:num>
  <w:num w:numId="43">
    <w:abstractNumId w:val="23"/>
  </w:num>
  <w:num w:numId="44">
    <w:abstractNumId w:val="53"/>
  </w:num>
  <w:num w:numId="45">
    <w:abstractNumId w:val="56"/>
  </w:num>
  <w:num w:numId="46">
    <w:abstractNumId w:val="45"/>
  </w:num>
  <w:num w:numId="47">
    <w:abstractNumId w:val="19"/>
  </w:num>
  <w:num w:numId="48">
    <w:abstractNumId w:val="49"/>
  </w:num>
  <w:num w:numId="49">
    <w:abstractNumId w:val="40"/>
  </w:num>
  <w:num w:numId="50">
    <w:abstractNumId w:val="57"/>
  </w:num>
  <w:num w:numId="51">
    <w:abstractNumId w:val="55"/>
  </w:num>
  <w:num w:numId="52">
    <w:abstractNumId w:val="65"/>
  </w:num>
  <w:num w:numId="53">
    <w:abstractNumId w:val="38"/>
  </w:num>
  <w:num w:numId="54">
    <w:abstractNumId w:val="78"/>
  </w:num>
  <w:num w:numId="55">
    <w:abstractNumId w:val="59"/>
  </w:num>
  <w:num w:numId="56">
    <w:abstractNumId w:val="69"/>
  </w:num>
  <w:num w:numId="57">
    <w:abstractNumId w:val="60"/>
  </w:num>
  <w:num w:numId="58">
    <w:abstractNumId w:val="30"/>
  </w:num>
  <w:num w:numId="59">
    <w:abstractNumId w:val="47"/>
  </w:num>
  <w:num w:numId="60">
    <w:abstractNumId w:val="18"/>
  </w:num>
  <w:num w:numId="61">
    <w:abstractNumId w:val="82"/>
  </w:num>
  <w:num w:numId="62">
    <w:abstractNumId w:val="7"/>
  </w:num>
  <w:num w:numId="63">
    <w:abstractNumId w:val="27"/>
  </w:num>
  <w:num w:numId="64">
    <w:abstractNumId w:val="35"/>
  </w:num>
  <w:num w:numId="65">
    <w:abstractNumId w:val="64"/>
  </w:num>
  <w:num w:numId="66">
    <w:abstractNumId w:val="54"/>
  </w:num>
  <w:num w:numId="67">
    <w:abstractNumId w:val="1"/>
  </w:num>
  <w:num w:numId="68">
    <w:abstractNumId w:val="41"/>
  </w:num>
  <w:num w:numId="69">
    <w:abstractNumId w:val="71"/>
  </w:num>
  <w:num w:numId="70">
    <w:abstractNumId w:val="61"/>
  </w:num>
  <w:num w:numId="71">
    <w:abstractNumId w:val="8"/>
  </w:num>
  <w:num w:numId="72">
    <w:abstractNumId w:val="44"/>
  </w:num>
  <w:num w:numId="73">
    <w:abstractNumId w:val="3"/>
  </w:num>
  <w:num w:numId="74">
    <w:abstractNumId w:val="14"/>
  </w:num>
  <w:num w:numId="75">
    <w:abstractNumId w:val="67"/>
  </w:num>
  <w:num w:numId="76">
    <w:abstractNumId w:val="74"/>
  </w:num>
  <w:num w:numId="77">
    <w:abstractNumId w:val="5"/>
  </w:num>
  <w:num w:numId="78">
    <w:abstractNumId w:val="13"/>
  </w:num>
  <w:num w:numId="79">
    <w:abstractNumId w:val="25"/>
  </w:num>
  <w:num w:numId="80">
    <w:abstractNumId w:val="0"/>
  </w:num>
  <w:num w:numId="81">
    <w:abstractNumId w:val="16"/>
  </w:num>
  <w:num w:numId="82">
    <w:abstractNumId w:val="20"/>
  </w:num>
  <w:num w:numId="83">
    <w:abstractNumId w:val="15"/>
  </w:num>
  <w:num w:numId="84">
    <w:abstractNumId w:val="37"/>
  </w:num>
  <w:num w:numId="85">
    <w:abstractNumId w:val="68"/>
  </w:num>
  <w:num w:numId="86">
    <w:abstractNumId w:val="33"/>
  </w:num>
  <w:num w:numId="87">
    <w:abstractNumId w:val="46"/>
  </w:num>
  <w:num w:numId="88">
    <w:abstractNumId w:val="3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03"/>
    <w:rsid w:val="000046B6"/>
    <w:rsid w:val="00004892"/>
    <w:rsid w:val="00004B2C"/>
    <w:rsid w:val="00005251"/>
    <w:rsid w:val="000053E5"/>
    <w:rsid w:val="000054FC"/>
    <w:rsid w:val="00005AEF"/>
    <w:rsid w:val="00005C2B"/>
    <w:rsid w:val="000060E1"/>
    <w:rsid w:val="000062AE"/>
    <w:rsid w:val="000069B1"/>
    <w:rsid w:val="000070B5"/>
    <w:rsid w:val="00007343"/>
    <w:rsid w:val="00007794"/>
    <w:rsid w:val="00007798"/>
    <w:rsid w:val="000077EC"/>
    <w:rsid w:val="0000795B"/>
    <w:rsid w:val="00007F44"/>
    <w:rsid w:val="00007F86"/>
    <w:rsid w:val="00007FDF"/>
    <w:rsid w:val="00010535"/>
    <w:rsid w:val="000107A5"/>
    <w:rsid w:val="00011068"/>
    <w:rsid w:val="000110D5"/>
    <w:rsid w:val="000112F0"/>
    <w:rsid w:val="000113BD"/>
    <w:rsid w:val="00011672"/>
    <w:rsid w:val="00012187"/>
    <w:rsid w:val="000121CB"/>
    <w:rsid w:val="000126AA"/>
    <w:rsid w:val="00012DB7"/>
    <w:rsid w:val="00012DB8"/>
    <w:rsid w:val="000130B4"/>
    <w:rsid w:val="000132C2"/>
    <w:rsid w:val="00013596"/>
    <w:rsid w:val="000139A3"/>
    <w:rsid w:val="00013A87"/>
    <w:rsid w:val="00013E4E"/>
    <w:rsid w:val="00014364"/>
    <w:rsid w:val="0001448D"/>
    <w:rsid w:val="0001463B"/>
    <w:rsid w:val="0001475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7D3"/>
    <w:rsid w:val="00020CCD"/>
    <w:rsid w:val="00020FD1"/>
    <w:rsid w:val="000214E9"/>
    <w:rsid w:val="0002159D"/>
    <w:rsid w:val="00021779"/>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57"/>
    <w:rsid w:val="00025A65"/>
    <w:rsid w:val="00025F3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574"/>
    <w:rsid w:val="000337EB"/>
    <w:rsid w:val="00033892"/>
    <w:rsid w:val="00033CF2"/>
    <w:rsid w:val="00033E65"/>
    <w:rsid w:val="00034098"/>
    <w:rsid w:val="000340D9"/>
    <w:rsid w:val="00034151"/>
    <w:rsid w:val="00034758"/>
    <w:rsid w:val="00034826"/>
    <w:rsid w:val="000349A3"/>
    <w:rsid w:val="00035325"/>
    <w:rsid w:val="00036095"/>
    <w:rsid w:val="00036160"/>
    <w:rsid w:val="0003619F"/>
    <w:rsid w:val="0003632D"/>
    <w:rsid w:val="000363D8"/>
    <w:rsid w:val="00036632"/>
    <w:rsid w:val="00036874"/>
    <w:rsid w:val="00036FB1"/>
    <w:rsid w:val="000373B0"/>
    <w:rsid w:val="00037B83"/>
    <w:rsid w:val="00037B8B"/>
    <w:rsid w:val="00037E02"/>
    <w:rsid w:val="00037E0B"/>
    <w:rsid w:val="00037E17"/>
    <w:rsid w:val="00037F0F"/>
    <w:rsid w:val="00040108"/>
    <w:rsid w:val="000402A1"/>
    <w:rsid w:val="00040647"/>
    <w:rsid w:val="0004068F"/>
    <w:rsid w:val="000408EA"/>
    <w:rsid w:val="00040D92"/>
    <w:rsid w:val="000410BA"/>
    <w:rsid w:val="000411DB"/>
    <w:rsid w:val="0004124E"/>
    <w:rsid w:val="0004138B"/>
    <w:rsid w:val="00041A76"/>
    <w:rsid w:val="00041B9C"/>
    <w:rsid w:val="0004200B"/>
    <w:rsid w:val="000420A2"/>
    <w:rsid w:val="0004260D"/>
    <w:rsid w:val="0004279D"/>
    <w:rsid w:val="00042AF7"/>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39E"/>
    <w:rsid w:val="000466AA"/>
    <w:rsid w:val="000469CE"/>
    <w:rsid w:val="00046E5F"/>
    <w:rsid w:val="00046EE9"/>
    <w:rsid w:val="000476D0"/>
    <w:rsid w:val="000501F7"/>
    <w:rsid w:val="00050A0C"/>
    <w:rsid w:val="00050C99"/>
    <w:rsid w:val="00050F4D"/>
    <w:rsid w:val="000512B0"/>
    <w:rsid w:val="00052294"/>
    <w:rsid w:val="00052342"/>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8F4"/>
    <w:rsid w:val="0005794D"/>
    <w:rsid w:val="00057AB6"/>
    <w:rsid w:val="00057C97"/>
    <w:rsid w:val="00057E3D"/>
    <w:rsid w:val="0006023D"/>
    <w:rsid w:val="000606DA"/>
    <w:rsid w:val="00060A86"/>
    <w:rsid w:val="00060E27"/>
    <w:rsid w:val="00060FC0"/>
    <w:rsid w:val="000614DC"/>
    <w:rsid w:val="00061699"/>
    <w:rsid w:val="000617ED"/>
    <w:rsid w:val="00061977"/>
    <w:rsid w:val="00061FFB"/>
    <w:rsid w:val="00061FFF"/>
    <w:rsid w:val="00062139"/>
    <w:rsid w:val="000621BC"/>
    <w:rsid w:val="0006288E"/>
    <w:rsid w:val="00062AF8"/>
    <w:rsid w:val="00062B33"/>
    <w:rsid w:val="0006389A"/>
    <w:rsid w:val="0006393B"/>
    <w:rsid w:val="00063A18"/>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67FBC"/>
    <w:rsid w:val="000704EF"/>
    <w:rsid w:val="00070CCF"/>
    <w:rsid w:val="00071347"/>
    <w:rsid w:val="0007136A"/>
    <w:rsid w:val="000714ED"/>
    <w:rsid w:val="00071926"/>
    <w:rsid w:val="00071DA1"/>
    <w:rsid w:val="0007284C"/>
    <w:rsid w:val="0007296D"/>
    <w:rsid w:val="00072A7F"/>
    <w:rsid w:val="00072E28"/>
    <w:rsid w:val="00072E2C"/>
    <w:rsid w:val="000733B2"/>
    <w:rsid w:val="0007348A"/>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63E6"/>
    <w:rsid w:val="00076BF4"/>
    <w:rsid w:val="000771D3"/>
    <w:rsid w:val="000771EA"/>
    <w:rsid w:val="000773BB"/>
    <w:rsid w:val="00077586"/>
    <w:rsid w:val="000775AC"/>
    <w:rsid w:val="00077A99"/>
    <w:rsid w:val="00077C6D"/>
    <w:rsid w:val="00077E8B"/>
    <w:rsid w:val="000803A9"/>
    <w:rsid w:val="000805D0"/>
    <w:rsid w:val="00080793"/>
    <w:rsid w:val="00080AC4"/>
    <w:rsid w:val="00080C5F"/>
    <w:rsid w:val="00080D9C"/>
    <w:rsid w:val="00081232"/>
    <w:rsid w:val="000812E8"/>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490D"/>
    <w:rsid w:val="000850B6"/>
    <w:rsid w:val="000854C6"/>
    <w:rsid w:val="00085740"/>
    <w:rsid w:val="00085D46"/>
    <w:rsid w:val="00086299"/>
    <w:rsid w:val="00086B41"/>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28D0"/>
    <w:rsid w:val="000A30A1"/>
    <w:rsid w:val="000A30E4"/>
    <w:rsid w:val="000A3543"/>
    <w:rsid w:val="000A41C5"/>
    <w:rsid w:val="000A5021"/>
    <w:rsid w:val="000A5108"/>
    <w:rsid w:val="000A5264"/>
    <w:rsid w:val="000A5451"/>
    <w:rsid w:val="000A55BC"/>
    <w:rsid w:val="000A5642"/>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10"/>
    <w:rsid w:val="000B2766"/>
    <w:rsid w:val="000B2788"/>
    <w:rsid w:val="000B2BA2"/>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40"/>
    <w:rsid w:val="000B6065"/>
    <w:rsid w:val="000B6124"/>
    <w:rsid w:val="000B687F"/>
    <w:rsid w:val="000B6A38"/>
    <w:rsid w:val="000B74D9"/>
    <w:rsid w:val="000B7E3E"/>
    <w:rsid w:val="000B7E44"/>
    <w:rsid w:val="000B7EDF"/>
    <w:rsid w:val="000C0622"/>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552E"/>
    <w:rsid w:val="000C596C"/>
    <w:rsid w:val="000C6F17"/>
    <w:rsid w:val="000C7001"/>
    <w:rsid w:val="000C7277"/>
    <w:rsid w:val="000C7454"/>
    <w:rsid w:val="000C750E"/>
    <w:rsid w:val="000C7ABD"/>
    <w:rsid w:val="000C7DDB"/>
    <w:rsid w:val="000C7EFB"/>
    <w:rsid w:val="000D0205"/>
    <w:rsid w:val="000D0673"/>
    <w:rsid w:val="000D090A"/>
    <w:rsid w:val="000D1200"/>
    <w:rsid w:val="000D1253"/>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24E"/>
    <w:rsid w:val="000D4593"/>
    <w:rsid w:val="000D4708"/>
    <w:rsid w:val="000D485E"/>
    <w:rsid w:val="000D4E46"/>
    <w:rsid w:val="000D54FF"/>
    <w:rsid w:val="000D5516"/>
    <w:rsid w:val="000D557B"/>
    <w:rsid w:val="000D5B4F"/>
    <w:rsid w:val="000D5EB3"/>
    <w:rsid w:val="000D6131"/>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2EE9"/>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6D2"/>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746"/>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077AA"/>
    <w:rsid w:val="001100B2"/>
    <w:rsid w:val="001100F9"/>
    <w:rsid w:val="00110205"/>
    <w:rsid w:val="00110461"/>
    <w:rsid w:val="00110CF9"/>
    <w:rsid w:val="00110ECD"/>
    <w:rsid w:val="0011108D"/>
    <w:rsid w:val="001110BA"/>
    <w:rsid w:val="001111DF"/>
    <w:rsid w:val="0011176C"/>
    <w:rsid w:val="00111B2A"/>
    <w:rsid w:val="00111D3E"/>
    <w:rsid w:val="00111DAD"/>
    <w:rsid w:val="00112264"/>
    <w:rsid w:val="001123C2"/>
    <w:rsid w:val="00112466"/>
    <w:rsid w:val="00112884"/>
    <w:rsid w:val="00112E92"/>
    <w:rsid w:val="00113C6E"/>
    <w:rsid w:val="0011412F"/>
    <w:rsid w:val="0011436A"/>
    <w:rsid w:val="00115309"/>
    <w:rsid w:val="0011530B"/>
    <w:rsid w:val="0011534A"/>
    <w:rsid w:val="00116016"/>
    <w:rsid w:val="00116960"/>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4B93"/>
    <w:rsid w:val="00125342"/>
    <w:rsid w:val="0012534A"/>
    <w:rsid w:val="0012556E"/>
    <w:rsid w:val="00125682"/>
    <w:rsid w:val="00125890"/>
    <w:rsid w:val="00125992"/>
    <w:rsid w:val="00125FF0"/>
    <w:rsid w:val="001261F6"/>
    <w:rsid w:val="00126478"/>
    <w:rsid w:val="00126C43"/>
    <w:rsid w:val="00126DBE"/>
    <w:rsid w:val="00127C84"/>
    <w:rsid w:val="00127D7F"/>
    <w:rsid w:val="00127D8E"/>
    <w:rsid w:val="00127E09"/>
    <w:rsid w:val="00127F8A"/>
    <w:rsid w:val="0013039E"/>
    <w:rsid w:val="001303E8"/>
    <w:rsid w:val="001309EB"/>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BEF"/>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9E2"/>
    <w:rsid w:val="00140BAC"/>
    <w:rsid w:val="00140BCB"/>
    <w:rsid w:val="00140F10"/>
    <w:rsid w:val="00141708"/>
    <w:rsid w:val="00141BF5"/>
    <w:rsid w:val="001429C0"/>
    <w:rsid w:val="00142F29"/>
    <w:rsid w:val="001431EE"/>
    <w:rsid w:val="001434F1"/>
    <w:rsid w:val="00143627"/>
    <w:rsid w:val="00143823"/>
    <w:rsid w:val="00143A31"/>
    <w:rsid w:val="00143E17"/>
    <w:rsid w:val="001440AB"/>
    <w:rsid w:val="00144633"/>
    <w:rsid w:val="00144865"/>
    <w:rsid w:val="00144E6F"/>
    <w:rsid w:val="001450FF"/>
    <w:rsid w:val="00145751"/>
    <w:rsid w:val="0014575D"/>
    <w:rsid w:val="00145761"/>
    <w:rsid w:val="0014589E"/>
    <w:rsid w:val="00145A67"/>
    <w:rsid w:val="00145FDE"/>
    <w:rsid w:val="0014621B"/>
    <w:rsid w:val="00146A56"/>
    <w:rsid w:val="00146C29"/>
    <w:rsid w:val="00147805"/>
    <w:rsid w:val="001478E8"/>
    <w:rsid w:val="00147A24"/>
    <w:rsid w:val="00147A2A"/>
    <w:rsid w:val="00147EB7"/>
    <w:rsid w:val="00150052"/>
    <w:rsid w:val="0015055B"/>
    <w:rsid w:val="00150AA4"/>
    <w:rsid w:val="00150C82"/>
    <w:rsid w:val="00151081"/>
    <w:rsid w:val="001513A8"/>
    <w:rsid w:val="001515F8"/>
    <w:rsid w:val="001517C6"/>
    <w:rsid w:val="001518DD"/>
    <w:rsid w:val="001521E2"/>
    <w:rsid w:val="001522F9"/>
    <w:rsid w:val="0015297A"/>
    <w:rsid w:val="00152DEA"/>
    <w:rsid w:val="001538E0"/>
    <w:rsid w:val="00153EE1"/>
    <w:rsid w:val="00153FD9"/>
    <w:rsid w:val="00154168"/>
    <w:rsid w:val="001541A7"/>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2E9A"/>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61"/>
    <w:rsid w:val="001671CB"/>
    <w:rsid w:val="00167377"/>
    <w:rsid w:val="00167706"/>
    <w:rsid w:val="00167803"/>
    <w:rsid w:val="00167944"/>
    <w:rsid w:val="00167BDA"/>
    <w:rsid w:val="00167C57"/>
    <w:rsid w:val="00170250"/>
    <w:rsid w:val="00170FA4"/>
    <w:rsid w:val="0017136D"/>
    <w:rsid w:val="001714F4"/>
    <w:rsid w:val="001723DF"/>
    <w:rsid w:val="0017291B"/>
    <w:rsid w:val="00172E0E"/>
    <w:rsid w:val="001730E1"/>
    <w:rsid w:val="00173233"/>
    <w:rsid w:val="001732E5"/>
    <w:rsid w:val="0017372D"/>
    <w:rsid w:val="001737EF"/>
    <w:rsid w:val="00173877"/>
    <w:rsid w:val="00173D9F"/>
    <w:rsid w:val="00173E5E"/>
    <w:rsid w:val="00173F3A"/>
    <w:rsid w:val="001750CC"/>
    <w:rsid w:val="001757A9"/>
    <w:rsid w:val="00175806"/>
    <w:rsid w:val="001762A3"/>
    <w:rsid w:val="00176586"/>
    <w:rsid w:val="00176CBA"/>
    <w:rsid w:val="00176F9C"/>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6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344"/>
    <w:rsid w:val="0019242B"/>
    <w:rsid w:val="001928F6"/>
    <w:rsid w:val="00192C11"/>
    <w:rsid w:val="00192E83"/>
    <w:rsid w:val="00192E9C"/>
    <w:rsid w:val="0019316E"/>
    <w:rsid w:val="001934EC"/>
    <w:rsid w:val="001937CB"/>
    <w:rsid w:val="00193E02"/>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19D"/>
    <w:rsid w:val="001B0875"/>
    <w:rsid w:val="001B0DFE"/>
    <w:rsid w:val="001B140A"/>
    <w:rsid w:val="001B1AD3"/>
    <w:rsid w:val="001B26F2"/>
    <w:rsid w:val="001B28CD"/>
    <w:rsid w:val="001B3017"/>
    <w:rsid w:val="001B3084"/>
    <w:rsid w:val="001B30FB"/>
    <w:rsid w:val="001B36C4"/>
    <w:rsid w:val="001B3979"/>
    <w:rsid w:val="001B3A32"/>
    <w:rsid w:val="001B3D49"/>
    <w:rsid w:val="001B3D85"/>
    <w:rsid w:val="001B3FBE"/>
    <w:rsid w:val="001B446E"/>
    <w:rsid w:val="001B4B52"/>
    <w:rsid w:val="001B514D"/>
    <w:rsid w:val="001B532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B3B"/>
    <w:rsid w:val="001C1D36"/>
    <w:rsid w:val="001C2756"/>
    <w:rsid w:val="001C280E"/>
    <w:rsid w:val="001C2F56"/>
    <w:rsid w:val="001C31B0"/>
    <w:rsid w:val="001C32C8"/>
    <w:rsid w:val="001C34B8"/>
    <w:rsid w:val="001C38D8"/>
    <w:rsid w:val="001C3999"/>
    <w:rsid w:val="001C3DD0"/>
    <w:rsid w:val="001C4622"/>
    <w:rsid w:val="001C5240"/>
    <w:rsid w:val="001C56C4"/>
    <w:rsid w:val="001C5B44"/>
    <w:rsid w:val="001C5E3E"/>
    <w:rsid w:val="001C6550"/>
    <w:rsid w:val="001C67D6"/>
    <w:rsid w:val="001C6B29"/>
    <w:rsid w:val="001C6B7E"/>
    <w:rsid w:val="001C6E5B"/>
    <w:rsid w:val="001C71C8"/>
    <w:rsid w:val="001C799B"/>
    <w:rsid w:val="001C7E17"/>
    <w:rsid w:val="001C7EC7"/>
    <w:rsid w:val="001D042E"/>
    <w:rsid w:val="001D0927"/>
    <w:rsid w:val="001D0C95"/>
    <w:rsid w:val="001D0CA4"/>
    <w:rsid w:val="001D1593"/>
    <w:rsid w:val="001D1760"/>
    <w:rsid w:val="001D1997"/>
    <w:rsid w:val="001D1BF2"/>
    <w:rsid w:val="001D20B0"/>
    <w:rsid w:val="001D26E6"/>
    <w:rsid w:val="001D2B63"/>
    <w:rsid w:val="001D2BDC"/>
    <w:rsid w:val="001D2BF4"/>
    <w:rsid w:val="001D3A86"/>
    <w:rsid w:val="001D3AA3"/>
    <w:rsid w:val="001D471B"/>
    <w:rsid w:val="001D48A6"/>
    <w:rsid w:val="001D514F"/>
    <w:rsid w:val="001D5205"/>
    <w:rsid w:val="001D597C"/>
    <w:rsid w:val="001D5988"/>
    <w:rsid w:val="001D5B51"/>
    <w:rsid w:val="001D5BE4"/>
    <w:rsid w:val="001D5C3A"/>
    <w:rsid w:val="001D5DBC"/>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186"/>
    <w:rsid w:val="001E639D"/>
    <w:rsid w:val="001E690F"/>
    <w:rsid w:val="001E6F4F"/>
    <w:rsid w:val="001E70DD"/>
    <w:rsid w:val="001E76FE"/>
    <w:rsid w:val="001E7DCA"/>
    <w:rsid w:val="001F0060"/>
    <w:rsid w:val="001F0479"/>
    <w:rsid w:val="001F0721"/>
    <w:rsid w:val="001F0BE1"/>
    <w:rsid w:val="001F0C89"/>
    <w:rsid w:val="001F119A"/>
    <w:rsid w:val="001F13A3"/>
    <w:rsid w:val="001F1477"/>
    <w:rsid w:val="001F19BE"/>
    <w:rsid w:val="001F1F31"/>
    <w:rsid w:val="001F21F4"/>
    <w:rsid w:val="001F2375"/>
    <w:rsid w:val="001F2455"/>
    <w:rsid w:val="001F24A7"/>
    <w:rsid w:val="001F2574"/>
    <w:rsid w:val="001F26A4"/>
    <w:rsid w:val="001F28F9"/>
    <w:rsid w:val="001F29AF"/>
    <w:rsid w:val="001F29DF"/>
    <w:rsid w:val="001F2A61"/>
    <w:rsid w:val="001F2DAE"/>
    <w:rsid w:val="001F2DB7"/>
    <w:rsid w:val="001F332E"/>
    <w:rsid w:val="001F3618"/>
    <w:rsid w:val="001F3DE9"/>
    <w:rsid w:val="001F4CAF"/>
    <w:rsid w:val="001F53A3"/>
    <w:rsid w:val="001F5452"/>
    <w:rsid w:val="001F5712"/>
    <w:rsid w:val="001F5A49"/>
    <w:rsid w:val="001F5AF4"/>
    <w:rsid w:val="001F5CA7"/>
    <w:rsid w:val="001F5D18"/>
    <w:rsid w:val="001F6AD6"/>
    <w:rsid w:val="001F6C67"/>
    <w:rsid w:val="001F6FBD"/>
    <w:rsid w:val="001F70E5"/>
    <w:rsid w:val="001F7460"/>
    <w:rsid w:val="001F7488"/>
    <w:rsid w:val="001F752F"/>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571"/>
    <w:rsid w:val="002046FD"/>
    <w:rsid w:val="00204BA6"/>
    <w:rsid w:val="00204F43"/>
    <w:rsid w:val="00205110"/>
    <w:rsid w:val="002052EE"/>
    <w:rsid w:val="00205942"/>
    <w:rsid w:val="00205958"/>
    <w:rsid w:val="002060E9"/>
    <w:rsid w:val="002062A0"/>
    <w:rsid w:val="002062E5"/>
    <w:rsid w:val="00206549"/>
    <w:rsid w:val="0020674B"/>
    <w:rsid w:val="00206A64"/>
    <w:rsid w:val="00206DA6"/>
    <w:rsid w:val="0020708A"/>
    <w:rsid w:val="002070A2"/>
    <w:rsid w:val="0020725B"/>
    <w:rsid w:val="002074AE"/>
    <w:rsid w:val="00210726"/>
    <w:rsid w:val="00210994"/>
    <w:rsid w:val="00211832"/>
    <w:rsid w:val="002121F8"/>
    <w:rsid w:val="00212546"/>
    <w:rsid w:val="00212610"/>
    <w:rsid w:val="00212899"/>
    <w:rsid w:val="002128E0"/>
    <w:rsid w:val="00212AE1"/>
    <w:rsid w:val="00212C25"/>
    <w:rsid w:val="00212C97"/>
    <w:rsid w:val="00212C9B"/>
    <w:rsid w:val="00212FFD"/>
    <w:rsid w:val="00213147"/>
    <w:rsid w:val="00213B7E"/>
    <w:rsid w:val="00214594"/>
    <w:rsid w:val="00214A8A"/>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4AF"/>
    <w:rsid w:val="00220619"/>
    <w:rsid w:val="002206EE"/>
    <w:rsid w:val="00221A8C"/>
    <w:rsid w:val="00222A01"/>
    <w:rsid w:val="00222D13"/>
    <w:rsid w:val="0022303B"/>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49C"/>
    <w:rsid w:val="00227DB4"/>
    <w:rsid w:val="00230182"/>
    <w:rsid w:val="002301C0"/>
    <w:rsid w:val="002301F4"/>
    <w:rsid w:val="002304E8"/>
    <w:rsid w:val="00230DF1"/>
    <w:rsid w:val="00230FB5"/>
    <w:rsid w:val="002318E8"/>
    <w:rsid w:val="00231C3F"/>
    <w:rsid w:val="00232264"/>
    <w:rsid w:val="0023299C"/>
    <w:rsid w:val="00232D31"/>
    <w:rsid w:val="00232EBE"/>
    <w:rsid w:val="00233054"/>
    <w:rsid w:val="00233326"/>
    <w:rsid w:val="00233949"/>
    <w:rsid w:val="00233BE9"/>
    <w:rsid w:val="00233D5E"/>
    <w:rsid w:val="002340C5"/>
    <w:rsid w:val="00234485"/>
    <w:rsid w:val="00234DCF"/>
    <w:rsid w:val="00235304"/>
    <w:rsid w:val="0023531B"/>
    <w:rsid w:val="002353FA"/>
    <w:rsid w:val="0023564E"/>
    <w:rsid w:val="002359F9"/>
    <w:rsid w:val="00236027"/>
    <w:rsid w:val="00236777"/>
    <w:rsid w:val="00236A56"/>
    <w:rsid w:val="00236ABD"/>
    <w:rsid w:val="00236E2B"/>
    <w:rsid w:val="002372B5"/>
    <w:rsid w:val="002372CE"/>
    <w:rsid w:val="00237AB6"/>
    <w:rsid w:val="00237C7F"/>
    <w:rsid w:val="00237DA4"/>
    <w:rsid w:val="00240046"/>
    <w:rsid w:val="002401CF"/>
    <w:rsid w:val="002402BF"/>
    <w:rsid w:val="00240A6C"/>
    <w:rsid w:val="00240B72"/>
    <w:rsid w:val="0024122F"/>
    <w:rsid w:val="00241741"/>
    <w:rsid w:val="00241B70"/>
    <w:rsid w:val="00241EA1"/>
    <w:rsid w:val="00241EF5"/>
    <w:rsid w:val="0024246F"/>
    <w:rsid w:val="00242689"/>
    <w:rsid w:val="00242AA8"/>
    <w:rsid w:val="0024325B"/>
    <w:rsid w:val="002432E4"/>
    <w:rsid w:val="002435C8"/>
    <w:rsid w:val="00243650"/>
    <w:rsid w:val="002436C8"/>
    <w:rsid w:val="00243B24"/>
    <w:rsid w:val="00243E85"/>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7DE"/>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3FEE"/>
    <w:rsid w:val="00264A08"/>
    <w:rsid w:val="00264AB0"/>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02C"/>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294"/>
    <w:rsid w:val="002807CA"/>
    <w:rsid w:val="002809CF"/>
    <w:rsid w:val="0028109A"/>
    <w:rsid w:val="0028118D"/>
    <w:rsid w:val="00281ADC"/>
    <w:rsid w:val="00281D51"/>
    <w:rsid w:val="00282398"/>
    <w:rsid w:val="002827AD"/>
    <w:rsid w:val="002828C5"/>
    <w:rsid w:val="00282DB0"/>
    <w:rsid w:val="00283367"/>
    <w:rsid w:val="002833AD"/>
    <w:rsid w:val="0028487E"/>
    <w:rsid w:val="00284997"/>
    <w:rsid w:val="00284BDF"/>
    <w:rsid w:val="00284DC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673"/>
    <w:rsid w:val="00290808"/>
    <w:rsid w:val="00290812"/>
    <w:rsid w:val="00290E07"/>
    <w:rsid w:val="0029118B"/>
    <w:rsid w:val="0029154B"/>
    <w:rsid w:val="00291795"/>
    <w:rsid w:val="00292124"/>
    <w:rsid w:val="002925F0"/>
    <w:rsid w:val="00292719"/>
    <w:rsid w:val="00292AC1"/>
    <w:rsid w:val="00292B16"/>
    <w:rsid w:val="00292EB2"/>
    <w:rsid w:val="00292F9A"/>
    <w:rsid w:val="002935A3"/>
    <w:rsid w:val="002936BC"/>
    <w:rsid w:val="00293724"/>
    <w:rsid w:val="002937A0"/>
    <w:rsid w:val="00293A7D"/>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A82"/>
    <w:rsid w:val="002A0BBE"/>
    <w:rsid w:val="002A0CDE"/>
    <w:rsid w:val="002A0D20"/>
    <w:rsid w:val="002A1421"/>
    <w:rsid w:val="002A1487"/>
    <w:rsid w:val="002A1B68"/>
    <w:rsid w:val="002A1BF7"/>
    <w:rsid w:val="002A224E"/>
    <w:rsid w:val="002A25DB"/>
    <w:rsid w:val="002A2668"/>
    <w:rsid w:val="002A271B"/>
    <w:rsid w:val="002A2A61"/>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CCD"/>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59"/>
    <w:rsid w:val="002B4AF8"/>
    <w:rsid w:val="002B4B24"/>
    <w:rsid w:val="002B4B56"/>
    <w:rsid w:val="002B4D32"/>
    <w:rsid w:val="002B54DF"/>
    <w:rsid w:val="002B586E"/>
    <w:rsid w:val="002B5FA3"/>
    <w:rsid w:val="002B612E"/>
    <w:rsid w:val="002B6139"/>
    <w:rsid w:val="002B6C59"/>
    <w:rsid w:val="002B6E2E"/>
    <w:rsid w:val="002B74C0"/>
    <w:rsid w:val="002B74D6"/>
    <w:rsid w:val="002B7824"/>
    <w:rsid w:val="002B788B"/>
    <w:rsid w:val="002B78E3"/>
    <w:rsid w:val="002C006A"/>
    <w:rsid w:val="002C0266"/>
    <w:rsid w:val="002C0394"/>
    <w:rsid w:val="002C06FC"/>
    <w:rsid w:val="002C09B8"/>
    <w:rsid w:val="002C0F53"/>
    <w:rsid w:val="002C1100"/>
    <w:rsid w:val="002C13BF"/>
    <w:rsid w:val="002C1577"/>
    <w:rsid w:val="002C16C2"/>
    <w:rsid w:val="002C1860"/>
    <w:rsid w:val="002C1B1C"/>
    <w:rsid w:val="002C273E"/>
    <w:rsid w:val="002C29C7"/>
    <w:rsid w:val="002C2CB2"/>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586"/>
    <w:rsid w:val="002C7720"/>
    <w:rsid w:val="002C79AB"/>
    <w:rsid w:val="002C7A1F"/>
    <w:rsid w:val="002C7D11"/>
    <w:rsid w:val="002C7D71"/>
    <w:rsid w:val="002D08AA"/>
    <w:rsid w:val="002D1127"/>
    <w:rsid w:val="002D1520"/>
    <w:rsid w:val="002D1639"/>
    <w:rsid w:val="002D193B"/>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539"/>
    <w:rsid w:val="002D6738"/>
    <w:rsid w:val="002D675F"/>
    <w:rsid w:val="002D6BA2"/>
    <w:rsid w:val="002D728B"/>
    <w:rsid w:val="002D7904"/>
    <w:rsid w:val="002D7C14"/>
    <w:rsid w:val="002E026F"/>
    <w:rsid w:val="002E0525"/>
    <w:rsid w:val="002E07A2"/>
    <w:rsid w:val="002E122C"/>
    <w:rsid w:val="002E1429"/>
    <w:rsid w:val="002E1556"/>
    <w:rsid w:val="002E21D3"/>
    <w:rsid w:val="002E224B"/>
    <w:rsid w:val="002E2387"/>
    <w:rsid w:val="002E238E"/>
    <w:rsid w:val="002E26B0"/>
    <w:rsid w:val="002E325A"/>
    <w:rsid w:val="002E3982"/>
    <w:rsid w:val="002E4BDF"/>
    <w:rsid w:val="002E5BA1"/>
    <w:rsid w:val="002E5F4C"/>
    <w:rsid w:val="002E6234"/>
    <w:rsid w:val="002E65A1"/>
    <w:rsid w:val="002E66B7"/>
    <w:rsid w:val="002E67C4"/>
    <w:rsid w:val="002E6ACD"/>
    <w:rsid w:val="002E6C41"/>
    <w:rsid w:val="002E753E"/>
    <w:rsid w:val="002E7742"/>
    <w:rsid w:val="002E7ED9"/>
    <w:rsid w:val="002E7F16"/>
    <w:rsid w:val="002F0232"/>
    <w:rsid w:val="002F02D0"/>
    <w:rsid w:val="002F0535"/>
    <w:rsid w:val="002F064A"/>
    <w:rsid w:val="002F0919"/>
    <w:rsid w:val="002F0D4B"/>
    <w:rsid w:val="002F1744"/>
    <w:rsid w:val="002F1790"/>
    <w:rsid w:val="002F1D4A"/>
    <w:rsid w:val="002F29A4"/>
    <w:rsid w:val="002F2A3D"/>
    <w:rsid w:val="002F3404"/>
    <w:rsid w:val="002F3D08"/>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9E"/>
    <w:rsid w:val="003021D4"/>
    <w:rsid w:val="003021DF"/>
    <w:rsid w:val="00302585"/>
    <w:rsid w:val="00302674"/>
    <w:rsid w:val="0030274D"/>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176"/>
    <w:rsid w:val="003063C0"/>
    <w:rsid w:val="00306476"/>
    <w:rsid w:val="003065AB"/>
    <w:rsid w:val="00306B87"/>
    <w:rsid w:val="00306BEC"/>
    <w:rsid w:val="00306D28"/>
    <w:rsid w:val="00307112"/>
    <w:rsid w:val="003071FE"/>
    <w:rsid w:val="003073C2"/>
    <w:rsid w:val="00307ADF"/>
    <w:rsid w:val="00310745"/>
    <w:rsid w:val="00310826"/>
    <w:rsid w:val="00310EEF"/>
    <w:rsid w:val="00311119"/>
    <w:rsid w:val="003117CF"/>
    <w:rsid w:val="003117D1"/>
    <w:rsid w:val="003119F7"/>
    <w:rsid w:val="003119F8"/>
    <w:rsid w:val="00311CCC"/>
    <w:rsid w:val="003120C0"/>
    <w:rsid w:val="003124BE"/>
    <w:rsid w:val="003125C3"/>
    <w:rsid w:val="00312A0E"/>
    <w:rsid w:val="00312A1E"/>
    <w:rsid w:val="003130D2"/>
    <w:rsid w:val="00313192"/>
    <w:rsid w:val="0031391C"/>
    <w:rsid w:val="00313ADB"/>
    <w:rsid w:val="00313FFD"/>
    <w:rsid w:val="00314208"/>
    <w:rsid w:val="00314293"/>
    <w:rsid w:val="003144CF"/>
    <w:rsid w:val="00314645"/>
    <w:rsid w:val="0031472D"/>
    <w:rsid w:val="00314753"/>
    <w:rsid w:val="003147BD"/>
    <w:rsid w:val="00314A5B"/>
    <w:rsid w:val="00314F5B"/>
    <w:rsid w:val="0031514E"/>
    <w:rsid w:val="0031540F"/>
    <w:rsid w:val="003154D5"/>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13C"/>
    <w:rsid w:val="00322C9B"/>
    <w:rsid w:val="00322C9C"/>
    <w:rsid w:val="00322CBA"/>
    <w:rsid w:val="00322E83"/>
    <w:rsid w:val="0032308B"/>
    <w:rsid w:val="003243E4"/>
    <w:rsid w:val="00324E72"/>
    <w:rsid w:val="0032578C"/>
    <w:rsid w:val="00325B90"/>
    <w:rsid w:val="00326169"/>
    <w:rsid w:val="003263C0"/>
    <w:rsid w:val="00326467"/>
    <w:rsid w:val="00326749"/>
    <w:rsid w:val="003275A9"/>
    <w:rsid w:val="00327B5D"/>
    <w:rsid w:val="00330367"/>
    <w:rsid w:val="00330886"/>
    <w:rsid w:val="00330B83"/>
    <w:rsid w:val="00330D08"/>
    <w:rsid w:val="00330DE0"/>
    <w:rsid w:val="0033128A"/>
    <w:rsid w:val="0033151E"/>
    <w:rsid w:val="0033187D"/>
    <w:rsid w:val="00331A11"/>
    <w:rsid w:val="00331AF8"/>
    <w:rsid w:val="00331B2D"/>
    <w:rsid w:val="00331C31"/>
    <w:rsid w:val="00331CA7"/>
    <w:rsid w:val="00331E96"/>
    <w:rsid w:val="003321F3"/>
    <w:rsid w:val="00332AAE"/>
    <w:rsid w:val="0033339D"/>
    <w:rsid w:val="003336EE"/>
    <w:rsid w:val="00333B38"/>
    <w:rsid w:val="003342D0"/>
    <w:rsid w:val="00334393"/>
    <w:rsid w:val="00334718"/>
    <w:rsid w:val="003348A9"/>
    <w:rsid w:val="003349CD"/>
    <w:rsid w:val="00334B81"/>
    <w:rsid w:val="00334D88"/>
    <w:rsid w:val="0033500A"/>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2D5D"/>
    <w:rsid w:val="00343053"/>
    <w:rsid w:val="0034309E"/>
    <w:rsid w:val="00343113"/>
    <w:rsid w:val="00343490"/>
    <w:rsid w:val="00344029"/>
    <w:rsid w:val="0034467C"/>
    <w:rsid w:val="00344ACB"/>
    <w:rsid w:val="00344B4D"/>
    <w:rsid w:val="0034552C"/>
    <w:rsid w:val="0034561F"/>
    <w:rsid w:val="0034563B"/>
    <w:rsid w:val="00345B66"/>
    <w:rsid w:val="003462C6"/>
    <w:rsid w:val="003462F9"/>
    <w:rsid w:val="00346A76"/>
    <w:rsid w:val="00346AEB"/>
    <w:rsid w:val="00346C57"/>
    <w:rsid w:val="00346C61"/>
    <w:rsid w:val="00346CFC"/>
    <w:rsid w:val="00347008"/>
    <w:rsid w:val="003471D0"/>
    <w:rsid w:val="003473DB"/>
    <w:rsid w:val="003475F0"/>
    <w:rsid w:val="0035085C"/>
    <w:rsid w:val="0035094E"/>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5AC4"/>
    <w:rsid w:val="003560B9"/>
    <w:rsid w:val="003560FF"/>
    <w:rsid w:val="00356685"/>
    <w:rsid w:val="003566A9"/>
    <w:rsid w:val="00356ACB"/>
    <w:rsid w:val="00357333"/>
    <w:rsid w:val="0035763C"/>
    <w:rsid w:val="00357773"/>
    <w:rsid w:val="00357F21"/>
    <w:rsid w:val="00360316"/>
    <w:rsid w:val="00360363"/>
    <w:rsid w:val="003605A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28E"/>
    <w:rsid w:val="0036388C"/>
    <w:rsid w:val="003638E1"/>
    <w:rsid w:val="00363CDF"/>
    <w:rsid w:val="00363E0F"/>
    <w:rsid w:val="00364722"/>
    <w:rsid w:val="00364C2B"/>
    <w:rsid w:val="00365AEC"/>
    <w:rsid w:val="0036602B"/>
    <w:rsid w:val="00366241"/>
    <w:rsid w:val="00366AC9"/>
    <w:rsid w:val="00366C11"/>
    <w:rsid w:val="00366D94"/>
    <w:rsid w:val="00366E0D"/>
    <w:rsid w:val="00367815"/>
    <w:rsid w:val="00367A5A"/>
    <w:rsid w:val="00367D63"/>
    <w:rsid w:val="00367DC8"/>
    <w:rsid w:val="00367E7A"/>
    <w:rsid w:val="003703B3"/>
    <w:rsid w:val="00370A4E"/>
    <w:rsid w:val="0037114C"/>
    <w:rsid w:val="003717B5"/>
    <w:rsid w:val="00371A96"/>
    <w:rsid w:val="00371B01"/>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C8B"/>
    <w:rsid w:val="00380123"/>
    <w:rsid w:val="00380544"/>
    <w:rsid w:val="0038056C"/>
    <w:rsid w:val="00380C92"/>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6BF1"/>
    <w:rsid w:val="00387023"/>
    <w:rsid w:val="00387B31"/>
    <w:rsid w:val="00387F18"/>
    <w:rsid w:val="00390378"/>
    <w:rsid w:val="00390E38"/>
    <w:rsid w:val="003913A4"/>
    <w:rsid w:val="003917A1"/>
    <w:rsid w:val="00391E51"/>
    <w:rsid w:val="00392753"/>
    <w:rsid w:val="0039280A"/>
    <w:rsid w:val="00392BB2"/>
    <w:rsid w:val="00392E6B"/>
    <w:rsid w:val="00392EE5"/>
    <w:rsid w:val="00393129"/>
    <w:rsid w:val="003932B5"/>
    <w:rsid w:val="00393499"/>
    <w:rsid w:val="0039383C"/>
    <w:rsid w:val="00393DBB"/>
    <w:rsid w:val="0039408C"/>
    <w:rsid w:val="00394125"/>
    <w:rsid w:val="00394E84"/>
    <w:rsid w:val="00394F85"/>
    <w:rsid w:val="00395137"/>
    <w:rsid w:val="0039538A"/>
    <w:rsid w:val="00395530"/>
    <w:rsid w:val="00395752"/>
    <w:rsid w:val="0039619B"/>
    <w:rsid w:val="00396EC8"/>
    <w:rsid w:val="00397D6E"/>
    <w:rsid w:val="00397EA9"/>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2FB7"/>
    <w:rsid w:val="003A32AE"/>
    <w:rsid w:val="003A35D7"/>
    <w:rsid w:val="003A3BBA"/>
    <w:rsid w:val="003A3C65"/>
    <w:rsid w:val="003A3D76"/>
    <w:rsid w:val="003A444C"/>
    <w:rsid w:val="003A46F4"/>
    <w:rsid w:val="003A4A0F"/>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A99"/>
    <w:rsid w:val="003B2C04"/>
    <w:rsid w:val="003B3110"/>
    <w:rsid w:val="003B3174"/>
    <w:rsid w:val="003B3559"/>
    <w:rsid w:val="003B3E2B"/>
    <w:rsid w:val="003B4291"/>
    <w:rsid w:val="003B5909"/>
    <w:rsid w:val="003B59AF"/>
    <w:rsid w:val="003B6034"/>
    <w:rsid w:val="003B6935"/>
    <w:rsid w:val="003B6DA8"/>
    <w:rsid w:val="003B6FDF"/>
    <w:rsid w:val="003B6FEC"/>
    <w:rsid w:val="003B74D8"/>
    <w:rsid w:val="003B7626"/>
    <w:rsid w:val="003B7CFD"/>
    <w:rsid w:val="003C02CA"/>
    <w:rsid w:val="003C0375"/>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4CCF"/>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305"/>
    <w:rsid w:val="003D144E"/>
    <w:rsid w:val="003D1CB0"/>
    <w:rsid w:val="003D2625"/>
    <w:rsid w:val="003D2A56"/>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5AD"/>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180"/>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085"/>
    <w:rsid w:val="003F64FC"/>
    <w:rsid w:val="003F701B"/>
    <w:rsid w:val="003F7583"/>
    <w:rsid w:val="003F7736"/>
    <w:rsid w:val="003F77CC"/>
    <w:rsid w:val="003F7BCD"/>
    <w:rsid w:val="003F7F52"/>
    <w:rsid w:val="004008C5"/>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597"/>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018"/>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2F13"/>
    <w:rsid w:val="004232BC"/>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C20"/>
    <w:rsid w:val="00437C34"/>
    <w:rsid w:val="00437FA6"/>
    <w:rsid w:val="004402C9"/>
    <w:rsid w:val="00440434"/>
    <w:rsid w:val="00440998"/>
    <w:rsid w:val="00440C88"/>
    <w:rsid w:val="004413E1"/>
    <w:rsid w:val="00441A38"/>
    <w:rsid w:val="00441BC3"/>
    <w:rsid w:val="00441C9A"/>
    <w:rsid w:val="00441D0D"/>
    <w:rsid w:val="004424AD"/>
    <w:rsid w:val="00442D38"/>
    <w:rsid w:val="00443705"/>
    <w:rsid w:val="004438E5"/>
    <w:rsid w:val="00443917"/>
    <w:rsid w:val="00443A25"/>
    <w:rsid w:val="00443B81"/>
    <w:rsid w:val="00443C86"/>
    <w:rsid w:val="00444587"/>
    <w:rsid w:val="004445C1"/>
    <w:rsid w:val="00444691"/>
    <w:rsid w:val="00444765"/>
    <w:rsid w:val="00444B75"/>
    <w:rsid w:val="00444D96"/>
    <w:rsid w:val="00444DD8"/>
    <w:rsid w:val="00445380"/>
    <w:rsid w:val="004454F9"/>
    <w:rsid w:val="00445B9A"/>
    <w:rsid w:val="00445C17"/>
    <w:rsid w:val="00445DA2"/>
    <w:rsid w:val="0044652F"/>
    <w:rsid w:val="004465FD"/>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0BC"/>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962"/>
    <w:rsid w:val="00457ACF"/>
    <w:rsid w:val="00457D1D"/>
    <w:rsid w:val="00457E75"/>
    <w:rsid w:val="00457F14"/>
    <w:rsid w:val="0046015E"/>
    <w:rsid w:val="0046016D"/>
    <w:rsid w:val="00460AC6"/>
    <w:rsid w:val="0046122C"/>
    <w:rsid w:val="00461562"/>
    <w:rsid w:val="00462043"/>
    <w:rsid w:val="004629AF"/>
    <w:rsid w:val="00462C5B"/>
    <w:rsid w:val="00462FB8"/>
    <w:rsid w:val="0046345A"/>
    <w:rsid w:val="00463507"/>
    <w:rsid w:val="0046361E"/>
    <w:rsid w:val="00464174"/>
    <w:rsid w:val="0046426E"/>
    <w:rsid w:val="00464648"/>
    <w:rsid w:val="004656AC"/>
    <w:rsid w:val="00465721"/>
    <w:rsid w:val="004659A4"/>
    <w:rsid w:val="00465B0C"/>
    <w:rsid w:val="00465C7B"/>
    <w:rsid w:val="00465EAD"/>
    <w:rsid w:val="00465F34"/>
    <w:rsid w:val="00465FD0"/>
    <w:rsid w:val="004668BF"/>
    <w:rsid w:val="004668FE"/>
    <w:rsid w:val="004669A4"/>
    <w:rsid w:val="004669DB"/>
    <w:rsid w:val="00466B4C"/>
    <w:rsid w:val="004679CF"/>
    <w:rsid w:val="00467E2C"/>
    <w:rsid w:val="0047023F"/>
    <w:rsid w:val="00470335"/>
    <w:rsid w:val="0047084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3D2"/>
    <w:rsid w:val="004754BD"/>
    <w:rsid w:val="00475C5A"/>
    <w:rsid w:val="00475C81"/>
    <w:rsid w:val="00476718"/>
    <w:rsid w:val="00476759"/>
    <w:rsid w:val="00476C9F"/>
    <w:rsid w:val="00476FB5"/>
    <w:rsid w:val="00477930"/>
    <w:rsid w:val="00477ABF"/>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2E55"/>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A15"/>
    <w:rsid w:val="00487EEA"/>
    <w:rsid w:val="00490D6A"/>
    <w:rsid w:val="00490F24"/>
    <w:rsid w:val="0049116B"/>
    <w:rsid w:val="004916DD"/>
    <w:rsid w:val="00491728"/>
    <w:rsid w:val="00491D51"/>
    <w:rsid w:val="00492B02"/>
    <w:rsid w:val="00492D9A"/>
    <w:rsid w:val="00493070"/>
    <w:rsid w:val="004930E2"/>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634"/>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04C"/>
    <w:rsid w:val="004B15ED"/>
    <w:rsid w:val="004B1C19"/>
    <w:rsid w:val="004B1E0C"/>
    <w:rsid w:val="004B1E74"/>
    <w:rsid w:val="004B1FA5"/>
    <w:rsid w:val="004B202D"/>
    <w:rsid w:val="004B2207"/>
    <w:rsid w:val="004B22DA"/>
    <w:rsid w:val="004B295B"/>
    <w:rsid w:val="004B297C"/>
    <w:rsid w:val="004B2B25"/>
    <w:rsid w:val="004B2E5E"/>
    <w:rsid w:val="004B3122"/>
    <w:rsid w:val="004B3135"/>
    <w:rsid w:val="004B3200"/>
    <w:rsid w:val="004B32E1"/>
    <w:rsid w:val="004B3615"/>
    <w:rsid w:val="004B384A"/>
    <w:rsid w:val="004B41A9"/>
    <w:rsid w:val="004B4231"/>
    <w:rsid w:val="004B43BF"/>
    <w:rsid w:val="004B4832"/>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35"/>
    <w:rsid w:val="004C0266"/>
    <w:rsid w:val="004C0768"/>
    <w:rsid w:val="004C0AFC"/>
    <w:rsid w:val="004C160D"/>
    <w:rsid w:val="004C18FA"/>
    <w:rsid w:val="004C1B8F"/>
    <w:rsid w:val="004C1DA6"/>
    <w:rsid w:val="004C2183"/>
    <w:rsid w:val="004C2251"/>
    <w:rsid w:val="004C283E"/>
    <w:rsid w:val="004C29D0"/>
    <w:rsid w:val="004C3749"/>
    <w:rsid w:val="004C3B96"/>
    <w:rsid w:val="004C3EC9"/>
    <w:rsid w:val="004C42F4"/>
    <w:rsid w:val="004C46DC"/>
    <w:rsid w:val="004C49E5"/>
    <w:rsid w:val="004C4A18"/>
    <w:rsid w:val="004C4D92"/>
    <w:rsid w:val="004C4DBC"/>
    <w:rsid w:val="004C5010"/>
    <w:rsid w:val="004C5095"/>
    <w:rsid w:val="004C515A"/>
    <w:rsid w:val="004C5339"/>
    <w:rsid w:val="004C5450"/>
    <w:rsid w:val="004C5BAD"/>
    <w:rsid w:val="004C5E6F"/>
    <w:rsid w:val="004C5FDA"/>
    <w:rsid w:val="004C6495"/>
    <w:rsid w:val="004C64E1"/>
    <w:rsid w:val="004C68FC"/>
    <w:rsid w:val="004C6B77"/>
    <w:rsid w:val="004C7185"/>
    <w:rsid w:val="004C7F93"/>
    <w:rsid w:val="004D06EA"/>
    <w:rsid w:val="004D0ADD"/>
    <w:rsid w:val="004D0B83"/>
    <w:rsid w:val="004D0FE3"/>
    <w:rsid w:val="004D1970"/>
    <w:rsid w:val="004D19A9"/>
    <w:rsid w:val="004D1B7B"/>
    <w:rsid w:val="004D1F68"/>
    <w:rsid w:val="004D1FDC"/>
    <w:rsid w:val="004D20DD"/>
    <w:rsid w:val="004D28BB"/>
    <w:rsid w:val="004D29D7"/>
    <w:rsid w:val="004D33A4"/>
    <w:rsid w:val="004D3D8E"/>
    <w:rsid w:val="004D4811"/>
    <w:rsid w:val="004D494F"/>
    <w:rsid w:val="004D4C2E"/>
    <w:rsid w:val="004D4D0D"/>
    <w:rsid w:val="004D52A4"/>
    <w:rsid w:val="004D5864"/>
    <w:rsid w:val="004D5972"/>
    <w:rsid w:val="004D5A08"/>
    <w:rsid w:val="004D603D"/>
    <w:rsid w:val="004D682B"/>
    <w:rsid w:val="004D6BA5"/>
    <w:rsid w:val="004D6D73"/>
    <w:rsid w:val="004D7063"/>
    <w:rsid w:val="004D73F7"/>
    <w:rsid w:val="004D75BA"/>
    <w:rsid w:val="004D7633"/>
    <w:rsid w:val="004D7FBF"/>
    <w:rsid w:val="004E0732"/>
    <w:rsid w:val="004E1158"/>
    <w:rsid w:val="004E1A58"/>
    <w:rsid w:val="004E1CEC"/>
    <w:rsid w:val="004E2073"/>
    <w:rsid w:val="004E251B"/>
    <w:rsid w:val="004E29CC"/>
    <w:rsid w:val="004E2CCD"/>
    <w:rsid w:val="004E2CD0"/>
    <w:rsid w:val="004E30F6"/>
    <w:rsid w:val="004E3141"/>
    <w:rsid w:val="004E31F7"/>
    <w:rsid w:val="004E377F"/>
    <w:rsid w:val="004E37E4"/>
    <w:rsid w:val="004E3A4F"/>
    <w:rsid w:val="004E3D0D"/>
    <w:rsid w:val="004E4019"/>
    <w:rsid w:val="004E4533"/>
    <w:rsid w:val="004E4579"/>
    <w:rsid w:val="004E4D10"/>
    <w:rsid w:val="004E4DF8"/>
    <w:rsid w:val="004E518D"/>
    <w:rsid w:val="004E53B2"/>
    <w:rsid w:val="004E5624"/>
    <w:rsid w:val="004E580D"/>
    <w:rsid w:val="004E5A46"/>
    <w:rsid w:val="004E5A65"/>
    <w:rsid w:val="004E65C1"/>
    <w:rsid w:val="004E65FB"/>
    <w:rsid w:val="004E682E"/>
    <w:rsid w:val="004E6C87"/>
    <w:rsid w:val="004E6F69"/>
    <w:rsid w:val="004E7123"/>
    <w:rsid w:val="004E7FF5"/>
    <w:rsid w:val="004F0143"/>
    <w:rsid w:val="004F01BF"/>
    <w:rsid w:val="004F05EB"/>
    <w:rsid w:val="004F060E"/>
    <w:rsid w:val="004F078D"/>
    <w:rsid w:val="004F0A21"/>
    <w:rsid w:val="004F0BBC"/>
    <w:rsid w:val="004F0C13"/>
    <w:rsid w:val="004F0DF1"/>
    <w:rsid w:val="004F0EA8"/>
    <w:rsid w:val="004F0ED6"/>
    <w:rsid w:val="004F12D0"/>
    <w:rsid w:val="004F2041"/>
    <w:rsid w:val="004F20AD"/>
    <w:rsid w:val="004F226B"/>
    <w:rsid w:val="004F2917"/>
    <w:rsid w:val="004F2BEF"/>
    <w:rsid w:val="004F3AF4"/>
    <w:rsid w:val="004F3C2B"/>
    <w:rsid w:val="004F40C6"/>
    <w:rsid w:val="004F45C9"/>
    <w:rsid w:val="004F45F8"/>
    <w:rsid w:val="004F4ED0"/>
    <w:rsid w:val="004F5866"/>
    <w:rsid w:val="004F58BB"/>
    <w:rsid w:val="004F5F00"/>
    <w:rsid w:val="004F6627"/>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1ED"/>
    <w:rsid w:val="0051227D"/>
    <w:rsid w:val="005127E4"/>
    <w:rsid w:val="00512B7A"/>
    <w:rsid w:val="00512C95"/>
    <w:rsid w:val="00513011"/>
    <w:rsid w:val="00513331"/>
    <w:rsid w:val="005134C3"/>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591"/>
    <w:rsid w:val="00525814"/>
    <w:rsid w:val="0052664E"/>
    <w:rsid w:val="00526763"/>
    <w:rsid w:val="00526B87"/>
    <w:rsid w:val="00526D2E"/>
    <w:rsid w:val="00526F20"/>
    <w:rsid w:val="00526F38"/>
    <w:rsid w:val="00526F8D"/>
    <w:rsid w:val="005271B6"/>
    <w:rsid w:val="005276A6"/>
    <w:rsid w:val="00527734"/>
    <w:rsid w:val="00527CD4"/>
    <w:rsid w:val="00527CDD"/>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3A64"/>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5FE"/>
    <w:rsid w:val="005428A8"/>
    <w:rsid w:val="00542B6C"/>
    <w:rsid w:val="0054362D"/>
    <w:rsid w:val="005441D9"/>
    <w:rsid w:val="00544848"/>
    <w:rsid w:val="00544D8E"/>
    <w:rsid w:val="005454D5"/>
    <w:rsid w:val="00545681"/>
    <w:rsid w:val="00545865"/>
    <w:rsid w:val="00546329"/>
    <w:rsid w:val="00546836"/>
    <w:rsid w:val="00546F4B"/>
    <w:rsid w:val="00546F7D"/>
    <w:rsid w:val="00547024"/>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476"/>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9DF"/>
    <w:rsid w:val="00564FDA"/>
    <w:rsid w:val="005651FA"/>
    <w:rsid w:val="00565283"/>
    <w:rsid w:val="005652A6"/>
    <w:rsid w:val="005653DC"/>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E9"/>
    <w:rsid w:val="005813BB"/>
    <w:rsid w:val="00581426"/>
    <w:rsid w:val="00581447"/>
    <w:rsid w:val="005814F1"/>
    <w:rsid w:val="005845DE"/>
    <w:rsid w:val="00584862"/>
    <w:rsid w:val="00584986"/>
    <w:rsid w:val="00584BD8"/>
    <w:rsid w:val="00584F26"/>
    <w:rsid w:val="00585083"/>
    <w:rsid w:val="005850BE"/>
    <w:rsid w:val="0058510B"/>
    <w:rsid w:val="00585165"/>
    <w:rsid w:val="00585173"/>
    <w:rsid w:val="00585ECF"/>
    <w:rsid w:val="00586260"/>
    <w:rsid w:val="00586BC3"/>
    <w:rsid w:val="00586DC6"/>
    <w:rsid w:val="00587313"/>
    <w:rsid w:val="00587B41"/>
    <w:rsid w:val="00590041"/>
    <w:rsid w:val="0059032C"/>
    <w:rsid w:val="005906CF"/>
    <w:rsid w:val="00590A01"/>
    <w:rsid w:val="00590C61"/>
    <w:rsid w:val="005919F4"/>
    <w:rsid w:val="00591A13"/>
    <w:rsid w:val="005925F6"/>
    <w:rsid w:val="005928E6"/>
    <w:rsid w:val="00592923"/>
    <w:rsid w:val="00592A37"/>
    <w:rsid w:val="00592A48"/>
    <w:rsid w:val="00592C56"/>
    <w:rsid w:val="00592ED5"/>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97C6C"/>
    <w:rsid w:val="005A00A5"/>
    <w:rsid w:val="005A01DD"/>
    <w:rsid w:val="005A031A"/>
    <w:rsid w:val="005A05A0"/>
    <w:rsid w:val="005A076E"/>
    <w:rsid w:val="005A093B"/>
    <w:rsid w:val="005A122A"/>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4FAB"/>
    <w:rsid w:val="005A514D"/>
    <w:rsid w:val="005A538A"/>
    <w:rsid w:val="005A55C5"/>
    <w:rsid w:val="005A63A9"/>
    <w:rsid w:val="005A6982"/>
    <w:rsid w:val="005A6F4A"/>
    <w:rsid w:val="005A7048"/>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2B5"/>
    <w:rsid w:val="005B455A"/>
    <w:rsid w:val="005B46D2"/>
    <w:rsid w:val="005B4B26"/>
    <w:rsid w:val="005B4DB4"/>
    <w:rsid w:val="005B4DDF"/>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150"/>
    <w:rsid w:val="005D0661"/>
    <w:rsid w:val="005D078A"/>
    <w:rsid w:val="005D0986"/>
    <w:rsid w:val="005D0B78"/>
    <w:rsid w:val="005D0BEE"/>
    <w:rsid w:val="005D0F48"/>
    <w:rsid w:val="005D1FD8"/>
    <w:rsid w:val="005D240F"/>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77"/>
    <w:rsid w:val="005E13FA"/>
    <w:rsid w:val="005E160B"/>
    <w:rsid w:val="005E163F"/>
    <w:rsid w:val="005E18AC"/>
    <w:rsid w:val="005E2605"/>
    <w:rsid w:val="005E28BD"/>
    <w:rsid w:val="005E2A29"/>
    <w:rsid w:val="005E2C4A"/>
    <w:rsid w:val="005E2D9B"/>
    <w:rsid w:val="005E324F"/>
    <w:rsid w:val="005E34E6"/>
    <w:rsid w:val="005E39AC"/>
    <w:rsid w:val="005E39F5"/>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117"/>
    <w:rsid w:val="005E7681"/>
    <w:rsid w:val="005E7707"/>
    <w:rsid w:val="005E7882"/>
    <w:rsid w:val="005E7958"/>
    <w:rsid w:val="005E7B79"/>
    <w:rsid w:val="005E7C11"/>
    <w:rsid w:val="005E7E58"/>
    <w:rsid w:val="005E7F40"/>
    <w:rsid w:val="005F02AF"/>
    <w:rsid w:val="005F0785"/>
    <w:rsid w:val="005F0AF6"/>
    <w:rsid w:val="005F0E0A"/>
    <w:rsid w:val="005F144C"/>
    <w:rsid w:val="005F1576"/>
    <w:rsid w:val="005F1CAD"/>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6A87"/>
    <w:rsid w:val="005F7220"/>
    <w:rsid w:val="005F74A3"/>
    <w:rsid w:val="005F7641"/>
    <w:rsid w:val="005F772F"/>
    <w:rsid w:val="005F7B8F"/>
    <w:rsid w:val="005F7B9B"/>
    <w:rsid w:val="005F7E17"/>
    <w:rsid w:val="0060061D"/>
    <w:rsid w:val="00600E1F"/>
    <w:rsid w:val="0060147C"/>
    <w:rsid w:val="006015CF"/>
    <w:rsid w:val="00601B6E"/>
    <w:rsid w:val="00601D5D"/>
    <w:rsid w:val="00602366"/>
    <w:rsid w:val="006025CD"/>
    <w:rsid w:val="00602C06"/>
    <w:rsid w:val="00603338"/>
    <w:rsid w:val="00603A2A"/>
    <w:rsid w:val="00603FB6"/>
    <w:rsid w:val="00604433"/>
    <w:rsid w:val="00604785"/>
    <w:rsid w:val="006048DF"/>
    <w:rsid w:val="00604B8E"/>
    <w:rsid w:val="0060528C"/>
    <w:rsid w:val="00605BCF"/>
    <w:rsid w:val="00605C18"/>
    <w:rsid w:val="00605D14"/>
    <w:rsid w:val="00606425"/>
    <w:rsid w:val="00606FF1"/>
    <w:rsid w:val="006070EA"/>
    <w:rsid w:val="0060740C"/>
    <w:rsid w:val="006075BB"/>
    <w:rsid w:val="006077A2"/>
    <w:rsid w:val="00607914"/>
    <w:rsid w:val="00607AC1"/>
    <w:rsid w:val="006104AA"/>
    <w:rsid w:val="0061064B"/>
    <w:rsid w:val="00610D9D"/>
    <w:rsid w:val="0061106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D91"/>
    <w:rsid w:val="00615FE1"/>
    <w:rsid w:val="006165C5"/>
    <w:rsid w:val="00616E33"/>
    <w:rsid w:val="00616FC5"/>
    <w:rsid w:val="0061781E"/>
    <w:rsid w:val="006178BB"/>
    <w:rsid w:val="00617E5C"/>
    <w:rsid w:val="006203B5"/>
    <w:rsid w:val="0062070B"/>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04E"/>
    <w:rsid w:val="0063061C"/>
    <w:rsid w:val="00630DA1"/>
    <w:rsid w:val="00630FDB"/>
    <w:rsid w:val="00631971"/>
    <w:rsid w:val="00631B23"/>
    <w:rsid w:val="00632205"/>
    <w:rsid w:val="00632352"/>
    <w:rsid w:val="00632757"/>
    <w:rsid w:val="00632E62"/>
    <w:rsid w:val="00632FA8"/>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907"/>
    <w:rsid w:val="00637EFB"/>
    <w:rsid w:val="00640143"/>
    <w:rsid w:val="00641805"/>
    <w:rsid w:val="00641847"/>
    <w:rsid w:val="00641913"/>
    <w:rsid w:val="00641E0C"/>
    <w:rsid w:val="00642B56"/>
    <w:rsid w:val="00642BA5"/>
    <w:rsid w:val="00642EFE"/>
    <w:rsid w:val="0064329B"/>
    <w:rsid w:val="006433BE"/>
    <w:rsid w:val="006434ED"/>
    <w:rsid w:val="0064367F"/>
    <w:rsid w:val="00643BEC"/>
    <w:rsid w:val="00643CD1"/>
    <w:rsid w:val="006440C1"/>
    <w:rsid w:val="006441F9"/>
    <w:rsid w:val="00644262"/>
    <w:rsid w:val="006447F3"/>
    <w:rsid w:val="006450B4"/>
    <w:rsid w:val="006459C4"/>
    <w:rsid w:val="00645A8B"/>
    <w:rsid w:val="00645C10"/>
    <w:rsid w:val="006467BE"/>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D9"/>
    <w:rsid w:val="006538E0"/>
    <w:rsid w:val="00653C3B"/>
    <w:rsid w:val="00653FE4"/>
    <w:rsid w:val="006540F6"/>
    <w:rsid w:val="0065415E"/>
    <w:rsid w:val="006542C2"/>
    <w:rsid w:val="0065486F"/>
    <w:rsid w:val="006548D7"/>
    <w:rsid w:val="006549A1"/>
    <w:rsid w:val="00654B18"/>
    <w:rsid w:val="00654DD6"/>
    <w:rsid w:val="00654EF1"/>
    <w:rsid w:val="00654FFF"/>
    <w:rsid w:val="0065517B"/>
    <w:rsid w:val="00655807"/>
    <w:rsid w:val="0065643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0CCF"/>
    <w:rsid w:val="006710F2"/>
    <w:rsid w:val="00671270"/>
    <w:rsid w:val="006716C6"/>
    <w:rsid w:val="00671980"/>
    <w:rsid w:val="006720FD"/>
    <w:rsid w:val="00672852"/>
    <w:rsid w:val="00672A0D"/>
    <w:rsid w:val="00672DD8"/>
    <w:rsid w:val="006734AE"/>
    <w:rsid w:val="006734F7"/>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8DA"/>
    <w:rsid w:val="00685A27"/>
    <w:rsid w:val="00685B8D"/>
    <w:rsid w:val="00685BDB"/>
    <w:rsid w:val="0068634A"/>
    <w:rsid w:val="0068638B"/>
    <w:rsid w:val="0068640F"/>
    <w:rsid w:val="006865E8"/>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5DD7"/>
    <w:rsid w:val="0069618D"/>
    <w:rsid w:val="00696731"/>
    <w:rsid w:val="00696745"/>
    <w:rsid w:val="00696978"/>
    <w:rsid w:val="00696B3A"/>
    <w:rsid w:val="00696B75"/>
    <w:rsid w:val="00696C31"/>
    <w:rsid w:val="00697444"/>
    <w:rsid w:val="00697967"/>
    <w:rsid w:val="006979AB"/>
    <w:rsid w:val="006A0240"/>
    <w:rsid w:val="006A034A"/>
    <w:rsid w:val="006A03A9"/>
    <w:rsid w:val="006A049A"/>
    <w:rsid w:val="006A07F1"/>
    <w:rsid w:val="006A0A4D"/>
    <w:rsid w:val="006A0DDA"/>
    <w:rsid w:val="006A1414"/>
    <w:rsid w:val="006A1496"/>
    <w:rsid w:val="006A17AF"/>
    <w:rsid w:val="006A17E2"/>
    <w:rsid w:val="006A19B0"/>
    <w:rsid w:val="006A19B9"/>
    <w:rsid w:val="006A23C5"/>
    <w:rsid w:val="006A25FF"/>
    <w:rsid w:val="006A36BD"/>
    <w:rsid w:val="006A3BC9"/>
    <w:rsid w:val="006A44D6"/>
    <w:rsid w:val="006A4821"/>
    <w:rsid w:val="006A4D55"/>
    <w:rsid w:val="006A4E9C"/>
    <w:rsid w:val="006A5104"/>
    <w:rsid w:val="006A5727"/>
    <w:rsid w:val="006A5A0B"/>
    <w:rsid w:val="006A6226"/>
    <w:rsid w:val="006A626D"/>
    <w:rsid w:val="006A69B9"/>
    <w:rsid w:val="006A69C3"/>
    <w:rsid w:val="006A6C9F"/>
    <w:rsid w:val="006A7793"/>
    <w:rsid w:val="006A7A9B"/>
    <w:rsid w:val="006B1F65"/>
    <w:rsid w:val="006B23D8"/>
    <w:rsid w:val="006B25DD"/>
    <w:rsid w:val="006B2954"/>
    <w:rsid w:val="006B2F1A"/>
    <w:rsid w:val="006B34FB"/>
    <w:rsid w:val="006B3B5D"/>
    <w:rsid w:val="006B3C1E"/>
    <w:rsid w:val="006B4959"/>
    <w:rsid w:val="006B4B1C"/>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152"/>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2EA8"/>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0FE0"/>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316"/>
    <w:rsid w:val="006E7424"/>
    <w:rsid w:val="006E7744"/>
    <w:rsid w:val="006E7B70"/>
    <w:rsid w:val="006F03CA"/>
    <w:rsid w:val="006F0660"/>
    <w:rsid w:val="006F1075"/>
    <w:rsid w:val="006F166C"/>
    <w:rsid w:val="006F188C"/>
    <w:rsid w:val="006F25CD"/>
    <w:rsid w:val="006F29E5"/>
    <w:rsid w:val="006F2A57"/>
    <w:rsid w:val="006F311E"/>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7E5"/>
    <w:rsid w:val="00700990"/>
    <w:rsid w:val="00700B47"/>
    <w:rsid w:val="00700CC0"/>
    <w:rsid w:val="00700F17"/>
    <w:rsid w:val="007017D6"/>
    <w:rsid w:val="0070197D"/>
    <w:rsid w:val="00701B9F"/>
    <w:rsid w:val="00701C21"/>
    <w:rsid w:val="00701ECE"/>
    <w:rsid w:val="00702291"/>
    <w:rsid w:val="00702943"/>
    <w:rsid w:val="00702AF0"/>
    <w:rsid w:val="00702FC8"/>
    <w:rsid w:val="0070300D"/>
    <w:rsid w:val="00703D2F"/>
    <w:rsid w:val="007041D0"/>
    <w:rsid w:val="007043AD"/>
    <w:rsid w:val="007045FB"/>
    <w:rsid w:val="0070462C"/>
    <w:rsid w:val="00704760"/>
    <w:rsid w:val="00704933"/>
    <w:rsid w:val="00704AE5"/>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07C6A"/>
    <w:rsid w:val="00710478"/>
    <w:rsid w:val="007107C4"/>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168"/>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194C"/>
    <w:rsid w:val="00731E81"/>
    <w:rsid w:val="00732024"/>
    <w:rsid w:val="007321DC"/>
    <w:rsid w:val="007322CB"/>
    <w:rsid w:val="00732497"/>
    <w:rsid w:val="00732781"/>
    <w:rsid w:val="0073283B"/>
    <w:rsid w:val="0073285F"/>
    <w:rsid w:val="00732A2A"/>
    <w:rsid w:val="00732CB8"/>
    <w:rsid w:val="00732D48"/>
    <w:rsid w:val="00732EE8"/>
    <w:rsid w:val="00733132"/>
    <w:rsid w:val="0073367C"/>
    <w:rsid w:val="007338E3"/>
    <w:rsid w:val="00733C6A"/>
    <w:rsid w:val="00734068"/>
    <w:rsid w:val="007340C3"/>
    <w:rsid w:val="0073443D"/>
    <w:rsid w:val="007345FA"/>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A3"/>
    <w:rsid w:val="007502DA"/>
    <w:rsid w:val="00750370"/>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57B"/>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045"/>
    <w:rsid w:val="00770455"/>
    <w:rsid w:val="007705A6"/>
    <w:rsid w:val="0077066B"/>
    <w:rsid w:val="00770944"/>
    <w:rsid w:val="00770FE1"/>
    <w:rsid w:val="00771007"/>
    <w:rsid w:val="00771703"/>
    <w:rsid w:val="00771BCF"/>
    <w:rsid w:val="0077269F"/>
    <w:rsid w:val="00772DFE"/>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04EC"/>
    <w:rsid w:val="00781AE7"/>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44"/>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20F"/>
    <w:rsid w:val="007A1A8C"/>
    <w:rsid w:val="007A20AB"/>
    <w:rsid w:val="007A2312"/>
    <w:rsid w:val="007A2666"/>
    <w:rsid w:val="007A2EBF"/>
    <w:rsid w:val="007A3508"/>
    <w:rsid w:val="007A3843"/>
    <w:rsid w:val="007A3FB8"/>
    <w:rsid w:val="007A41B1"/>
    <w:rsid w:val="007A4973"/>
    <w:rsid w:val="007A4C0F"/>
    <w:rsid w:val="007A58B7"/>
    <w:rsid w:val="007A59F8"/>
    <w:rsid w:val="007A5A3A"/>
    <w:rsid w:val="007A5A6A"/>
    <w:rsid w:val="007A61E7"/>
    <w:rsid w:val="007A6BA1"/>
    <w:rsid w:val="007A6F31"/>
    <w:rsid w:val="007A7316"/>
    <w:rsid w:val="007A76E1"/>
    <w:rsid w:val="007A78ED"/>
    <w:rsid w:val="007A78F5"/>
    <w:rsid w:val="007A7F28"/>
    <w:rsid w:val="007B012C"/>
    <w:rsid w:val="007B0AC9"/>
    <w:rsid w:val="007B0B6C"/>
    <w:rsid w:val="007B0BB4"/>
    <w:rsid w:val="007B111D"/>
    <w:rsid w:val="007B1491"/>
    <w:rsid w:val="007B168D"/>
    <w:rsid w:val="007B1EAA"/>
    <w:rsid w:val="007B21F4"/>
    <w:rsid w:val="007B242A"/>
    <w:rsid w:val="007B29F5"/>
    <w:rsid w:val="007B2BBA"/>
    <w:rsid w:val="007B348F"/>
    <w:rsid w:val="007B36C4"/>
    <w:rsid w:val="007B3797"/>
    <w:rsid w:val="007B3BBD"/>
    <w:rsid w:val="007B4123"/>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4F4"/>
    <w:rsid w:val="007B7516"/>
    <w:rsid w:val="007B779D"/>
    <w:rsid w:val="007B797B"/>
    <w:rsid w:val="007B7D01"/>
    <w:rsid w:val="007C0154"/>
    <w:rsid w:val="007C020E"/>
    <w:rsid w:val="007C0D6D"/>
    <w:rsid w:val="007C1137"/>
    <w:rsid w:val="007C1819"/>
    <w:rsid w:val="007C1D26"/>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D7BCA"/>
    <w:rsid w:val="007E06F6"/>
    <w:rsid w:val="007E0844"/>
    <w:rsid w:val="007E0906"/>
    <w:rsid w:val="007E091F"/>
    <w:rsid w:val="007E096A"/>
    <w:rsid w:val="007E1E6D"/>
    <w:rsid w:val="007E2134"/>
    <w:rsid w:val="007E24D9"/>
    <w:rsid w:val="007E2725"/>
    <w:rsid w:val="007E28B5"/>
    <w:rsid w:val="007E2DA8"/>
    <w:rsid w:val="007E3666"/>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3DE"/>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0B7"/>
    <w:rsid w:val="007F2147"/>
    <w:rsid w:val="007F2614"/>
    <w:rsid w:val="007F2B5E"/>
    <w:rsid w:val="007F2D31"/>
    <w:rsid w:val="007F2D75"/>
    <w:rsid w:val="007F2FD9"/>
    <w:rsid w:val="007F322C"/>
    <w:rsid w:val="007F32D1"/>
    <w:rsid w:val="007F3442"/>
    <w:rsid w:val="007F35C7"/>
    <w:rsid w:val="007F36E7"/>
    <w:rsid w:val="007F36EE"/>
    <w:rsid w:val="007F3CFA"/>
    <w:rsid w:val="007F473A"/>
    <w:rsid w:val="007F4E08"/>
    <w:rsid w:val="007F5354"/>
    <w:rsid w:val="007F5BC9"/>
    <w:rsid w:val="007F63AB"/>
    <w:rsid w:val="007F672D"/>
    <w:rsid w:val="007F69B0"/>
    <w:rsid w:val="007F7AD7"/>
    <w:rsid w:val="007F7C89"/>
    <w:rsid w:val="008000EA"/>
    <w:rsid w:val="0080033B"/>
    <w:rsid w:val="00800BAE"/>
    <w:rsid w:val="0080143E"/>
    <w:rsid w:val="00801722"/>
    <w:rsid w:val="00801821"/>
    <w:rsid w:val="00801D72"/>
    <w:rsid w:val="008021BA"/>
    <w:rsid w:val="008023FE"/>
    <w:rsid w:val="00802534"/>
    <w:rsid w:val="00802C9F"/>
    <w:rsid w:val="00802D40"/>
    <w:rsid w:val="00802F18"/>
    <w:rsid w:val="0080375F"/>
    <w:rsid w:val="0080399A"/>
    <w:rsid w:val="00803B67"/>
    <w:rsid w:val="00803C9B"/>
    <w:rsid w:val="00803CA0"/>
    <w:rsid w:val="00803EDC"/>
    <w:rsid w:val="008042A6"/>
    <w:rsid w:val="008044ED"/>
    <w:rsid w:val="00804FA0"/>
    <w:rsid w:val="008052E6"/>
    <w:rsid w:val="008066DD"/>
    <w:rsid w:val="00806817"/>
    <w:rsid w:val="00806A87"/>
    <w:rsid w:val="00806CEE"/>
    <w:rsid w:val="00806DE4"/>
    <w:rsid w:val="008071E5"/>
    <w:rsid w:val="00807E76"/>
    <w:rsid w:val="008101D5"/>
    <w:rsid w:val="00810266"/>
    <w:rsid w:val="0081070E"/>
    <w:rsid w:val="00810D50"/>
    <w:rsid w:val="00810D6A"/>
    <w:rsid w:val="00810EE4"/>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4FCA"/>
    <w:rsid w:val="00815327"/>
    <w:rsid w:val="008154B4"/>
    <w:rsid w:val="00815653"/>
    <w:rsid w:val="008162BC"/>
    <w:rsid w:val="00816467"/>
    <w:rsid w:val="008164AC"/>
    <w:rsid w:val="00816507"/>
    <w:rsid w:val="00816559"/>
    <w:rsid w:val="00816A50"/>
    <w:rsid w:val="0081722A"/>
    <w:rsid w:val="0082057C"/>
    <w:rsid w:val="008208BD"/>
    <w:rsid w:val="00821671"/>
    <w:rsid w:val="00821710"/>
    <w:rsid w:val="00821BED"/>
    <w:rsid w:val="00821C86"/>
    <w:rsid w:val="00821EA9"/>
    <w:rsid w:val="0082221A"/>
    <w:rsid w:val="00823007"/>
    <w:rsid w:val="008230A3"/>
    <w:rsid w:val="008232B2"/>
    <w:rsid w:val="008235B8"/>
    <w:rsid w:val="008235D9"/>
    <w:rsid w:val="00823A65"/>
    <w:rsid w:val="00823AE2"/>
    <w:rsid w:val="008240D2"/>
    <w:rsid w:val="00824277"/>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45D"/>
    <w:rsid w:val="00832554"/>
    <w:rsid w:val="00832B88"/>
    <w:rsid w:val="00832BEF"/>
    <w:rsid w:val="00833106"/>
    <w:rsid w:val="008336E8"/>
    <w:rsid w:val="00833878"/>
    <w:rsid w:val="00833899"/>
    <w:rsid w:val="00833D7C"/>
    <w:rsid w:val="00834271"/>
    <w:rsid w:val="008343DC"/>
    <w:rsid w:val="00834B22"/>
    <w:rsid w:val="00834ECA"/>
    <w:rsid w:val="008351A1"/>
    <w:rsid w:val="00835540"/>
    <w:rsid w:val="0083557A"/>
    <w:rsid w:val="00835873"/>
    <w:rsid w:val="00835A75"/>
    <w:rsid w:val="00836159"/>
    <w:rsid w:val="008367DD"/>
    <w:rsid w:val="00836B9F"/>
    <w:rsid w:val="0083753C"/>
    <w:rsid w:val="00837604"/>
    <w:rsid w:val="0084066C"/>
    <w:rsid w:val="00840909"/>
    <w:rsid w:val="008409DC"/>
    <w:rsid w:val="00840BBB"/>
    <w:rsid w:val="00840D16"/>
    <w:rsid w:val="00840D21"/>
    <w:rsid w:val="00841459"/>
    <w:rsid w:val="008417CD"/>
    <w:rsid w:val="008418D2"/>
    <w:rsid w:val="008418D7"/>
    <w:rsid w:val="00841A42"/>
    <w:rsid w:val="008423A0"/>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6D69"/>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25"/>
    <w:rsid w:val="008543B0"/>
    <w:rsid w:val="00854878"/>
    <w:rsid w:val="008549B0"/>
    <w:rsid w:val="008550EC"/>
    <w:rsid w:val="00855291"/>
    <w:rsid w:val="0085555F"/>
    <w:rsid w:val="008556E0"/>
    <w:rsid w:val="00855708"/>
    <w:rsid w:val="00856137"/>
    <w:rsid w:val="0085666A"/>
    <w:rsid w:val="008567D0"/>
    <w:rsid w:val="00856839"/>
    <w:rsid w:val="00856BB3"/>
    <w:rsid w:val="0085759B"/>
    <w:rsid w:val="00857600"/>
    <w:rsid w:val="00857B44"/>
    <w:rsid w:val="00857BAE"/>
    <w:rsid w:val="00857C1D"/>
    <w:rsid w:val="00860293"/>
    <w:rsid w:val="008605B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1C3"/>
    <w:rsid w:val="008652D6"/>
    <w:rsid w:val="0086532A"/>
    <w:rsid w:val="008655A2"/>
    <w:rsid w:val="008657E9"/>
    <w:rsid w:val="00866525"/>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827"/>
    <w:rsid w:val="00876D49"/>
    <w:rsid w:val="008774B3"/>
    <w:rsid w:val="0087759F"/>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08"/>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387"/>
    <w:rsid w:val="008947E4"/>
    <w:rsid w:val="00894997"/>
    <w:rsid w:val="00895031"/>
    <w:rsid w:val="008954CD"/>
    <w:rsid w:val="008955C5"/>
    <w:rsid w:val="00895735"/>
    <w:rsid w:val="00895764"/>
    <w:rsid w:val="008959EE"/>
    <w:rsid w:val="008960DF"/>
    <w:rsid w:val="008965D4"/>
    <w:rsid w:val="00896770"/>
    <w:rsid w:val="00896D43"/>
    <w:rsid w:val="0089779D"/>
    <w:rsid w:val="00897FD9"/>
    <w:rsid w:val="008A01CC"/>
    <w:rsid w:val="008A0391"/>
    <w:rsid w:val="008A06A6"/>
    <w:rsid w:val="008A0767"/>
    <w:rsid w:val="008A0BBA"/>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4C"/>
    <w:rsid w:val="008A6195"/>
    <w:rsid w:val="008A6234"/>
    <w:rsid w:val="008A62D6"/>
    <w:rsid w:val="008A639E"/>
    <w:rsid w:val="008A6F1A"/>
    <w:rsid w:val="008A7005"/>
    <w:rsid w:val="008A7120"/>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7D"/>
    <w:rsid w:val="008B66CC"/>
    <w:rsid w:val="008B6840"/>
    <w:rsid w:val="008B762B"/>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513"/>
    <w:rsid w:val="008C57E8"/>
    <w:rsid w:val="008C5FFE"/>
    <w:rsid w:val="008C62F3"/>
    <w:rsid w:val="008C650B"/>
    <w:rsid w:val="008C6850"/>
    <w:rsid w:val="008C6D48"/>
    <w:rsid w:val="008C722E"/>
    <w:rsid w:val="008C784E"/>
    <w:rsid w:val="008C7C8E"/>
    <w:rsid w:val="008C7CD1"/>
    <w:rsid w:val="008D0A15"/>
    <w:rsid w:val="008D0D4B"/>
    <w:rsid w:val="008D108C"/>
    <w:rsid w:val="008D150A"/>
    <w:rsid w:val="008D155E"/>
    <w:rsid w:val="008D1DF5"/>
    <w:rsid w:val="008D1E11"/>
    <w:rsid w:val="008D1FC8"/>
    <w:rsid w:val="008D2179"/>
    <w:rsid w:val="008D2396"/>
    <w:rsid w:val="008D2516"/>
    <w:rsid w:val="008D2934"/>
    <w:rsid w:val="008D2B67"/>
    <w:rsid w:val="008D2C20"/>
    <w:rsid w:val="008D2D62"/>
    <w:rsid w:val="008D2E60"/>
    <w:rsid w:val="008D2FFD"/>
    <w:rsid w:val="008D3D87"/>
    <w:rsid w:val="008D3E2F"/>
    <w:rsid w:val="008D3EAD"/>
    <w:rsid w:val="008D4592"/>
    <w:rsid w:val="008D459C"/>
    <w:rsid w:val="008D4B9C"/>
    <w:rsid w:val="008D508A"/>
    <w:rsid w:val="008D53CC"/>
    <w:rsid w:val="008D559D"/>
    <w:rsid w:val="008D56F5"/>
    <w:rsid w:val="008D597D"/>
    <w:rsid w:val="008D5F72"/>
    <w:rsid w:val="008D620C"/>
    <w:rsid w:val="008D6560"/>
    <w:rsid w:val="008D66D2"/>
    <w:rsid w:val="008D6F08"/>
    <w:rsid w:val="008D7769"/>
    <w:rsid w:val="008D77AA"/>
    <w:rsid w:val="008D7A15"/>
    <w:rsid w:val="008D7CBD"/>
    <w:rsid w:val="008D7EDC"/>
    <w:rsid w:val="008E00B3"/>
    <w:rsid w:val="008E00D8"/>
    <w:rsid w:val="008E00E2"/>
    <w:rsid w:val="008E10F7"/>
    <w:rsid w:val="008E1785"/>
    <w:rsid w:val="008E194D"/>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6FB2"/>
    <w:rsid w:val="008E7025"/>
    <w:rsid w:val="008E72F4"/>
    <w:rsid w:val="008E747B"/>
    <w:rsid w:val="008E7BCF"/>
    <w:rsid w:val="008F00FF"/>
    <w:rsid w:val="008F02AE"/>
    <w:rsid w:val="008F0568"/>
    <w:rsid w:val="008F0656"/>
    <w:rsid w:val="008F0AEB"/>
    <w:rsid w:val="008F0E88"/>
    <w:rsid w:val="008F0FDC"/>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2D"/>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4F52"/>
    <w:rsid w:val="00915684"/>
    <w:rsid w:val="00915940"/>
    <w:rsid w:val="00915D91"/>
    <w:rsid w:val="00915DAF"/>
    <w:rsid w:val="00916153"/>
    <w:rsid w:val="00916162"/>
    <w:rsid w:val="00916364"/>
    <w:rsid w:val="00916791"/>
    <w:rsid w:val="0091695E"/>
    <w:rsid w:val="00916D34"/>
    <w:rsid w:val="00916E0F"/>
    <w:rsid w:val="00917231"/>
    <w:rsid w:val="009172EF"/>
    <w:rsid w:val="00917A82"/>
    <w:rsid w:val="00917B1F"/>
    <w:rsid w:val="00917B9B"/>
    <w:rsid w:val="0092009F"/>
    <w:rsid w:val="009206A4"/>
    <w:rsid w:val="00920772"/>
    <w:rsid w:val="00920914"/>
    <w:rsid w:val="009209F5"/>
    <w:rsid w:val="00920B33"/>
    <w:rsid w:val="00920C46"/>
    <w:rsid w:val="00920CE4"/>
    <w:rsid w:val="00920D1D"/>
    <w:rsid w:val="00920DA1"/>
    <w:rsid w:val="00920ED9"/>
    <w:rsid w:val="00921318"/>
    <w:rsid w:val="0092140A"/>
    <w:rsid w:val="00921677"/>
    <w:rsid w:val="0092167C"/>
    <w:rsid w:val="0092224D"/>
    <w:rsid w:val="009222C3"/>
    <w:rsid w:val="00922470"/>
    <w:rsid w:val="00922534"/>
    <w:rsid w:val="009226AD"/>
    <w:rsid w:val="00922757"/>
    <w:rsid w:val="00923187"/>
    <w:rsid w:val="00923475"/>
    <w:rsid w:val="00923C80"/>
    <w:rsid w:val="00923D45"/>
    <w:rsid w:val="0092427F"/>
    <w:rsid w:val="009242D4"/>
    <w:rsid w:val="009244BB"/>
    <w:rsid w:val="009249E8"/>
    <w:rsid w:val="00924BB7"/>
    <w:rsid w:val="00924BC2"/>
    <w:rsid w:val="0092500E"/>
    <w:rsid w:val="00925226"/>
    <w:rsid w:val="00925374"/>
    <w:rsid w:val="00925E90"/>
    <w:rsid w:val="00925F97"/>
    <w:rsid w:val="00926292"/>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42"/>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B73"/>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36B"/>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395"/>
    <w:rsid w:val="0095759D"/>
    <w:rsid w:val="00957F6E"/>
    <w:rsid w:val="00960538"/>
    <w:rsid w:val="009609DC"/>
    <w:rsid w:val="00961097"/>
    <w:rsid w:val="009615AA"/>
    <w:rsid w:val="00962007"/>
    <w:rsid w:val="00962250"/>
    <w:rsid w:val="00962696"/>
    <w:rsid w:val="00962E57"/>
    <w:rsid w:val="00962EDB"/>
    <w:rsid w:val="00963815"/>
    <w:rsid w:val="00963C9A"/>
    <w:rsid w:val="00963CB0"/>
    <w:rsid w:val="00963E43"/>
    <w:rsid w:val="009643C5"/>
    <w:rsid w:val="0096440B"/>
    <w:rsid w:val="00964572"/>
    <w:rsid w:val="00964A45"/>
    <w:rsid w:val="00964EBC"/>
    <w:rsid w:val="009653F6"/>
    <w:rsid w:val="00965C51"/>
    <w:rsid w:val="00965E39"/>
    <w:rsid w:val="00965F8F"/>
    <w:rsid w:val="009661E8"/>
    <w:rsid w:val="009663CF"/>
    <w:rsid w:val="0096679E"/>
    <w:rsid w:val="0096731C"/>
    <w:rsid w:val="00967ABA"/>
    <w:rsid w:val="00967C13"/>
    <w:rsid w:val="009700EE"/>
    <w:rsid w:val="009705C4"/>
    <w:rsid w:val="00970CD8"/>
    <w:rsid w:val="00971058"/>
    <w:rsid w:val="00971296"/>
    <w:rsid w:val="009718AE"/>
    <w:rsid w:val="00971DB6"/>
    <w:rsid w:val="00971F32"/>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095"/>
    <w:rsid w:val="00980112"/>
    <w:rsid w:val="009808AE"/>
    <w:rsid w:val="00980983"/>
    <w:rsid w:val="00980ED2"/>
    <w:rsid w:val="00981C36"/>
    <w:rsid w:val="00981D6A"/>
    <w:rsid w:val="0098200C"/>
    <w:rsid w:val="009826FD"/>
    <w:rsid w:val="009828C9"/>
    <w:rsid w:val="009828EF"/>
    <w:rsid w:val="00982C80"/>
    <w:rsid w:val="00982F43"/>
    <w:rsid w:val="0098317C"/>
    <w:rsid w:val="00983253"/>
    <w:rsid w:val="009833C7"/>
    <w:rsid w:val="009833E2"/>
    <w:rsid w:val="009839CA"/>
    <w:rsid w:val="00983ACB"/>
    <w:rsid w:val="00983EAE"/>
    <w:rsid w:val="00984035"/>
    <w:rsid w:val="0098442F"/>
    <w:rsid w:val="00984933"/>
    <w:rsid w:val="00984DA0"/>
    <w:rsid w:val="00985566"/>
    <w:rsid w:val="009856B4"/>
    <w:rsid w:val="00985A69"/>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97"/>
    <w:rsid w:val="009954D4"/>
    <w:rsid w:val="00995C41"/>
    <w:rsid w:val="009971D4"/>
    <w:rsid w:val="00997213"/>
    <w:rsid w:val="0099727D"/>
    <w:rsid w:val="00997434"/>
    <w:rsid w:val="00997511"/>
    <w:rsid w:val="009975A8"/>
    <w:rsid w:val="00997872"/>
    <w:rsid w:val="009978B1"/>
    <w:rsid w:val="00997B1B"/>
    <w:rsid w:val="009A038A"/>
    <w:rsid w:val="009A04D6"/>
    <w:rsid w:val="009A0C18"/>
    <w:rsid w:val="009A1C0C"/>
    <w:rsid w:val="009A1D48"/>
    <w:rsid w:val="009A1F68"/>
    <w:rsid w:val="009A2232"/>
    <w:rsid w:val="009A2505"/>
    <w:rsid w:val="009A2797"/>
    <w:rsid w:val="009A2AF0"/>
    <w:rsid w:val="009A34A2"/>
    <w:rsid w:val="009A36AD"/>
    <w:rsid w:val="009A3E54"/>
    <w:rsid w:val="009A3EB1"/>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3E1"/>
    <w:rsid w:val="009B0DB0"/>
    <w:rsid w:val="009B0FC8"/>
    <w:rsid w:val="009B108A"/>
    <w:rsid w:val="009B13AB"/>
    <w:rsid w:val="009B17D8"/>
    <w:rsid w:val="009B1861"/>
    <w:rsid w:val="009B1A67"/>
    <w:rsid w:val="009B1C01"/>
    <w:rsid w:val="009B1DE8"/>
    <w:rsid w:val="009B1EB6"/>
    <w:rsid w:val="009B1EDB"/>
    <w:rsid w:val="009B2565"/>
    <w:rsid w:val="009B2896"/>
    <w:rsid w:val="009B31F8"/>
    <w:rsid w:val="009B363E"/>
    <w:rsid w:val="009B379C"/>
    <w:rsid w:val="009B3883"/>
    <w:rsid w:val="009B38F1"/>
    <w:rsid w:val="009B3D53"/>
    <w:rsid w:val="009B3F58"/>
    <w:rsid w:val="009B3F70"/>
    <w:rsid w:val="009B53A3"/>
    <w:rsid w:val="009B5537"/>
    <w:rsid w:val="009B5552"/>
    <w:rsid w:val="009B59C8"/>
    <w:rsid w:val="009B5E62"/>
    <w:rsid w:val="009B7310"/>
    <w:rsid w:val="009C0273"/>
    <w:rsid w:val="009C07D2"/>
    <w:rsid w:val="009C0B24"/>
    <w:rsid w:val="009C0FDF"/>
    <w:rsid w:val="009C107C"/>
    <w:rsid w:val="009C14AD"/>
    <w:rsid w:val="009C1975"/>
    <w:rsid w:val="009C19B1"/>
    <w:rsid w:val="009C1ACD"/>
    <w:rsid w:val="009C1BE2"/>
    <w:rsid w:val="009C1DA0"/>
    <w:rsid w:val="009C1DAE"/>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110"/>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66"/>
    <w:rsid w:val="009E48F2"/>
    <w:rsid w:val="009E4A22"/>
    <w:rsid w:val="009E4A9B"/>
    <w:rsid w:val="009E5168"/>
    <w:rsid w:val="009E5484"/>
    <w:rsid w:val="009E59B3"/>
    <w:rsid w:val="009E5D65"/>
    <w:rsid w:val="009E5D8A"/>
    <w:rsid w:val="009E5FBC"/>
    <w:rsid w:val="009E615A"/>
    <w:rsid w:val="009E6346"/>
    <w:rsid w:val="009E65DE"/>
    <w:rsid w:val="009E6882"/>
    <w:rsid w:val="009E689D"/>
    <w:rsid w:val="009E6C75"/>
    <w:rsid w:val="009E6D0B"/>
    <w:rsid w:val="009E70F6"/>
    <w:rsid w:val="009E746D"/>
    <w:rsid w:val="009E7CAE"/>
    <w:rsid w:val="009F0572"/>
    <w:rsid w:val="009F059A"/>
    <w:rsid w:val="009F077A"/>
    <w:rsid w:val="009F0850"/>
    <w:rsid w:val="009F087F"/>
    <w:rsid w:val="009F08BF"/>
    <w:rsid w:val="009F0984"/>
    <w:rsid w:val="009F0A0F"/>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9F7338"/>
    <w:rsid w:val="00A0021C"/>
    <w:rsid w:val="00A006DB"/>
    <w:rsid w:val="00A00EB7"/>
    <w:rsid w:val="00A01965"/>
    <w:rsid w:val="00A01C4C"/>
    <w:rsid w:val="00A0227B"/>
    <w:rsid w:val="00A0260F"/>
    <w:rsid w:val="00A0266D"/>
    <w:rsid w:val="00A02D6E"/>
    <w:rsid w:val="00A0309C"/>
    <w:rsid w:val="00A0316D"/>
    <w:rsid w:val="00A03259"/>
    <w:rsid w:val="00A0340C"/>
    <w:rsid w:val="00A035E1"/>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6C8E"/>
    <w:rsid w:val="00A0703D"/>
    <w:rsid w:val="00A0743E"/>
    <w:rsid w:val="00A07616"/>
    <w:rsid w:val="00A076BC"/>
    <w:rsid w:val="00A078A4"/>
    <w:rsid w:val="00A07ADB"/>
    <w:rsid w:val="00A103E4"/>
    <w:rsid w:val="00A103F3"/>
    <w:rsid w:val="00A10791"/>
    <w:rsid w:val="00A10B7D"/>
    <w:rsid w:val="00A11B63"/>
    <w:rsid w:val="00A12003"/>
    <w:rsid w:val="00A12401"/>
    <w:rsid w:val="00A12877"/>
    <w:rsid w:val="00A13157"/>
    <w:rsid w:val="00A13B91"/>
    <w:rsid w:val="00A13D58"/>
    <w:rsid w:val="00A13DC6"/>
    <w:rsid w:val="00A13E10"/>
    <w:rsid w:val="00A147D4"/>
    <w:rsid w:val="00A14959"/>
    <w:rsid w:val="00A14ABB"/>
    <w:rsid w:val="00A14D6A"/>
    <w:rsid w:val="00A14DAA"/>
    <w:rsid w:val="00A15053"/>
    <w:rsid w:val="00A1518A"/>
    <w:rsid w:val="00A155DF"/>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3B3"/>
    <w:rsid w:val="00A21461"/>
    <w:rsid w:val="00A21900"/>
    <w:rsid w:val="00A21BE7"/>
    <w:rsid w:val="00A21CE6"/>
    <w:rsid w:val="00A21DFA"/>
    <w:rsid w:val="00A21E33"/>
    <w:rsid w:val="00A21F8B"/>
    <w:rsid w:val="00A22303"/>
    <w:rsid w:val="00A22809"/>
    <w:rsid w:val="00A228E6"/>
    <w:rsid w:val="00A229D0"/>
    <w:rsid w:val="00A22B3F"/>
    <w:rsid w:val="00A22FB0"/>
    <w:rsid w:val="00A230AD"/>
    <w:rsid w:val="00A2398D"/>
    <w:rsid w:val="00A24072"/>
    <w:rsid w:val="00A243D2"/>
    <w:rsid w:val="00A24C49"/>
    <w:rsid w:val="00A24D77"/>
    <w:rsid w:val="00A25440"/>
    <w:rsid w:val="00A2551C"/>
    <w:rsid w:val="00A267BA"/>
    <w:rsid w:val="00A2684C"/>
    <w:rsid w:val="00A26BE4"/>
    <w:rsid w:val="00A2703D"/>
    <w:rsid w:val="00A2739D"/>
    <w:rsid w:val="00A2794B"/>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1"/>
    <w:rsid w:val="00A3472F"/>
    <w:rsid w:val="00A34BC0"/>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213"/>
    <w:rsid w:val="00A404FC"/>
    <w:rsid w:val="00A405B4"/>
    <w:rsid w:val="00A40780"/>
    <w:rsid w:val="00A408D7"/>
    <w:rsid w:val="00A40C7E"/>
    <w:rsid w:val="00A40DE7"/>
    <w:rsid w:val="00A410FB"/>
    <w:rsid w:val="00A413BE"/>
    <w:rsid w:val="00A414E1"/>
    <w:rsid w:val="00A41526"/>
    <w:rsid w:val="00A419B4"/>
    <w:rsid w:val="00A41CC1"/>
    <w:rsid w:val="00A421CC"/>
    <w:rsid w:val="00A424AF"/>
    <w:rsid w:val="00A424BC"/>
    <w:rsid w:val="00A424D6"/>
    <w:rsid w:val="00A43559"/>
    <w:rsid w:val="00A43566"/>
    <w:rsid w:val="00A43C00"/>
    <w:rsid w:val="00A43C2D"/>
    <w:rsid w:val="00A43D09"/>
    <w:rsid w:val="00A44AD3"/>
    <w:rsid w:val="00A44C54"/>
    <w:rsid w:val="00A456CE"/>
    <w:rsid w:val="00A45713"/>
    <w:rsid w:val="00A461A8"/>
    <w:rsid w:val="00A46920"/>
    <w:rsid w:val="00A46FEC"/>
    <w:rsid w:val="00A47C28"/>
    <w:rsid w:val="00A47C70"/>
    <w:rsid w:val="00A50571"/>
    <w:rsid w:val="00A50CBE"/>
    <w:rsid w:val="00A50E29"/>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279"/>
    <w:rsid w:val="00A54B9A"/>
    <w:rsid w:val="00A550CF"/>
    <w:rsid w:val="00A55411"/>
    <w:rsid w:val="00A561BC"/>
    <w:rsid w:val="00A5620F"/>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369"/>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C24"/>
    <w:rsid w:val="00A64E90"/>
    <w:rsid w:val="00A650CF"/>
    <w:rsid w:val="00A6519E"/>
    <w:rsid w:val="00A654A9"/>
    <w:rsid w:val="00A65730"/>
    <w:rsid w:val="00A657C3"/>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995"/>
    <w:rsid w:val="00A73E04"/>
    <w:rsid w:val="00A740A9"/>
    <w:rsid w:val="00A74334"/>
    <w:rsid w:val="00A748DF"/>
    <w:rsid w:val="00A74A1C"/>
    <w:rsid w:val="00A75180"/>
    <w:rsid w:val="00A75B81"/>
    <w:rsid w:val="00A75D45"/>
    <w:rsid w:val="00A75EBB"/>
    <w:rsid w:val="00A762B7"/>
    <w:rsid w:val="00A7690C"/>
    <w:rsid w:val="00A77182"/>
    <w:rsid w:val="00A778AD"/>
    <w:rsid w:val="00A7795F"/>
    <w:rsid w:val="00A80BB8"/>
    <w:rsid w:val="00A816CC"/>
    <w:rsid w:val="00A818E5"/>
    <w:rsid w:val="00A81D93"/>
    <w:rsid w:val="00A81F87"/>
    <w:rsid w:val="00A82128"/>
    <w:rsid w:val="00A82340"/>
    <w:rsid w:val="00A82AA8"/>
    <w:rsid w:val="00A82C3B"/>
    <w:rsid w:val="00A82CA2"/>
    <w:rsid w:val="00A8303F"/>
    <w:rsid w:val="00A831D6"/>
    <w:rsid w:val="00A8365E"/>
    <w:rsid w:val="00A83821"/>
    <w:rsid w:val="00A83839"/>
    <w:rsid w:val="00A83FC4"/>
    <w:rsid w:val="00A84045"/>
    <w:rsid w:val="00A8405E"/>
    <w:rsid w:val="00A840A8"/>
    <w:rsid w:val="00A84573"/>
    <w:rsid w:val="00A848F9"/>
    <w:rsid w:val="00A84BF1"/>
    <w:rsid w:val="00A84D0C"/>
    <w:rsid w:val="00A84ED7"/>
    <w:rsid w:val="00A8505A"/>
    <w:rsid w:val="00A8579D"/>
    <w:rsid w:val="00A863C2"/>
    <w:rsid w:val="00A8685A"/>
    <w:rsid w:val="00A86DBD"/>
    <w:rsid w:val="00A87108"/>
    <w:rsid w:val="00A875F3"/>
    <w:rsid w:val="00A903AB"/>
    <w:rsid w:val="00A90579"/>
    <w:rsid w:val="00A90CAB"/>
    <w:rsid w:val="00A90E0B"/>
    <w:rsid w:val="00A90F12"/>
    <w:rsid w:val="00A90F30"/>
    <w:rsid w:val="00A9134B"/>
    <w:rsid w:val="00A91816"/>
    <w:rsid w:val="00A92188"/>
    <w:rsid w:val="00A922C3"/>
    <w:rsid w:val="00A924E7"/>
    <w:rsid w:val="00A92617"/>
    <w:rsid w:val="00A92AD7"/>
    <w:rsid w:val="00A92DE4"/>
    <w:rsid w:val="00A92EF9"/>
    <w:rsid w:val="00A931D4"/>
    <w:rsid w:val="00A93683"/>
    <w:rsid w:val="00A939F7"/>
    <w:rsid w:val="00A93D3A"/>
    <w:rsid w:val="00A93DD4"/>
    <w:rsid w:val="00A9436C"/>
    <w:rsid w:val="00A94A65"/>
    <w:rsid w:val="00A94D59"/>
    <w:rsid w:val="00A94F76"/>
    <w:rsid w:val="00A95050"/>
    <w:rsid w:val="00A954C1"/>
    <w:rsid w:val="00A956C4"/>
    <w:rsid w:val="00A95DB7"/>
    <w:rsid w:val="00A95F71"/>
    <w:rsid w:val="00A960CC"/>
    <w:rsid w:val="00A96162"/>
    <w:rsid w:val="00A96923"/>
    <w:rsid w:val="00A97376"/>
    <w:rsid w:val="00A974EF"/>
    <w:rsid w:val="00A97A42"/>
    <w:rsid w:val="00AA0196"/>
    <w:rsid w:val="00AA0435"/>
    <w:rsid w:val="00AA053D"/>
    <w:rsid w:val="00AA08E1"/>
    <w:rsid w:val="00AA0E75"/>
    <w:rsid w:val="00AA119C"/>
    <w:rsid w:val="00AA11E1"/>
    <w:rsid w:val="00AA1525"/>
    <w:rsid w:val="00AA18FB"/>
    <w:rsid w:val="00AA1D8A"/>
    <w:rsid w:val="00AA1E12"/>
    <w:rsid w:val="00AA2033"/>
    <w:rsid w:val="00AA25F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4E5"/>
    <w:rsid w:val="00AB67BC"/>
    <w:rsid w:val="00AB6E4E"/>
    <w:rsid w:val="00AB70C1"/>
    <w:rsid w:val="00AB7550"/>
    <w:rsid w:val="00AB79C2"/>
    <w:rsid w:val="00AB7C12"/>
    <w:rsid w:val="00AB7D51"/>
    <w:rsid w:val="00AC09C8"/>
    <w:rsid w:val="00AC0CCF"/>
    <w:rsid w:val="00AC0E64"/>
    <w:rsid w:val="00AC0F0D"/>
    <w:rsid w:val="00AC1586"/>
    <w:rsid w:val="00AC1625"/>
    <w:rsid w:val="00AC1638"/>
    <w:rsid w:val="00AC1739"/>
    <w:rsid w:val="00AC1D1E"/>
    <w:rsid w:val="00AC216A"/>
    <w:rsid w:val="00AC21DD"/>
    <w:rsid w:val="00AC2267"/>
    <w:rsid w:val="00AC253E"/>
    <w:rsid w:val="00AC2766"/>
    <w:rsid w:val="00AC34AD"/>
    <w:rsid w:val="00AC38A3"/>
    <w:rsid w:val="00AC38F6"/>
    <w:rsid w:val="00AC41BD"/>
    <w:rsid w:val="00AC4592"/>
    <w:rsid w:val="00AC509C"/>
    <w:rsid w:val="00AC546D"/>
    <w:rsid w:val="00AC5491"/>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32"/>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83C"/>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AF7E76"/>
    <w:rsid w:val="00AF7EF7"/>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4A17"/>
    <w:rsid w:val="00B056E0"/>
    <w:rsid w:val="00B061E6"/>
    <w:rsid w:val="00B062B9"/>
    <w:rsid w:val="00B062C7"/>
    <w:rsid w:val="00B06B03"/>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1EF0"/>
    <w:rsid w:val="00B12028"/>
    <w:rsid w:val="00B12153"/>
    <w:rsid w:val="00B1349D"/>
    <w:rsid w:val="00B136AB"/>
    <w:rsid w:val="00B13D54"/>
    <w:rsid w:val="00B13E7D"/>
    <w:rsid w:val="00B13EC7"/>
    <w:rsid w:val="00B13F47"/>
    <w:rsid w:val="00B145C5"/>
    <w:rsid w:val="00B14793"/>
    <w:rsid w:val="00B149D1"/>
    <w:rsid w:val="00B14B0F"/>
    <w:rsid w:val="00B14F44"/>
    <w:rsid w:val="00B15214"/>
    <w:rsid w:val="00B152D6"/>
    <w:rsid w:val="00B15600"/>
    <w:rsid w:val="00B1595E"/>
    <w:rsid w:val="00B15DB2"/>
    <w:rsid w:val="00B15E87"/>
    <w:rsid w:val="00B167CB"/>
    <w:rsid w:val="00B16C85"/>
    <w:rsid w:val="00B175ED"/>
    <w:rsid w:val="00B1777B"/>
    <w:rsid w:val="00B17D8E"/>
    <w:rsid w:val="00B20262"/>
    <w:rsid w:val="00B20313"/>
    <w:rsid w:val="00B2051A"/>
    <w:rsid w:val="00B209EA"/>
    <w:rsid w:val="00B2101A"/>
    <w:rsid w:val="00B21085"/>
    <w:rsid w:val="00B212C8"/>
    <w:rsid w:val="00B2264C"/>
    <w:rsid w:val="00B23352"/>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247"/>
    <w:rsid w:val="00B258B2"/>
    <w:rsid w:val="00B25B68"/>
    <w:rsid w:val="00B25BFF"/>
    <w:rsid w:val="00B25D8C"/>
    <w:rsid w:val="00B264A5"/>
    <w:rsid w:val="00B26919"/>
    <w:rsid w:val="00B26C41"/>
    <w:rsid w:val="00B26D85"/>
    <w:rsid w:val="00B27B2A"/>
    <w:rsid w:val="00B27B59"/>
    <w:rsid w:val="00B300A9"/>
    <w:rsid w:val="00B303C8"/>
    <w:rsid w:val="00B30681"/>
    <w:rsid w:val="00B3076E"/>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0AB"/>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37E28"/>
    <w:rsid w:val="00B40250"/>
    <w:rsid w:val="00B40AFE"/>
    <w:rsid w:val="00B40DD6"/>
    <w:rsid w:val="00B40DDE"/>
    <w:rsid w:val="00B40E7F"/>
    <w:rsid w:val="00B41AB2"/>
    <w:rsid w:val="00B41E62"/>
    <w:rsid w:val="00B41E67"/>
    <w:rsid w:val="00B426B1"/>
    <w:rsid w:val="00B4295F"/>
    <w:rsid w:val="00B42D42"/>
    <w:rsid w:val="00B43002"/>
    <w:rsid w:val="00B4322A"/>
    <w:rsid w:val="00B43925"/>
    <w:rsid w:val="00B43943"/>
    <w:rsid w:val="00B43B7D"/>
    <w:rsid w:val="00B43D44"/>
    <w:rsid w:val="00B443F2"/>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6DC"/>
    <w:rsid w:val="00B51A73"/>
    <w:rsid w:val="00B52076"/>
    <w:rsid w:val="00B52809"/>
    <w:rsid w:val="00B529BE"/>
    <w:rsid w:val="00B52C04"/>
    <w:rsid w:val="00B53115"/>
    <w:rsid w:val="00B531DD"/>
    <w:rsid w:val="00B534C0"/>
    <w:rsid w:val="00B53778"/>
    <w:rsid w:val="00B53B52"/>
    <w:rsid w:val="00B53C15"/>
    <w:rsid w:val="00B541B8"/>
    <w:rsid w:val="00B5479E"/>
    <w:rsid w:val="00B54A24"/>
    <w:rsid w:val="00B54FE5"/>
    <w:rsid w:val="00B54FF1"/>
    <w:rsid w:val="00B55A49"/>
    <w:rsid w:val="00B55B06"/>
    <w:rsid w:val="00B55B57"/>
    <w:rsid w:val="00B56242"/>
    <w:rsid w:val="00B56254"/>
    <w:rsid w:val="00B56376"/>
    <w:rsid w:val="00B56B1B"/>
    <w:rsid w:val="00B56B9E"/>
    <w:rsid w:val="00B57452"/>
    <w:rsid w:val="00B5754F"/>
    <w:rsid w:val="00B57553"/>
    <w:rsid w:val="00B576C2"/>
    <w:rsid w:val="00B57765"/>
    <w:rsid w:val="00B5795D"/>
    <w:rsid w:val="00B57D55"/>
    <w:rsid w:val="00B57E2D"/>
    <w:rsid w:val="00B60129"/>
    <w:rsid w:val="00B6056A"/>
    <w:rsid w:val="00B606F6"/>
    <w:rsid w:val="00B608CE"/>
    <w:rsid w:val="00B60B81"/>
    <w:rsid w:val="00B6102A"/>
    <w:rsid w:val="00B617C0"/>
    <w:rsid w:val="00B61A78"/>
    <w:rsid w:val="00B61DDB"/>
    <w:rsid w:val="00B6224C"/>
    <w:rsid w:val="00B62561"/>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02"/>
    <w:rsid w:val="00B7206D"/>
    <w:rsid w:val="00B7258C"/>
    <w:rsid w:val="00B727F3"/>
    <w:rsid w:val="00B72D92"/>
    <w:rsid w:val="00B73771"/>
    <w:rsid w:val="00B7449F"/>
    <w:rsid w:val="00B74802"/>
    <w:rsid w:val="00B749F4"/>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51C"/>
    <w:rsid w:val="00B85FD4"/>
    <w:rsid w:val="00B86635"/>
    <w:rsid w:val="00B86757"/>
    <w:rsid w:val="00B86F5D"/>
    <w:rsid w:val="00B871BF"/>
    <w:rsid w:val="00B872B8"/>
    <w:rsid w:val="00B87683"/>
    <w:rsid w:val="00B9028A"/>
    <w:rsid w:val="00B903C1"/>
    <w:rsid w:val="00B906A9"/>
    <w:rsid w:val="00B90E9C"/>
    <w:rsid w:val="00B91067"/>
    <w:rsid w:val="00B91985"/>
    <w:rsid w:val="00B91DF6"/>
    <w:rsid w:val="00B92853"/>
    <w:rsid w:val="00B92CCB"/>
    <w:rsid w:val="00B9314E"/>
    <w:rsid w:val="00B932B0"/>
    <w:rsid w:val="00B93386"/>
    <w:rsid w:val="00B9357D"/>
    <w:rsid w:val="00B9386E"/>
    <w:rsid w:val="00B94006"/>
    <w:rsid w:val="00B9579E"/>
    <w:rsid w:val="00B95941"/>
    <w:rsid w:val="00B95A8F"/>
    <w:rsid w:val="00B95C75"/>
    <w:rsid w:val="00B960DC"/>
    <w:rsid w:val="00B9627E"/>
    <w:rsid w:val="00B96589"/>
    <w:rsid w:val="00B9659A"/>
    <w:rsid w:val="00B965AB"/>
    <w:rsid w:val="00B969CC"/>
    <w:rsid w:val="00B96B44"/>
    <w:rsid w:val="00B97681"/>
    <w:rsid w:val="00B977B6"/>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6B0"/>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0ABC"/>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043"/>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9A"/>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03D"/>
    <w:rsid w:val="00BD351D"/>
    <w:rsid w:val="00BD39BF"/>
    <w:rsid w:val="00BD3BAA"/>
    <w:rsid w:val="00BD3BB2"/>
    <w:rsid w:val="00BD3C24"/>
    <w:rsid w:val="00BD403B"/>
    <w:rsid w:val="00BD47EA"/>
    <w:rsid w:val="00BD494A"/>
    <w:rsid w:val="00BD4A9D"/>
    <w:rsid w:val="00BD4ADD"/>
    <w:rsid w:val="00BD53A9"/>
    <w:rsid w:val="00BD562B"/>
    <w:rsid w:val="00BD59A0"/>
    <w:rsid w:val="00BD5B98"/>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C64"/>
    <w:rsid w:val="00BE5D47"/>
    <w:rsid w:val="00BE5DCC"/>
    <w:rsid w:val="00BE5EE9"/>
    <w:rsid w:val="00BE61E3"/>
    <w:rsid w:val="00BE6241"/>
    <w:rsid w:val="00BE6669"/>
    <w:rsid w:val="00BE6A77"/>
    <w:rsid w:val="00BE71B4"/>
    <w:rsid w:val="00BE75CB"/>
    <w:rsid w:val="00BE7612"/>
    <w:rsid w:val="00BE7BF2"/>
    <w:rsid w:val="00BE7DA8"/>
    <w:rsid w:val="00BF0AB6"/>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BF7F17"/>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2F4E"/>
    <w:rsid w:val="00C031E1"/>
    <w:rsid w:val="00C035C5"/>
    <w:rsid w:val="00C0385C"/>
    <w:rsid w:val="00C03C0B"/>
    <w:rsid w:val="00C04534"/>
    <w:rsid w:val="00C0490B"/>
    <w:rsid w:val="00C04AF6"/>
    <w:rsid w:val="00C04BFE"/>
    <w:rsid w:val="00C05126"/>
    <w:rsid w:val="00C05C67"/>
    <w:rsid w:val="00C05C75"/>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396C"/>
    <w:rsid w:val="00C13FB1"/>
    <w:rsid w:val="00C1449D"/>
    <w:rsid w:val="00C14AA1"/>
    <w:rsid w:val="00C153CF"/>
    <w:rsid w:val="00C1582B"/>
    <w:rsid w:val="00C15A9B"/>
    <w:rsid w:val="00C1629B"/>
    <w:rsid w:val="00C165A9"/>
    <w:rsid w:val="00C16C60"/>
    <w:rsid w:val="00C17B43"/>
    <w:rsid w:val="00C17BF9"/>
    <w:rsid w:val="00C20159"/>
    <w:rsid w:val="00C201DA"/>
    <w:rsid w:val="00C2070D"/>
    <w:rsid w:val="00C208D9"/>
    <w:rsid w:val="00C208EC"/>
    <w:rsid w:val="00C20D84"/>
    <w:rsid w:val="00C2175E"/>
    <w:rsid w:val="00C21B3B"/>
    <w:rsid w:val="00C21D34"/>
    <w:rsid w:val="00C21EAD"/>
    <w:rsid w:val="00C223F9"/>
    <w:rsid w:val="00C22420"/>
    <w:rsid w:val="00C227C0"/>
    <w:rsid w:val="00C22BBC"/>
    <w:rsid w:val="00C22DB0"/>
    <w:rsid w:val="00C2300D"/>
    <w:rsid w:val="00C2379B"/>
    <w:rsid w:val="00C23E1C"/>
    <w:rsid w:val="00C24159"/>
    <w:rsid w:val="00C24547"/>
    <w:rsid w:val="00C24ACB"/>
    <w:rsid w:val="00C24FA4"/>
    <w:rsid w:val="00C251CE"/>
    <w:rsid w:val="00C252D7"/>
    <w:rsid w:val="00C25539"/>
    <w:rsid w:val="00C2585B"/>
    <w:rsid w:val="00C26014"/>
    <w:rsid w:val="00C2632A"/>
    <w:rsid w:val="00C267F4"/>
    <w:rsid w:val="00C2774F"/>
    <w:rsid w:val="00C27FC9"/>
    <w:rsid w:val="00C30143"/>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6D85"/>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6F"/>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4F"/>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39"/>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773"/>
    <w:rsid w:val="00C63F21"/>
    <w:rsid w:val="00C63F88"/>
    <w:rsid w:val="00C64963"/>
    <w:rsid w:val="00C64A19"/>
    <w:rsid w:val="00C64DB9"/>
    <w:rsid w:val="00C65075"/>
    <w:rsid w:val="00C653A9"/>
    <w:rsid w:val="00C657AC"/>
    <w:rsid w:val="00C66003"/>
    <w:rsid w:val="00C6612C"/>
    <w:rsid w:val="00C665CB"/>
    <w:rsid w:val="00C66672"/>
    <w:rsid w:val="00C667A8"/>
    <w:rsid w:val="00C66DA7"/>
    <w:rsid w:val="00C66DE4"/>
    <w:rsid w:val="00C66F63"/>
    <w:rsid w:val="00C6773F"/>
    <w:rsid w:val="00C67B33"/>
    <w:rsid w:val="00C67B8C"/>
    <w:rsid w:val="00C67BA5"/>
    <w:rsid w:val="00C67D34"/>
    <w:rsid w:val="00C70031"/>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26B"/>
    <w:rsid w:val="00C74C42"/>
    <w:rsid w:val="00C74D82"/>
    <w:rsid w:val="00C751CA"/>
    <w:rsid w:val="00C75541"/>
    <w:rsid w:val="00C75635"/>
    <w:rsid w:val="00C75A27"/>
    <w:rsid w:val="00C75C32"/>
    <w:rsid w:val="00C75F73"/>
    <w:rsid w:val="00C76050"/>
    <w:rsid w:val="00C76221"/>
    <w:rsid w:val="00C764AE"/>
    <w:rsid w:val="00C76CE0"/>
    <w:rsid w:val="00C77BAE"/>
    <w:rsid w:val="00C80877"/>
    <w:rsid w:val="00C80B25"/>
    <w:rsid w:val="00C810D1"/>
    <w:rsid w:val="00C81BAD"/>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87F4E"/>
    <w:rsid w:val="00C90307"/>
    <w:rsid w:val="00C90536"/>
    <w:rsid w:val="00C91249"/>
    <w:rsid w:val="00C915CA"/>
    <w:rsid w:val="00C91625"/>
    <w:rsid w:val="00C92542"/>
    <w:rsid w:val="00C92941"/>
    <w:rsid w:val="00C92A95"/>
    <w:rsid w:val="00C92ACA"/>
    <w:rsid w:val="00C92DE0"/>
    <w:rsid w:val="00C936F6"/>
    <w:rsid w:val="00C93E11"/>
    <w:rsid w:val="00C940A8"/>
    <w:rsid w:val="00C94901"/>
    <w:rsid w:val="00C94A2F"/>
    <w:rsid w:val="00C94A3B"/>
    <w:rsid w:val="00C952DD"/>
    <w:rsid w:val="00C95950"/>
    <w:rsid w:val="00C95A24"/>
    <w:rsid w:val="00C9640C"/>
    <w:rsid w:val="00C96865"/>
    <w:rsid w:val="00C96E0E"/>
    <w:rsid w:val="00C971EC"/>
    <w:rsid w:val="00CA0420"/>
    <w:rsid w:val="00CA0D69"/>
    <w:rsid w:val="00CA0E06"/>
    <w:rsid w:val="00CA114E"/>
    <w:rsid w:val="00CA1378"/>
    <w:rsid w:val="00CA17AF"/>
    <w:rsid w:val="00CA1C7E"/>
    <w:rsid w:val="00CA1F3F"/>
    <w:rsid w:val="00CA211D"/>
    <w:rsid w:val="00CA242A"/>
    <w:rsid w:val="00CA2868"/>
    <w:rsid w:val="00CA2BD9"/>
    <w:rsid w:val="00CA2E94"/>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CCF"/>
    <w:rsid w:val="00CB0E84"/>
    <w:rsid w:val="00CB1131"/>
    <w:rsid w:val="00CB12CF"/>
    <w:rsid w:val="00CB1679"/>
    <w:rsid w:val="00CB17A2"/>
    <w:rsid w:val="00CB1AEB"/>
    <w:rsid w:val="00CB1CA5"/>
    <w:rsid w:val="00CB1EA3"/>
    <w:rsid w:val="00CB2A0D"/>
    <w:rsid w:val="00CB3383"/>
    <w:rsid w:val="00CB35B5"/>
    <w:rsid w:val="00CB35E5"/>
    <w:rsid w:val="00CB3732"/>
    <w:rsid w:val="00CB3839"/>
    <w:rsid w:val="00CB384E"/>
    <w:rsid w:val="00CB39D7"/>
    <w:rsid w:val="00CB3C5A"/>
    <w:rsid w:val="00CB3D44"/>
    <w:rsid w:val="00CB3D65"/>
    <w:rsid w:val="00CB3EFF"/>
    <w:rsid w:val="00CB42AB"/>
    <w:rsid w:val="00CB430C"/>
    <w:rsid w:val="00CB49FC"/>
    <w:rsid w:val="00CB4F56"/>
    <w:rsid w:val="00CB526A"/>
    <w:rsid w:val="00CB654B"/>
    <w:rsid w:val="00CB6921"/>
    <w:rsid w:val="00CB6BC9"/>
    <w:rsid w:val="00CB74AA"/>
    <w:rsid w:val="00CB7DDA"/>
    <w:rsid w:val="00CC0591"/>
    <w:rsid w:val="00CC0620"/>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24D"/>
    <w:rsid w:val="00CD23AD"/>
    <w:rsid w:val="00CD2AEC"/>
    <w:rsid w:val="00CD2D9E"/>
    <w:rsid w:val="00CD2E1D"/>
    <w:rsid w:val="00CD3571"/>
    <w:rsid w:val="00CD3A3D"/>
    <w:rsid w:val="00CD4784"/>
    <w:rsid w:val="00CD48DC"/>
    <w:rsid w:val="00CD490B"/>
    <w:rsid w:val="00CD4BAF"/>
    <w:rsid w:val="00CD4BCB"/>
    <w:rsid w:val="00CD4F0C"/>
    <w:rsid w:val="00CD508A"/>
    <w:rsid w:val="00CD51DB"/>
    <w:rsid w:val="00CD5277"/>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867"/>
    <w:rsid w:val="00CE3BD2"/>
    <w:rsid w:val="00CE3D83"/>
    <w:rsid w:val="00CE3FA7"/>
    <w:rsid w:val="00CE4152"/>
    <w:rsid w:val="00CE4363"/>
    <w:rsid w:val="00CE4D5A"/>
    <w:rsid w:val="00CE4E35"/>
    <w:rsid w:val="00CE509B"/>
    <w:rsid w:val="00CE50F2"/>
    <w:rsid w:val="00CE52A5"/>
    <w:rsid w:val="00CE544D"/>
    <w:rsid w:val="00CE5F5C"/>
    <w:rsid w:val="00CE6296"/>
    <w:rsid w:val="00CE6433"/>
    <w:rsid w:val="00CE65E4"/>
    <w:rsid w:val="00CE70DE"/>
    <w:rsid w:val="00CE7425"/>
    <w:rsid w:val="00CE793A"/>
    <w:rsid w:val="00CE7B10"/>
    <w:rsid w:val="00CF012E"/>
    <w:rsid w:val="00CF076B"/>
    <w:rsid w:val="00CF1091"/>
    <w:rsid w:val="00CF1170"/>
    <w:rsid w:val="00CF1312"/>
    <w:rsid w:val="00CF1742"/>
    <w:rsid w:val="00CF19B0"/>
    <w:rsid w:val="00CF2982"/>
    <w:rsid w:val="00CF29AC"/>
    <w:rsid w:val="00CF331F"/>
    <w:rsid w:val="00CF33FD"/>
    <w:rsid w:val="00CF392C"/>
    <w:rsid w:val="00CF3E65"/>
    <w:rsid w:val="00CF3FC9"/>
    <w:rsid w:val="00CF41C4"/>
    <w:rsid w:val="00CF448D"/>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1DA3"/>
    <w:rsid w:val="00D02577"/>
    <w:rsid w:val="00D025CE"/>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D0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1DF7"/>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5F9B"/>
    <w:rsid w:val="00D27293"/>
    <w:rsid w:val="00D2739B"/>
    <w:rsid w:val="00D27471"/>
    <w:rsid w:val="00D27474"/>
    <w:rsid w:val="00D27676"/>
    <w:rsid w:val="00D27774"/>
    <w:rsid w:val="00D27EF0"/>
    <w:rsid w:val="00D30C22"/>
    <w:rsid w:val="00D30E1C"/>
    <w:rsid w:val="00D311A4"/>
    <w:rsid w:val="00D31A36"/>
    <w:rsid w:val="00D31A6E"/>
    <w:rsid w:val="00D31DCA"/>
    <w:rsid w:val="00D31E34"/>
    <w:rsid w:val="00D3266F"/>
    <w:rsid w:val="00D329E0"/>
    <w:rsid w:val="00D32AFA"/>
    <w:rsid w:val="00D32C35"/>
    <w:rsid w:val="00D32F93"/>
    <w:rsid w:val="00D33135"/>
    <w:rsid w:val="00D33A76"/>
    <w:rsid w:val="00D34090"/>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6A5"/>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542"/>
    <w:rsid w:val="00D52958"/>
    <w:rsid w:val="00D529DD"/>
    <w:rsid w:val="00D52A27"/>
    <w:rsid w:val="00D52BB1"/>
    <w:rsid w:val="00D5314B"/>
    <w:rsid w:val="00D53E64"/>
    <w:rsid w:val="00D547A3"/>
    <w:rsid w:val="00D54DE4"/>
    <w:rsid w:val="00D55434"/>
    <w:rsid w:val="00D556B3"/>
    <w:rsid w:val="00D55971"/>
    <w:rsid w:val="00D55D06"/>
    <w:rsid w:val="00D56434"/>
    <w:rsid w:val="00D566D6"/>
    <w:rsid w:val="00D56A74"/>
    <w:rsid w:val="00D57075"/>
    <w:rsid w:val="00D5711D"/>
    <w:rsid w:val="00D571A6"/>
    <w:rsid w:val="00D57390"/>
    <w:rsid w:val="00D5788A"/>
    <w:rsid w:val="00D60270"/>
    <w:rsid w:val="00D602AB"/>
    <w:rsid w:val="00D60518"/>
    <w:rsid w:val="00D60806"/>
    <w:rsid w:val="00D60B80"/>
    <w:rsid w:val="00D60E2E"/>
    <w:rsid w:val="00D6185D"/>
    <w:rsid w:val="00D61BD5"/>
    <w:rsid w:val="00D61DA0"/>
    <w:rsid w:val="00D61F4F"/>
    <w:rsid w:val="00D62771"/>
    <w:rsid w:val="00D628D2"/>
    <w:rsid w:val="00D633C6"/>
    <w:rsid w:val="00D638B8"/>
    <w:rsid w:val="00D64275"/>
    <w:rsid w:val="00D6527D"/>
    <w:rsid w:val="00D65B11"/>
    <w:rsid w:val="00D65B49"/>
    <w:rsid w:val="00D65E66"/>
    <w:rsid w:val="00D67007"/>
    <w:rsid w:val="00D673D7"/>
    <w:rsid w:val="00D67714"/>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48B"/>
    <w:rsid w:val="00D72554"/>
    <w:rsid w:val="00D72DA2"/>
    <w:rsid w:val="00D731E1"/>
    <w:rsid w:val="00D73FE9"/>
    <w:rsid w:val="00D73FF9"/>
    <w:rsid w:val="00D7429A"/>
    <w:rsid w:val="00D749EA"/>
    <w:rsid w:val="00D74A22"/>
    <w:rsid w:val="00D750E8"/>
    <w:rsid w:val="00D751F6"/>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6EE"/>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2AE"/>
    <w:rsid w:val="00D8439E"/>
    <w:rsid w:val="00D84745"/>
    <w:rsid w:val="00D847D6"/>
    <w:rsid w:val="00D84FCC"/>
    <w:rsid w:val="00D856D8"/>
    <w:rsid w:val="00D85C6C"/>
    <w:rsid w:val="00D8614F"/>
    <w:rsid w:val="00D8617D"/>
    <w:rsid w:val="00D86550"/>
    <w:rsid w:val="00D866C0"/>
    <w:rsid w:val="00D86740"/>
    <w:rsid w:val="00D8681D"/>
    <w:rsid w:val="00D86A52"/>
    <w:rsid w:val="00D86B6A"/>
    <w:rsid w:val="00D86D0B"/>
    <w:rsid w:val="00D86D20"/>
    <w:rsid w:val="00D86D3B"/>
    <w:rsid w:val="00D875EA"/>
    <w:rsid w:val="00D87C43"/>
    <w:rsid w:val="00D901BA"/>
    <w:rsid w:val="00D90384"/>
    <w:rsid w:val="00D904A3"/>
    <w:rsid w:val="00D9112A"/>
    <w:rsid w:val="00D91375"/>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4E1"/>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15"/>
    <w:rsid w:val="00DA2B9E"/>
    <w:rsid w:val="00DA2C7E"/>
    <w:rsid w:val="00DA3048"/>
    <w:rsid w:val="00DA3400"/>
    <w:rsid w:val="00DA382B"/>
    <w:rsid w:val="00DA3CE5"/>
    <w:rsid w:val="00DA3F06"/>
    <w:rsid w:val="00DA3FD0"/>
    <w:rsid w:val="00DA4881"/>
    <w:rsid w:val="00DA4F57"/>
    <w:rsid w:val="00DA517F"/>
    <w:rsid w:val="00DA56DF"/>
    <w:rsid w:val="00DA5969"/>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53"/>
    <w:rsid w:val="00DB4DE4"/>
    <w:rsid w:val="00DB5359"/>
    <w:rsid w:val="00DB5753"/>
    <w:rsid w:val="00DB5B1A"/>
    <w:rsid w:val="00DB62B9"/>
    <w:rsid w:val="00DB67B5"/>
    <w:rsid w:val="00DB681F"/>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299"/>
    <w:rsid w:val="00DC64E4"/>
    <w:rsid w:val="00DC68F4"/>
    <w:rsid w:val="00DC7643"/>
    <w:rsid w:val="00DC772B"/>
    <w:rsid w:val="00DD0296"/>
    <w:rsid w:val="00DD0419"/>
    <w:rsid w:val="00DD093C"/>
    <w:rsid w:val="00DD0BCF"/>
    <w:rsid w:val="00DD0C20"/>
    <w:rsid w:val="00DD0CC8"/>
    <w:rsid w:val="00DD0D44"/>
    <w:rsid w:val="00DD0F7A"/>
    <w:rsid w:val="00DD12A9"/>
    <w:rsid w:val="00DD2631"/>
    <w:rsid w:val="00DD264C"/>
    <w:rsid w:val="00DD28A6"/>
    <w:rsid w:val="00DD28CE"/>
    <w:rsid w:val="00DD2941"/>
    <w:rsid w:val="00DD2B06"/>
    <w:rsid w:val="00DD30F8"/>
    <w:rsid w:val="00DD3651"/>
    <w:rsid w:val="00DD398E"/>
    <w:rsid w:val="00DD3C0A"/>
    <w:rsid w:val="00DD4622"/>
    <w:rsid w:val="00DD4701"/>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304"/>
    <w:rsid w:val="00DE0994"/>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DCE"/>
    <w:rsid w:val="00DE4E7A"/>
    <w:rsid w:val="00DE4FB4"/>
    <w:rsid w:val="00DE5573"/>
    <w:rsid w:val="00DE62CE"/>
    <w:rsid w:val="00DE6538"/>
    <w:rsid w:val="00DE6A7C"/>
    <w:rsid w:val="00DE6B8B"/>
    <w:rsid w:val="00DE7BE8"/>
    <w:rsid w:val="00DE7F13"/>
    <w:rsid w:val="00DE7F94"/>
    <w:rsid w:val="00DF0548"/>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53"/>
    <w:rsid w:val="00E00371"/>
    <w:rsid w:val="00E007DB"/>
    <w:rsid w:val="00E0085E"/>
    <w:rsid w:val="00E00C45"/>
    <w:rsid w:val="00E0126D"/>
    <w:rsid w:val="00E01281"/>
    <w:rsid w:val="00E01357"/>
    <w:rsid w:val="00E015B6"/>
    <w:rsid w:val="00E0201F"/>
    <w:rsid w:val="00E02285"/>
    <w:rsid w:val="00E02B1E"/>
    <w:rsid w:val="00E02C64"/>
    <w:rsid w:val="00E0315D"/>
    <w:rsid w:val="00E032E0"/>
    <w:rsid w:val="00E03AC3"/>
    <w:rsid w:val="00E03DD7"/>
    <w:rsid w:val="00E04267"/>
    <w:rsid w:val="00E04A1D"/>
    <w:rsid w:val="00E05322"/>
    <w:rsid w:val="00E057D8"/>
    <w:rsid w:val="00E0599C"/>
    <w:rsid w:val="00E05BCD"/>
    <w:rsid w:val="00E05D47"/>
    <w:rsid w:val="00E05DF4"/>
    <w:rsid w:val="00E05F8D"/>
    <w:rsid w:val="00E07639"/>
    <w:rsid w:val="00E076E6"/>
    <w:rsid w:val="00E07916"/>
    <w:rsid w:val="00E07E23"/>
    <w:rsid w:val="00E10670"/>
    <w:rsid w:val="00E11143"/>
    <w:rsid w:val="00E11538"/>
    <w:rsid w:val="00E11617"/>
    <w:rsid w:val="00E1187E"/>
    <w:rsid w:val="00E11943"/>
    <w:rsid w:val="00E1200A"/>
    <w:rsid w:val="00E120DF"/>
    <w:rsid w:val="00E126A4"/>
    <w:rsid w:val="00E1270D"/>
    <w:rsid w:val="00E1327D"/>
    <w:rsid w:val="00E1377A"/>
    <w:rsid w:val="00E13933"/>
    <w:rsid w:val="00E13BD9"/>
    <w:rsid w:val="00E13F27"/>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7"/>
    <w:rsid w:val="00E2090A"/>
    <w:rsid w:val="00E21640"/>
    <w:rsid w:val="00E2166B"/>
    <w:rsid w:val="00E218BA"/>
    <w:rsid w:val="00E21A94"/>
    <w:rsid w:val="00E21E9C"/>
    <w:rsid w:val="00E21F89"/>
    <w:rsid w:val="00E22138"/>
    <w:rsid w:val="00E22679"/>
    <w:rsid w:val="00E226D1"/>
    <w:rsid w:val="00E22783"/>
    <w:rsid w:val="00E22855"/>
    <w:rsid w:val="00E228EB"/>
    <w:rsid w:val="00E22C42"/>
    <w:rsid w:val="00E22CB7"/>
    <w:rsid w:val="00E23A12"/>
    <w:rsid w:val="00E24089"/>
    <w:rsid w:val="00E24263"/>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37F1F"/>
    <w:rsid w:val="00E408BF"/>
    <w:rsid w:val="00E41049"/>
    <w:rsid w:val="00E41335"/>
    <w:rsid w:val="00E41415"/>
    <w:rsid w:val="00E415A5"/>
    <w:rsid w:val="00E41BCE"/>
    <w:rsid w:val="00E41EDD"/>
    <w:rsid w:val="00E41FD8"/>
    <w:rsid w:val="00E422B0"/>
    <w:rsid w:val="00E42B5F"/>
    <w:rsid w:val="00E42BED"/>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09B"/>
    <w:rsid w:val="00E61AD1"/>
    <w:rsid w:val="00E61CAA"/>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724"/>
    <w:rsid w:val="00E66921"/>
    <w:rsid w:val="00E66AF6"/>
    <w:rsid w:val="00E66D90"/>
    <w:rsid w:val="00E677A0"/>
    <w:rsid w:val="00E67B89"/>
    <w:rsid w:val="00E67CF0"/>
    <w:rsid w:val="00E67D5F"/>
    <w:rsid w:val="00E67D9A"/>
    <w:rsid w:val="00E70789"/>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7AA"/>
    <w:rsid w:val="00E74B07"/>
    <w:rsid w:val="00E74DCD"/>
    <w:rsid w:val="00E74E12"/>
    <w:rsid w:val="00E75D58"/>
    <w:rsid w:val="00E75D9C"/>
    <w:rsid w:val="00E75E9F"/>
    <w:rsid w:val="00E761C4"/>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E78"/>
    <w:rsid w:val="00E81F03"/>
    <w:rsid w:val="00E82017"/>
    <w:rsid w:val="00E8217B"/>
    <w:rsid w:val="00E82E89"/>
    <w:rsid w:val="00E82F86"/>
    <w:rsid w:val="00E831DC"/>
    <w:rsid w:val="00E8381D"/>
    <w:rsid w:val="00E83A11"/>
    <w:rsid w:val="00E83EE7"/>
    <w:rsid w:val="00E841E7"/>
    <w:rsid w:val="00E84384"/>
    <w:rsid w:val="00E849E5"/>
    <w:rsid w:val="00E84B04"/>
    <w:rsid w:val="00E84B24"/>
    <w:rsid w:val="00E850DB"/>
    <w:rsid w:val="00E85109"/>
    <w:rsid w:val="00E851E6"/>
    <w:rsid w:val="00E856EB"/>
    <w:rsid w:val="00E857A8"/>
    <w:rsid w:val="00E8587B"/>
    <w:rsid w:val="00E86114"/>
    <w:rsid w:val="00E86470"/>
    <w:rsid w:val="00E86902"/>
    <w:rsid w:val="00E86DF8"/>
    <w:rsid w:val="00E86FF1"/>
    <w:rsid w:val="00E87256"/>
    <w:rsid w:val="00E873B1"/>
    <w:rsid w:val="00E878E6"/>
    <w:rsid w:val="00E87C4C"/>
    <w:rsid w:val="00E9009C"/>
    <w:rsid w:val="00E90277"/>
    <w:rsid w:val="00E9045A"/>
    <w:rsid w:val="00E909AA"/>
    <w:rsid w:val="00E90A82"/>
    <w:rsid w:val="00E90C2E"/>
    <w:rsid w:val="00E90CFA"/>
    <w:rsid w:val="00E91162"/>
    <w:rsid w:val="00E912DD"/>
    <w:rsid w:val="00E914F7"/>
    <w:rsid w:val="00E915D2"/>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96C"/>
    <w:rsid w:val="00E949F1"/>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212"/>
    <w:rsid w:val="00EA23DF"/>
    <w:rsid w:val="00EA274D"/>
    <w:rsid w:val="00EA278D"/>
    <w:rsid w:val="00EA2882"/>
    <w:rsid w:val="00EA2C74"/>
    <w:rsid w:val="00EA2CA5"/>
    <w:rsid w:val="00EA2E5C"/>
    <w:rsid w:val="00EA30F7"/>
    <w:rsid w:val="00EA348C"/>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26A"/>
    <w:rsid w:val="00EB1492"/>
    <w:rsid w:val="00EB15CE"/>
    <w:rsid w:val="00EB18E9"/>
    <w:rsid w:val="00EB1C61"/>
    <w:rsid w:val="00EB1E09"/>
    <w:rsid w:val="00EB1F90"/>
    <w:rsid w:val="00EB24F6"/>
    <w:rsid w:val="00EB34A4"/>
    <w:rsid w:val="00EB39A8"/>
    <w:rsid w:val="00EB3A9A"/>
    <w:rsid w:val="00EB40E6"/>
    <w:rsid w:val="00EB4A0C"/>
    <w:rsid w:val="00EB54A4"/>
    <w:rsid w:val="00EB5B11"/>
    <w:rsid w:val="00EB5B9A"/>
    <w:rsid w:val="00EB5E5C"/>
    <w:rsid w:val="00EB69D3"/>
    <w:rsid w:val="00EB6A09"/>
    <w:rsid w:val="00EB6BB2"/>
    <w:rsid w:val="00EB6DBB"/>
    <w:rsid w:val="00EB7260"/>
    <w:rsid w:val="00EB7443"/>
    <w:rsid w:val="00EB776D"/>
    <w:rsid w:val="00EB7F9E"/>
    <w:rsid w:val="00EC0743"/>
    <w:rsid w:val="00EC09A7"/>
    <w:rsid w:val="00EC0EE0"/>
    <w:rsid w:val="00EC1355"/>
    <w:rsid w:val="00EC1783"/>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47C"/>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0EE4"/>
    <w:rsid w:val="00EE10F7"/>
    <w:rsid w:val="00EE15D7"/>
    <w:rsid w:val="00EE18AC"/>
    <w:rsid w:val="00EE1A0B"/>
    <w:rsid w:val="00EE20CC"/>
    <w:rsid w:val="00EE222D"/>
    <w:rsid w:val="00EE2282"/>
    <w:rsid w:val="00EE2484"/>
    <w:rsid w:val="00EE24DE"/>
    <w:rsid w:val="00EE2E3A"/>
    <w:rsid w:val="00EE3110"/>
    <w:rsid w:val="00EE31E2"/>
    <w:rsid w:val="00EE3425"/>
    <w:rsid w:val="00EE3CB0"/>
    <w:rsid w:val="00EE44D7"/>
    <w:rsid w:val="00EE4C40"/>
    <w:rsid w:val="00EE5146"/>
    <w:rsid w:val="00EE5202"/>
    <w:rsid w:val="00EE5B75"/>
    <w:rsid w:val="00EE63AD"/>
    <w:rsid w:val="00EE64C6"/>
    <w:rsid w:val="00EE65E3"/>
    <w:rsid w:val="00EE6E08"/>
    <w:rsid w:val="00EE702C"/>
    <w:rsid w:val="00EE74A5"/>
    <w:rsid w:val="00EE7679"/>
    <w:rsid w:val="00EE77DD"/>
    <w:rsid w:val="00EE7808"/>
    <w:rsid w:val="00EF004D"/>
    <w:rsid w:val="00EF0107"/>
    <w:rsid w:val="00EF016C"/>
    <w:rsid w:val="00EF02CA"/>
    <w:rsid w:val="00EF0BD8"/>
    <w:rsid w:val="00EF0E2A"/>
    <w:rsid w:val="00EF0F03"/>
    <w:rsid w:val="00EF0F6D"/>
    <w:rsid w:val="00EF125A"/>
    <w:rsid w:val="00EF18E3"/>
    <w:rsid w:val="00EF2589"/>
    <w:rsid w:val="00EF259F"/>
    <w:rsid w:val="00EF297C"/>
    <w:rsid w:val="00EF30D1"/>
    <w:rsid w:val="00EF3229"/>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3A9"/>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4A7"/>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498"/>
    <w:rsid w:val="00F1778C"/>
    <w:rsid w:val="00F20181"/>
    <w:rsid w:val="00F206F5"/>
    <w:rsid w:val="00F2082B"/>
    <w:rsid w:val="00F21083"/>
    <w:rsid w:val="00F211A7"/>
    <w:rsid w:val="00F2132B"/>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3C47"/>
    <w:rsid w:val="00F242BB"/>
    <w:rsid w:val="00F247AD"/>
    <w:rsid w:val="00F2481D"/>
    <w:rsid w:val="00F24831"/>
    <w:rsid w:val="00F2501C"/>
    <w:rsid w:val="00F2534B"/>
    <w:rsid w:val="00F26776"/>
    <w:rsid w:val="00F269BE"/>
    <w:rsid w:val="00F26BEE"/>
    <w:rsid w:val="00F26CFF"/>
    <w:rsid w:val="00F2702C"/>
    <w:rsid w:val="00F270D6"/>
    <w:rsid w:val="00F273B4"/>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BB"/>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6C4C"/>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1E7E"/>
    <w:rsid w:val="00F42498"/>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5CAA"/>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1C6A"/>
    <w:rsid w:val="00F523B9"/>
    <w:rsid w:val="00F52B7F"/>
    <w:rsid w:val="00F52E57"/>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AC2"/>
    <w:rsid w:val="00F57EA6"/>
    <w:rsid w:val="00F60D81"/>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736"/>
    <w:rsid w:val="00F708E9"/>
    <w:rsid w:val="00F70AC2"/>
    <w:rsid w:val="00F71037"/>
    <w:rsid w:val="00F710AF"/>
    <w:rsid w:val="00F7184B"/>
    <w:rsid w:val="00F71C94"/>
    <w:rsid w:val="00F71CA8"/>
    <w:rsid w:val="00F71DBA"/>
    <w:rsid w:val="00F71EA7"/>
    <w:rsid w:val="00F71FEC"/>
    <w:rsid w:val="00F721C8"/>
    <w:rsid w:val="00F726A0"/>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9C"/>
    <w:rsid w:val="00F80BCB"/>
    <w:rsid w:val="00F80DF1"/>
    <w:rsid w:val="00F8117C"/>
    <w:rsid w:val="00F814FE"/>
    <w:rsid w:val="00F816A8"/>
    <w:rsid w:val="00F81A6F"/>
    <w:rsid w:val="00F82088"/>
    <w:rsid w:val="00F8222D"/>
    <w:rsid w:val="00F82253"/>
    <w:rsid w:val="00F828DD"/>
    <w:rsid w:val="00F8302D"/>
    <w:rsid w:val="00F831D8"/>
    <w:rsid w:val="00F836BB"/>
    <w:rsid w:val="00F83972"/>
    <w:rsid w:val="00F83EB5"/>
    <w:rsid w:val="00F842EC"/>
    <w:rsid w:val="00F84ABC"/>
    <w:rsid w:val="00F84E25"/>
    <w:rsid w:val="00F853C6"/>
    <w:rsid w:val="00F85DCD"/>
    <w:rsid w:val="00F86771"/>
    <w:rsid w:val="00F86AC8"/>
    <w:rsid w:val="00F86CAE"/>
    <w:rsid w:val="00F87374"/>
    <w:rsid w:val="00F879B5"/>
    <w:rsid w:val="00F87A41"/>
    <w:rsid w:val="00F87F7E"/>
    <w:rsid w:val="00F90174"/>
    <w:rsid w:val="00F90328"/>
    <w:rsid w:val="00F90342"/>
    <w:rsid w:val="00F903ED"/>
    <w:rsid w:val="00F904C5"/>
    <w:rsid w:val="00F908F6"/>
    <w:rsid w:val="00F909EC"/>
    <w:rsid w:val="00F90C9D"/>
    <w:rsid w:val="00F90E1F"/>
    <w:rsid w:val="00F913D5"/>
    <w:rsid w:val="00F91986"/>
    <w:rsid w:val="00F92078"/>
    <w:rsid w:val="00F92ABE"/>
    <w:rsid w:val="00F92BE9"/>
    <w:rsid w:val="00F930A5"/>
    <w:rsid w:val="00F930D5"/>
    <w:rsid w:val="00F933C6"/>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EB0"/>
    <w:rsid w:val="00FA1F3A"/>
    <w:rsid w:val="00FA207C"/>
    <w:rsid w:val="00FA242F"/>
    <w:rsid w:val="00FA2680"/>
    <w:rsid w:val="00FA2A04"/>
    <w:rsid w:val="00FA2B55"/>
    <w:rsid w:val="00FA3018"/>
    <w:rsid w:val="00FA344A"/>
    <w:rsid w:val="00FA3A21"/>
    <w:rsid w:val="00FA3AA2"/>
    <w:rsid w:val="00FA3CB9"/>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6DBA"/>
    <w:rsid w:val="00FA7432"/>
    <w:rsid w:val="00FA794C"/>
    <w:rsid w:val="00FA7A7E"/>
    <w:rsid w:val="00FA7AB2"/>
    <w:rsid w:val="00FA7B7B"/>
    <w:rsid w:val="00FA7B80"/>
    <w:rsid w:val="00FB01DF"/>
    <w:rsid w:val="00FB03B7"/>
    <w:rsid w:val="00FB0996"/>
    <w:rsid w:val="00FB0C97"/>
    <w:rsid w:val="00FB122F"/>
    <w:rsid w:val="00FB15B1"/>
    <w:rsid w:val="00FB2697"/>
    <w:rsid w:val="00FB2B5A"/>
    <w:rsid w:val="00FB2B91"/>
    <w:rsid w:val="00FB2BA9"/>
    <w:rsid w:val="00FB3109"/>
    <w:rsid w:val="00FB313D"/>
    <w:rsid w:val="00FB31F1"/>
    <w:rsid w:val="00FB3297"/>
    <w:rsid w:val="00FB3871"/>
    <w:rsid w:val="00FB3DAC"/>
    <w:rsid w:val="00FB4564"/>
    <w:rsid w:val="00FB457D"/>
    <w:rsid w:val="00FB52B8"/>
    <w:rsid w:val="00FB5498"/>
    <w:rsid w:val="00FB5562"/>
    <w:rsid w:val="00FB55D8"/>
    <w:rsid w:val="00FB6D31"/>
    <w:rsid w:val="00FB7115"/>
    <w:rsid w:val="00FB7868"/>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2C05"/>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1DB"/>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802"/>
    <w:rsid w:val="00FD4B95"/>
    <w:rsid w:val="00FD510A"/>
    <w:rsid w:val="00FD5611"/>
    <w:rsid w:val="00FD6AED"/>
    <w:rsid w:val="00FD6C89"/>
    <w:rsid w:val="00FD746B"/>
    <w:rsid w:val="00FD7485"/>
    <w:rsid w:val="00FE031D"/>
    <w:rsid w:val="00FE04F9"/>
    <w:rsid w:val="00FE07D3"/>
    <w:rsid w:val="00FE07F7"/>
    <w:rsid w:val="00FE0B50"/>
    <w:rsid w:val="00FE1076"/>
    <w:rsid w:val="00FE10AC"/>
    <w:rsid w:val="00FE1177"/>
    <w:rsid w:val="00FE121A"/>
    <w:rsid w:val="00FE18EE"/>
    <w:rsid w:val="00FE1AE2"/>
    <w:rsid w:val="00FE2C50"/>
    <w:rsid w:val="00FE32A2"/>
    <w:rsid w:val="00FE342A"/>
    <w:rsid w:val="00FE35EE"/>
    <w:rsid w:val="00FE38BC"/>
    <w:rsid w:val="00FE3ED6"/>
    <w:rsid w:val="00FE3F46"/>
    <w:rsid w:val="00FE3FEF"/>
    <w:rsid w:val="00FE5740"/>
    <w:rsid w:val="00FE5DAE"/>
    <w:rsid w:val="00FE5E55"/>
    <w:rsid w:val="00FE5FF8"/>
    <w:rsid w:val="00FE603D"/>
    <w:rsid w:val="00FE64CD"/>
    <w:rsid w:val="00FE66C7"/>
    <w:rsid w:val="00FE67D5"/>
    <w:rsid w:val="00FE6AAE"/>
    <w:rsid w:val="00FE7253"/>
    <w:rsid w:val="00FE7484"/>
    <w:rsid w:val="00FE782E"/>
    <w:rsid w:val="00FE7DD9"/>
    <w:rsid w:val="00FE7F5A"/>
    <w:rsid w:val="00FF0195"/>
    <w:rsid w:val="00FF01DD"/>
    <w:rsid w:val="00FF0232"/>
    <w:rsid w:val="00FF031A"/>
    <w:rsid w:val="00FF0747"/>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694"/>
    <w:rsid w:val="00FF5821"/>
    <w:rsid w:val="00FF59A8"/>
    <w:rsid w:val="00FF60BD"/>
    <w:rsid w:val="00FF637F"/>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paragraph" w:styleId="Header">
    <w:name w:val="header"/>
    <w:basedOn w:val="Normal"/>
    <w:link w:val="HeaderChar"/>
    <w:uiPriority w:val="99"/>
    <w:unhideWhenUsed/>
    <w:rsid w:val="004E6F69"/>
    <w:pPr>
      <w:spacing w:before="100" w:beforeAutospacing="1" w:after="100" w:afterAutospacing="1"/>
    </w:pPr>
  </w:style>
  <w:style w:type="character" w:customStyle="1" w:styleId="HeaderChar">
    <w:name w:val="Header Char"/>
    <w:link w:val="Header"/>
    <w:uiPriority w:val="99"/>
    <w:rsid w:val="004E6F69"/>
    <w:rPr>
      <w:sz w:val="24"/>
      <w:szCs w:val="24"/>
    </w:rPr>
  </w:style>
  <w:style w:type="paragraph" w:customStyle="1" w:styleId="cabnetparagraphatt">
    <w:name w:val="cabnetparagraphatt"/>
    <w:basedOn w:val="Normal"/>
    <w:rsid w:val="003D144E"/>
    <w:pPr>
      <w:spacing w:before="100" w:beforeAutospacing="1" w:after="100" w:afterAutospacing="1"/>
    </w:pPr>
  </w:style>
  <w:style w:type="paragraph" w:customStyle="1" w:styleId="Item">
    <w:name w:val="Item"/>
    <w:aliases w:val="i"/>
    <w:basedOn w:val="Normal"/>
    <w:next w:val="Normal"/>
    <w:rsid w:val="007502A3"/>
    <w:pPr>
      <w:keepLines/>
      <w:spacing w:before="80"/>
      <w:ind w:left="709"/>
    </w:pPr>
    <w:rPr>
      <w:sz w:val="22"/>
      <w:szCs w:val="20"/>
    </w:rPr>
  </w:style>
  <w:style w:type="paragraph" w:customStyle="1" w:styleId="notetext">
    <w:name w:val="note(text)"/>
    <w:aliases w:val="n"/>
    <w:basedOn w:val="Normal"/>
    <w:rsid w:val="007502A3"/>
    <w:pPr>
      <w:spacing w:before="122" w:line="198" w:lineRule="exact"/>
      <w:ind w:left="1985" w:hanging="851"/>
    </w:pPr>
    <w:rPr>
      <w:sz w:val="18"/>
      <w:szCs w:val="20"/>
    </w:rPr>
  </w:style>
  <w:style w:type="paragraph" w:customStyle="1" w:styleId="notepara">
    <w:name w:val="note(para)"/>
    <w:aliases w:val="na"/>
    <w:basedOn w:val="Normal"/>
    <w:rsid w:val="007502A3"/>
    <w:pPr>
      <w:spacing w:before="40" w:line="198" w:lineRule="exact"/>
      <w:ind w:left="2354" w:hanging="369"/>
    </w:pPr>
    <w:rPr>
      <w:sz w:val="18"/>
      <w:szCs w:val="20"/>
    </w:rPr>
  </w:style>
  <w:style w:type="character" w:styleId="Hyperlink">
    <w:name w:val="Hyperlink"/>
    <w:uiPriority w:val="99"/>
    <w:unhideWhenUsed/>
    <w:rsid w:val="0077269F"/>
    <w:rPr>
      <w:color w:val="0000FF"/>
      <w:u w:val="single"/>
    </w:rPr>
  </w:style>
  <w:style w:type="paragraph" w:customStyle="1" w:styleId="p1">
    <w:name w:val="p1"/>
    <w:basedOn w:val="Normal"/>
    <w:rsid w:val="00EE0EE4"/>
    <w:pPr>
      <w:spacing w:before="100" w:beforeAutospacing="1" w:after="100" w:afterAutospacing="1"/>
    </w:pPr>
  </w:style>
  <w:style w:type="character" w:styleId="CommentReference">
    <w:name w:val="annotation reference"/>
    <w:rsid w:val="001F752F"/>
    <w:rPr>
      <w:sz w:val="16"/>
      <w:szCs w:val="16"/>
    </w:rPr>
  </w:style>
  <w:style w:type="paragraph" w:styleId="CommentText">
    <w:name w:val="annotation text"/>
    <w:basedOn w:val="Normal"/>
    <w:link w:val="CommentTextChar"/>
    <w:rsid w:val="001F752F"/>
    <w:rPr>
      <w:sz w:val="20"/>
      <w:szCs w:val="20"/>
    </w:rPr>
  </w:style>
  <w:style w:type="character" w:customStyle="1" w:styleId="CommentTextChar">
    <w:name w:val="Comment Text Char"/>
    <w:basedOn w:val="DefaultParagraphFont"/>
    <w:link w:val="CommentText"/>
    <w:rsid w:val="001F752F"/>
  </w:style>
  <w:style w:type="paragraph" w:styleId="CommentSubject">
    <w:name w:val="annotation subject"/>
    <w:basedOn w:val="CommentText"/>
    <w:next w:val="CommentText"/>
    <w:link w:val="CommentSubjectChar"/>
    <w:rsid w:val="001F752F"/>
    <w:rPr>
      <w:b/>
      <w:bCs/>
    </w:rPr>
  </w:style>
  <w:style w:type="character" w:customStyle="1" w:styleId="CommentSubjectChar">
    <w:name w:val="Comment Subject Char"/>
    <w:link w:val="CommentSubject"/>
    <w:rsid w:val="001F752F"/>
    <w:rPr>
      <w:b/>
      <w:bCs/>
    </w:rPr>
  </w:style>
  <w:style w:type="paragraph" w:customStyle="1" w:styleId="Default">
    <w:name w:val="Default"/>
    <w:rsid w:val="007B0BB4"/>
    <w:pPr>
      <w:autoSpaceDE w:val="0"/>
      <w:autoSpaceDN w:val="0"/>
      <w:adjustRightInd w:val="0"/>
    </w:pPr>
    <w:rPr>
      <w:color w:val="000000"/>
      <w:sz w:val="24"/>
      <w:szCs w:val="24"/>
    </w:rPr>
  </w:style>
  <w:style w:type="paragraph" w:customStyle="1" w:styleId="a">
    <w:name w:val="_"/>
    <w:basedOn w:val="Normal"/>
    <w:rsid w:val="00C1396C"/>
    <w:pPr>
      <w:widowControl w:val="0"/>
      <w:ind w:left="770" w:hanging="770"/>
    </w:pPr>
    <w:rPr>
      <w:szCs w:val="20"/>
      <w:lang w:val="en-US" w:eastAsia="en-US"/>
    </w:rPr>
  </w:style>
  <w:style w:type="paragraph" w:styleId="NormalWeb">
    <w:name w:val="Normal (Web)"/>
    <w:basedOn w:val="Normal"/>
    <w:uiPriority w:val="99"/>
    <w:rsid w:val="001C5240"/>
    <w:pPr>
      <w:spacing w:before="100" w:beforeAutospacing="1" w:after="100" w:afterAutospacing="1"/>
    </w:pPr>
    <w:rPr>
      <w:lang w:val="en-US" w:eastAsia="en-US"/>
    </w:rPr>
  </w:style>
  <w:style w:type="paragraph" w:styleId="Footer">
    <w:name w:val="footer"/>
    <w:basedOn w:val="Normal"/>
    <w:link w:val="FooterChar"/>
    <w:uiPriority w:val="99"/>
    <w:rsid w:val="001C1B3B"/>
    <w:pPr>
      <w:tabs>
        <w:tab w:val="center" w:pos="4513"/>
        <w:tab w:val="right" w:pos="9026"/>
      </w:tabs>
    </w:pPr>
  </w:style>
  <w:style w:type="character" w:customStyle="1" w:styleId="FooterChar">
    <w:name w:val="Footer Char"/>
    <w:link w:val="Footer"/>
    <w:uiPriority w:val="99"/>
    <w:rsid w:val="001C1B3B"/>
    <w:rPr>
      <w:sz w:val="24"/>
      <w:szCs w:val="24"/>
    </w:rPr>
  </w:style>
  <w:style w:type="paragraph" w:customStyle="1" w:styleId="subsection">
    <w:name w:val="subsection"/>
    <w:aliases w:val="ss"/>
    <w:basedOn w:val="Normal"/>
    <w:link w:val="subsectionChar"/>
    <w:rsid w:val="000A28D0"/>
    <w:pPr>
      <w:tabs>
        <w:tab w:val="right" w:pos="1021"/>
      </w:tabs>
      <w:spacing w:before="180"/>
      <w:ind w:left="1134" w:hanging="1134"/>
    </w:pPr>
    <w:rPr>
      <w:sz w:val="22"/>
      <w:szCs w:val="20"/>
    </w:rPr>
  </w:style>
  <w:style w:type="paragraph" w:customStyle="1" w:styleId="Definition">
    <w:name w:val="Definition"/>
    <w:aliases w:val="dd"/>
    <w:basedOn w:val="Normal"/>
    <w:rsid w:val="000A28D0"/>
    <w:pPr>
      <w:spacing w:before="180"/>
      <w:ind w:left="1134"/>
    </w:pPr>
    <w:rPr>
      <w:sz w:val="22"/>
      <w:szCs w:val="20"/>
    </w:rPr>
  </w:style>
  <w:style w:type="paragraph" w:customStyle="1" w:styleId="notedraft">
    <w:name w:val="note(draft)"/>
    <w:aliases w:val="nd"/>
    <w:basedOn w:val="Normal"/>
    <w:rsid w:val="000A28D0"/>
    <w:pPr>
      <w:spacing w:before="240"/>
      <w:ind w:left="284" w:hanging="284"/>
    </w:pPr>
    <w:rPr>
      <w:i/>
      <w:szCs w:val="20"/>
    </w:rPr>
  </w:style>
  <w:style w:type="paragraph" w:customStyle="1" w:styleId="paragraphsub">
    <w:name w:val="paragraph(sub)"/>
    <w:aliases w:val="aa"/>
    <w:basedOn w:val="Normal"/>
    <w:rsid w:val="000A28D0"/>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0A28D0"/>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0A28D0"/>
    <w:pPr>
      <w:spacing w:before="40"/>
      <w:ind w:left="1134"/>
    </w:pPr>
    <w:rPr>
      <w:sz w:val="22"/>
      <w:szCs w:val="20"/>
    </w:rPr>
  </w:style>
  <w:style w:type="character" w:customStyle="1" w:styleId="subsectionChar">
    <w:name w:val="subsection Char"/>
    <w:aliases w:val="ss Char"/>
    <w:link w:val="subsection"/>
    <w:rsid w:val="000A28D0"/>
    <w:rPr>
      <w:sz w:val="22"/>
    </w:rPr>
  </w:style>
  <w:style w:type="character" w:customStyle="1" w:styleId="paragraphChar">
    <w:name w:val="paragraph Char"/>
    <w:aliases w:val="a Char"/>
    <w:link w:val="paragraph"/>
    <w:rsid w:val="000A28D0"/>
    <w:rPr>
      <w:sz w:val="22"/>
    </w:rPr>
  </w:style>
  <w:style w:type="paragraph" w:customStyle="1" w:styleId="SubsectionHead">
    <w:name w:val="SubsectionHead"/>
    <w:aliases w:val="ssh"/>
    <w:basedOn w:val="Normal"/>
    <w:next w:val="subsection"/>
    <w:rsid w:val="00BD303D"/>
    <w:pPr>
      <w:keepNext/>
      <w:keepLines/>
      <w:spacing w:before="240"/>
      <w:ind w:left="1134"/>
    </w:pPr>
    <w:rPr>
      <w:i/>
      <w:sz w:val="22"/>
      <w:szCs w:val="20"/>
    </w:rPr>
  </w:style>
  <w:style w:type="character" w:customStyle="1" w:styleId="apple-converted-space">
    <w:name w:val="apple-converted-space"/>
    <w:rsid w:val="00A14ABB"/>
  </w:style>
  <w:style w:type="paragraph" w:customStyle="1" w:styleId="ActHead5">
    <w:name w:val="ActHead 5"/>
    <w:aliases w:val="s"/>
    <w:basedOn w:val="Normal"/>
    <w:next w:val="subsection"/>
    <w:qFormat/>
    <w:rsid w:val="004753D2"/>
    <w:pPr>
      <w:keepNext/>
      <w:keepLines/>
      <w:spacing w:before="280"/>
      <w:ind w:left="1134" w:hanging="1134"/>
      <w:outlineLvl w:val="4"/>
    </w:pPr>
    <w:rPr>
      <w:b/>
      <w:kern w:val="28"/>
      <w:szCs w:val="20"/>
    </w:rPr>
  </w:style>
  <w:style w:type="paragraph" w:customStyle="1" w:styleId="ColorfulShading-Accent31">
    <w:name w:val="Colorful Shading - Accent 31"/>
    <w:basedOn w:val="Normal"/>
    <w:uiPriority w:val="34"/>
    <w:qFormat/>
    <w:rsid w:val="00EB126A"/>
    <w:pPr>
      <w:ind w:left="720"/>
      <w:contextualSpacing/>
    </w:pPr>
  </w:style>
  <w:style w:type="paragraph" w:customStyle="1" w:styleId="BoxText">
    <w:name w:val="BoxText"/>
    <w:aliases w:val="bt"/>
    <w:basedOn w:val="Normal"/>
    <w:qFormat/>
    <w:rsid w:val="002A5CCD"/>
    <w:pPr>
      <w:pBdr>
        <w:top w:val="single" w:sz="6" w:space="5" w:color="auto"/>
        <w:left w:val="single" w:sz="6" w:space="5" w:color="auto"/>
        <w:bottom w:val="single" w:sz="6" w:space="5" w:color="auto"/>
        <w:right w:val="single" w:sz="6" w:space="5" w:color="auto"/>
      </w:pBdr>
      <w:spacing w:before="240"/>
      <w:ind w:left="1134"/>
    </w:pPr>
    <w:rPr>
      <w:sz w:val="22"/>
      <w:szCs w:val="20"/>
    </w:rPr>
  </w:style>
  <w:style w:type="paragraph" w:customStyle="1" w:styleId="BoxHeadBold">
    <w:name w:val="BoxHeadBold"/>
    <w:aliases w:val="bhb"/>
    <w:basedOn w:val="BoxText"/>
    <w:next w:val="BoxText"/>
    <w:qFormat/>
    <w:rsid w:val="002A5CCD"/>
    <w:rPr>
      <w:b/>
    </w:rPr>
  </w:style>
  <w:style w:type="paragraph" w:customStyle="1" w:styleId="BoxPara">
    <w:name w:val="BoxPara"/>
    <w:aliases w:val="bp"/>
    <w:basedOn w:val="BoxText"/>
    <w:qFormat/>
    <w:rsid w:val="002A5CCD"/>
    <w:pPr>
      <w:tabs>
        <w:tab w:val="right" w:pos="2268"/>
      </w:tabs>
      <w:ind w:left="2552" w:hanging="1418"/>
    </w:pPr>
  </w:style>
  <w:style w:type="paragraph" w:customStyle="1" w:styleId="BoxStep">
    <w:name w:val="BoxStep"/>
    <w:aliases w:val="bs"/>
    <w:basedOn w:val="BoxText"/>
    <w:qFormat/>
    <w:rsid w:val="002A5CCD"/>
    <w:pPr>
      <w:ind w:left="1985" w:hanging="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0565">
      <w:bodyDiv w:val="1"/>
      <w:marLeft w:val="0"/>
      <w:marRight w:val="0"/>
      <w:marTop w:val="0"/>
      <w:marBottom w:val="0"/>
      <w:divBdr>
        <w:top w:val="none" w:sz="0" w:space="0" w:color="auto"/>
        <w:left w:val="none" w:sz="0" w:space="0" w:color="auto"/>
        <w:bottom w:val="none" w:sz="0" w:space="0" w:color="auto"/>
        <w:right w:val="none" w:sz="0" w:space="0" w:color="auto"/>
      </w:divBdr>
    </w:div>
    <w:div w:id="358554938">
      <w:bodyDiv w:val="1"/>
      <w:marLeft w:val="0"/>
      <w:marRight w:val="0"/>
      <w:marTop w:val="0"/>
      <w:marBottom w:val="0"/>
      <w:divBdr>
        <w:top w:val="none" w:sz="0" w:space="0" w:color="auto"/>
        <w:left w:val="none" w:sz="0" w:space="0" w:color="auto"/>
        <w:bottom w:val="none" w:sz="0" w:space="0" w:color="auto"/>
        <w:right w:val="none" w:sz="0" w:space="0" w:color="auto"/>
      </w:divBdr>
    </w:div>
    <w:div w:id="563224416">
      <w:bodyDiv w:val="1"/>
      <w:marLeft w:val="0"/>
      <w:marRight w:val="0"/>
      <w:marTop w:val="0"/>
      <w:marBottom w:val="0"/>
      <w:divBdr>
        <w:top w:val="none" w:sz="0" w:space="0" w:color="auto"/>
        <w:left w:val="none" w:sz="0" w:space="0" w:color="auto"/>
        <w:bottom w:val="none" w:sz="0" w:space="0" w:color="auto"/>
        <w:right w:val="none" w:sz="0" w:space="0" w:color="auto"/>
      </w:divBdr>
      <w:divsChild>
        <w:div w:id="217324156">
          <w:marLeft w:val="0"/>
          <w:marRight w:val="0"/>
          <w:marTop w:val="0"/>
          <w:marBottom w:val="0"/>
          <w:divBdr>
            <w:top w:val="none" w:sz="0" w:space="0" w:color="auto"/>
            <w:left w:val="none" w:sz="0" w:space="0" w:color="auto"/>
            <w:bottom w:val="none" w:sz="0" w:space="0" w:color="auto"/>
            <w:right w:val="none" w:sz="0" w:space="0" w:color="auto"/>
          </w:divBdr>
          <w:divsChild>
            <w:div w:id="204604587">
              <w:marLeft w:val="0"/>
              <w:marRight w:val="0"/>
              <w:marTop w:val="0"/>
              <w:marBottom w:val="0"/>
              <w:divBdr>
                <w:top w:val="none" w:sz="0" w:space="0" w:color="auto"/>
                <w:left w:val="none" w:sz="0" w:space="0" w:color="auto"/>
                <w:bottom w:val="none" w:sz="0" w:space="0" w:color="auto"/>
                <w:right w:val="none" w:sz="0" w:space="0" w:color="auto"/>
              </w:divBdr>
              <w:divsChild>
                <w:div w:id="668943535">
                  <w:marLeft w:val="0"/>
                  <w:marRight w:val="0"/>
                  <w:marTop w:val="0"/>
                  <w:marBottom w:val="0"/>
                  <w:divBdr>
                    <w:top w:val="none" w:sz="0" w:space="0" w:color="auto"/>
                    <w:left w:val="none" w:sz="0" w:space="0" w:color="auto"/>
                    <w:bottom w:val="none" w:sz="0" w:space="0" w:color="auto"/>
                    <w:right w:val="none" w:sz="0" w:space="0" w:color="auto"/>
                  </w:divBdr>
                  <w:divsChild>
                    <w:div w:id="1584025967">
                      <w:marLeft w:val="0"/>
                      <w:marRight w:val="0"/>
                      <w:marTop w:val="0"/>
                      <w:marBottom w:val="0"/>
                      <w:divBdr>
                        <w:top w:val="none" w:sz="0" w:space="0" w:color="auto"/>
                        <w:left w:val="none" w:sz="0" w:space="0" w:color="auto"/>
                        <w:bottom w:val="none" w:sz="0" w:space="0" w:color="auto"/>
                        <w:right w:val="none" w:sz="0" w:space="0" w:color="auto"/>
                      </w:divBdr>
                      <w:divsChild>
                        <w:div w:id="966199336">
                          <w:marLeft w:val="0"/>
                          <w:marRight w:val="0"/>
                          <w:marTop w:val="0"/>
                          <w:marBottom w:val="0"/>
                          <w:divBdr>
                            <w:top w:val="single" w:sz="6" w:space="0" w:color="828282"/>
                            <w:left w:val="single" w:sz="6" w:space="0" w:color="828282"/>
                            <w:bottom w:val="single" w:sz="6" w:space="0" w:color="828282"/>
                            <w:right w:val="single" w:sz="6" w:space="0" w:color="828282"/>
                          </w:divBdr>
                          <w:divsChild>
                            <w:div w:id="40905292">
                              <w:marLeft w:val="0"/>
                              <w:marRight w:val="0"/>
                              <w:marTop w:val="0"/>
                              <w:marBottom w:val="0"/>
                              <w:divBdr>
                                <w:top w:val="none" w:sz="0" w:space="0" w:color="auto"/>
                                <w:left w:val="none" w:sz="0" w:space="0" w:color="auto"/>
                                <w:bottom w:val="none" w:sz="0" w:space="0" w:color="auto"/>
                                <w:right w:val="none" w:sz="0" w:space="0" w:color="auto"/>
                              </w:divBdr>
                              <w:divsChild>
                                <w:div w:id="1316446208">
                                  <w:marLeft w:val="0"/>
                                  <w:marRight w:val="0"/>
                                  <w:marTop w:val="0"/>
                                  <w:marBottom w:val="0"/>
                                  <w:divBdr>
                                    <w:top w:val="none" w:sz="0" w:space="0" w:color="auto"/>
                                    <w:left w:val="none" w:sz="0" w:space="0" w:color="auto"/>
                                    <w:bottom w:val="none" w:sz="0" w:space="0" w:color="auto"/>
                                    <w:right w:val="none" w:sz="0" w:space="0" w:color="auto"/>
                                  </w:divBdr>
                                  <w:divsChild>
                                    <w:div w:id="802429950">
                                      <w:marLeft w:val="0"/>
                                      <w:marRight w:val="0"/>
                                      <w:marTop w:val="0"/>
                                      <w:marBottom w:val="0"/>
                                      <w:divBdr>
                                        <w:top w:val="none" w:sz="0" w:space="0" w:color="auto"/>
                                        <w:left w:val="none" w:sz="0" w:space="0" w:color="auto"/>
                                        <w:bottom w:val="none" w:sz="0" w:space="0" w:color="auto"/>
                                        <w:right w:val="none" w:sz="0" w:space="0" w:color="auto"/>
                                      </w:divBdr>
                                      <w:divsChild>
                                        <w:div w:id="1238252149">
                                          <w:marLeft w:val="0"/>
                                          <w:marRight w:val="0"/>
                                          <w:marTop w:val="0"/>
                                          <w:marBottom w:val="0"/>
                                          <w:divBdr>
                                            <w:top w:val="none" w:sz="0" w:space="0" w:color="auto"/>
                                            <w:left w:val="none" w:sz="0" w:space="0" w:color="auto"/>
                                            <w:bottom w:val="none" w:sz="0" w:space="0" w:color="auto"/>
                                            <w:right w:val="none" w:sz="0" w:space="0" w:color="auto"/>
                                          </w:divBdr>
                                          <w:divsChild>
                                            <w:div w:id="2074347322">
                                              <w:marLeft w:val="0"/>
                                              <w:marRight w:val="0"/>
                                              <w:marTop w:val="0"/>
                                              <w:marBottom w:val="0"/>
                                              <w:divBdr>
                                                <w:top w:val="none" w:sz="0" w:space="0" w:color="auto"/>
                                                <w:left w:val="none" w:sz="0" w:space="0" w:color="auto"/>
                                                <w:bottom w:val="none" w:sz="0" w:space="0" w:color="auto"/>
                                                <w:right w:val="none" w:sz="0" w:space="0" w:color="auto"/>
                                              </w:divBdr>
                                              <w:divsChild>
                                                <w:div w:id="16231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3545109">
      <w:bodyDiv w:val="1"/>
      <w:marLeft w:val="0"/>
      <w:marRight w:val="0"/>
      <w:marTop w:val="0"/>
      <w:marBottom w:val="0"/>
      <w:divBdr>
        <w:top w:val="none" w:sz="0" w:space="0" w:color="auto"/>
        <w:left w:val="none" w:sz="0" w:space="0" w:color="auto"/>
        <w:bottom w:val="none" w:sz="0" w:space="0" w:color="auto"/>
        <w:right w:val="none" w:sz="0" w:space="0" w:color="auto"/>
      </w:divBdr>
    </w:div>
    <w:div w:id="1450006364">
      <w:bodyDiv w:val="1"/>
      <w:marLeft w:val="0"/>
      <w:marRight w:val="0"/>
      <w:marTop w:val="0"/>
      <w:marBottom w:val="0"/>
      <w:divBdr>
        <w:top w:val="none" w:sz="0" w:space="0" w:color="auto"/>
        <w:left w:val="none" w:sz="0" w:space="0" w:color="auto"/>
        <w:bottom w:val="none" w:sz="0" w:space="0" w:color="auto"/>
        <w:right w:val="none" w:sz="0" w:space="0" w:color="auto"/>
      </w:divBdr>
    </w:div>
    <w:div w:id="1640257629">
      <w:bodyDiv w:val="1"/>
      <w:marLeft w:val="0"/>
      <w:marRight w:val="0"/>
      <w:marTop w:val="0"/>
      <w:marBottom w:val="0"/>
      <w:divBdr>
        <w:top w:val="none" w:sz="0" w:space="0" w:color="auto"/>
        <w:left w:val="none" w:sz="0" w:space="0" w:color="auto"/>
        <w:bottom w:val="none" w:sz="0" w:space="0" w:color="auto"/>
        <w:right w:val="none" w:sz="0" w:space="0" w:color="auto"/>
      </w:divBdr>
      <w:divsChild>
        <w:div w:id="1345933380">
          <w:marLeft w:val="0"/>
          <w:marRight w:val="0"/>
          <w:marTop w:val="0"/>
          <w:marBottom w:val="0"/>
          <w:divBdr>
            <w:top w:val="none" w:sz="0" w:space="0" w:color="auto"/>
            <w:left w:val="none" w:sz="0" w:space="0" w:color="auto"/>
            <w:bottom w:val="none" w:sz="0" w:space="0" w:color="auto"/>
            <w:right w:val="none" w:sz="0" w:space="0" w:color="auto"/>
          </w:divBdr>
          <w:divsChild>
            <w:div w:id="316156262">
              <w:marLeft w:val="0"/>
              <w:marRight w:val="0"/>
              <w:marTop w:val="0"/>
              <w:marBottom w:val="0"/>
              <w:divBdr>
                <w:top w:val="none" w:sz="0" w:space="0" w:color="auto"/>
                <w:left w:val="none" w:sz="0" w:space="0" w:color="auto"/>
                <w:bottom w:val="none" w:sz="0" w:space="0" w:color="auto"/>
                <w:right w:val="none" w:sz="0" w:space="0" w:color="auto"/>
              </w:divBdr>
              <w:divsChild>
                <w:div w:id="1500779131">
                  <w:marLeft w:val="0"/>
                  <w:marRight w:val="0"/>
                  <w:marTop w:val="0"/>
                  <w:marBottom w:val="0"/>
                  <w:divBdr>
                    <w:top w:val="none" w:sz="0" w:space="0" w:color="auto"/>
                    <w:left w:val="none" w:sz="0" w:space="0" w:color="auto"/>
                    <w:bottom w:val="none" w:sz="0" w:space="0" w:color="auto"/>
                    <w:right w:val="none" w:sz="0" w:space="0" w:color="auto"/>
                  </w:divBdr>
                  <w:divsChild>
                    <w:div w:id="45877508">
                      <w:marLeft w:val="0"/>
                      <w:marRight w:val="0"/>
                      <w:marTop w:val="0"/>
                      <w:marBottom w:val="0"/>
                      <w:divBdr>
                        <w:top w:val="none" w:sz="0" w:space="0" w:color="auto"/>
                        <w:left w:val="none" w:sz="0" w:space="0" w:color="auto"/>
                        <w:bottom w:val="none" w:sz="0" w:space="0" w:color="auto"/>
                        <w:right w:val="none" w:sz="0" w:space="0" w:color="auto"/>
                      </w:divBdr>
                      <w:divsChild>
                        <w:div w:id="1111707814">
                          <w:marLeft w:val="0"/>
                          <w:marRight w:val="0"/>
                          <w:marTop w:val="0"/>
                          <w:marBottom w:val="0"/>
                          <w:divBdr>
                            <w:top w:val="single" w:sz="6" w:space="0" w:color="828282"/>
                            <w:left w:val="single" w:sz="6" w:space="0" w:color="828282"/>
                            <w:bottom w:val="single" w:sz="6" w:space="0" w:color="828282"/>
                            <w:right w:val="single" w:sz="6" w:space="0" w:color="828282"/>
                          </w:divBdr>
                          <w:divsChild>
                            <w:div w:id="1409302404">
                              <w:marLeft w:val="0"/>
                              <w:marRight w:val="0"/>
                              <w:marTop w:val="0"/>
                              <w:marBottom w:val="0"/>
                              <w:divBdr>
                                <w:top w:val="none" w:sz="0" w:space="0" w:color="auto"/>
                                <w:left w:val="none" w:sz="0" w:space="0" w:color="auto"/>
                                <w:bottom w:val="none" w:sz="0" w:space="0" w:color="auto"/>
                                <w:right w:val="none" w:sz="0" w:space="0" w:color="auto"/>
                              </w:divBdr>
                              <w:divsChild>
                                <w:div w:id="1669598238">
                                  <w:marLeft w:val="0"/>
                                  <w:marRight w:val="0"/>
                                  <w:marTop w:val="0"/>
                                  <w:marBottom w:val="0"/>
                                  <w:divBdr>
                                    <w:top w:val="none" w:sz="0" w:space="0" w:color="auto"/>
                                    <w:left w:val="none" w:sz="0" w:space="0" w:color="auto"/>
                                    <w:bottom w:val="none" w:sz="0" w:space="0" w:color="auto"/>
                                    <w:right w:val="none" w:sz="0" w:space="0" w:color="auto"/>
                                  </w:divBdr>
                                  <w:divsChild>
                                    <w:div w:id="197281383">
                                      <w:marLeft w:val="0"/>
                                      <w:marRight w:val="0"/>
                                      <w:marTop w:val="0"/>
                                      <w:marBottom w:val="0"/>
                                      <w:divBdr>
                                        <w:top w:val="none" w:sz="0" w:space="0" w:color="auto"/>
                                        <w:left w:val="none" w:sz="0" w:space="0" w:color="auto"/>
                                        <w:bottom w:val="none" w:sz="0" w:space="0" w:color="auto"/>
                                        <w:right w:val="none" w:sz="0" w:space="0" w:color="auto"/>
                                      </w:divBdr>
                                      <w:divsChild>
                                        <w:div w:id="542598101">
                                          <w:marLeft w:val="0"/>
                                          <w:marRight w:val="0"/>
                                          <w:marTop w:val="0"/>
                                          <w:marBottom w:val="0"/>
                                          <w:divBdr>
                                            <w:top w:val="none" w:sz="0" w:space="0" w:color="auto"/>
                                            <w:left w:val="none" w:sz="0" w:space="0" w:color="auto"/>
                                            <w:bottom w:val="none" w:sz="0" w:space="0" w:color="auto"/>
                                            <w:right w:val="none" w:sz="0" w:space="0" w:color="auto"/>
                                          </w:divBdr>
                                          <w:divsChild>
                                            <w:div w:id="868370771">
                                              <w:marLeft w:val="0"/>
                                              <w:marRight w:val="0"/>
                                              <w:marTop w:val="0"/>
                                              <w:marBottom w:val="0"/>
                                              <w:divBdr>
                                                <w:top w:val="none" w:sz="0" w:space="0" w:color="auto"/>
                                                <w:left w:val="none" w:sz="0" w:space="0" w:color="auto"/>
                                                <w:bottom w:val="none" w:sz="0" w:space="0" w:color="auto"/>
                                                <w:right w:val="none" w:sz="0" w:space="0" w:color="auto"/>
                                              </w:divBdr>
                                              <w:divsChild>
                                                <w:div w:id="21100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991974">
      <w:bodyDiv w:val="1"/>
      <w:marLeft w:val="0"/>
      <w:marRight w:val="0"/>
      <w:marTop w:val="0"/>
      <w:marBottom w:val="0"/>
      <w:divBdr>
        <w:top w:val="none" w:sz="0" w:space="0" w:color="auto"/>
        <w:left w:val="none" w:sz="0" w:space="0" w:color="auto"/>
        <w:bottom w:val="none" w:sz="0" w:space="0" w:color="auto"/>
        <w:right w:val="none" w:sz="0" w:space="0" w:color="auto"/>
      </w:divBdr>
      <w:divsChild>
        <w:div w:id="1286690965">
          <w:marLeft w:val="0"/>
          <w:marRight w:val="0"/>
          <w:marTop w:val="0"/>
          <w:marBottom w:val="0"/>
          <w:divBdr>
            <w:top w:val="none" w:sz="0" w:space="0" w:color="auto"/>
            <w:left w:val="none" w:sz="0" w:space="0" w:color="auto"/>
            <w:bottom w:val="none" w:sz="0" w:space="0" w:color="auto"/>
            <w:right w:val="none" w:sz="0" w:space="0" w:color="auto"/>
          </w:divBdr>
          <w:divsChild>
            <w:div w:id="1621180079">
              <w:marLeft w:val="0"/>
              <w:marRight w:val="0"/>
              <w:marTop w:val="0"/>
              <w:marBottom w:val="0"/>
              <w:divBdr>
                <w:top w:val="none" w:sz="0" w:space="0" w:color="auto"/>
                <w:left w:val="none" w:sz="0" w:space="0" w:color="auto"/>
                <w:bottom w:val="none" w:sz="0" w:space="0" w:color="auto"/>
                <w:right w:val="none" w:sz="0" w:space="0" w:color="auto"/>
              </w:divBdr>
              <w:divsChild>
                <w:div w:id="604732457">
                  <w:marLeft w:val="0"/>
                  <w:marRight w:val="0"/>
                  <w:marTop w:val="0"/>
                  <w:marBottom w:val="0"/>
                  <w:divBdr>
                    <w:top w:val="none" w:sz="0" w:space="0" w:color="auto"/>
                    <w:left w:val="none" w:sz="0" w:space="0" w:color="auto"/>
                    <w:bottom w:val="none" w:sz="0" w:space="0" w:color="auto"/>
                    <w:right w:val="none" w:sz="0" w:space="0" w:color="auto"/>
                  </w:divBdr>
                  <w:divsChild>
                    <w:div w:id="1089620074">
                      <w:marLeft w:val="0"/>
                      <w:marRight w:val="0"/>
                      <w:marTop w:val="0"/>
                      <w:marBottom w:val="0"/>
                      <w:divBdr>
                        <w:top w:val="none" w:sz="0" w:space="0" w:color="auto"/>
                        <w:left w:val="none" w:sz="0" w:space="0" w:color="auto"/>
                        <w:bottom w:val="none" w:sz="0" w:space="0" w:color="auto"/>
                        <w:right w:val="none" w:sz="0" w:space="0" w:color="auto"/>
                      </w:divBdr>
                      <w:divsChild>
                        <w:div w:id="5717492">
                          <w:marLeft w:val="0"/>
                          <w:marRight w:val="0"/>
                          <w:marTop w:val="0"/>
                          <w:marBottom w:val="0"/>
                          <w:divBdr>
                            <w:top w:val="single" w:sz="6" w:space="0" w:color="828282"/>
                            <w:left w:val="single" w:sz="6" w:space="0" w:color="828282"/>
                            <w:bottom w:val="single" w:sz="6" w:space="0" w:color="828282"/>
                            <w:right w:val="single" w:sz="6" w:space="0" w:color="828282"/>
                          </w:divBdr>
                          <w:divsChild>
                            <w:div w:id="1945309602">
                              <w:marLeft w:val="0"/>
                              <w:marRight w:val="0"/>
                              <w:marTop w:val="0"/>
                              <w:marBottom w:val="0"/>
                              <w:divBdr>
                                <w:top w:val="none" w:sz="0" w:space="0" w:color="auto"/>
                                <w:left w:val="none" w:sz="0" w:space="0" w:color="auto"/>
                                <w:bottom w:val="none" w:sz="0" w:space="0" w:color="auto"/>
                                <w:right w:val="none" w:sz="0" w:space="0" w:color="auto"/>
                              </w:divBdr>
                              <w:divsChild>
                                <w:div w:id="236482050">
                                  <w:marLeft w:val="0"/>
                                  <w:marRight w:val="0"/>
                                  <w:marTop w:val="0"/>
                                  <w:marBottom w:val="0"/>
                                  <w:divBdr>
                                    <w:top w:val="none" w:sz="0" w:space="0" w:color="auto"/>
                                    <w:left w:val="none" w:sz="0" w:space="0" w:color="auto"/>
                                    <w:bottom w:val="none" w:sz="0" w:space="0" w:color="auto"/>
                                    <w:right w:val="none" w:sz="0" w:space="0" w:color="auto"/>
                                  </w:divBdr>
                                  <w:divsChild>
                                    <w:div w:id="468134554">
                                      <w:marLeft w:val="0"/>
                                      <w:marRight w:val="0"/>
                                      <w:marTop w:val="0"/>
                                      <w:marBottom w:val="0"/>
                                      <w:divBdr>
                                        <w:top w:val="none" w:sz="0" w:space="0" w:color="auto"/>
                                        <w:left w:val="none" w:sz="0" w:space="0" w:color="auto"/>
                                        <w:bottom w:val="none" w:sz="0" w:space="0" w:color="auto"/>
                                        <w:right w:val="none" w:sz="0" w:space="0" w:color="auto"/>
                                      </w:divBdr>
                                      <w:divsChild>
                                        <w:div w:id="705258177">
                                          <w:marLeft w:val="0"/>
                                          <w:marRight w:val="0"/>
                                          <w:marTop w:val="0"/>
                                          <w:marBottom w:val="0"/>
                                          <w:divBdr>
                                            <w:top w:val="none" w:sz="0" w:space="0" w:color="auto"/>
                                            <w:left w:val="none" w:sz="0" w:space="0" w:color="auto"/>
                                            <w:bottom w:val="none" w:sz="0" w:space="0" w:color="auto"/>
                                            <w:right w:val="none" w:sz="0" w:space="0" w:color="auto"/>
                                          </w:divBdr>
                                          <w:divsChild>
                                            <w:div w:id="147017001">
                                              <w:marLeft w:val="0"/>
                                              <w:marRight w:val="0"/>
                                              <w:marTop w:val="0"/>
                                              <w:marBottom w:val="0"/>
                                              <w:divBdr>
                                                <w:top w:val="none" w:sz="0" w:space="0" w:color="auto"/>
                                                <w:left w:val="none" w:sz="0" w:space="0" w:color="auto"/>
                                                <w:bottom w:val="none" w:sz="0" w:space="0" w:color="auto"/>
                                                <w:right w:val="none" w:sz="0" w:space="0" w:color="auto"/>
                                              </w:divBdr>
                                              <w:divsChild>
                                                <w:div w:id="13758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932253">
      <w:bodyDiv w:val="1"/>
      <w:marLeft w:val="0"/>
      <w:marRight w:val="0"/>
      <w:marTop w:val="0"/>
      <w:marBottom w:val="0"/>
      <w:divBdr>
        <w:top w:val="none" w:sz="0" w:space="0" w:color="auto"/>
        <w:left w:val="none" w:sz="0" w:space="0" w:color="auto"/>
        <w:bottom w:val="none" w:sz="0" w:space="0" w:color="auto"/>
        <w:right w:val="none" w:sz="0" w:space="0" w:color="auto"/>
      </w:divBdr>
      <w:divsChild>
        <w:div w:id="625550224">
          <w:marLeft w:val="0"/>
          <w:marRight w:val="0"/>
          <w:marTop w:val="0"/>
          <w:marBottom w:val="0"/>
          <w:divBdr>
            <w:top w:val="none" w:sz="0" w:space="0" w:color="auto"/>
            <w:left w:val="none" w:sz="0" w:space="0" w:color="auto"/>
            <w:bottom w:val="none" w:sz="0" w:space="0" w:color="auto"/>
            <w:right w:val="none" w:sz="0" w:space="0" w:color="auto"/>
          </w:divBdr>
          <w:divsChild>
            <w:div w:id="515459642">
              <w:marLeft w:val="0"/>
              <w:marRight w:val="0"/>
              <w:marTop w:val="0"/>
              <w:marBottom w:val="0"/>
              <w:divBdr>
                <w:top w:val="none" w:sz="0" w:space="0" w:color="auto"/>
                <w:left w:val="none" w:sz="0" w:space="0" w:color="auto"/>
                <w:bottom w:val="none" w:sz="0" w:space="0" w:color="auto"/>
                <w:right w:val="none" w:sz="0" w:space="0" w:color="auto"/>
              </w:divBdr>
              <w:divsChild>
                <w:div w:id="1091971159">
                  <w:marLeft w:val="0"/>
                  <w:marRight w:val="0"/>
                  <w:marTop w:val="0"/>
                  <w:marBottom w:val="0"/>
                  <w:divBdr>
                    <w:top w:val="none" w:sz="0" w:space="0" w:color="auto"/>
                    <w:left w:val="none" w:sz="0" w:space="0" w:color="auto"/>
                    <w:bottom w:val="none" w:sz="0" w:space="0" w:color="auto"/>
                    <w:right w:val="none" w:sz="0" w:space="0" w:color="auto"/>
                  </w:divBdr>
                  <w:divsChild>
                    <w:div w:id="1892770224">
                      <w:marLeft w:val="0"/>
                      <w:marRight w:val="0"/>
                      <w:marTop w:val="0"/>
                      <w:marBottom w:val="0"/>
                      <w:divBdr>
                        <w:top w:val="none" w:sz="0" w:space="0" w:color="auto"/>
                        <w:left w:val="none" w:sz="0" w:space="0" w:color="auto"/>
                        <w:bottom w:val="none" w:sz="0" w:space="0" w:color="auto"/>
                        <w:right w:val="none" w:sz="0" w:space="0" w:color="auto"/>
                      </w:divBdr>
                      <w:divsChild>
                        <w:div w:id="225997728">
                          <w:marLeft w:val="0"/>
                          <w:marRight w:val="0"/>
                          <w:marTop w:val="0"/>
                          <w:marBottom w:val="0"/>
                          <w:divBdr>
                            <w:top w:val="single" w:sz="6" w:space="0" w:color="828282"/>
                            <w:left w:val="single" w:sz="6" w:space="0" w:color="828282"/>
                            <w:bottom w:val="single" w:sz="6" w:space="0" w:color="828282"/>
                            <w:right w:val="single" w:sz="6" w:space="0" w:color="828282"/>
                          </w:divBdr>
                          <w:divsChild>
                            <w:div w:id="942952250">
                              <w:marLeft w:val="0"/>
                              <w:marRight w:val="0"/>
                              <w:marTop w:val="0"/>
                              <w:marBottom w:val="0"/>
                              <w:divBdr>
                                <w:top w:val="none" w:sz="0" w:space="0" w:color="auto"/>
                                <w:left w:val="none" w:sz="0" w:space="0" w:color="auto"/>
                                <w:bottom w:val="none" w:sz="0" w:space="0" w:color="auto"/>
                                <w:right w:val="none" w:sz="0" w:space="0" w:color="auto"/>
                              </w:divBdr>
                              <w:divsChild>
                                <w:div w:id="574316862">
                                  <w:marLeft w:val="0"/>
                                  <w:marRight w:val="0"/>
                                  <w:marTop w:val="0"/>
                                  <w:marBottom w:val="0"/>
                                  <w:divBdr>
                                    <w:top w:val="none" w:sz="0" w:space="0" w:color="auto"/>
                                    <w:left w:val="none" w:sz="0" w:space="0" w:color="auto"/>
                                    <w:bottom w:val="none" w:sz="0" w:space="0" w:color="auto"/>
                                    <w:right w:val="none" w:sz="0" w:space="0" w:color="auto"/>
                                  </w:divBdr>
                                  <w:divsChild>
                                    <w:div w:id="1704208146">
                                      <w:marLeft w:val="0"/>
                                      <w:marRight w:val="0"/>
                                      <w:marTop w:val="0"/>
                                      <w:marBottom w:val="0"/>
                                      <w:divBdr>
                                        <w:top w:val="none" w:sz="0" w:space="0" w:color="auto"/>
                                        <w:left w:val="none" w:sz="0" w:space="0" w:color="auto"/>
                                        <w:bottom w:val="none" w:sz="0" w:space="0" w:color="auto"/>
                                        <w:right w:val="none" w:sz="0" w:space="0" w:color="auto"/>
                                      </w:divBdr>
                                      <w:divsChild>
                                        <w:div w:id="724371175">
                                          <w:marLeft w:val="0"/>
                                          <w:marRight w:val="0"/>
                                          <w:marTop w:val="0"/>
                                          <w:marBottom w:val="0"/>
                                          <w:divBdr>
                                            <w:top w:val="none" w:sz="0" w:space="0" w:color="auto"/>
                                            <w:left w:val="none" w:sz="0" w:space="0" w:color="auto"/>
                                            <w:bottom w:val="none" w:sz="0" w:space="0" w:color="auto"/>
                                            <w:right w:val="none" w:sz="0" w:space="0" w:color="auto"/>
                                          </w:divBdr>
                                          <w:divsChild>
                                            <w:div w:id="644897676">
                                              <w:marLeft w:val="0"/>
                                              <w:marRight w:val="0"/>
                                              <w:marTop w:val="0"/>
                                              <w:marBottom w:val="0"/>
                                              <w:divBdr>
                                                <w:top w:val="none" w:sz="0" w:space="0" w:color="auto"/>
                                                <w:left w:val="none" w:sz="0" w:space="0" w:color="auto"/>
                                                <w:bottom w:val="none" w:sz="0" w:space="0" w:color="auto"/>
                                                <w:right w:val="none" w:sz="0" w:space="0" w:color="auto"/>
                                              </w:divBdr>
                                              <w:divsChild>
                                                <w:div w:id="18877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98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D54D9-DF7D-4099-B976-F888C1B8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8931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creator>boylek</dc:creator>
  <cp:lastModifiedBy>Burrowes, Megan</cp:lastModifiedBy>
  <cp:revision>2</cp:revision>
  <cp:lastPrinted>2014-12-15T05:56:00Z</cp:lastPrinted>
  <dcterms:created xsi:type="dcterms:W3CDTF">2015-02-02T06:31:00Z</dcterms:created>
  <dcterms:modified xsi:type="dcterms:W3CDTF">2015-02-02T06:31:00Z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