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70" w:rsidRPr="00977D04" w:rsidRDefault="00952ED1" w:rsidP="00515B8E">
      <w:pPr>
        <w:pStyle w:val="Heading1"/>
        <w:spacing w:before="120" w:after="240"/>
        <w:jc w:val="center"/>
        <w:rPr>
          <w:rFonts w:ascii="Times New Roman" w:hAnsi="Times New Roman" w:cs="Times New Roman"/>
          <w:sz w:val="24"/>
          <w:szCs w:val="24"/>
        </w:rPr>
      </w:pPr>
      <w:r w:rsidRPr="00977D04">
        <w:rPr>
          <w:rFonts w:ascii="Times New Roman" w:hAnsi="Times New Roman" w:cs="Times New Roman"/>
          <w:sz w:val="24"/>
          <w:szCs w:val="24"/>
        </w:rPr>
        <w:t>E</w:t>
      </w:r>
      <w:r w:rsidR="00BA0BF3" w:rsidRPr="00977D04">
        <w:rPr>
          <w:rFonts w:ascii="Times New Roman" w:hAnsi="Times New Roman" w:cs="Times New Roman"/>
          <w:sz w:val="24"/>
          <w:szCs w:val="24"/>
        </w:rPr>
        <w:t>XPLANATORY STATEMENT</w:t>
      </w:r>
    </w:p>
    <w:p w:rsidR="006A749C" w:rsidRPr="00977D04" w:rsidRDefault="00474C20">
      <w:pPr>
        <w:jc w:val="center"/>
        <w:rPr>
          <w:b/>
        </w:rPr>
      </w:pPr>
      <w:r w:rsidRPr="00977D04">
        <w:rPr>
          <w:b/>
        </w:rPr>
        <w:t>Issued by the Authority of the Minister for Finance</w:t>
      </w:r>
    </w:p>
    <w:p w:rsidR="006A749C" w:rsidRPr="00977D04" w:rsidRDefault="006A749C">
      <w:pPr>
        <w:jc w:val="center"/>
        <w:rPr>
          <w:b/>
        </w:rPr>
      </w:pPr>
    </w:p>
    <w:p w:rsidR="006A749C" w:rsidRDefault="00474C20">
      <w:pPr>
        <w:jc w:val="center"/>
        <w:rPr>
          <w:i/>
        </w:rPr>
      </w:pPr>
      <w:r w:rsidRPr="00977D04">
        <w:rPr>
          <w:i/>
        </w:rPr>
        <w:t>Public Governance, Performance and Accountability Act 2013</w:t>
      </w:r>
    </w:p>
    <w:p w:rsidR="00596CD4" w:rsidRPr="00977D04" w:rsidRDefault="00596CD4">
      <w:pPr>
        <w:jc w:val="center"/>
        <w:rPr>
          <w:i/>
        </w:rPr>
      </w:pPr>
      <w:r>
        <w:rPr>
          <w:i/>
        </w:rPr>
        <w:t xml:space="preserve">            Public Governance, Performance and Accountability (Consequential and Transitional Provisions) Act 2014</w:t>
      </w:r>
    </w:p>
    <w:p w:rsidR="006A749C" w:rsidRPr="00977D04" w:rsidRDefault="006A749C">
      <w:pPr>
        <w:jc w:val="center"/>
        <w:rPr>
          <w:i/>
        </w:rPr>
      </w:pPr>
    </w:p>
    <w:p w:rsidR="00B01F50" w:rsidRPr="00977D04" w:rsidRDefault="00B01F50" w:rsidP="00B01F50">
      <w:pPr>
        <w:jc w:val="center"/>
        <w:rPr>
          <w:i/>
        </w:rPr>
      </w:pPr>
      <w:r w:rsidRPr="00035FE8">
        <w:rPr>
          <w:i/>
        </w:rPr>
        <w:t>Public Governance, Performance and Accountability</w:t>
      </w:r>
      <w:r w:rsidR="00042B38">
        <w:rPr>
          <w:i/>
        </w:rPr>
        <w:t xml:space="preserve"> </w:t>
      </w:r>
      <w:r w:rsidR="00D470B1">
        <w:rPr>
          <w:i/>
        </w:rPr>
        <w:t>Legislation Amendment</w:t>
      </w:r>
      <w:r w:rsidR="00042B38">
        <w:rPr>
          <w:i/>
        </w:rPr>
        <w:t xml:space="preserve"> (Office of the Fair Work Building In</w:t>
      </w:r>
      <w:r w:rsidR="00D470B1">
        <w:rPr>
          <w:i/>
        </w:rPr>
        <w:t>dustry Inspectorate) Rule 2015</w:t>
      </w:r>
    </w:p>
    <w:p w:rsidR="006A749C" w:rsidRPr="00977D04" w:rsidRDefault="006A749C">
      <w:pPr>
        <w:jc w:val="center"/>
        <w:rPr>
          <w:i/>
        </w:rPr>
      </w:pPr>
    </w:p>
    <w:p w:rsidR="003561C5" w:rsidRPr="00596CD4" w:rsidRDefault="003561C5" w:rsidP="003561C5">
      <w:pPr>
        <w:rPr>
          <w:lang w:val="en-AU"/>
        </w:rPr>
      </w:pPr>
      <w:r w:rsidRPr="00977D04">
        <w:rPr>
          <w:lang w:val="en-AU"/>
        </w:rPr>
        <w:t xml:space="preserve">The </w:t>
      </w:r>
      <w:r w:rsidRPr="00977D04">
        <w:rPr>
          <w:i/>
          <w:lang w:val="en-AU"/>
        </w:rPr>
        <w:t>Public Governance, Performance and Accountability Act 2013</w:t>
      </w:r>
      <w:r>
        <w:rPr>
          <w:lang w:val="en-AU"/>
        </w:rPr>
        <w:t xml:space="preserve"> (PGPA Act) sets</w:t>
      </w:r>
      <w:r w:rsidRPr="00977D04">
        <w:rPr>
          <w:lang w:val="en-AU"/>
        </w:rPr>
        <w:t xml:space="preserve"> out a framework for regulating resource management by the Commonwealth and relevant entities</w:t>
      </w:r>
      <w:r w:rsidR="00561ED6">
        <w:rPr>
          <w:lang w:val="en-AU"/>
        </w:rPr>
        <w:t xml:space="preserve">.  </w:t>
      </w:r>
      <w:r w:rsidRPr="00596CD4">
        <w:t>Section 101 of the PGPA Act provides that the Finance Minister may make rules by legislative instrument to prescribe matters giving effect to the Act.</w:t>
      </w:r>
    </w:p>
    <w:p w:rsidR="003561C5" w:rsidRDefault="003561C5" w:rsidP="003561C5">
      <w:pPr>
        <w:tabs>
          <w:tab w:val="left" w:pos="567"/>
          <w:tab w:val="left" w:pos="1276"/>
        </w:tabs>
      </w:pPr>
    </w:p>
    <w:p w:rsidR="003561C5" w:rsidRDefault="003561C5" w:rsidP="003561C5">
      <w:pPr>
        <w:tabs>
          <w:tab w:val="left" w:pos="567"/>
          <w:tab w:val="left" w:pos="1276"/>
        </w:tabs>
      </w:pPr>
      <w:r w:rsidRPr="00977D04">
        <w:t xml:space="preserve">The </w:t>
      </w:r>
      <w:r w:rsidRPr="00977D04">
        <w:rPr>
          <w:i/>
        </w:rPr>
        <w:t>Public Governance, Performance and Accountability (Consequential and Transitional Provisions) Act 2014</w:t>
      </w:r>
      <w:r w:rsidRPr="00977D04">
        <w:t xml:space="preserve"> </w:t>
      </w:r>
      <w:r>
        <w:t>(CTP Act) amended</w:t>
      </w:r>
      <w:r w:rsidRPr="00977D04">
        <w:t xml:space="preserve"> </w:t>
      </w:r>
      <w:r>
        <w:t xml:space="preserve">242 </w:t>
      </w:r>
      <w:r w:rsidRPr="00977D04">
        <w:t xml:space="preserve">Acts across the Commonwealth to support the implementation of </w:t>
      </w:r>
      <w:r w:rsidR="008F1ABF">
        <w:t xml:space="preserve">the </w:t>
      </w:r>
      <w:r>
        <w:t>PGPA Act</w:t>
      </w:r>
      <w:r w:rsidRPr="00977D04">
        <w:t xml:space="preserve"> and its related rules and instruments</w:t>
      </w:r>
      <w:r w:rsidR="00561ED6">
        <w:t xml:space="preserve">. </w:t>
      </w:r>
      <w:r>
        <w:t xml:space="preserve"> Item 6 of Schedule 14 of </w:t>
      </w:r>
      <w:r w:rsidRPr="00977D04">
        <w:t xml:space="preserve">the </w:t>
      </w:r>
      <w:r w:rsidRPr="000C0E45">
        <w:t>CTP Act</w:t>
      </w:r>
      <w:r>
        <w:rPr>
          <w:i/>
        </w:rPr>
        <w:t xml:space="preserve"> </w:t>
      </w:r>
      <w:r w:rsidRPr="00977D04">
        <w:t>provides that the Finance Minister may, by legislative instrument, make rules prescribing matters required or permitted by th</w:t>
      </w:r>
      <w:r>
        <w:t>e CTP</w:t>
      </w:r>
      <w:r w:rsidRPr="00977D04">
        <w:t xml:space="preserve"> Act to be prescribed by the rules, or necessary or convenient to be prescribed for carry</w:t>
      </w:r>
      <w:r>
        <w:t>ing out or giving effect to the CTP Act and the PGPA </w:t>
      </w:r>
      <w:r w:rsidRPr="00977D04">
        <w:t>Act.</w:t>
      </w:r>
    </w:p>
    <w:p w:rsidR="003561C5" w:rsidRDefault="003561C5" w:rsidP="00596CD4">
      <w:pPr>
        <w:rPr>
          <w:lang w:val="en-AU"/>
        </w:rPr>
      </w:pPr>
    </w:p>
    <w:p w:rsidR="00596CD4" w:rsidRPr="00905230" w:rsidRDefault="00905230" w:rsidP="00B01F50">
      <w:pPr>
        <w:rPr>
          <w:i/>
        </w:rPr>
      </w:pPr>
      <w:r w:rsidRPr="00905230">
        <w:rPr>
          <w:i/>
        </w:rPr>
        <w:t xml:space="preserve">Public Governance, Performance and Accountability </w:t>
      </w:r>
      <w:r w:rsidR="00D470B1">
        <w:rPr>
          <w:i/>
        </w:rPr>
        <w:t>Legislation</w:t>
      </w:r>
      <w:r w:rsidRPr="00905230">
        <w:rPr>
          <w:i/>
        </w:rPr>
        <w:t xml:space="preserve"> Amendment (Office of the Fair Work Building </w:t>
      </w:r>
      <w:r w:rsidR="00D470B1">
        <w:rPr>
          <w:i/>
        </w:rPr>
        <w:t>Industry Inspectorate) Rule 2015</w:t>
      </w:r>
      <w:r w:rsidR="00035FE8">
        <w:rPr>
          <w:i/>
        </w:rPr>
        <w:t xml:space="preserve"> </w:t>
      </w:r>
      <w:r w:rsidR="00035FE8">
        <w:t>(</w:t>
      </w:r>
      <w:r>
        <w:t>OFWBII</w:t>
      </w:r>
      <w:r w:rsidR="00035FE8">
        <w:t xml:space="preserve"> Rule) </w:t>
      </w:r>
      <w:r w:rsidR="00596CD4" w:rsidRPr="001F74A6">
        <w:t>is being mad</w:t>
      </w:r>
      <w:r w:rsidR="007F3F00">
        <w:t xml:space="preserve">e to amend </w:t>
      </w:r>
      <w:r w:rsidR="00B01F50" w:rsidRPr="001F74A6">
        <w:t>the rules instruments made under t</w:t>
      </w:r>
      <w:r w:rsidR="00B01F50">
        <w:t xml:space="preserve">he PGPA Act and the CTP </w:t>
      </w:r>
      <w:r w:rsidR="00B01F50" w:rsidRPr="001F74A6">
        <w:t>Act</w:t>
      </w:r>
      <w:r w:rsidR="00B01F50">
        <w:t xml:space="preserve">.  These rules instruments are </w:t>
      </w:r>
      <w:r w:rsidR="00B01F50">
        <w:rPr>
          <w:lang w:val="en-AU"/>
        </w:rPr>
        <w:t xml:space="preserve">the </w:t>
      </w:r>
      <w:r w:rsidR="00B01F50" w:rsidRPr="004310CB">
        <w:rPr>
          <w:i/>
          <w:lang w:val="en-AU"/>
        </w:rPr>
        <w:t>Public Governance, Performance and Accountability Rule 2014</w:t>
      </w:r>
      <w:r w:rsidR="00D470B1">
        <w:rPr>
          <w:lang w:val="en-AU"/>
        </w:rPr>
        <w:t xml:space="preserve"> (PGPA </w:t>
      </w:r>
      <w:r w:rsidR="00B01F50">
        <w:rPr>
          <w:lang w:val="en-AU"/>
        </w:rPr>
        <w:t xml:space="preserve">Rule) and </w:t>
      </w:r>
      <w:r w:rsidR="00B01F50">
        <w:t xml:space="preserve">the </w:t>
      </w:r>
      <w:r w:rsidR="00B01F50" w:rsidRPr="004310CB">
        <w:rPr>
          <w:i/>
          <w:lang w:val="en-AU"/>
        </w:rPr>
        <w:t>Public Governance, Performance and Accountability (Consequential and Transitional Provisions) Rule 2014</w:t>
      </w:r>
      <w:r w:rsidR="00B01F50">
        <w:rPr>
          <w:lang w:val="en-AU"/>
        </w:rPr>
        <w:t xml:space="preserve"> (CTP Rule).  </w:t>
      </w:r>
    </w:p>
    <w:p w:rsidR="002519C6" w:rsidRDefault="002519C6" w:rsidP="002519C6"/>
    <w:p w:rsidR="006A749C" w:rsidRPr="00977D04" w:rsidRDefault="0025196F" w:rsidP="00827C1A">
      <w:pPr>
        <w:spacing w:after="240"/>
      </w:pPr>
      <w:r w:rsidRPr="00977D04">
        <w:t xml:space="preserve">The </w:t>
      </w:r>
      <w:r w:rsidR="00905230">
        <w:t>OFWBII</w:t>
      </w:r>
      <w:r w:rsidR="00B01F50">
        <w:t xml:space="preserve"> </w:t>
      </w:r>
      <w:r w:rsidR="005C29D9" w:rsidRPr="001F74A6">
        <w:t>Rule</w:t>
      </w:r>
      <w:r w:rsidR="005C29D9" w:rsidRPr="00977D04">
        <w:t xml:space="preserve"> </w:t>
      </w:r>
      <w:r w:rsidRPr="00977D04">
        <w:t xml:space="preserve">contains </w:t>
      </w:r>
      <w:r w:rsidR="00281515" w:rsidRPr="00977D04">
        <w:t xml:space="preserve">provisions </w:t>
      </w:r>
      <w:r w:rsidR="00FA2C06" w:rsidRPr="00977D04">
        <w:rPr>
          <w:rFonts w:eastAsia="Times New Roman"/>
          <w:color w:val="000000" w:themeColor="text1"/>
          <w:lang w:val="en-AU" w:bidi="ar-SA"/>
        </w:rPr>
        <w:t>that</w:t>
      </w:r>
      <w:r w:rsidR="009C0A93" w:rsidRPr="00977D04">
        <w:rPr>
          <w:rFonts w:eastAsia="Times New Roman"/>
          <w:color w:val="000000" w:themeColor="text1"/>
          <w:lang w:val="en-AU" w:bidi="ar-SA"/>
        </w:rPr>
        <w:t>:</w:t>
      </w:r>
      <w:r w:rsidR="00916010" w:rsidRPr="00977D04">
        <w:rPr>
          <w:rFonts w:eastAsia="Times New Roman"/>
          <w:color w:val="000000" w:themeColor="text1"/>
          <w:lang w:val="en-AU" w:bidi="ar-SA"/>
        </w:rPr>
        <w:t xml:space="preserve"> </w:t>
      </w:r>
    </w:p>
    <w:p w:rsidR="007F3F00" w:rsidRDefault="00905230" w:rsidP="007F3F00">
      <w:pPr>
        <w:pStyle w:val="ListParagraph"/>
        <w:numPr>
          <w:ilvl w:val="0"/>
          <w:numId w:val="15"/>
        </w:numPr>
        <w:spacing w:after="120"/>
      </w:pPr>
      <w:r>
        <w:t>l</w:t>
      </w:r>
      <w:r w:rsidR="007F3F00">
        <w:t>ist</w:t>
      </w:r>
      <w:r>
        <w:t xml:space="preserve"> the Office of the Fair Work Building Industry Inspectorate (OFWBII)</w:t>
      </w:r>
      <w:r w:rsidR="007F3F00">
        <w:t xml:space="preserve">, </w:t>
      </w:r>
      <w:r>
        <w:t>its</w:t>
      </w:r>
      <w:r w:rsidR="00D470B1">
        <w:t xml:space="preserve"> accountable authority, </w:t>
      </w:r>
      <w:r w:rsidR="007F3F00">
        <w:t>officials</w:t>
      </w:r>
      <w:r w:rsidR="00D470B1">
        <w:t xml:space="preserve"> and statutory purposes</w:t>
      </w:r>
      <w:r w:rsidR="007F3F00">
        <w:t xml:space="preserve"> for t</w:t>
      </w:r>
      <w:r w:rsidR="00D470B1">
        <w:t>he purposes of the finance law</w:t>
      </w:r>
      <w:r w:rsidR="00B01F50">
        <w:t xml:space="preserve">; </w:t>
      </w:r>
      <w:r>
        <w:t>and</w:t>
      </w:r>
    </w:p>
    <w:p w:rsidR="00EA0253" w:rsidRDefault="00EA0253" w:rsidP="00827C1A">
      <w:pPr>
        <w:pStyle w:val="ListParagraph"/>
        <w:numPr>
          <w:ilvl w:val="0"/>
          <w:numId w:val="15"/>
        </w:numPr>
        <w:spacing w:after="240"/>
        <w:ind w:left="714" w:hanging="357"/>
      </w:pPr>
      <w:r>
        <w:t xml:space="preserve">harmonise </w:t>
      </w:r>
      <w:r w:rsidR="00345121">
        <w:t xml:space="preserve">certain provisions of </w:t>
      </w:r>
      <w:r>
        <w:t xml:space="preserve">the </w:t>
      </w:r>
      <w:r>
        <w:rPr>
          <w:i/>
        </w:rPr>
        <w:t>Fair Work (Building Industry) Act 2012</w:t>
      </w:r>
      <w:r>
        <w:t xml:space="preserve"> with the PGPA Act.</w:t>
      </w:r>
    </w:p>
    <w:p w:rsidR="005C5470" w:rsidRPr="00977D04" w:rsidRDefault="00301C10">
      <w:pPr>
        <w:pStyle w:val="ParaNumbering"/>
        <w:rPr>
          <w:szCs w:val="24"/>
        </w:rPr>
      </w:pPr>
      <w:r w:rsidRPr="00977D04">
        <w:rPr>
          <w:szCs w:val="24"/>
        </w:rPr>
        <w:t xml:space="preserve">Details of the </w:t>
      </w:r>
      <w:r w:rsidR="00905230">
        <w:t>OFWBII</w:t>
      </w:r>
      <w:r w:rsidR="005C29D9" w:rsidRPr="001F74A6">
        <w:t xml:space="preserve"> Rule</w:t>
      </w:r>
      <w:r w:rsidR="005C29D9" w:rsidRPr="00977D04">
        <w:rPr>
          <w:szCs w:val="24"/>
        </w:rPr>
        <w:t xml:space="preserve"> </w:t>
      </w:r>
      <w:r w:rsidR="0004247F" w:rsidRPr="00977D04">
        <w:rPr>
          <w:szCs w:val="24"/>
        </w:rPr>
        <w:t>are</w:t>
      </w:r>
      <w:r w:rsidRPr="00977D04">
        <w:rPr>
          <w:szCs w:val="24"/>
        </w:rPr>
        <w:t xml:space="preserve"> set out at </w:t>
      </w:r>
      <w:r w:rsidRPr="00977D04">
        <w:rPr>
          <w:szCs w:val="24"/>
          <w:u w:val="single"/>
        </w:rPr>
        <w:t>Attachment A</w:t>
      </w:r>
      <w:r w:rsidR="00561ED6">
        <w:rPr>
          <w:szCs w:val="24"/>
        </w:rPr>
        <w:t xml:space="preserve">.  </w:t>
      </w:r>
      <w:r w:rsidRPr="00977D04">
        <w:rPr>
          <w:szCs w:val="24"/>
        </w:rPr>
        <w:t xml:space="preserve">A </w:t>
      </w:r>
      <w:r w:rsidR="002E307D" w:rsidRPr="00977D04">
        <w:rPr>
          <w:szCs w:val="24"/>
        </w:rPr>
        <w:t>s</w:t>
      </w:r>
      <w:r w:rsidRPr="00977D04">
        <w:rPr>
          <w:szCs w:val="24"/>
        </w:rPr>
        <w:t xml:space="preserve">tatement of </w:t>
      </w:r>
      <w:r w:rsidR="002E307D" w:rsidRPr="00977D04">
        <w:rPr>
          <w:szCs w:val="24"/>
        </w:rPr>
        <w:t>c</w:t>
      </w:r>
      <w:r w:rsidRPr="00977D04">
        <w:rPr>
          <w:szCs w:val="24"/>
        </w:rPr>
        <w:t xml:space="preserve">ompatibility with </w:t>
      </w:r>
      <w:r w:rsidR="002E307D" w:rsidRPr="00977D04">
        <w:rPr>
          <w:szCs w:val="24"/>
        </w:rPr>
        <w:t>h</w:t>
      </w:r>
      <w:r w:rsidRPr="00977D04">
        <w:rPr>
          <w:szCs w:val="24"/>
        </w:rPr>
        <w:t xml:space="preserve">uman </w:t>
      </w:r>
      <w:r w:rsidR="002E307D" w:rsidRPr="00977D04">
        <w:rPr>
          <w:szCs w:val="24"/>
        </w:rPr>
        <w:t>r</w:t>
      </w:r>
      <w:r w:rsidRPr="00977D04">
        <w:rPr>
          <w:szCs w:val="24"/>
        </w:rPr>
        <w:t xml:space="preserve">ights is at </w:t>
      </w:r>
      <w:r w:rsidRPr="00977D04">
        <w:rPr>
          <w:szCs w:val="24"/>
          <w:u w:val="single"/>
        </w:rPr>
        <w:t>Attachment B</w:t>
      </w:r>
      <w:r w:rsidR="00561ED6">
        <w:rPr>
          <w:szCs w:val="24"/>
        </w:rPr>
        <w:t xml:space="preserve">.  </w:t>
      </w:r>
    </w:p>
    <w:p w:rsidR="005C5470" w:rsidRPr="00977D04" w:rsidRDefault="005C5470">
      <w:pPr>
        <w:pStyle w:val="ParaNumbering"/>
        <w:rPr>
          <w:szCs w:val="24"/>
        </w:rPr>
      </w:pPr>
    </w:p>
    <w:p w:rsidR="005C5470" w:rsidRDefault="00301C10">
      <w:pPr>
        <w:pStyle w:val="ParaNumbering"/>
        <w:rPr>
          <w:i/>
          <w:szCs w:val="24"/>
        </w:rPr>
      </w:pPr>
      <w:r w:rsidRPr="00977D04">
        <w:rPr>
          <w:szCs w:val="24"/>
        </w:rPr>
        <w:t xml:space="preserve">The </w:t>
      </w:r>
      <w:r w:rsidR="00035FE8">
        <w:t>Amendment</w:t>
      </w:r>
      <w:r w:rsidR="005C29D9" w:rsidRPr="001F74A6">
        <w:t xml:space="preserve"> Rule</w:t>
      </w:r>
      <w:r w:rsidR="005C29D9" w:rsidRPr="00977D04">
        <w:rPr>
          <w:szCs w:val="24"/>
        </w:rPr>
        <w:t xml:space="preserve"> </w:t>
      </w:r>
      <w:r w:rsidRPr="00977D04">
        <w:rPr>
          <w:szCs w:val="24"/>
        </w:rPr>
        <w:t>is a legislative instrument for the purposes of the</w:t>
      </w:r>
      <w:r w:rsidRPr="00977D04">
        <w:rPr>
          <w:i/>
          <w:szCs w:val="24"/>
        </w:rPr>
        <w:t xml:space="preserve"> Legislative Instruments Act 2003</w:t>
      </w:r>
      <w:r w:rsidR="00561ED6">
        <w:rPr>
          <w:i/>
          <w:szCs w:val="24"/>
        </w:rPr>
        <w:t xml:space="preserve">.  </w:t>
      </w:r>
    </w:p>
    <w:p w:rsidR="00827C1A" w:rsidRDefault="00827C1A" w:rsidP="004816AF">
      <w:pPr>
        <w:pStyle w:val="Heading2"/>
        <w:spacing w:before="0"/>
        <w:rPr>
          <w:rFonts w:ascii="Times New Roman" w:eastAsia="Times New Roman" w:hAnsi="Times New Roman" w:cs="Times New Roman"/>
          <w:b w:val="0"/>
          <w:bCs w:val="0"/>
          <w:i/>
          <w:sz w:val="24"/>
          <w:szCs w:val="24"/>
          <w:lang w:val="en-AU" w:bidi="ar-SA"/>
        </w:rPr>
      </w:pPr>
    </w:p>
    <w:p w:rsidR="004816AF" w:rsidRDefault="00A53E39" w:rsidP="00827C1A">
      <w:pPr>
        <w:pStyle w:val="Heading2"/>
        <w:spacing w:before="0" w:after="240"/>
        <w:rPr>
          <w:rFonts w:ascii="Times New Roman" w:hAnsi="Times New Roman" w:cs="Times New Roman"/>
          <w:sz w:val="24"/>
          <w:szCs w:val="24"/>
        </w:rPr>
      </w:pPr>
      <w:r w:rsidRPr="009F3AB5">
        <w:rPr>
          <w:rFonts w:ascii="Times New Roman" w:hAnsi="Times New Roman" w:cs="Times New Roman"/>
          <w:sz w:val="24"/>
          <w:szCs w:val="24"/>
        </w:rPr>
        <w:t>Consultation</w:t>
      </w:r>
    </w:p>
    <w:p w:rsidR="00827C1A" w:rsidRDefault="00452242" w:rsidP="00CE6595">
      <w:r w:rsidRPr="00C432B5">
        <w:rPr>
          <w:lang w:val="en-AU"/>
        </w:rPr>
        <w:t>T</w:t>
      </w:r>
      <w:r w:rsidR="009F3AB5" w:rsidRPr="00C432B5">
        <w:t xml:space="preserve">he Department of Finance </w:t>
      </w:r>
      <w:r w:rsidR="008F1ABF">
        <w:t xml:space="preserve">(Finance) </w:t>
      </w:r>
      <w:r w:rsidR="009F3AB5" w:rsidRPr="00C432B5">
        <w:t xml:space="preserve">consulted stakeholders from </w:t>
      </w:r>
      <w:r w:rsidR="00CE6595">
        <w:t>the</w:t>
      </w:r>
      <w:r w:rsidR="00827C1A">
        <w:t xml:space="preserve"> Department of Employment </w:t>
      </w:r>
      <w:r w:rsidR="009F3AB5" w:rsidRPr="00C432B5">
        <w:t>in the development of the PGPA Rule</w:t>
      </w:r>
      <w:r w:rsidR="00561ED6">
        <w:t xml:space="preserve">.  </w:t>
      </w:r>
    </w:p>
    <w:p w:rsidR="004816AF" w:rsidRPr="00C351ED" w:rsidRDefault="00CE6595" w:rsidP="00CE6595">
      <w:r>
        <w:lastRenderedPageBreak/>
        <w:t>The Rule was drafted by the</w:t>
      </w:r>
      <w:r w:rsidR="00203F10" w:rsidRPr="00C432B5">
        <w:t xml:space="preserve"> O</w:t>
      </w:r>
      <w:r w:rsidR="00B464B5" w:rsidRPr="00C432B5">
        <w:t>ffice of Parliamentary Counsel</w:t>
      </w:r>
      <w:r w:rsidR="00561ED6">
        <w:t xml:space="preserve">.  </w:t>
      </w:r>
      <w:r w:rsidR="00B464B5" w:rsidRPr="00C432B5">
        <w:t xml:space="preserve">The </w:t>
      </w:r>
      <w:r w:rsidR="00203F10" w:rsidRPr="00C432B5">
        <w:t>advice of the Australian Government Solicitor has also been sought to ensure both the efficacy of proposed provisions and the maintenance of existing policy intent.</w:t>
      </w:r>
    </w:p>
    <w:p w:rsidR="004835F5" w:rsidRPr="00C351ED" w:rsidRDefault="004835F5" w:rsidP="00C351ED">
      <w:pPr>
        <w:pStyle w:val="ParaNumbering"/>
        <w:rPr>
          <w:szCs w:val="24"/>
        </w:rPr>
        <w:sectPr w:rsidR="004835F5" w:rsidRPr="00C351ED" w:rsidSect="004835F5">
          <w:headerReference w:type="default" r:id="rId8"/>
          <w:pgSz w:w="11906" w:h="16838"/>
          <w:pgMar w:top="1440" w:right="1440" w:bottom="1440" w:left="1440" w:header="708" w:footer="514" w:gutter="0"/>
          <w:cols w:space="708"/>
          <w:titlePg/>
          <w:docGrid w:linePitch="360"/>
        </w:sectPr>
      </w:pPr>
    </w:p>
    <w:p w:rsidR="00F276BB" w:rsidRDefault="00F276BB" w:rsidP="00F276BB">
      <w:pPr>
        <w:pStyle w:val="Heading2"/>
        <w:jc w:val="right"/>
        <w:rPr>
          <w:rFonts w:ascii="Times New Roman" w:hAnsi="Times New Roman" w:cs="Times New Roman"/>
          <w:sz w:val="24"/>
          <w:szCs w:val="24"/>
          <w:u w:val="single"/>
        </w:rPr>
      </w:pPr>
      <w:r w:rsidRPr="00BF1181">
        <w:rPr>
          <w:rFonts w:ascii="Times New Roman" w:hAnsi="Times New Roman" w:cs="Times New Roman"/>
          <w:sz w:val="24"/>
          <w:szCs w:val="24"/>
          <w:u w:val="single"/>
        </w:rPr>
        <w:lastRenderedPageBreak/>
        <w:t xml:space="preserve">Attachment </w:t>
      </w:r>
      <w:r>
        <w:rPr>
          <w:rFonts w:ascii="Times New Roman" w:hAnsi="Times New Roman" w:cs="Times New Roman"/>
          <w:sz w:val="24"/>
          <w:szCs w:val="24"/>
          <w:u w:val="single"/>
        </w:rPr>
        <w:t>A</w:t>
      </w:r>
    </w:p>
    <w:p w:rsidR="00F276BB" w:rsidRDefault="00F276BB">
      <w:pPr>
        <w:rPr>
          <w:b/>
          <w:u w:val="single"/>
        </w:rPr>
      </w:pPr>
    </w:p>
    <w:p w:rsidR="004276C7" w:rsidRPr="004276C7" w:rsidRDefault="00474C20" w:rsidP="004276C7">
      <w:pPr>
        <w:spacing w:before="200"/>
        <w:rPr>
          <w:b/>
          <w:i/>
          <w:u w:val="single"/>
        </w:rPr>
      </w:pPr>
      <w:r w:rsidRPr="00977D04">
        <w:rPr>
          <w:b/>
          <w:u w:val="single"/>
        </w:rPr>
        <w:t xml:space="preserve">Details of the </w:t>
      </w:r>
      <w:r w:rsidR="00905230" w:rsidRPr="00905230">
        <w:rPr>
          <w:b/>
          <w:i/>
          <w:u w:val="single"/>
        </w:rPr>
        <w:t xml:space="preserve">Public Governance, Performance and Accountability </w:t>
      </w:r>
      <w:r w:rsidR="00D470B1">
        <w:rPr>
          <w:b/>
          <w:i/>
          <w:u w:val="single"/>
        </w:rPr>
        <w:t>Legislation</w:t>
      </w:r>
      <w:r w:rsidR="00905230" w:rsidRPr="00905230">
        <w:rPr>
          <w:b/>
          <w:i/>
          <w:u w:val="single"/>
        </w:rPr>
        <w:t xml:space="preserve"> Amendment (Office of the Fair Work Building </w:t>
      </w:r>
      <w:r w:rsidR="00D470B1">
        <w:rPr>
          <w:b/>
          <w:i/>
          <w:u w:val="single"/>
        </w:rPr>
        <w:t>Industry Inspectorate) Rule 2015</w:t>
      </w:r>
    </w:p>
    <w:p w:rsidR="0035416D" w:rsidRPr="00977D04" w:rsidRDefault="0035416D" w:rsidP="004276C7">
      <w:pPr>
        <w:spacing w:before="200"/>
      </w:pPr>
    </w:p>
    <w:p w:rsidR="003C0A8B" w:rsidRPr="00984450" w:rsidRDefault="004816AF">
      <w:pPr>
        <w:rPr>
          <w:b/>
          <w:lang w:val="en-AU"/>
        </w:rPr>
      </w:pPr>
      <w:r w:rsidRPr="004816AF">
        <w:rPr>
          <w:b/>
          <w:lang w:val="en-AU"/>
        </w:rPr>
        <w:t xml:space="preserve">Section 1—Name of </w:t>
      </w:r>
      <w:r w:rsidR="00452242">
        <w:rPr>
          <w:b/>
          <w:lang w:val="en-AU"/>
        </w:rPr>
        <w:t>instrument</w:t>
      </w:r>
    </w:p>
    <w:p w:rsidR="003C0A8B" w:rsidRPr="00977D04" w:rsidRDefault="003C0A8B">
      <w:pPr>
        <w:rPr>
          <w:lang w:val="en-AU"/>
        </w:rPr>
      </w:pPr>
    </w:p>
    <w:p w:rsidR="003C0A8B" w:rsidRPr="004276C7" w:rsidRDefault="008F323F" w:rsidP="004276C7">
      <w:pPr>
        <w:rPr>
          <w:i/>
        </w:rPr>
      </w:pPr>
      <w:r w:rsidRPr="00977D04">
        <w:rPr>
          <w:lang w:val="en-AU"/>
        </w:rPr>
        <w:t xml:space="preserve">This section provides that the title of the </w:t>
      </w:r>
      <w:r w:rsidR="00452242">
        <w:rPr>
          <w:lang w:val="en-AU"/>
        </w:rPr>
        <w:t>instrument</w:t>
      </w:r>
      <w:r w:rsidRPr="00977D04">
        <w:rPr>
          <w:lang w:val="en-AU"/>
        </w:rPr>
        <w:t xml:space="preserve"> is the</w:t>
      </w:r>
      <w:r w:rsidR="007F3F00" w:rsidRPr="007F3F00">
        <w:rPr>
          <w:i/>
        </w:rPr>
        <w:t xml:space="preserve"> </w:t>
      </w:r>
      <w:r w:rsidR="00905230" w:rsidRPr="00905230">
        <w:rPr>
          <w:i/>
        </w:rPr>
        <w:t xml:space="preserve">Public Governance, Performance and Accountability </w:t>
      </w:r>
      <w:r w:rsidR="00EA0253">
        <w:rPr>
          <w:i/>
        </w:rPr>
        <w:t xml:space="preserve">Legislation </w:t>
      </w:r>
      <w:r w:rsidR="00905230" w:rsidRPr="00905230">
        <w:rPr>
          <w:i/>
        </w:rPr>
        <w:t>Amendment (Office of the Fair Work Build</w:t>
      </w:r>
      <w:r w:rsidR="00EA0253">
        <w:rPr>
          <w:i/>
        </w:rPr>
        <w:t>ing Industry Inspectorate) Rule </w:t>
      </w:r>
      <w:r w:rsidR="00EA0253" w:rsidRPr="00EA0253">
        <w:rPr>
          <w:i/>
        </w:rPr>
        <w:t>2015</w:t>
      </w:r>
      <w:r w:rsidR="00905230">
        <w:t xml:space="preserve"> (OFWBII </w:t>
      </w:r>
      <w:r w:rsidR="005C29D9" w:rsidRPr="00905230">
        <w:t>Rule</w:t>
      </w:r>
      <w:r w:rsidR="00FF2457" w:rsidRPr="00035FE8">
        <w:rPr>
          <w:lang w:val="en-AU"/>
        </w:rPr>
        <w:t>).</w:t>
      </w:r>
    </w:p>
    <w:p w:rsidR="003C0A8B" w:rsidRPr="00977D04" w:rsidRDefault="003C0A8B">
      <w:pPr>
        <w:rPr>
          <w:lang w:val="en-AU"/>
        </w:rPr>
      </w:pPr>
    </w:p>
    <w:p w:rsidR="003C0A8B" w:rsidRPr="00984450" w:rsidRDefault="004816AF">
      <w:pPr>
        <w:rPr>
          <w:b/>
          <w:lang w:val="en-AU"/>
        </w:rPr>
      </w:pPr>
      <w:r w:rsidRPr="004816AF">
        <w:rPr>
          <w:b/>
          <w:lang w:val="en-AU"/>
        </w:rPr>
        <w:t xml:space="preserve">Section 2—Commencement </w:t>
      </w:r>
    </w:p>
    <w:p w:rsidR="003C0A8B" w:rsidRPr="00977D04" w:rsidRDefault="003C0A8B">
      <w:pPr>
        <w:rPr>
          <w:lang w:val="en-AU"/>
        </w:rPr>
      </w:pPr>
    </w:p>
    <w:p w:rsidR="003C0A8B" w:rsidRDefault="008F323F">
      <w:r w:rsidRPr="00977D04">
        <w:rPr>
          <w:lang w:val="en-AU"/>
        </w:rPr>
        <w:t xml:space="preserve">This section </w:t>
      </w:r>
      <w:r w:rsidR="00F826B8">
        <w:rPr>
          <w:lang w:val="en-AU"/>
        </w:rPr>
        <w:t xml:space="preserve">provides that </w:t>
      </w:r>
      <w:r w:rsidR="00035FE8">
        <w:rPr>
          <w:lang w:val="en-AU"/>
        </w:rPr>
        <w:t>each provision of the</w:t>
      </w:r>
      <w:r w:rsidR="00035FE8" w:rsidRPr="00977D04">
        <w:rPr>
          <w:lang w:val="en-AU"/>
        </w:rPr>
        <w:t xml:space="preserve"> </w:t>
      </w:r>
      <w:r w:rsidR="00035FE8">
        <w:rPr>
          <w:lang w:val="en-AU"/>
        </w:rPr>
        <w:t>instrument</w:t>
      </w:r>
      <w:r w:rsidR="00035FE8" w:rsidRPr="00977D04">
        <w:rPr>
          <w:lang w:val="en-AU"/>
        </w:rPr>
        <w:t xml:space="preserve"> </w:t>
      </w:r>
      <w:r w:rsidR="00035FE8">
        <w:rPr>
          <w:lang w:val="en-AU"/>
        </w:rPr>
        <w:t xml:space="preserve">specified in column 1 of the table </w:t>
      </w:r>
      <w:r w:rsidR="006A749C" w:rsidRPr="00977D04">
        <w:t xml:space="preserve">commences </w:t>
      </w:r>
      <w:r w:rsidR="00035FE8">
        <w:t>in accordance with column 2 of the table.</w:t>
      </w:r>
    </w:p>
    <w:p w:rsidR="00035FE8" w:rsidRDefault="00035FE8"/>
    <w:p w:rsidR="00035FE8" w:rsidRDefault="00035FE8">
      <w:r>
        <w:t>Sections 1 to 4 commence on the day after the instrument is registered.</w:t>
      </w:r>
    </w:p>
    <w:p w:rsidR="00035FE8" w:rsidRDefault="00035FE8"/>
    <w:p w:rsidR="00035FE8" w:rsidRPr="00977D04" w:rsidRDefault="00035FE8">
      <w:pPr>
        <w:rPr>
          <w:lang w:val="en-AU"/>
        </w:rPr>
      </w:pPr>
      <w:r>
        <w:t>Schedule 1</w:t>
      </w:r>
      <w:r w:rsidR="00905230">
        <w:t xml:space="preserve"> </w:t>
      </w:r>
      <w:r w:rsidR="00EA0253">
        <w:t>commences on</w:t>
      </w:r>
      <w:r>
        <w:t xml:space="preserve"> 1 </w:t>
      </w:r>
      <w:r w:rsidR="00EA0253">
        <w:t>February</w:t>
      </w:r>
      <w:r>
        <w:t xml:space="preserve"> 2015.</w:t>
      </w:r>
    </w:p>
    <w:p w:rsidR="003C0A8B" w:rsidRPr="00977D04" w:rsidRDefault="003C0A8B">
      <w:pPr>
        <w:rPr>
          <w:lang w:val="en-AU"/>
        </w:rPr>
      </w:pPr>
    </w:p>
    <w:p w:rsidR="003C0A8B" w:rsidRPr="00984450" w:rsidRDefault="004816AF">
      <w:pPr>
        <w:rPr>
          <w:b/>
          <w:i/>
          <w:lang w:val="en-AU"/>
        </w:rPr>
      </w:pPr>
      <w:r w:rsidRPr="004816AF">
        <w:rPr>
          <w:b/>
          <w:lang w:val="en-AU"/>
        </w:rPr>
        <w:t>Section 3—Authority</w:t>
      </w:r>
      <w:r w:rsidRPr="004816AF">
        <w:rPr>
          <w:b/>
          <w:i/>
          <w:lang w:val="en-AU"/>
        </w:rPr>
        <w:t xml:space="preserve"> </w:t>
      </w:r>
    </w:p>
    <w:p w:rsidR="003C0A8B" w:rsidRPr="00977D04" w:rsidRDefault="003C0A8B">
      <w:pPr>
        <w:rPr>
          <w:lang w:val="en-AU"/>
        </w:rPr>
      </w:pPr>
    </w:p>
    <w:p w:rsidR="003C0A8B" w:rsidRPr="00B46CA4" w:rsidRDefault="008F323F">
      <w:pPr>
        <w:rPr>
          <w:lang w:val="en-AU"/>
        </w:rPr>
      </w:pPr>
      <w:r w:rsidRPr="00977D04">
        <w:rPr>
          <w:lang w:val="en-AU"/>
        </w:rPr>
        <w:t xml:space="preserve">This section </w:t>
      </w:r>
      <w:r w:rsidR="001E087F" w:rsidRPr="00977D04">
        <w:rPr>
          <w:lang w:val="en-AU"/>
        </w:rPr>
        <w:t xml:space="preserve">states </w:t>
      </w:r>
      <w:r w:rsidRPr="00977D04">
        <w:rPr>
          <w:lang w:val="en-AU"/>
        </w:rPr>
        <w:t>that the</w:t>
      </w:r>
      <w:r w:rsidR="00F826B8">
        <w:rPr>
          <w:lang w:val="en-AU"/>
        </w:rPr>
        <w:t xml:space="preserve"> </w:t>
      </w:r>
      <w:r w:rsidR="00E00FD6">
        <w:rPr>
          <w:lang w:val="en-AU"/>
        </w:rPr>
        <w:t>instrument</w:t>
      </w:r>
      <w:r w:rsidRPr="00977D04">
        <w:rPr>
          <w:lang w:val="en-AU"/>
        </w:rPr>
        <w:t xml:space="preserve"> is made under the</w:t>
      </w:r>
      <w:r w:rsidR="00E00FD6">
        <w:rPr>
          <w:lang w:val="en-AU"/>
        </w:rPr>
        <w:t xml:space="preserve"> </w:t>
      </w:r>
      <w:r w:rsidR="004276C7">
        <w:rPr>
          <w:i/>
          <w:lang w:val="en-AU"/>
        </w:rPr>
        <w:t xml:space="preserve">Public Governance, Performance and Accountability Act 2013 </w:t>
      </w:r>
      <w:r w:rsidR="00905230">
        <w:rPr>
          <w:lang w:val="en-AU"/>
        </w:rPr>
        <w:t>(PGPA Act)</w:t>
      </w:r>
      <w:r w:rsidR="00EA0253">
        <w:rPr>
          <w:lang w:val="en-AU"/>
        </w:rPr>
        <w:t xml:space="preserve"> and the </w:t>
      </w:r>
      <w:r w:rsidR="00EA0253">
        <w:rPr>
          <w:i/>
          <w:lang w:val="en-AU"/>
        </w:rPr>
        <w:t xml:space="preserve">Public Governance, Performance and Accountability (Consequential and Transitional Provisions) Act 2014 </w:t>
      </w:r>
      <w:r w:rsidR="00EA0253">
        <w:rPr>
          <w:lang w:val="en-AU"/>
        </w:rPr>
        <w:t>(CTP Act)</w:t>
      </w:r>
      <w:r w:rsidR="00905230">
        <w:rPr>
          <w:lang w:val="en-AU"/>
        </w:rPr>
        <w:t>.</w:t>
      </w:r>
    </w:p>
    <w:p w:rsidR="003C0A8B" w:rsidRPr="00977D04" w:rsidRDefault="003C0A8B">
      <w:pPr>
        <w:rPr>
          <w:lang w:val="en-AU"/>
        </w:rPr>
      </w:pPr>
    </w:p>
    <w:p w:rsidR="003C0A8B" w:rsidRPr="00984450" w:rsidRDefault="0096391F">
      <w:pPr>
        <w:rPr>
          <w:b/>
          <w:i/>
          <w:lang w:val="en-AU"/>
        </w:rPr>
      </w:pPr>
      <w:r>
        <w:rPr>
          <w:b/>
          <w:lang w:val="en-AU"/>
        </w:rPr>
        <w:t>Section 4—Schedules</w:t>
      </w:r>
      <w:r w:rsidR="004816AF" w:rsidRPr="004816AF">
        <w:rPr>
          <w:b/>
          <w:i/>
          <w:lang w:val="en-AU"/>
        </w:rPr>
        <w:t xml:space="preserve"> </w:t>
      </w:r>
    </w:p>
    <w:p w:rsidR="003C0A8B" w:rsidRPr="00977D04" w:rsidRDefault="003C0A8B">
      <w:pPr>
        <w:rPr>
          <w:lang w:val="en-AU"/>
        </w:rPr>
      </w:pPr>
    </w:p>
    <w:p w:rsidR="007F23C3" w:rsidRDefault="004276C7">
      <w:r>
        <w:t>This section provides that each legislative instrument that is specified in a Schedule to this Rule is amended or repealed as set out.</w:t>
      </w:r>
    </w:p>
    <w:p w:rsidR="004276C7" w:rsidRDefault="004276C7">
      <w:pPr>
        <w:rPr>
          <w:lang w:val="en-AU"/>
        </w:rPr>
      </w:pPr>
    </w:p>
    <w:p w:rsidR="00984450" w:rsidRDefault="0096391F">
      <w:pPr>
        <w:rPr>
          <w:b/>
          <w:lang w:val="en-AU"/>
        </w:rPr>
      </w:pPr>
      <w:r>
        <w:rPr>
          <w:b/>
          <w:lang w:val="en-AU"/>
        </w:rPr>
        <w:t>Schedule 1</w:t>
      </w:r>
      <w:r w:rsidRPr="004816AF">
        <w:rPr>
          <w:b/>
          <w:lang w:val="en-AU"/>
        </w:rPr>
        <w:t>—</w:t>
      </w:r>
      <w:r>
        <w:rPr>
          <w:b/>
          <w:lang w:val="en-AU"/>
        </w:rPr>
        <w:t>Amendments</w:t>
      </w:r>
    </w:p>
    <w:p w:rsidR="00035FE8" w:rsidRPr="00977D04" w:rsidRDefault="00035FE8" w:rsidP="00035FE8">
      <w:pPr>
        <w:rPr>
          <w:lang w:val="en-AU"/>
        </w:rPr>
      </w:pPr>
    </w:p>
    <w:p w:rsidR="00035FE8" w:rsidRDefault="00035FE8" w:rsidP="00035FE8">
      <w:pPr>
        <w:rPr>
          <w:b/>
        </w:rPr>
      </w:pPr>
      <w:r w:rsidRPr="00F54C58">
        <w:rPr>
          <w:b/>
          <w:i/>
        </w:rPr>
        <w:t>Public Governance,</w:t>
      </w:r>
      <w:r>
        <w:rPr>
          <w:b/>
          <w:i/>
        </w:rPr>
        <w:t xml:space="preserve"> Performance and Accountability</w:t>
      </w:r>
      <w:r w:rsidRPr="00F54C58">
        <w:rPr>
          <w:b/>
          <w:i/>
        </w:rPr>
        <w:t xml:space="preserve"> </w:t>
      </w:r>
      <w:r w:rsidR="00905230">
        <w:rPr>
          <w:b/>
          <w:i/>
        </w:rPr>
        <w:t xml:space="preserve">(Consequential and Transitional Provisions) </w:t>
      </w:r>
      <w:r w:rsidRPr="00F54C58">
        <w:rPr>
          <w:b/>
          <w:i/>
        </w:rPr>
        <w:t>Rule 2014</w:t>
      </w:r>
      <w:r w:rsidRPr="00F54C58">
        <w:rPr>
          <w:b/>
        </w:rPr>
        <w:t xml:space="preserve"> (</w:t>
      </w:r>
      <w:r w:rsidR="00905230">
        <w:rPr>
          <w:b/>
        </w:rPr>
        <w:t>CTP</w:t>
      </w:r>
      <w:r w:rsidRPr="00F54C58">
        <w:rPr>
          <w:b/>
        </w:rPr>
        <w:t xml:space="preserve"> Rule)</w:t>
      </w:r>
    </w:p>
    <w:p w:rsidR="00035FE8" w:rsidRDefault="00035FE8" w:rsidP="00035FE8">
      <w:pPr>
        <w:rPr>
          <w:b/>
        </w:rPr>
      </w:pPr>
    </w:p>
    <w:p w:rsidR="00035FE8" w:rsidRDefault="00035FE8" w:rsidP="00035FE8">
      <w:pPr>
        <w:rPr>
          <w:b/>
          <w:lang w:val="en-AU"/>
        </w:rPr>
      </w:pPr>
      <w:r>
        <w:rPr>
          <w:b/>
          <w:lang w:val="en-AU"/>
        </w:rPr>
        <w:t xml:space="preserve">Item 1 – </w:t>
      </w:r>
      <w:r w:rsidR="00905230">
        <w:rPr>
          <w:b/>
          <w:lang w:val="en-AU"/>
        </w:rPr>
        <w:t>after 7BD</w:t>
      </w:r>
    </w:p>
    <w:p w:rsidR="00905230" w:rsidRDefault="00905230" w:rsidP="00905230">
      <w:pPr>
        <w:rPr>
          <w:b/>
          <w:lang w:val="en-AU"/>
        </w:rPr>
      </w:pPr>
    </w:p>
    <w:p w:rsidR="00A34022" w:rsidRPr="00905230" w:rsidRDefault="00905230" w:rsidP="00977D04">
      <w:r w:rsidRPr="00EE0DB9">
        <w:t xml:space="preserve">This </w:t>
      </w:r>
      <w:r>
        <w:t xml:space="preserve">inserts a new section 7BE into the CTP Rule for the Office of the Fair Work Building Inspectorate (OFWBII), which provides that the </w:t>
      </w:r>
      <w:r w:rsidRPr="00280D75">
        <w:rPr>
          <w:i/>
        </w:rPr>
        <w:t>Fair Work (Building Industry) Act 2012</w:t>
      </w:r>
      <w:r>
        <w:rPr>
          <w:i/>
        </w:rPr>
        <w:t xml:space="preserve"> </w:t>
      </w:r>
      <w:r>
        <w:t>has effect for the first reporting period that commences on or after 1 July 2014, as if it were modified as is provided in Schedule 2 to the OFWBII Rule.</w:t>
      </w:r>
      <w:r>
        <w:br/>
      </w:r>
      <w:bookmarkStart w:id="0" w:name="_Toc391472743"/>
    </w:p>
    <w:p w:rsidR="00376F24" w:rsidRDefault="0096391F" w:rsidP="00977D04">
      <w:pPr>
        <w:rPr>
          <w:b/>
          <w:lang w:val="en-AU"/>
        </w:rPr>
      </w:pPr>
      <w:r>
        <w:rPr>
          <w:b/>
          <w:lang w:val="en-AU"/>
        </w:rPr>
        <w:t xml:space="preserve">Item </w:t>
      </w:r>
      <w:bookmarkEnd w:id="0"/>
      <w:r w:rsidR="00035FE8">
        <w:rPr>
          <w:b/>
          <w:lang w:val="en-AU"/>
        </w:rPr>
        <w:t>2</w:t>
      </w:r>
      <w:r w:rsidR="00F5454F">
        <w:rPr>
          <w:b/>
          <w:lang w:val="en-AU"/>
        </w:rPr>
        <w:t xml:space="preserve"> – </w:t>
      </w:r>
      <w:r w:rsidR="00905230">
        <w:rPr>
          <w:b/>
          <w:lang w:val="en-AU"/>
        </w:rPr>
        <w:t>at the end of the rule</w:t>
      </w:r>
      <w:r w:rsidR="00F5454F">
        <w:rPr>
          <w:b/>
          <w:lang w:val="en-AU"/>
        </w:rPr>
        <w:t xml:space="preserve"> </w:t>
      </w:r>
    </w:p>
    <w:p w:rsidR="00376F24" w:rsidRDefault="00376F24" w:rsidP="00376F24">
      <w:pPr>
        <w:rPr>
          <w:b/>
          <w:lang w:val="en-AU"/>
        </w:rPr>
      </w:pPr>
    </w:p>
    <w:p w:rsidR="00F027EC" w:rsidRDefault="00C874C4" w:rsidP="00C432B5">
      <w:r w:rsidRPr="00C874C4">
        <w:t xml:space="preserve">Item 2 </w:t>
      </w:r>
      <w:r w:rsidR="00F027EC">
        <w:t xml:space="preserve">adds a new “Schedule 1 – Modifications of the </w:t>
      </w:r>
      <w:r w:rsidR="00905230" w:rsidRPr="00905230">
        <w:rPr>
          <w:i/>
        </w:rPr>
        <w:t>Fair</w:t>
      </w:r>
      <w:r w:rsidR="00905230">
        <w:rPr>
          <w:i/>
        </w:rPr>
        <w:t xml:space="preserve"> Work (Building Industry) Act </w:t>
      </w:r>
      <w:r w:rsidR="00905230" w:rsidRPr="00905230">
        <w:rPr>
          <w:i/>
        </w:rPr>
        <w:t>2012</w:t>
      </w:r>
      <w:r w:rsidR="00F027EC">
        <w:t>”</w:t>
      </w:r>
      <w:r w:rsidR="00D72401">
        <w:t xml:space="preserve"> at the end of the CTP Rule</w:t>
      </w:r>
      <w:r w:rsidR="00905230">
        <w:t>, which references section 7BE</w:t>
      </w:r>
      <w:r w:rsidR="00D72401">
        <w:t xml:space="preserve"> discussed above</w:t>
      </w:r>
      <w:r w:rsidR="00F027EC">
        <w:t>.</w:t>
      </w:r>
    </w:p>
    <w:p w:rsidR="00827C1A" w:rsidRDefault="00827C1A" w:rsidP="00D72401">
      <w:pPr>
        <w:rPr>
          <w:b/>
          <w:i/>
          <w:lang w:val="en-AU"/>
        </w:rPr>
      </w:pPr>
    </w:p>
    <w:p w:rsidR="00D72401" w:rsidRDefault="00D72401" w:rsidP="00D72401">
      <w:pPr>
        <w:rPr>
          <w:b/>
          <w:i/>
          <w:lang w:val="en-AU"/>
        </w:rPr>
      </w:pPr>
      <w:r>
        <w:rPr>
          <w:b/>
          <w:i/>
          <w:lang w:val="en-AU"/>
        </w:rPr>
        <w:lastRenderedPageBreak/>
        <w:t>Fair Work (Building Industry) Act 2012</w:t>
      </w:r>
    </w:p>
    <w:p w:rsidR="00071FEE" w:rsidRDefault="00071FEE" w:rsidP="00D72401">
      <w:pPr>
        <w:rPr>
          <w:lang w:val="en-AU"/>
        </w:rPr>
      </w:pPr>
    </w:p>
    <w:p w:rsidR="00071FEE" w:rsidRDefault="00827C1A" w:rsidP="00071FEE">
      <w:pPr>
        <w:rPr>
          <w:b/>
          <w:lang w:val="en-AU"/>
        </w:rPr>
      </w:pPr>
      <w:r>
        <w:rPr>
          <w:b/>
          <w:lang w:val="en-AU"/>
        </w:rPr>
        <w:t>Item 1</w:t>
      </w:r>
      <w:r w:rsidR="00071FEE">
        <w:rPr>
          <w:b/>
          <w:lang w:val="en-AU"/>
        </w:rPr>
        <w:t xml:space="preserve"> – section 14</w:t>
      </w:r>
    </w:p>
    <w:p w:rsidR="00071FEE" w:rsidRDefault="00071FEE" w:rsidP="00071FEE">
      <w:pPr>
        <w:rPr>
          <w:b/>
          <w:lang w:val="en-AU"/>
        </w:rPr>
      </w:pPr>
    </w:p>
    <w:p w:rsidR="00071FEE" w:rsidRDefault="00071FEE" w:rsidP="00071FEE">
      <w:pPr>
        <w:rPr>
          <w:lang w:val="en-AU"/>
        </w:rPr>
      </w:pPr>
      <w:r>
        <w:rPr>
          <w:lang w:val="en-AU"/>
        </w:rPr>
        <w:t>Item 2 repeals section 14 and substitutes a new section dealing with annual report requirements that align with section 46 of the PGPA Act, which relates to annual reports.</w:t>
      </w:r>
    </w:p>
    <w:p w:rsidR="00071FEE" w:rsidRPr="00071FEE" w:rsidRDefault="00071FEE" w:rsidP="00071FEE">
      <w:pPr>
        <w:rPr>
          <w:lang w:val="en-AU"/>
        </w:rPr>
      </w:pPr>
    </w:p>
    <w:p w:rsidR="00071FEE" w:rsidRDefault="00827C1A" w:rsidP="00071FEE">
      <w:pPr>
        <w:rPr>
          <w:b/>
          <w:lang w:val="en-AU"/>
        </w:rPr>
      </w:pPr>
      <w:r>
        <w:rPr>
          <w:b/>
          <w:lang w:val="en-AU"/>
        </w:rPr>
        <w:t>Item 2</w:t>
      </w:r>
      <w:r w:rsidR="00071FEE">
        <w:rPr>
          <w:b/>
          <w:lang w:val="en-AU"/>
        </w:rPr>
        <w:t xml:space="preserve"> –section 20</w:t>
      </w:r>
    </w:p>
    <w:p w:rsidR="00071FEE" w:rsidRDefault="00071FEE" w:rsidP="00071FEE">
      <w:pPr>
        <w:rPr>
          <w:b/>
          <w:lang w:val="en-AU"/>
        </w:rPr>
      </w:pPr>
    </w:p>
    <w:p w:rsidR="00071FEE" w:rsidRDefault="00071FEE" w:rsidP="00071FEE">
      <w:pPr>
        <w:rPr>
          <w:lang w:val="en-AU"/>
        </w:rPr>
      </w:pPr>
      <w:r>
        <w:rPr>
          <w:lang w:val="en-AU"/>
        </w:rPr>
        <w:t xml:space="preserve">This repeals the section because disclosure of interests is now provided </w:t>
      </w:r>
      <w:r w:rsidR="00EA0253">
        <w:rPr>
          <w:lang w:val="en-AU"/>
        </w:rPr>
        <w:t xml:space="preserve">for </w:t>
      </w:r>
      <w:r>
        <w:rPr>
          <w:lang w:val="en-AU"/>
        </w:rPr>
        <w:t>by section 29 of the PGPA Act.</w:t>
      </w:r>
    </w:p>
    <w:p w:rsidR="00071FEE" w:rsidRPr="00071FEE" w:rsidRDefault="00071FEE" w:rsidP="00071FEE">
      <w:pPr>
        <w:rPr>
          <w:lang w:val="en-AU"/>
        </w:rPr>
      </w:pPr>
    </w:p>
    <w:p w:rsidR="00071FEE" w:rsidRDefault="00827C1A" w:rsidP="00071FEE">
      <w:pPr>
        <w:rPr>
          <w:b/>
          <w:lang w:val="en-AU"/>
        </w:rPr>
      </w:pPr>
      <w:r>
        <w:rPr>
          <w:b/>
          <w:lang w:val="en-AU"/>
        </w:rPr>
        <w:t>Item 3</w:t>
      </w:r>
      <w:r w:rsidR="00071FEE">
        <w:rPr>
          <w:b/>
          <w:lang w:val="en-AU"/>
        </w:rPr>
        <w:t xml:space="preserve"> – paragraph 22(2)(d)</w:t>
      </w:r>
    </w:p>
    <w:p w:rsidR="00071FEE" w:rsidRDefault="00071FEE" w:rsidP="00071FEE">
      <w:pPr>
        <w:rPr>
          <w:b/>
          <w:lang w:val="en-AU"/>
        </w:rPr>
      </w:pPr>
    </w:p>
    <w:p w:rsidR="00071FEE" w:rsidRDefault="00EA0253" w:rsidP="00071FEE">
      <w:pPr>
        <w:rPr>
          <w:lang w:val="en-AU"/>
        </w:rPr>
      </w:pPr>
      <w:r>
        <w:rPr>
          <w:lang w:val="en-AU"/>
        </w:rPr>
        <w:t>Paragrap</w:t>
      </w:r>
      <w:r w:rsidR="00071FEE">
        <w:rPr>
          <w:lang w:val="en-AU"/>
        </w:rPr>
        <w:t>h 22(2</w:t>
      </w:r>
      <w:proofErr w:type="gramStart"/>
      <w:r w:rsidR="00071FEE">
        <w:rPr>
          <w:lang w:val="en-AU"/>
        </w:rPr>
        <w:t>)(</w:t>
      </w:r>
      <w:proofErr w:type="gramEnd"/>
      <w:r w:rsidR="00071FEE">
        <w:rPr>
          <w:lang w:val="en-AU"/>
        </w:rPr>
        <w:t>d) is repealed and substituted with a new pa</w:t>
      </w:r>
      <w:r w:rsidR="00E176CF">
        <w:rPr>
          <w:lang w:val="en-AU"/>
        </w:rPr>
        <w:t>ragraph that references section </w:t>
      </w:r>
      <w:r w:rsidR="00071FEE">
        <w:rPr>
          <w:lang w:val="en-AU"/>
        </w:rPr>
        <w:t>29 of the PGPA Act.</w:t>
      </w:r>
    </w:p>
    <w:p w:rsidR="00071FEE" w:rsidRPr="00071FEE" w:rsidRDefault="00071FEE" w:rsidP="00071FEE">
      <w:pPr>
        <w:rPr>
          <w:lang w:val="en-AU"/>
        </w:rPr>
      </w:pPr>
    </w:p>
    <w:p w:rsidR="00071FEE" w:rsidRDefault="00827C1A" w:rsidP="00071FEE">
      <w:pPr>
        <w:rPr>
          <w:b/>
          <w:lang w:val="en-AU"/>
        </w:rPr>
      </w:pPr>
      <w:r>
        <w:rPr>
          <w:b/>
          <w:lang w:val="en-AU"/>
        </w:rPr>
        <w:t>Item 4</w:t>
      </w:r>
      <w:r w:rsidR="00071FEE">
        <w:rPr>
          <w:b/>
          <w:lang w:val="en-AU"/>
        </w:rPr>
        <w:t xml:space="preserve"> – subsection 35(1)</w:t>
      </w:r>
    </w:p>
    <w:p w:rsidR="00071FEE" w:rsidRDefault="00071FEE" w:rsidP="00071FEE">
      <w:pPr>
        <w:rPr>
          <w:b/>
          <w:lang w:val="en-AU"/>
        </w:rPr>
      </w:pPr>
    </w:p>
    <w:p w:rsidR="00071FEE" w:rsidRDefault="00071FEE" w:rsidP="00071FEE">
      <w:pPr>
        <w:rPr>
          <w:lang w:val="en-AU"/>
        </w:rPr>
      </w:pPr>
      <w:r>
        <w:rPr>
          <w:lang w:val="en-AU"/>
        </w:rPr>
        <w:t>This item updates a reference to a “Commonwealth authority” with “corporate Commonwealth entity” to reflect PGPA Act terminology.</w:t>
      </w:r>
    </w:p>
    <w:p w:rsidR="00071FEE" w:rsidRPr="00071FEE" w:rsidRDefault="00071FEE" w:rsidP="00071FEE">
      <w:pPr>
        <w:rPr>
          <w:lang w:val="en-AU"/>
        </w:rPr>
      </w:pPr>
    </w:p>
    <w:p w:rsidR="00071FEE" w:rsidRDefault="00827C1A" w:rsidP="00071FEE">
      <w:pPr>
        <w:rPr>
          <w:b/>
          <w:lang w:val="en-AU"/>
        </w:rPr>
      </w:pPr>
      <w:r>
        <w:rPr>
          <w:b/>
          <w:lang w:val="en-AU"/>
        </w:rPr>
        <w:t>Item 5</w:t>
      </w:r>
      <w:r w:rsidR="00071FEE">
        <w:rPr>
          <w:b/>
          <w:lang w:val="en-AU"/>
        </w:rPr>
        <w:t xml:space="preserve"> – paragraph 35(4)</w:t>
      </w:r>
    </w:p>
    <w:p w:rsidR="00071FEE" w:rsidRDefault="00071FEE" w:rsidP="00071FEE">
      <w:pPr>
        <w:rPr>
          <w:b/>
          <w:lang w:val="en-AU"/>
        </w:rPr>
      </w:pPr>
    </w:p>
    <w:p w:rsidR="00071FEE" w:rsidRDefault="00071FEE" w:rsidP="00071FEE">
      <w:pPr>
        <w:rPr>
          <w:lang w:val="en-AU"/>
        </w:rPr>
      </w:pPr>
      <w:r>
        <w:rPr>
          <w:lang w:val="en-AU"/>
        </w:rPr>
        <w:t>This item updates a refe</w:t>
      </w:r>
      <w:r w:rsidR="00EA0253">
        <w:rPr>
          <w:lang w:val="en-AU"/>
        </w:rPr>
        <w:t>rences to</w:t>
      </w:r>
      <w:r>
        <w:rPr>
          <w:lang w:val="en-AU"/>
        </w:rPr>
        <w:t xml:space="preserve"> “Commonwealth authority”</w:t>
      </w:r>
      <w:r w:rsidR="00EA0253">
        <w:rPr>
          <w:lang w:val="en-AU"/>
        </w:rPr>
        <w:t>, wherever occurring,</w:t>
      </w:r>
      <w:r>
        <w:rPr>
          <w:lang w:val="en-AU"/>
        </w:rPr>
        <w:t xml:space="preserve"> with “corporate Commonwealth entity” to reflect PGPA Act terminology.</w:t>
      </w:r>
    </w:p>
    <w:p w:rsidR="00071FEE" w:rsidRDefault="00071FEE" w:rsidP="00071FEE">
      <w:pPr>
        <w:rPr>
          <w:b/>
          <w:lang w:val="en-AU"/>
        </w:rPr>
      </w:pPr>
    </w:p>
    <w:p w:rsidR="00071FEE" w:rsidRDefault="00827C1A" w:rsidP="00071FEE">
      <w:pPr>
        <w:rPr>
          <w:b/>
          <w:lang w:val="en-AU"/>
        </w:rPr>
      </w:pPr>
      <w:r>
        <w:rPr>
          <w:b/>
          <w:lang w:val="en-AU"/>
        </w:rPr>
        <w:t>Item 6</w:t>
      </w:r>
      <w:r w:rsidR="00071FEE">
        <w:rPr>
          <w:b/>
          <w:lang w:val="en-AU"/>
        </w:rPr>
        <w:t xml:space="preserve"> – subsections 35(5) and (7)</w:t>
      </w:r>
    </w:p>
    <w:p w:rsidR="00071FEE" w:rsidRDefault="00071FEE" w:rsidP="00071FEE">
      <w:pPr>
        <w:rPr>
          <w:b/>
          <w:lang w:val="en-AU"/>
        </w:rPr>
      </w:pPr>
    </w:p>
    <w:p w:rsidR="00071FEE" w:rsidRDefault="00071FEE" w:rsidP="00071FEE">
      <w:pPr>
        <w:rPr>
          <w:lang w:val="en-AU"/>
        </w:rPr>
      </w:pPr>
      <w:r>
        <w:rPr>
          <w:lang w:val="en-AU"/>
        </w:rPr>
        <w:t>This item updates a reference to a “Commonwealth authority” with “corporate Commonwealth entity” to reflect PGPA Act terminology.</w:t>
      </w:r>
    </w:p>
    <w:p w:rsidR="00071FEE" w:rsidRDefault="00071FEE" w:rsidP="00071FEE">
      <w:pPr>
        <w:rPr>
          <w:b/>
          <w:lang w:val="en-AU"/>
        </w:rPr>
      </w:pPr>
    </w:p>
    <w:p w:rsidR="00071FEE" w:rsidRDefault="00827C1A" w:rsidP="00071FEE">
      <w:pPr>
        <w:rPr>
          <w:b/>
          <w:lang w:val="en-AU"/>
        </w:rPr>
      </w:pPr>
      <w:r>
        <w:rPr>
          <w:b/>
          <w:lang w:val="en-AU"/>
        </w:rPr>
        <w:t>Item 7</w:t>
      </w:r>
      <w:r w:rsidR="00071FEE">
        <w:rPr>
          <w:b/>
          <w:lang w:val="en-AU"/>
        </w:rPr>
        <w:t xml:space="preserve"> – subsection 35(8) (definition of Commonwealth authority)</w:t>
      </w:r>
    </w:p>
    <w:p w:rsidR="00071FEE" w:rsidRDefault="00071FEE" w:rsidP="00071FEE">
      <w:pPr>
        <w:rPr>
          <w:b/>
          <w:lang w:val="en-AU"/>
        </w:rPr>
      </w:pPr>
    </w:p>
    <w:p w:rsidR="00071FEE" w:rsidRPr="00071FEE" w:rsidRDefault="00071FEE" w:rsidP="00071FEE">
      <w:pPr>
        <w:rPr>
          <w:lang w:val="en-AU"/>
        </w:rPr>
      </w:pPr>
      <w:r>
        <w:rPr>
          <w:lang w:val="en-AU"/>
        </w:rPr>
        <w:t>This item repeals the definition as it is no longer relevant.</w:t>
      </w:r>
    </w:p>
    <w:p w:rsidR="00071FEE" w:rsidRDefault="00071FEE" w:rsidP="00071FEE">
      <w:pPr>
        <w:rPr>
          <w:b/>
          <w:lang w:val="en-AU"/>
        </w:rPr>
      </w:pPr>
    </w:p>
    <w:p w:rsidR="00071FEE" w:rsidRDefault="00827C1A" w:rsidP="00071FEE">
      <w:pPr>
        <w:rPr>
          <w:b/>
          <w:lang w:val="en-AU"/>
        </w:rPr>
      </w:pPr>
      <w:r>
        <w:rPr>
          <w:b/>
          <w:lang w:val="en-AU"/>
        </w:rPr>
        <w:t>Item 8</w:t>
      </w:r>
      <w:r w:rsidR="00071FEE">
        <w:rPr>
          <w:b/>
          <w:lang w:val="en-AU"/>
        </w:rPr>
        <w:t xml:space="preserve"> – subsection 35(8)</w:t>
      </w:r>
    </w:p>
    <w:p w:rsidR="00071FEE" w:rsidRDefault="00071FEE" w:rsidP="00071FEE">
      <w:pPr>
        <w:rPr>
          <w:b/>
          <w:lang w:val="en-AU"/>
        </w:rPr>
      </w:pPr>
    </w:p>
    <w:p w:rsidR="00071FEE" w:rsidRPr="00071FEE" w:rsidRDefault="00071FEE" w:rsidP="00071FEE">
      <w:pPr>
        <w:rPr>
          <w:lang w:val="en-AU"/>
        </w:rPr>
      </w:pPr>
      <w:r>
        <w:rPr>
          <w:lang w:val="en-AU"/>
        </w:rPr>
        <w:t xml:space="preserve">In connection with item 8, this item inserts a definition for “corporate Commonwealth entity” </w:t>
      </w:r>
      <w:r w:rsidR="00827C1A">
        <w:rPr>
          <w:lang w:val="en-AU"/>
        </w:rPr>
        <w:t>consistent</w:t>
      </w:r>
      <w:r>
        <w:rPr>
          <w:lang w:val="en-AU"/>
        </w:rPr>
        <w:t xml:space="preserve"> with the definition provided in the PGPA Act.</w:t>
      </w:r>
    </w:p>
    <w:p w:rsidR="00071FEE" w:rsidRDefault="00071FEE" w:rsidP="00071FEE">
      <w:pPr>
        <w:rPr>
          <w:b/>
          <w:lang w:val="en-AU"/>
        </w:rPr>
      </w:pPr>
    </w:p>
    <w:p w:rsidR="00071FEE" w:rsidRDefault="00827C1A" w:rsidP="00071FEE">
      <w:pPr>
        <w:rPr>
          <w:b/>
          <w:lang w:val="en-AU"/>
        </w:rPr>
      </w:pPr>
      <w:r>
        <w:rPr>
          <w:b/>
          <w:lang w:val="en-AU"/>
        </w:rPr>
        <w:t>Item 9</w:t>
      </w:r>
      <w:r w:rsidR="00071FEE">
        <w:rPr>
          <w:b/>
          <w:lang w:val="en-AU"/>
        </w:rPr>
        <w:t xml:space="preserve"> – subsection 65(6)(a)</w:t>
      </w:r>
    </w:p>
    <w:p w:rsidR="00071FEE" w:rsidRDefault="00071FEE" w:rsidP="00071FEE">
      <w:pPr>
        <w:rPr>
          <w:b/>
          <w:lang w:val="en-AU"/>
        </w:rPr>
      </w:pPr>
    </w:p>
    <w:p w:rsidR="00071FEE" w:rsidRDefault="00071FEE" w:rsidP="00071FEE">
      <w:pPr>
        <w:rPr>
          <w:lang w:val="en-AU"/>
        </w:rPr>
      </w:pPr>
      <w:r>
        <w:rPr>
          <w:lang w:val="en-AU"/>
        </w:rPr>
        <w:t>This item omits “or 14” and substitutes “or referred to in section 14” in subsection 65(6)(a)</w:t>
      </w:r>
      <w:r w:rsidR="00827C1A">
        <w:rPr>
          <w:lang w:val="en-AU"/>
        </w:rPr>
        <w:t xml:space="preserve"> to clarify drafting and reflect current drafting </w:t>
      </w:r>
      <w:r w:rsidR="00F95399">
        <w:rPr>
          <w:lang w:val="en-AU"/>
        </w:rPr>
        <w:t>style</w:t>
      </w:r>
      <w:r>
        <w:rPr>
          <w:lang w:val="en-AU"/>
        </w:rPr>
        <w:t>.</w:t>
      </w:r>
    </w:p>
    <w:p w:rsidR="00071FEE" w:rsidRPr="00071FEE" w:rsidRDefault="00071FEE" w:rsidP="00071FEE">
      <w:pPr>
        <w:rPr>
          <w:lang w:val="en-AU"/>
        </w:rPr>
      </w:pPr>
    </w:p>
    <w:p w:rsidR="00071FEE" w:rsidRDefault="00827C1A" w:rsidP="00071FEE">
      <w:pPr>
        <w:rPr>
          <w:b/>
          <w:lang w:val="en-AU"/>
        </w:rPr>
      </w:pPr>
      <w:r>
        <w:rPr>
          <w:b/>
          <w:lang w:val="en-AU"/>
        </w:rPr>
        <w:t>Item 10</w:t>
      </w:r>
      <w:r w:rsidR="00071FEE">
        <w:rPr>
          <w:b/>
          <w:lang w:val="en-AU"/>
        </w:rPr>
        <w:t xml:space="preserve"> – subsection 66(1)</w:t>
      </w:r>
    </w:p>
    <w:p w:rsidR="00071FEE" w:rsidRDefault="00071FEE" w:rsidP="00071FEE">
      <w:pPr>
        <w:rPr>
          <w:b/>
          <w:lang w:val="en-AU"/>
        </w:rPr>
      </w:pPr>
    </w:p>
    <w:p w:rsidR="00071FEE" w:rsidRPr="00827C1A" w:rsidRDefault="00071FEE" w:rsidP="00071FEE">
      <w:pPr>
        <w:rPr>
          <w:lang w:val="en-AU"/>
        </w:rPr>
      </w:pPr>
      <w:r>
        <w:rPr>
          <w:lang w:val="en-AU"/>
        </w:rPr>
        <w:t xml:space="preserve">This item omits “or 14” and substitutes “or referred to in section 14” in subsection </w:t>
      </w:r>
      <w:r w:rsidR="00827C1A">
        <w:rPr>
          <w:lang w:val="en-AU"/>
        </w:rPr>
        <w:t xml:space="preserve">65(6)(a) to clarify drafting and reflect current drafting </w:t>
      </w:r>
      <w:r w:rsidR="00F95399">
        <w:rPr>
          <w:lang w:val="en-AU"/>
        </w:rPr>
        <w:t>style</w:t>
      </w:r>
      <w:r w:rsidR="00827C1A">
        <w:rPr>
          <w:lang w:val="en-AU"/>
        </w:rPr>
        <w:t>.</w:t>
      </w:r>
    </w:p>
    <w:p w:rsidR="00827C1A" w:rsidRDefault="00827C1A" w:rsidP="00071FEE">
      <w:pPr>
        <w:rPr>
          <w:b/>
          <w:i/>
          <w:lang w:val="en-AU"/>
        </w:rPr>
      </w:pPr>
    </w:p>
    <w:p w:rsidR="006F654F" w:rsidRPr="006F654F" w:rsidRDefault="006F654F" w:rsidP="00071FEE">
      <w:pPr>
        <w:rPr>
          <w:b/>
          <w:i/>
          <w:lang w:val="en-AU"/>
        </w:rPr>
      </w:pPr>
      <w:r>
        <w:rPr>
          <w:b/>
          <w:i/>
          <w:lang w:val="en-AU"/>
        </w:rPr>
        <w:t>Public Governance, Performance and Accountability Rule 2014</w:t>
      </w:r>
    </w:p>
    <w:p w:rsidR="006F654F" w:rsidRDefault="006F654F" w:rsidP="00071FEE">
      <w:pPr>
        <w:rPr>
          <w:b/>
          <w:lang w:val="en-AU"/>
        </w:rPr>
      </w:pPr>
    </w:p>
    <w:p w:rsidR="00071FEE" w:rsidRDefault="00EA0253" w:rsidP="00071FEE">
      <w:pPr>
        <w:rPr>
          <w:b/>
          <w:lang w:val="en-AU"/>
        </w:rPr>
      </w:pPr>
      <w:r>
        <w:rPr>
          <w:b/>
          <w:lang w:val="en-AU"/>
        </w:rPr>
        <w:t>Item 3</w:t>
      </w:r>
      <w:r w:rsidR="006F654F">
        <w:rPr>
          <w:b/>
          <w:lang w:val="en-AU"/>
        </w:rPr>
        <w:t xml:space="preserve"> – after clause 17 of Schedule 1</w:t>
      </w:r>
    </w:p>
    <w:p w:rsidR="006F654F" w:rsidRDefault="006F654F" w:rsidP="00071FEE">
      <w:pPr>
        <w:rPr>
          <w:b/>
          <w:lang w:val="en-AU"/>
        </w:rPr>
      </w:pPr>
    </w:p>
    <w:p w:rsidR="006F654F" w:rsidRDefault="006F654F" w:rsidP="00071FEE">
      <w:pPr>
        <w:rPr>
          <w:lang w:val="en-AU"/>
        </w:rPr>
      </w:pPr>
      <w:r>
        <w:rPr>
          <w:lang w:val="en-AU"/>
        </w:rPr>
        <w:t xml:space="preserve">This item would insert a new section 17A “Office of the Fair Work Building Industry Inspectorate” to list the entity for PGPA Act purposes, as well as the accountable authority, officials of the entity and the purposes of the entity as outlined in section 10 of the </w:t>
      </w:r>
      <w:r>
        <w:rPr>
          <w:i/>
          <w:lang w:val="en-AU"/>
        </w:rPr>
        <w:t>Fair Work (Building Industry) Act 2012</w:t>
      </w:r>
      <w:r>
        <w:rPr>
          <w:lang w:val="en-AU"/>
        </w:rPr>
        <w:t>.</w:t>
      </w:r>
    </w:p>
    <w:p w:rsidR="00F95399" w:rsidRDefault="00F95399" w:rsidP="00071FEE">
      <w:pPr>
        <w:rPr>
          <w:lang w:val="en-AU"/>
        </w:rPr>
      </w:pPr>
    </w:p>
    <w:p w:rsidR="00D73FCE" w:rsidRPr="00D73FCE" w:rsidRDefault="00F95399" w:rsidP="00262AFE">
      <w:pPr>
        <w:rPr>
          <w:lang w:val="en-AU"/>
        </w:rPr>
        <w:sectPr w:rsidR="00D73FCE" w:rsidRPr="00D73FCE" w:rsidSect="00AE08B4">
          <w:headerReference w:type="default" r:id="rId9"/>
          <w:pgSz w:w="11906" w:h="16838"/>
          <w:pgMar w:top="1440" w:right="1440" w:bottom="1440" w:left="1440" w:header="708" w:footer="514" w:gutter="0"/>
          <w:pgNumType w:start="1"/>
          <w:cols w:space="708"/>
          <w:titlePg/>
          <w:docGrid w:linePitch="360"/>
        </w:sectPr>
      </w:pPr>
      <w:r>
        <w:rPr>
          <w:lang w:val="en-AU"/>
        </w:rPr>
        <w:t>This item would reduce administrative complexity</w:t>
      </w:r>
      <w:r w:rsidR="00262AFE">
        <w:rPr>
          <w:lang w:val="en-AU"/>
        </w:rPr>
        <w:t xml:space="preserve">, and reflect the policy intention that the OFWBII would operate as a non-corporate Commonwealth entity with the OFWBII Director being the </w:t>
      </w:r>
      <w:proofErr w:type="gramStart"/>
      <w:r w:rsidR="00262AFE">
        <w:rPr>
          <w:lang w:val="en-AU"/>
        </w:rPr>
        <w:t>accountable</w:t>
      </w:r>
      <w:proofErr w:type="gramEnd"/>
      <w:r w:rsidR="00262AFE">
        <w:rPr>
          <w:lang w:val="en-AU"/>
        </w:rPr>
        <w:t xml:space="preserve"> authority for the purposes of the finance law.</w:t>
      </w:r>
    </w:p>
    <w:p w:rsidR="004E45B0" w:rsidRPr="003167B7" w:rsidRDefault="00BF1181" w:rsidP="00DE19D0">
      <w:pPr>
        <w:pStyle w:val="Heading2"/>
        <w:spacing w:before="0"/>
        <w:jc w:val="right"/>
        <w:rPr>
          <w:rFonts w:ascii="Times New Roman" w:hAnsi="Times New Roman" w:cs="Times New Roman"/>
          <w:sz w:val="24"/>
          <w:szCs w:val="24"/>
          <w:u w:val="single"/>
        </w:rPr>
      </w:pPr>
      <w:r w:rsidRPr="00BF1181">
        <w:rPr>
          <w:rFonts w:ascii="Times New Roman" w:hAnsi="Times New Roman" w:cs="Times New Roman"/>
          <w:sz w:val="24"/>
          <w:szCs w:val="24"/>
          <w:u w:val="single"/>
        </w:rPr>
        <w:lastRenderedPageBreak/>
        <w:t>Attachment B</w:t>
      </w:r>
    </w:p>
    <w:p w:rsidR="007E6A30" w:rsidRPr="003167B7" w:rsidRDefault="00167E2E" w:rsidP="003167B7">
      <w:pPr>
        <w:pStyle w:val="Heading2"/>
        <w:jc w:val="center"/>
        <w:rPr>
          <w:rFonts w:ascii="Times New Roman" w:hAnsi="Times New Roman" w:cs="Times New Roman"/>
          <w:sz w:val="24"/>
          <w:szCs w:val="24"/>
        </w:rPr>
      </w:pPr>
      <w:r w:rsidRPr="00977D04">
        <w:rPr>
          <w:rFonts w:ascii="Times New Roman" w:hAnsi="Times New Roman" w:cs="Times New Roman"/>
          <w:sz w:val="24"/>
          <w:szCs w:val="24"/>
        </w:rPr>
        <w:t xml:space="preserve">Statement of </w:t>
      </w:r>
      <w:r w:rsidR="00D75AD5">
        <w:rPr>
          <w:rFonts w:ascii="Times New Roman" w:hAnsi="Times New Roman" w:cs="Times New Roman"/>
          <w:sz w:val="24"/>
          <w:szCs w:val="24"/>
        </w:rPr>
        <w:t>C</w:t>
      </w:r>
      <w:r w:rsidR="00D75AD5" w:rsidRPr="00977D04">
        <w:rPr>
          <w:rFonts w:ascii="Times New Roman" w:hAnsi="Times New Roman" w:cs="Times New Roman"/>
          <w:sz w:val="24"/>
          <w:szCs w:val="24"/>
        </w:rPr>
        <w:t xml:space="preserve">ompatibility </w:t>
      </w:r>
      <w:r w:rsidRPr="00977D04">
        <w:rPr>
          <w:rFonts w:ascii="Times New Roman" w:hAnsi="Times New Roman" w:cs="Times New Roman"/>
          <w:sz w:val="24"/>
          <w:szCs w:val="24"/>
        </w:rPr>
        <w:t xml:space="preserve">with </w:t>
      </w:r>
      <w:r w:rsidR="00D75AD5">
        <w:rPr>
          <w:rFonts w:ascii="Times New Roman" w:hAnsi="Times New Roman" w:cs="Times New Roman"/>
          <w:sz w:val="24"/>
          <w:szCs w:val="24"/>
        </w:rPr>
        <w:t>H</w:t>
      </w:r>
      <w:r w:rsidR="00D75AD5" w:rsidRPr="00977D04">
        <w:rPr>
          <w:rFonts w:ascii="Times New Roman" w:hAnsi="Times New Roman" w:cs="Times New Roman"/>
          <w:sz w:val="24"/>
          <w:szCs w:val="24"/>
        </w:rPr>
        <w:t xml:space="preserve">uman </w:t>
      </w:r>
      <w:r w:rsidR="00D75AD5">
        <w:rPr>
          <w:rFonts w:ascii="Times New Roman" w:hAnsi="Times New Roman" w:cs="Times New Roman"/>
          <w:sz w:val="24"/>
          <w:szCs w:val="24"/>
        </w:rPr>
        <w:t>R</w:t>
      </w:r>
      <w:r w:rsidR="00D75AD5" w:rsidRPr="00977D04">
        <w:rPr>
          <w:rFonts w:ascii="Times New Roman" w:hAnsi="Times New Roman" w:cs="Times New Roman"/>
          <w:sz w:val="24"/>
          <w:szCs w:val="24"/>
        </w:rPr>
        <w:t>ights</w:t>
      </w:r>
    </w:p>
    <w:p w:rsidR="00C445FC" w:rsidRPr="00C445FC" w:rsidRDefault="00C445FC" w:rsidP="00C445FC"/>
    <w:p w:rsidR="003C49CD" w:rsidRDefault="00167E2E" w:rsidP="00D976E6">
      <w:pPr>
        <w:rPr>
          <w:i/>
        </w:rPr>
      </w:pPr>
      <w:r w:rsidRPr="00977D04">
        <w:t xml:space="preserve">Prepared in accordance with Part 3 of the </w:t>
      </w:r>
      <w:r w:rsidRPr="00977D04">
        <w:rPr>
          <w:i/>
        </w:rPr>
        <w:t>Human Rights (Parliamentary Scrutiny) Act 2011</w:t>
      </w:r>
    </w:p>
    <w:p w:rsidR="009C481F" w:rsidRPr="00977D04" w:rsidRDefault="009C481F" w:rsidP="00D976E6"/>
    <w:p w:rsidR="00905230" w:rsidRPr="00905230" w:rsidRDefault="00905230" w:rsidP="00905230">
      <w:pPr>
        <w:rPr>
          <w:b/>
          <w:i/>
        </w:rPr>
      </w:pPr>
      <w:r w:rsidRPr="00905230">
        <w:rPr>
          <w:b/>
          <w:i/>
        </w:rPr>
        <w:t xml:space="preserve">Public Governance, Performance and Accountability </w:t>
      </w:r>
      <w:r w:rsidR="00EA0253">
        <w:rPr>
          <w:b/>
          <w:i/>
        </w:rPr>
        <w:t xml:space="preserve">Legislation </w:t>
      </w:r>
      <w:r w:rsidRPr="00905230">
        <w:rPr>
          <w:b/>
          <w:i/>
        </w:rPr>
        <w:t>Amendment (Office of the Fair Work Build</w:t>
      </w:r>
      <w:r>
        <w:rPr>
          <w:b/>
          <w:i/>
        </w:rPr>
        <w:t>ing Industry Inspectorate) Rule </w:t>
      </w:r>
      <w:r w:rsidR="00EA0253">
        <w:rPr>
          <w:b/>
          <w:i/>
        </w:rPr>
        <w:t>2015</w:t>
      </w:r>
    </w:p>
    <w:p w:rsidR="009C481F" w:rsidRPr="00977D04" w:rsidRDefault="009C481F" w:rsidP="00D976E6"/>
    <w:p w:rsidR="00A609F2" w:rsidRPr="00977D04" w:rsidRDefault="00E00E37" w:rsidP="003167B7">
      <w:pPr>
        <w:rPr>
          <w:i/>
        </w:rPr>
      </w:pPr>
      <w:r w:rsidRPr="00977D04">
        <w:t xml:space="preserve">The </w:t>
      </w:r>
      <w:r w:rsidR="00905230" w:rsidRPr="00905230">
        <w:rPr>
          <w:i/>
        </w:rPr>
        <w:t xml:space="preserve">Public Governance, Performance and Accountability </w:t>
      </w:r>
      <w:r w:rsidR="00EA0253">
        <w:rPr>
          <w:i/>
        </w:rPr>
        <w:t>Legislation</w:t>
      </w:r>
      <w:r w:rsidR="00905230" w:rsidRPr="00905230">
        <w:rPr>
          <w:i/>
        </w:rPr>
        <w:t xml:space="preserve"> Amendment (Office of the Fair Work Building Industry In</w:t>
      </w:r>
      <w:r w:rsidR="00EA0253">
        <w:rPr>
          <w:i/>
        </w:rPr>
        <w:t xml:space="preserve">spectorate) Rule 2015 </w:t>
      </w:r>
      <w:r w:rsidR="00905230">
        <w:t>(OFWBII Rule)</w:t>
      </w:r>
      <w:r w:rsidR="0092738C" w:rsidRPr="00977D04">
        <w:t xml:space="preserve"> </w:t>
      </w:r>
      <w:r w:rsidRPr="00977D04">
        <w:t xml:space="preserve">is compatible with the human rights and freedoms recognised or declared in the international instruments listed in section 3 of the </w:t>
      </w:r>
      <w:r w:rsidRPr="00977D04">
        <w:rPr>
          <w:i/>
        </w:rPr>
        <w:t>Human Rights (Parliamentary Scrutiny) Act 2011.</w:t>
      </w:r>
    </w:p>
    <w:p w:rsidR="009C481F" w:rsidRPr="00977D04" w:rsidRDefault="009C481F" w:rsidP="00D976E6"/>
    <w:p w:rsidR="00C351ED" w:rsidRPr="00977D04" w:rsidRDefault="00661056" w:rsidP="00D976E6">
      <w:pPr>
        <w:rPr>
          <w:b/>
          <w:lang w:val="en-AU"/>
        </w:rPr>
      </w:pPr>
      <w:r w:rsidRPr="00977D04">
        <w:rPr>
          <w:b/>
          <w:lang w:val="en-AU"/>
        </w:rPr>
        <w:t>Overview</w:t>
      </w:r>
      <w:r w:rsidR="00474C20" w:rsidRPr="00977D04">
        <w:rPr>
          <w:b/>
          <w:lang w:val="en-AU"/>
        </w:rPr>
        <w:t xml:space="preserve"> of the legislative instrument</w:t>
      </w:r>
    </w:p>
    <w:p w:rsidR="00A609F2" w:rsidRPr="00596CD4" w:rsidRDefault="00A609F2" w:rsidP="00A609F2">
      <w:pPr>
        <w:rPr>
          <w:lang w:val="en-AU"/>
        </w:rPr>
      </w:pPr>
      <w:r w:rsidRPr="00977D04">
        <w:rPr>
          <w:lang w:val="en-AU"/>
        </w:rPr>
        <w:t xml:space="preserve">The </w:t>
      </w:r>
      <w:r w:rsidRPr="00977D04">
        <w:rPr>
          <w:i/>
          <w:lang w:val="en-AU"/>
        </w:rPr>
        <w:t>Public Governance, Performance and Accountability Act 2013</w:t>
      </w:r>
      <w:r>
        <w:rPr>
          <w:lang w:val="en-AU"/>
        </w:rPr>
        <w:t xml:space="preserve"> (PGPA Act) sets</w:t>
      </w:r>
      <w:r w:rsidRPr="00977D04">
        <w:rPr>
          <w:lang w:val="en-AU"/>
        </w:rPr>
        <w:t xml:space="preserve"> out a framework for regulating resource management by the Commonwealth and relevant entities</w:t>
      </w:r>
      <w:r w:rsidR="00561ED6">
        <w:rPr>
          <w:lang w:val="en-AU"/>
        </w:rPr>
        <w:t xml:space="preserve">.  </w:t>
      </w:r>
      <w:r w:rsidRPr="00596CD4">
        <w:t>Section 101 of the PGPA Act provides that the Finance Minister may make rules by legislative instrument to prescribe matters giving effect to the Act.</w:t>
      </w:r>
    </w:p>
    <w:p w:rsidR="000C0E45" w:rsidRDefault="000C0E45" w:rsidP="000C0E45">
      <w:pPr>
        <w:tabs>
          <w:tab w:val="left" w:pos="567"/>
          <w:tab w:val="left" w:pos="1276"/>
        </w:tabs>
      </w:pPr>
    </w:p>
    <w:p w:rsidR="004816AF" w:rsidRDefault="000C0E45" w:rsidP="000C0E45">
      <w:pPr>
        <w:tabs>
          <w:tab w:val="left" w:pos="567"/>
          <w:tab w:val="left" w:pos="1276"/>
        </w:tabs>
      </w:pPr>
      <w:r w:rsidRPr="00977D04">
        <w:t xml:space="preserve">The </w:t>
      </w:r>
      <w:r w:rsidRPr="00977D04">
        <w:rPr>
          <w:i/>
        </w:rPr>
        <w:t>Public Governance, Performance and Accountability (Consequential and Transitional Provisions) Act 2014</w:t>
      </w:r>
      <w:r w:rsidRPr="00977D04">
        <w:t xml:space="preserve"> </w:t>
      </w:r>
      <w:r>
        <w:t xml:space="preserve">(CTP Act) </w:t>
      </w:r>
      <w:r w:rsidR="00233481">
        <w:t>amended</w:t>
      </w:r>
      <w:r w:rsidRPr="00977D04">
        <w:t xml:space="preserve"> </w:t>
      </w:r>
      <w:r w:rsidR="00AB5C04">
        <w:t xml:space="preserve">242 </w:t>
      </w:r>
      <w:r w:rsidRPr="00977D04">
        <w:t xml:space="preserve">Acts across the Commonwealth to support the implementation of </w:t>
      </w:r>
      <w:r>
        <w:t>PGPA Act</w:t>
      </w:r>
      <w:r w:rsidR="00DE19D0">
        <w:t xml:space="preserve">, </w:t>
      </w:r>
      <w:r w:rsidRPr="00977D04">
        <w:t>its related rules and instruments</w:t>
      </w:r>
      <w:r w:rsidR="00561ED6">
        <w:t xml:space="preserve">.  </w:t>
      </w:r>
      <w:r w:rsidR="00297EE9">
        <w:t xml:space="preserve">Item 6 of Schedule 14 of </w:t>
      </w:r>
      <w:r w:rsidR="008C4D2C" w:rsidRPr="00977D04">
        <w:t xml:space="preserve">the </w:t>
      </w:r>
      <w:r w:rsidRPr="000C0E45">
        <w:t>CTP Act</w:t>
      </w:r>
      <w:r>
        <w:rPr>
          <w:i/>
        </w:rPr>
        <w:t xml:space="preserve"> </w:t>
      </w:r>
      <w:r w:rsidR="009C0A93" w:rsidRPr="00977D04">
        <w:t xml:space="preserve">provides that the </w:t>
      </w:r>
      <w:r w:rsidR="008C4D2C" w:rsidRPr="00977D04">
        <w:t>Finance Minister may, by legislative instrument, make rules prescribing matters required or permitted by th</w:t>
      </w:r>
      <w:r w:rsidR="00AB5C04">
        <w:t>e CTP</w:t>
      </w:r>
      <w:r w:rsidR="008C4D2C" w:rsidRPr="00977D04">
        <w:t xml:space="preserve"> Act to be prescribed by the rules, or necessary or convenient to be prescribed for carry</w:t>
      </w:r>
      <w:r w:rsidR="00297EE9">
        <w:t>ing out or giving effect to the CTP Act and the PGPA </w:t>
      </w:r>
      <w:r w:rsidR="008C4D2C" w:rsidRPr="00977D04">
        <w:t>Act.</w:t>
      </w:r>
    </w:p>
    <w:p w:rsidR="004816AF" w:rsidRDefault="004816AF" w:rsidP="004816AF"/>
    <w:p w:rsidR="00C874C4" w:rsidRDefault="003167B7" w:rsidP="006471E4">
      <w:pPr>
        <w:rPr>
          <w:lang w:val="en-AU"/>
        </w:rPr>
      </w:pPr>
      <w:r>
        <w:t xml:space="preserve">The </w:t>
      </w:r>
      <w:r w:rsidR="00905230">
        <w:t>OFWBII</w:t>
      </w:r>
      <w:r>
        <w:t xml:space="preserve"> </w:t>
      </w:r>
      <w:r w:rsidR="005C29D9" w:rsidRPr="001F74A6">
        <w:t>Rule</w:t>
      </w:r>
      <w:r w:rsidR="005C29D9">
        <w:t xml:space="preserve"> </w:t>
      </w:r>
      <w:r w:rsidR="00C874C4">
        <w:t>is intended</w:t>
      </w:r>
      <w:r>
        <w:t xml:space="preserve"> to amend the rule instrument</w:t>
      </w:r>
      <w:r w:rsidR="00A609F2">
        <w:t xml:space="preserve"> made </w:t>
      </w:r>
      <w:r w:rsidR="007E6A30">
        <w:t>the</w:t>
      </w:r>
      <w:r w:rsidR="00DE19D0">
        <w:t xml:space="preserve"> PGPA Act and the</w:t>
      </w:r>
      <w:r w:rsidR="007E6A30">
        <w:t xml:space="preserve"> CTP</w:t>
      </w:r>
      <w:r w:rsidR="00DE19D0">
        <w:t xml:space="preserve"> Act.  These instruments are the </w:t>
      </w:r>
      <w:r w:rsidR="00DE19D0">
        <w:rPr>
          <w:i/>
        </w:rPr>
        <w:t xml:space="preserve">Public Governance, Performance and Accountability Rule </w:t>
      </w:r>
      <w:r w:rsidR="00DE19D0" w:rsidRPr="00DE19D0">
        <w:rPr>
          <w:i/>
        </w:rPr>
        <w:t>2014</w:t>
      </w:r>
      <w:r w:rsidR="00DE19D0">
        <w:t xml:space="preserve"> (PGPA Rule) </w:t>
      </w:r>
      <w:r w:rsidR="00DE19D0" w:rsidRPr="00DE19D0">
        <w:t>and</w:t>
      </w:r>
      <w:r w:rsidRPr="003167B7">
        <w:t xml:space="preserve"> </w:t>
      </w:r>
      <w:r>
        <w:t xml:space="preserve">the </w:t>
      </w:r>
      <w:r w:rsidRPr="004310CB">
        <w:rPr>
          <w:i/>
          <w:lang w:val="en-AU"/>
        </w:rPr>
        <w:t>Public Governance, Performance and Accountability (Consequential and Transitional Provisions) Rule 2014</w:t>
      </w:r>
      <w:r>
        <w:rPr>
          <w:lang w:val="en-AU"/>
        </w:rPr>
        <w:t xml:space="preserve"> (CTP Rule),</w:t>
      </w:r>
      <w:r w:rsidR="00A609F2">
        <w:t xml:space="preserve"> to support the implementation of the PGPA legislative framework</w:t>
      </w:r>
      <w:r w:rsidR="00561ED6">
        <w:t xml:space="preserve">.  </w:t>
      </w:r>
    </w:p>
    <w:p w:rsidR="006471E4" w:rsidRPr="00C874C4" w:rsidRDefault="006471E4" w:rsidP="006471E4">
      <w:pPr>
        <w:rPr>
          <w:lang w:val="en-AU"/>
        </w:rPr>
      </w:pPr>
    </w:p>
    <w:p w:rsidR="00C874C4" w:rsidRDefault="00A609F2" w:rsidP="00A609F2">
      <w:pPr>
        <w:spacing w:after="120"/>
        <w:rPr>
          <w:rFonts w:eastAsia="Times New Roman"/>
          <w:color w:val="000000" w:themeColor="text1"/>
          <w:lang w:val="en-AU" w:bidi="ar-SA"/>
        </w:rPr>
      </w:pPr>
      <w:r w:rsidRPr="00977D04">
        <w:t xml:space="preserve">The </w:t>
      </w:r>
      <w:r w:rsidR="00DE19D0">
        <w:t>OFWBII</w:t>
      </w:r>
      <w:r w:rsidR="003167B7">
        <w:t xml:space="preserve"> Rule</w:t>
      </w:r>
      <w:r w:rsidR="00FF2457">
        <w:t xml:space="preserve"> </w:t>
      </w:r>
      <w:r w:rsidRPr="00977D04">
        <w:t xml:space="preserve">contains provisions </w:t>
      </w:r>
      <w:r w:rsidRPr="00977D04">
        <w:rPr>
          <w:rFonts w:eastAsia="Times New Roman"/>
          <w:color w:val="000000" w:themeColor="text1"/>
          <w:lang w:val="en-AU" w:bidi="ar-SA"/>
        </w:rPr>
        <w:t>that:</w:t>
      </w:r>
    </w:p>
    <w:p w:rsidR="003167B7" w:rsidRDefault="003167B7" w:rsidP="003167B7">
      <w:pPr>
        <w:pStyle w:val="ListParagraph"/>
        <w:numPr>
          <w:ilvl w:val="0"/>
          <w:numId w:val="15"/>
        </w:numPr>
        <w:spacing w:after="120"/>
      </w:pPr>
      <w:r>
        <w:t xml:space="preserve">list the </w:t>
      </w:r>
      <w:r w:rsidR="00DE19D0">
        <w:t>Office of the Fair Work Building Industry Inspectorate</w:t>
      </w:r>
      <w:r>
        <w:t xml:space="preserve">, </w:t>
      </w:r>
      <w:r w:rsidR="00A34022">
        <w:t>its</w:t>
      </w:r>
      <w:r>
        <w:t xml:space="preserve"> acco</w:t>
      </w:r>
      <w:r w:rsidR="00A34022">
        <w:t>untable authority and officials</w:t>
      </w:r>
      <w:r>
        <w:t xml:space="preserve"> for the purposes of the PGPA Act; and</w:t>
      </w:r>
    </w:p>
    <w:p w:rsidR="00EA0253" w:rsidRDefault="00EA0253" w:rsidP="00EA0253">
      <w:pPr>
        <w:pStyle w:val="ListParagraph"/>
        <w:numPr>
          <w:ilvl w:val="0"/>
          <w:numId w:val="15"/>
        </w:numPr>
        <w:spacing w:after="120"/>
      </w:pPr>
      <w:r>
        <w:t xml:space="preserve">harmonise </w:t>
      </w:r>
      <w:r w:rsidR="00345121">
        <w:t xml:space="preserve">certain provisions of </w:t>
      </w:r>
      <w:r>
        <w:t xml:space="preserve">the </w:t>
      </w:r>
      <w:r>
        <w:rPr>
          <w:i/>
        </w:rPr>
        <w:t>Fair Work (Building Industry) Act 2012</w:t>
      </w:r>
      <w:r>
        <w:t xml:space="preserve"> with the PGPA Act.</w:t>
      </w:r>
    </w:p>
    <w:p w:rsidR="009C481F" w:rsidRPr="00A34022" w:rsidRDefault="00474C20" w:rsidP="007E6A30">
      <w:pPr>
        <w:rPr>
          <w:b/>
        </w:rPr>
      </w:pPr>
      <w:r w:rsidRPr="00977D04">
        <w:rPr>
          <w:b/>
        </w:rPr>
        <w:t>Human rights implications</w:t>
      </w:r>
    </w:p>
    <w:p w:rsidR="00167E2E" w:rsidRPr="00977D04" w:rsidRDefault="00167E2E" w:rsidP="00D976E6">
      <w:r w:rsidRPr="00977D04">
        <w:t>Th</w:t>
      </w:r>
      <w:r w:rsidR="005503F7" w:rsidRPr="00977D04">
        <w:t>e</w:t>
      </w:r>
      <w:r w:rsidRPr="00977D04">
        <w:t xml:space="preserve"> </w:t>
      </w:r>
      <w:r w:rsidR="0092738C" w:rsidRPr="00977D04">
        <w:t>l</w:t>
      </w:r>
      <w:r w:rsidRPr="00977D04">
        <w:t xml:space="preserve">egislative </w:t>
      </w:r>
      <w:r w:rsidR="0092738C" w:rsidRPr="00977D04">
        <w:t>i</w:t>
      </w:r>
      <w:r w:rsidRPr="00977D04">
        <w:t>nstrument do</w:t>
      </w:r>
      <w:r w:rsidR="005503F7" w:rsidRPr="00977D04">
        <w:t>es</w:t>
      </w:r>
      <w:r w:rsidRPr="00977D04">
        <w:t xml:space="preserve"> not engage any of the applicable rights or freedoms.</w:t>
      </w:r>
    </w:p>
    <w:p w:rsidR="00A609F2" w:rsidRDefault="00A609F2" w:rsidP="00D976E6">
      <w:pPr>
        <w:rPr>
          <w:b/>
        </w:rPr>
      </w:pPr>
    </w:p>
    <w:p w:rsidR="009C481F" w:rsidRPr="00A34022" w:rsidRDefault="00474C20" w:rsidP="00D976E6">
      <w:pPr>
        <w:rPr>
          <w:b/>
        </w:rPr>
      </w:pPr>
      <w:r w:rsidRPr="00977D04">
        <w:rPr>
          <w:b/>
        </w:rPr>
        <w:t>Conclusion</w:t>
      </w:r>
    </w:p>
    <w:p w:rsidR="00B328B9" w:rsidRPr="00977D04" w:rsidRDefault="00167E2E" w:rsidP="00D976E6">
      <w:r w:rsidRPr="00977D04">
        <w:t>Th</w:t>
      </w:r>
      <w:r w:rsidR="005503F7" w:rsidRPr="00977D04">
        <w:t>e</w:t>
      </w:r>
      <w:r w:rsidRPr="00977D04">
        <w:t xml:space="preserve"> </w:t>
      </w:r>
      <w:r w:rsidR="0092738C" w:rsidRPr="00977D04">
        <w:t>l</w:t>
      </w:r>
      <w:r w:rsidRPr="00977D04">
        <w:t xml:space="preserve">egislative </w:t>
      </w:r>
      <w:r w:rsidR="0092738C" w:rsidRPr="00977D04">
        <w:t>i</w:t>
      </w:r>
      <w:r w:rsidRPr="00977D04">
        <w:t>nstrumen</w:t>
      </w:r>
      <w:r w:rsidR="006A6ED3" w:rsidRPr="00977D04">
        <w:t>t</w:t>
      </w:r>
      <w:r w:rsidR="005503F7" w:rsidRPr="00977D04">
        <w:t xml:space="preserve"> i</w:t>
      </w:r>
      <w:r w:rsidR="006A6ED3" w:rsidRPr="00977D04">
        <w:t>s</w:t>
      </w:r>
      <w:r w:rsidRPr="00977D04">
        <w:t xml:space="preserve"> compatible with human rights as </w:t>
      </w:r>
      <w:r w:rsidR="0092738C" w:rsidRPr="00977D04">
        <w:t xml:space="preserve">it </w:t>
      </w:r>
      <w:r w:rsidR="001C68FE" w:rsidRPr="00977D04">
        <w:t>do</w:t>
      </w:r>
      <w:r w:rsidR="0092738C" w:rsidRPr="00977D04">
        <w:t>es</w:t>
      </w:r>
      <w:r w:rsidR="001C68FE" w:rsidRPr="00977D04">
        <w:t xml:space="preserve"> </w:t>
      </w:r>
      <w:r w:rsidRPr="00977D04">
        <w:t>not</w:t>
      </w:r>
      <w:r w:rsidR="00C874C4">
        <w:t xml:space="preserve"> raise any human rights issues.</w:t>
      </w:r>
    </w:p>
    <w:p w:rsidR="00661056" w:rsidRPr="00977D04" w:rsidRDefault="00661056" w:rsidP="00661056">
      <w:pPr>
        <w:pStyle w:val="paranumbering0"/>
        <w:spacing w:before="0" w:beforeAutospacing="0" w:after="0" w:afterAutospacing="0"/>
        <w:jc w:val="center"/>
        <w:rPr>
          <w:b/>
        </w:rPr>
      </w:pPr>
      <w:r w:rsidRPr="00977D04">
        <w:rPr>
          <w:b/>
        </w:rPr>
        <w:t>Senator the Hon Mathias Cormann</w:t>
      </w:r>
    </w:p>
    <w:p w:rsidR="00BE3437" w:rsidRPr="00DE19D0" w:rsidRDefault="00661056" w:rsidP="00DE19D0">
      <w:pPr>
        <w:pStyle w:val="paranumbering0"/>
        <w:spacing w:before="0" w:beforeAutospacing="0" w:after="0" w:afterAutospacing="0"/>
        <w:jc w:val="center"/>
        <w:rPr>
          <w:b/>
        </w:rPr>
      </w:pPr>
      <w:r w:rsidRPr="00977D04">
        <w:rPr>
          <w:b/>
        </w:rPr>
        <w:t>Minister for Finance</w:t>
      </w:r>
    </w:p>
    <w:sectPr w:rsidR="00BE3437" w:rsidRPr="00DE19D0" w:rsidSect="00AE08B4">
      <w:pgSz w:w="11906" w:h="16838"/>
      <w:pgMar w:top="1440" w:right="1440" w:bottom="1440" w:left="1440" w:header="708" w:footer="51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6CF" w:rsidRDefault="00E176CF" w:rsidP="00D976E6">
      <w:r>
        <w:separator/>
      </w:r>
    </w:p>
    <w:p w:rsidR="00E176CF" w:rsidRDefault="00E176CF" w:rsidP="00D976E6"/>
  </w:endnote>
  <w:endnote w:type="continuationSeparator" w:id="0">
    <w:p w:rsidR="00E176CF" w:rsidRDefault="00E176CF" w:rsidP="00D976E6">
      <w:r>
        <w:continuationSeparator/>
      </w:r>
    </w:p>
    <w:p w:rsidR="00E176CF" w:rsidRDefault="00E176CF" w:rsidP="00D976E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6CF" w:rsidRDefault="00E176CF" w:rsidP="00D976E6">
      <w:r>
        <w:separator/>
      </w:r>
    </w:p>
    <w:p w:rsidR="00E176CF" w:rsidRDefault="00E176CF" w:rsidP="00D976E6"/>
  </w:footnote>
  <w:footnote w:type="continuationSeparator" w:id="0">
    <w:p w:rsidR="00E176CF" w:rsidRDefault="00E176CF" w:rsidP="00D976E6">
      <w:r>
        <w:continuationSeparator/>
      </w:r>
    </w:p>
    <w:p w:rsidR="00E176CF" w:rsidRDefault="00E176CF" w:rsidP="00D976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414669"/>
      <w:docPartObj>
        <w:docPartGallery w:val="Page Numbers (Top of Page)"/>
        <w:docPartUnique/>
      </w:docPartObj>
    </w:sdtPr>
    <w:sdtContent>
      <w:p w:rsidR="00E176CF" w:rsidRDefault="00B417A3">
        <w:pPr>
          <w:pStyle w:val="Header"/>
          <w:jc w:val="center"/>
        </w:pPr>
        <w:fldSimple w:instr=" PAGE   \* MERGEFORMAT ">
          <w:r w:rsidR="00C96A52">
            <w:rPr>
              <w:noProof/>
            </w:rPr>
            <w:t>2</w:t>
          </w:r>
        </w:fldSimple>
      </w:p>
    </w:sdtContent>
  </w:sdt>
  <w:p w:rsidR="00E176CF" w:rsidRDefault="00E176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6691"/>
      <w:docPartObj>
        <w:docPartGallery w:val="Page Numbers (Top of Page)"/>
        <w:docPartUnique/>
      </w:docPartObj>
    </w:sdtPr>
    <w:sdtContent>
      <w:p w:rsidR="00E176CF" w:rsidRDefault="00B417A3">
        <w:pPr>
          <w:pStyle w:val="Header"/>
          <w:jc w:val="center"/>
        </w:pPr>
        <w:fldSimple w:instr=" PAGE   \* MERGEFORMAT ">
          <w:r w:rsidR="00C96A52">
            <w:rPr>
              <w:noProof/>
            </w:rPr>
            <w:t>3</w:t>
          </w:r>
        </w:fldSimple>
      </w:p>
    </w:sdtContent>
  </w:sdt>
  <w:p w:rsidR="00E176CF" w:rsidRPr="0054075E" w:rsidRDefault="00E176CF" w:rsidP="005407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031"/>
    <w:multiLevelType w:val="hybridMultilevel"/>
    <w:tmpl w:val="15FCD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CD3AFC"/>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FAE497E"/>
    <w:multiLevelType w:val="hybridMultilevel"/>
    <w:tmpl w:val="4B12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04248B"/>
    <w:multiLevelType w:val="hybridMultilevel"/>
    <w:tmpl w:val="3298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0F213D"/>
    <w:multiLevelType w:val="hybridMultilevel"/>
    <w:tmpl w:val="AEE8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1B0648"/>
    <w:multiLevelType w:val="hybridMultilevel"/>
    <w:tmpl w:val="5380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666CDE"/>
    <w:multiLevelType w:val="hybridMultilevel"/>
    <w:tmpl w:val="C21C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11697D"/>
    <w:multiLevelType w:val="hybridMultilevel"/>
    <w:tmpl w:val="376A4044"/>
    <w:lvl w:ilvl="0" w:tplc="ADF8B48A">
      <w:start w:val="1"/>
      <w:numFmt w:val="bullet"/>
      <w:lvlText w:val=""/>
      <w:lvlJc w:val="left"/>
      <w:pPr>
        <w:ind w:left="720" w:hanging="360"/>
      </w:pPr>
      <w:rPr>
        <w:rFonts w:ascii="Symbol" w:hAnsi="Symbol" w:hint="default"/>
      </w:rPr>
    </w:lvl>
    <w:lvl w:ilvl="1" w:tplc="0C09000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8">
    <w:nsid w:val="22F546B2"/>
    <w:multiLevelType w:val="hybridMultilevel"/>
    <w:tmpl w:val="9D949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6B2655"/>
    <w:multiLevelType w:val="hybridMultilevel"/>
    <w:tmpl w:val="6E2AC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1823EE"/>
    <w:multiLevelType w:val="hybridMultilevel"/>
    <w:tmpl w:val="55A406C2"/>
    <w:lvl w:ilvl="0" w:tplc="F176C90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C93026"/>
    <w:multiLevelType w:val="hybridMultilevel"/>
    <w:tmpl w:val="7BC834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4E7879"/>
    <w:multiLevelType w:val="hybridMultilevel"/>
    <w:tmpl w:val="0CE2A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C0D2622"/>
    <w:multiLevelType w:val="hybridMultilevel"/>
    <w:tmpl w:val="1C6E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1B3D1C"/>
    <w:multiLevelType w:val="hybridMultilevel"/>
    <w:tmpl w:val="2896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8F1422"/>
    <w:multiLevelType w:val="hybridMultilevel"/>
    <w:tmpl w:val="057A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1F6947"/>
    <w:multiLevelType w:val="hybridMultilevel"/>
    <w:tmpl w:val="2E1AFA2E"/>
    <w:lvl w:ilvl="0" w:tplc="0C090001">
      <w:start w:val="1"/>
      <w:numFmt w:val="bullet"/>
      <w:lvlText w:val=""/>
      <w:lvlJc w:val="left"/>
      <w:pPr>
        <w:ind w:left="2718" w:hanging="360"/>
      </w:pPr>
      <w:rPr>
        <w:rFonts w:ascii="Symbol" w:hAnsi="Symbol" w:hint="default"/>
      </w:rPr>
    </w:lvl>
    <w:lvl w:ilvl="1" w:tplc="0C090003">
      <w:start w:val="1"/>
      <w:numFmt w:val="bullet"/>
      <w:lvlText w:val="o"/>
      <w:lvlJc w:val="left"/>
      <w:pPr>
        <w:ind w:left="3438" w:hanging="360"/>
      </w:pPr>
      <w:rPr>
        <w:rFonts w:ascii="Courier New" w:hAnsi="Courier New" w:cs="Courier New" w:hint="default"/>
      </w:rPr>
    </w:lvl>
    <w:lvl w:ilvl="2" w:tplc="0C090005" w:tentative="1">
      <w:start w:val="1"/>
      <w:numFmt w:val="bullet"/>
      <w:lvlText w:val=""/>
      <w:lvlJc w:val="left"/>
      <w:pPr>
        <w:ind w:left="4158" w:hanging="360"/>
      </w:pPr>
      <w:rPr>
        <w:rFonts w:ascii="Wingdings" w:hAnsi="Wingdings" w:hint="default"/>
      </w:rPr>
    </w:lvl>
    <w:lvl w:ilvl="3" w:tplc="0C090001" w:tentative="1">
      <w:start w:val="1"/>
      <w:numFmt w:val="bullet"/>
      <w:lvlText w:val=""/>
      <w:lvlJc w:val="left"/>
      <w:pPr>
        <w:ind w:left="4878" w:hanging="360"/>
      </w:pPr>
      <w:rPr>
        <w:rFonts w:ascii="Symbol" w:hAnsi="Symbol" w:hint="default"/>
      </w:rPr>
    </w:lvl>
    <w:lvl w:ilvl="4" w:tplc="0C090003" w:tentative="1">
      <w:start w:val="1"/>
      <w:numFmt w:val="bullet"/>
      <w:lvlText w:val="o"/>
      <w:lvlJc w:val="left"/>
      <w:pPr>
        <w:ind w:left="5598" w:hanging="360"/>
      </w:pPr>
      <w:rPr>
        <w:rFonts w:ascii="Courier New" w:hAnsi="Courier New" w:cs="Courier New" w:hint="default"/>
      </w:rPr>
    </w:lvl>
    <w:lvl w:ilvl="5" w:tplc="0C090005" w:tentative="1">
      <w:start w:val="1"/>
      <w:numFmt w:val="bullet"/>
      <w:lvlText w:val=""/>
      <w:lvlJc w:val="left"/>
      <w:pPr>
        <w:ind w:left="6318" w:hanging="360"/>
      </w:pPr>
      <w:rPr>
        <w:rFonts w:ascii="Wingdings" w:hAnsi="Wingdings" w:hint="default"/>
      </w:rPr>
    </w:lvl>
    <w:lvl w:ilvl="6" w:tplc="0C090001" w:tentative="1">
      <w:start w:val="1"/>
      <w:numFmt w:val="bullet"/>
      <w:lvlText w:val=""/>
      <w:lvlJc w:val="left"/>
      <w:pPr>
        <w:ind w:left="7038" w:hanging="360"/>
      </w:pPr>
      <w:rPr>
        <w:rFonts w:ascii="Symbol" w:hAnsi="Symbol" w:hint="default"/>
      </w:rPr>
    </w:lvl>
    <w:lvl w:ilvl="7" w:tplc="0C090003" w:tentative="1">
      <w:start w:val="1"/>
      <w:numFmt w:val="bullet"/>
      <w:lvlText w:val="o"/>
      <w:lvlJc w:val="left"/>
      <w:pPr>
        <w:ind w:left="7758" w:hanging="360"/>
      </w:pPr>
      <w:rPr>
        <w:rFonts w:ascii="Courier New" w:hAnsi="Courier New" w:cs="Courier New" w:hint="default"/>
      </w:rPr>
    </w:lvl>
    <w:lvl w:ilvl="8" w:tplc="0C090005" w:tentative="1">
      <w:start w:val="1"/>
      <w:numFmt w:val="bullet"/>
      <w:lvlText w:val=""/>
      <w:lvlJc w:val="left"/>
      <w:pPr>
        <w:ind w:left="8478" w:hanging="360"/>
      </w:pPr>
      <w:rPr>
        <w:rFonts w:ascii="Wingdings" w:hAnsi="Wingdings" w:hint="default"/>
      </w:rPr>
    </w:lvl>
  </w:abstractNum>
  <w:abstractNum w:abstractNumId="17">
    <w:nsid w:val="428F39F1"/>
    <w:multiLevelType w:val="hybridMultilevel"/>
    <w:tmpl w:val="00843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6A1B10"/>
    <w:multiLevelType w:val="hybridMultilevel"/>
    <w:tmpl w:val="42088F62"/>
    <w:lvl w:ilvl="0" w:tplc="0C09000F">
      <w:start w:val="1"/>
      <w:numFmt w:val="decimal"/>
      <w:lvlText w:val="%1."/>
      <w:lvlJc w:val="left"/>
      <w:pPr>
        <w:ind w:left="360" w:hanging="360"/>
      </w:pPr>
    </w:lvl>
    <w:lvl w:ilvl="1" w:tplc="07F0C41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4CF04FB0"/>
    <w:multiLevelType w:val="hybridMultilevel"/>
    <w:tmpl w:val="878C6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24E3A18"/>
    <w:multiLevelType w:val="hybridMultilevel"/>
    <w:tmpl w:val="963CF9CE"/>
    <w:lvl w:ilvl="0" w:tplc="AFDC0F36">
      <w:start w:val="1"/>
      <w:numFmt w:val="bullet"/>
      <w:pStyle w:val="Normal1"/>
      <w:lvlText w:val=""/>
      <w:lvlJc w:val="left"/>
      <w:pPr>
        <w:ind w:left="720" w:hanging="360"/>
      </w:pPr>
      <w:rPr>
        <w:rFonts w:ascii="Symbol" w:hAnsi="Symbol" w:hint="default"/>
        <w:color w:val="auto"/>
      </w:rPr>
    </w:lvl>
    <w:lvl w:ilvl="1" w:tplc="FB00C5A4">
      <w:start w:val="1"/>
      <w:numFmt w:val="bullet"/>
      <w:pStyle w:val="Style5"/>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2E2032"/>
    <w:multiLevelType w:val="hybridMultilevel"/>
    <w:tmpl w:val="1B2E2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64B5657"/>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D112858"/>
    <w:multiLevelType w:val="hybridMultilevel"/>
    <w:tmpl w:val="F382560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nsid w:val="5DBA7EFB"/>
    <w:multiLevelType w:val="hybridMultilevel"/>
    <w:tmpl w:val="5B8A3F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5E2871E8"/>
    <w:multiLevelType w:val="hybridMultilevel"/>
    <w:tmpl w:val="5958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7E32F79"/>
    <w:multiLevelType w:val="hybridMultilevel"/>
    <w:tmpl w:val="E2B02A8A"/>
    <w:lvl w:ilvl="0" w:tplc="5DBA05AA">
      <w:start w:val="1"/>
      <w:numFmt w:val="decimal"/>
      <w:lvlText w:val="%1."/>
      <w:lvlJc w:val="left"/>
      <w:pPr>
        <w:ind w:left="1854" w:hanging="360"/>
      </w:pPr>
      <w:rPr>
        <w:rFonts w:hint="default"/>
        <w:b w:val="0"/>
        <w:i w:val="0"/>
      </w:rPr>
    </w:lvl>
    <w:lvl w:ilvl="1" w:tplc="0C090001">
      <w:start w:val="1"/>
      <w:numFmt w:val="decimal"/>
      <w:lvlText w:val="%2."/>
      <w:lvlJc w:val="left"/>
      <w:pPr>
        <w:tabs>
          <w:tab w:val="num" w:pos="2574"/>
        </w:tabs>
        <w:ind w:left="2574" w:hanging="360"/>
      </w:pPr>
    </w:lvl>
    <w:lvl w:ilvl="2" w:tplc="0C09001B">
      <w:start w:val="1"/>
      <w:numFmt w:val="decimal"/>
      <w:lvlText w:val="%3."/>
      <w:lvlJc w:val="left"/>
      <w:pPr>
        <w:tabs>
          <w:tab w:val="num" w:pos="3294"/>
        </w:tabs>
        <w:ind w:left="3294" w:hanging="360"/>
      </w:pPr>
    </w:lvl>
    <w:lvl w:ilvl="3" w:tplc="0C09000F">
      <w:start w:val="1"/>
      <w:numFmt w:val="decimal"/>
      <w:lvlText w:val="%4."/>
      <w:lvlJc w:val="left"/>
      <w:pPr>
        <w:tabs>
          <w:tab w:val="num" w:pos="4014"/>
        </w:tabs>
        <w:ind w:left="4014" w:hanging="360"/>
      </w:pPr>
    </w:lvl>
    <w:lvl w:ilvl="4" w:tplc="0C090019">
      <w:start w:val="1"/>
      <w:numFmt w:val="decimal"/>
      <w:lvlText w:val="%5."/>
      <w:lvlJc w:val="left"/>
      <w:pPr>
        <w:tabs>
          <w:tab w:val="num" w:pos="4734"/>
        </w:tabs>
        <w:ind w:left="4734" w:hanging="360"/>
      </w:pPr>
    </w:lvl>
    <w:lvl w:ilvl="5" w:tplc="0C09001B">
      <w:start w:val="1"/>
      <w:numFmt w:val="decimal"/>
      <w:lvlText w:val="%6."/>
      <w:lvlJc w:val="left"/>
      <w:pPr>
        <w:tabs>
          <w:tab w:val="num" w:pos="5454"/>
        </w:tabs>
        <w:ind w:left="5454" w:hanging="360"/>
      </w:pPr>
    </w:lvl>
    <w:lvl w:ilvl="6" w:tplc="0C09000F">
      <w:start w:val="1"/>
      <w:numFmt w:val="decimal"/>
      <w:lvlText w:val="%7."/>
      <w:lvlJc w:val="left"/>
      <w:pPr>
        <w:tabs>
          <w:tab w:val="num" w:pos="6174"/>
        </w:tabs>
        <w:ind w:left="6174" w:hanging="360"/>
      </w:pPr>
    </w:lvl>
    <w:lvl w:ilvl="7" w:tplc="0C090019">
      <w:start w:val="1"/>
      <w:numFmt w:val="decimal"/>
      <w:lvlText w:val="%8."/>
      <w:lvlJc w:val="left"/>
      <w:pPr>
        <w:tabs>
          <w:tab w:val="num" w:pos="6894"/>
        </w:tabs>
        <w:ind w:left="6894" w:hanging="360"/>
      </w:pPr>
    </w:lvl>
    <w:lvl w:ilvl="8" w:tplc="0C09001B">
      <w:start w:val="1"/>
      <w:numFmt w:val="decimal"/>
      <w:lvlText w:val="%9."/>
      <w:lvlJc w:val="left"/>
      <w:pPr>
        <w:tabs>
          <w:tab w:val="num" w:pos="7614"/>
        </w:tabs>
        <w:ind w:left="7614" w:hanging="360"/>
      </w:pPr>
    </w:lvl>
  </w:abstractNum>
  <w:abstractNum w:abstractNumId="27">
    <w:nsid w:val="6A7E2E8A"/>
    <w:multiLevelType w:val="hybridMultilevel"/>
    <w:tmpl w:val="4DCCDC9C"/>
    <w:lvl w:ilvl="0" w:tplc="7288685A">
      <w:start w:val="2"/>
      <w:numFmt w:val="decimal"/>
      <w:lvlText w:val="%1."/>
      <w:lvlJc w:val="left"/>
      <w:pPr>
        <w:ind w:left="360" w:hanging="360"/>
      </w:pPr>
      <w:rPr>
        <w:rFonts w:hint="default"/>
        <w:b w:val="0"/>
        <w:color w:val="auto"/>
      </w:rPr>
    </w:lvl>
    <w:lvl w:ilvl="1" w:tplc="823CB3F4">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AEF0FE8"/>
    <w:multiLevelType w:val="hybridMultilevel"/>
    <w:tmpl w:val="B47C7A96"/>
    <w:lvl w:ilvl="0" w:tplc="0C090001">
      <w:start w:val="1"/>
      <w:numFmt w:val="decimal"/>
      <w:lvlText w:val="%1."/>
      <w:lvlJc w:val="left"/>
      <w:pPr>
        <w:ind w:left="786" w:hanging="360"/>
      </w:pPr>
    </w:lvl>
    <w:lvl w:ilvl="1" w:tplc="0C090003">
      <w:start w:val="1"/>
      <w:numFmt w:val="bullet"/>
      <w:lvlText w:val=""/>
      <w:lvlJc w:val="left"/>
      <w:pPr>
        <w:ind w:left="1440" w:hanging="360"/>
      </w:pPr>
      <w:rPr>
        <w:rFonts w:ascii="Symbol" w:hAnsi="Symbol" w:hint="default"/>
      </w:rPr>
    </w:lvl>
    <w:lvl w:ilvl="2" w:tplc="0C090005">
      <w:numFmt w:val="bullet"/>
      <w:lvlText w:val="•"/>
      <w:lvlJc w:val="left"/>
      <w:pPr>
        <w:ind w:left="2700" w:hanging="720"/>
      </w:pPr>
      <w:rPr>
        <w:rFonts w:ascii="Calibri" w:eastAsiaTheme="minorHAnsi" w:hAnsi="Calibri" w:cstheme="minorBidi" w:hint="default"/>
      </w:r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9">
    <w:nsid w:val="7070388C"/>
    <w:multiLevelType w:val="hybridMultilevel"/>
    <w:tmpl w:val="06E24C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73704D8D"/>
    <w:multiLevelType w:val="hybridMultilevel"/>
    <w:tmpl w:val="C8E44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B4C7752"/>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BC20DEC"/>
    <w:multiLevelType w:val="hybridMultilevel"/>
    <w:tmpl w:val="7CA2BFA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nsid w:val="7D161472"/>
    <w:multiLevelType w:val="hybridMultilevel"/>
    <w:tmpl w:val="41A02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1"/>
  </w:num>
  <w:num w:numId="4">
    <w:abstractNumId w:val="12"/>
  </w:num>
  <w:num w:numId="5">
    <w:abstractNumId w:val="3"/>
  </w:num>
  <w:num w:numId="6">
    <w:abstractNumId w:val="33"/>
  </w:num>
  <w:num w:numId="7">
    <w:abstractNumId w:val="0"/>
  </w:num>
  <w:num w:numId="8">
    <w:abstractNumId w:val="13"/>
  </w:num>
  <w:num w:numId="9">
    <w:abstractNumId w:val="14"/>
  </w:num>
  <w:num w:numId="10">
    <w:abstractNumId w:val="8"/>
  </w:num>
  <w:num w:numId="11">
    <w:abstractNumId w:val="4"/>
  </w:num>
  <w:num w:numId="12">
    <w:abstractNumId w:val="6"/>
  </w:num>
  <w:num w:numId="13">
    <w:abstractNumId w:val="17"/>
  </w:num>
  <w:num w:numId="14">
    <w:abstractNumId w:val="9"/>
  </w:num>
  <w:num w:numId="15">
    <w:abstractNumId w:val="19"/>
  </w:num>
  <w:num w:numId="16">
    <w:abstractNumId w:val="25"/>
  </w:num>
  <w:num w:numId="17">
    <w:abstractNumId w:val="5"/>
  </w:num>
  <w:num w:numId="18">
    <w:abstractNumId w:val="31"/>
  </w:num>
  <w:num w:numId="19">
    <w:abstractNumId w:val="22"/>
  </w:num>
  <w:num w:numId="20">
    <w:abstractNumId w:val="28"/>
  </w:num>
  <w:num w:numId="21">
    <w:abstractNumId w:val="16"/>
  </w:num>
  <w:num w:numId="22">
    <w:abstractNumId w:val="10"/>
  </w:num>
  <w:num w:numId="23">
    <w:abstractNumId w:val="1"/>
  </w:num>
  <w:num w:numId="24">
    <w:abstractNumId w:val="2"/>
  </w:num>
  <w:num w:numId="25">
    <w:abstractNumId w:val="29"/>
  </w:num>
  <w:num w:numId="26">
    <w:abstractNumId w:val="24"/>
  </w:num>
  <w:num w:numId="27">
    <w:abstractNumId w:val="30"/>
  </w:num>
  <w:num w:numId="28">
    <w:abstractNumId w:val="15"/>
  </w:num>
  <w:num w:numId="29">
    <w:abstractNumId w:val="26"/>
  </w:num>
  <w:num w:numId="30">
    <w:abstractNumId w:val="7"/>
  </w:num>
  <w:num w:numId="31">
    <w:abstractNumId w:val="27"/>
  </w:num>
  <w:num w:numId="32">
    <w:abstractNumId w:val="23"/>
  </w:num>
  <w:num w:numId="33">
    <w:abstractNumId w:val="20"/>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83969"/>
  </w:hdrShapeDefaults>
  <w:footnotePr>
    <w:footnote w:id="-1"/>
    <w:footnote w:id="0"/>
  </w:footnotePr>
  <w:endnotePr>
    <w:endnote w:id="-1"/>
    <w:endnote w:id="0"/>
  </w:endnotePr>
  <w:compat>
    <w:useFELayout/>
  </w:compat>
  <w:rsids>
    <w:rsidRoot w:val="00452D0D"/>
    <w:rsid w:val="00000A08"/>
    <w:rsid w:val="000034CC"/>
    <w:rsid w:val="000043E7"/>
    <w:rsid w:val="00005815"/>
    <w:rsid w:val="0000625E"/>
    <w:rsid w:val="00007FE2"/>
    <w:rsid w:val="0001085E"/>
    <w:rsid w:val="0001195F"/>
    <w:rsid w:val="00011FEC"/>
    <w:rsid w:val="00012890"/>
    <w:rsid w:val="000128B4"/>
    <w:rsid w:val="0001494F"/>
    <w:rsid w:val="00016A7B"/>
    <w:rsid w:val="00016E00"/>
    <w:rsid w:val="00021B4D"/>
    <w:rsid w:val="00021D8B"/>
    <w:rsid w:val="00021EF2"/>
    <w:rsid w:val="00022030"/>
    <w:rsid w:val="00022317"/>
    <w:rsid w:val="00023434"/>
    <w:rsid w:val="000261AD"/>
    <w:rsid w:val="00026944"/>
    <w:rsid w:val="00026BC5"/>
    <w:rsid w:val="0003418C"/>
    <w:rsid w:val="00034E7B"/>
    <w:rsid w:val="00035FE8"/>
    <w:rsid w:val="00037239"/>
    <w:rsid w:val="000373C0"/>
    <w:rsid w:val="00037A61"/>
    <w:rsid w:val="00040627"/>
    <w:rsid w:val="0004247F"/>
    <w:rsid w:val="00042B38"/>
    <w:rsid w:val="000433F3"/>
    <w:rsid w:val="00044073"/>
    <w:rsid w:val="000465AC"/>
    <w:rsid w:val="00050EC4"/>
    <w:rsid w:val="000512E1"/>
    <w:rsid w:val="00051C48"/>
    <w:rsid w:val="00053353"/>
    <w:rsid w:val="00053B13"/>
    <w:rsid w:val="0005407E"/>
    <w:rsid w:val="000554B7"/>
    <w:rsid w:val="00057D2F"/>
    <w:rsid w:val="0006098E"/>
    <w:rsid w:val="00061B95"/>
    <w:rsid w:val="00063152"/>
    <w:rsid w:val="00064FA4"/>
    <w:rsid w:val="00066013"/>
    <w:rsid w:val="000678F3"/>
    <w:rsid w:val="000717A8"/>
    <w:rsid w:val="000718DC"/>
    <w:rsid w:val="00071FEE"/>
    <w:rsid w:val="00076A90"/>
    <w:rsid w:val="00076B6F"/>
    <w:rsid w:val="0007737C"/>
    <w:rsid w:val="00077550"/>
    <w:rsid w:val="000801D8"/>
    <w:rsid w:val="00080476"/>
    <w:rsid w:val="00080A2B"/>
    <w:rsid w:val="0008188E"/>
    <w:rsid w:val="00085E21"/>
    <w:rsid w:val="00090136"/>
    <w:rsid w:val="00090756"/>
    <w:rsid w:val="00091186"/>
    <w:rsid w:val="00093909"/>
    <w:rsid w:val="000969F7"/>
    <w:rsid w:val="00097075"/>
    <w:rsid w:val="000A5518"/>
    <w:rsid w:val="000A5D25"/>
    <w:rsid w:val="000A6F15"/>
    <w:rsid w:val="000B09EC"/>
    <w:rsid w:val="000B280B"/>
    <w:rsid w:val="000B332F"/>
    <w:rsid w:val="000B64FC"/>
    <w:rsid w:val="000B693D"/>
    <w:rsid w:val="000B7217"/>
    <w:rsid w:val="000C009F"/>
    <w:rsid w:val="000C0E45"/>
    <w:rsid w:val="000C1985"/>
    <w:rsid w:val="000C2407"/>
    <w:rsid w:val="000D076A"/>
    <w:rsid w:val="000D0AB1"/>
    <w:rsid w:val="000D15D9"/>
    <w:rsid w:val="000D2ED1"/>
    <w:rsid w:val="000D455D"/>
    <w:rsid w:val="000D4F6A"/>
    <w:rsid w:val="000D5C03"/>
    <w:rsid w:val="000D67F0"/>
    <w:rsid w:val="000E0B88"/>
    <w:rsid w:val="000E3A7C"/>
    <w:rsid w:val="000E540D"/>
    <w:rsid w:val="000E54FC"/>
    <w:rsid w:val="000F1205"/>
    <w:rsid w:val="000F1F20"/>
    <w:rsid w:val="000F687D"/>
    <w:rsid w:val="000F6A2C"/>
    <w:rsid w:val="000F7101"/>
    <w:rsid w:val="001019A4"/>
    <w:rsid w:val="00103D96"/>
    <w:rsid w:val="00104D0C"/>
    <w:rsid w:val="00106AFA"/>
    <w:rsid w:val="0011290B"/>
    <w:rsid w:val="00114A68"/>
    <w:rsid w:val="00117851"/>
    <w:rsid w:val="001220A9"/>
    <w:rsid w:val="00125A1D"/>
    <w:rsid w:val="00132DCA"/>
    <w:rsid w:val="00132F9A"/>
    <w:rsid w:val="00134A1D"/>
    <w:rsid w:val="0013538B"/>
    <w:rsid w:val="00135B9F"/>
    <w:rsid w:val="00140166"/>
    <w:rsid w:val="0014024E"/>
    <w:rsid w:val="00144068"/>
    <w:rsid w:val="00144EA6"/>
    <w:rsid w:val="00146231"/>
    <w:rsid w:val="00146277"/>
    <w:rsid w:val="0014629D"/>
    <w:rsid w:val="00157EBE"/>
    <w:rsid w:val="001616B6"/>
    <w:rsid w:val="0016392F"/>
    <w:rsid w:val="00163ADB"/>
    <w:rsid w:val="0016479C"/>
    <w:rsid w:val="001647FC"/>
    <w:rsid w:val="00165F95"/>
    <w:rsid w:val="001677F9"/>
    <w:rsid w:val="00167E2E"/>
    <w:rsid w:val="00170890"/>
    <w:rsid w:val="001709E7"/>
    <w:rsid w:val="00176D5D"/>
    <w:rsid w:val="00177D59"/>
    <w:rsid w:val="00180197"/>
    <w:rsid w:val="0018067C"/>
    <w:rsid w:val="0018527C"/>
    <w:rsid w:val="00185E46"/>
    <w:rsid w:val="001861C4"/>
    <w:rsid w:val="00186FE6"/>
    <w:rsid w:val="00191999"/>
    <w:rsid w:val="00191A27"/>
    <w:rsid w:val="00195261"/>
    <w:rsid w:val="00196919"/>
    <w:rsid w:val="0019709B"/>
    <w:rsid w:val="00197283"/>
    <w:rsid w:val="00197F02"/>
    <w:rsid w:val="001A019D"/>
    <w:rsid w:val="001A06F8"/>
    <w:rsid w:val="001A09DE"/>
    <w:rsid w:val="001A1EBC"/>
    <w:rsid w:val="001A228A"/>
    <w:rsid w:val="001A60F4"/>
    <w:rsid w:val="001A745A"/>
    <w:rsid w:val="001B18DD"/>
    <w:rsid w:val="001B24D6"/>
    <w:rsid w:val="001B2F5D"/>
    <w:rsid w:val="001B7ECD"/>
    <w:rsid w:val="001C0A53"/>
    <w:rsid w:val="001C0D33"/>
    <w:rsid w:val="001C2785"/>
    <w:rsid w:val="001C2D98"/>
    <w:rsid w:val="001C3154"/>
    <w:rsid w:val="001C4F31"/>
    <w:rsid w:val="001C57A1"/>
    <w:rsid w:val="001C5E34"/>
    <w:rsid w:val="001C612A"/>
    <w:rsid w:val="001C68FE"/>
    <w:rsid w:val="001D182C"/>
    <w:rsid w:val="001D1914"/>
    <w:rsid w:val="001D551C"/>
    <w:rsid w:val="001D638D"/>
    <w:rsid w:val="001D6578"/>
    <w:rsid w:val="001D73B8"/>
    <w:rsid w:val="001D7E5A"/>
    <w:rsid w:val="001E087F"/>
    <w:rsid w:val="001E0982"/>
    <w:rsid w:val="001E1224"/>
    <w:rsid w:val="001E34BC"/>
    <w:rsid w:val="001E40D6"/>
    <w:rsid w:val="001E4518"/>
    <w:rsid w:val="001E4CEA"/>
    <w:rsid w:val="001E5E26"/>
    <w:rsid w:val="001E75C1"/>
    <w:rsid w:val="001F07AD"/>
    <w:rsid w:val="001F2529"/>
    <w:rsid w:val="001F400C"/>
    <w:rsid w:val="001F5359"/>
    <w:rsid w:val="001F590C"/>
    <w:rsid w:val="001F687E"/>
    <w:rsid w:val="001F72A9"/>
    <w:rsid w:val="001F74A6"/>
    <w:rsid w:val="002032FC"/>
    <w:rsid w:val="00203F10"/>
    <w:rsid w:val="0020484A"/>
    <w:rsid w:val="00206192"/>
    <w:rsid w:val="00206508"/>
    <w:rsid w:val="00206C2D"/>
    <w:rsid w:val="00207B5F"/>
    <w:rsid w:val="00207C29"/>
    <w:rsid w:val="00210EFB"/>
    <w:rsid w:val="0021459A"/>
    <w:rsid w:val="00216919"/>
    <w:rsid w:val="0021740E"/>
    <w:rsid w:val="00220F02"/>
    <w:rsid w:val="002226FB"/>
    <w:rsid w:val="00222981"/>
    <w:rsid w:val="00222F07"/>
    <w:rsid w:val="00223932"/>
    <w:rsid w:val="0022412F"/>
    <w:rsid w:val="002246AE"/>
    <w:rsid w:val="002265B9"/>
    <w:rsid w:val="002272EA"/>
    <w:rsid w:val="00233481"/>
    <w:rsid w:val="00236791"/>
    <w:rsid w:val="00243BAA"/>
    <w:rsid w:val="00246632"/>
    <w:rsid w:val="00251841"/>
    <w:rsid w:val="0025196F"/>
    <w:rsid w:val="002519C6"/>
    <w:rsid w:val="00257472"/>
    <w:rsid w:val="00260183"/>
    <w:rsid w:val="002609DC"/>
    <w:rsid w:val="00261293"/>
    <w:rsid w:val="002616FA"/>
    <w:rsid w:val="00261B84"/>
    <w:rsid w:val="00262235"/>
    <w:rsid w:val="00262AFE"/>
    <w:rsid w:val="00266A8E"/>
    <w:rsid w:val="00266B6D"/>
    <w:rsid w:val="00267D8A"/>
    <w:rsid w:val="002711F5"/>
    <w:rsid w:val="00272007"/>
    <w:rsid w:val="002728D1"/>
    <w:rsid w:val="00274B9C"/>
    <w:rsid w:val="00274CAE"/>
    <w:rsid w:val="002772BE"/>
    <w:rsid w:val="0028025B"/>
    <w:rsid w:val="00281515"/>
    <w:rsid w:val="002818AD"/>
    <w:rsid w:val="002839A5"/>
    <w:rsid w:val="002843D1"/>
    <w:rsid w:val="002853A5"/>
    <w:rsid w:val="0028727F"/>
    <w:rsid w:val="00287772"/>
    <w:rsid w:val="00287F5F"/>
    <w:rsid w:val="002908A1"/>
    <w:rsid w:val="002918CE"/>
    <w:rsid w:val="002934AF"/>
    <w:rsid w:val="0029535F"/>
    <w:rsid w:val="00296D46"/>
    <w:rsid w:val="00297EE9"/>
    <w:rsid w:val="00297FF2"/>
    <w:rsid w:val="002A1A8B"/>
    <w:rsid w:val="002A24AD"/>
    <w:rsid w:val="002A282E"/>
    <w:rsid w:val="002A49B0"/>
    <w:rsid w:val="002A6402"/>
    <w:rsid w:val="002A65CB"/>
    <w:rsid w:val="002A666E"/>
    <w:rsid w:val="002B1949"/>
    <w:rsid w:val="002C0A4C"/>
    <w:rsid w:val="002C1217"/>
    <w:rsid w:val="002C20D1"/>
    <w:rsid w:val="002C21C1"/>
    <w:rsid w:val="002C6606"/>
    <w:rsid w:val="002D004B"/>
    <w:rsid w:val="002D36F0"/>
    <w:rsid w:val="002D51B2"/>
    <w:rsid w:val="002D6258"/>
    <w:rsid w:val="002E01CE"/>
    <w:rsid w:val="002E0D75"/>
    <w:rsid w:val="002E0F3C"/>
    <w:rsid w:val="002E136B"/>
    <w:rsid w:val="002E2701"/>
    <w:rsid w:val="002E307D"/>
    <w:rsid w:val="002F214A"/>
    <w:rsid w:val="002F2EC8"/>
    <w:rsid w:val="002F77DE"/>
    <w:rsid w:val="00301C10"/>
    <w:rsid w:val="00306D19"/>
    <w:rsid w:val="00310587"/>
    <w:rsid w:val="0031099E"/>
    <w:rsid w:val="00312581"/>
    <w:rsid w:val="0031473F"/>
    <w:rsid w:val="00315546"/>
    <w:rsid w:val="00315A11"/>
    <w:rsid w:val="00315E9C"/>
    <w:rsid w:val="003167B7"/>
    <w:rsid w:val="00322CAC"/>
    <w:rsid w:val="003233A0"/>
    <w:rsid w:val="0032354D"/>
    <w:rsid w:val="00323A1A"/>
    <w:rsid w:val="00324047"/>
    <w:rsid w:val="00326483"/>
    <w:rsid w:val="0032663B"/>
    <w:rsid w:val="003267C3"/>
    <w:rsid w:val="003313DE"/>
    <w:rsid w:val="00332640"/>
    <w:rsid w:val="003327B3"/>
    <w:rsid w:val="00333469"/>
    <w:rsid w:val="0033754A"/>
    <w:rsid w:val="00341D38"/>
    <w:rsid w:val="00342EC7"/>
    <w:rsid w:val="003437FF"/>
    <w:rsid w:val="00345121"/>
    <w:rsid w:val="003458B4"/>
    <w:rsid w:val="00347CC6"/>
    <w:rsid w:val="0035248E"/>
    <w:rsid w:val="003533EA"/>
    <w:rsid w:val="0035416D"/>
    <w:rsid w:val="003549E2"/>
    <w:rsid w:val="003561C5"/>
    <w:rsid w:val="00356CCE"/>
    <w:rsid w:val="00357216"/>
    <w:rsid w:val="00362A63"/>
    <w:rsid w:val="0036443A"/>
    <w:rsid w:val="00365F54"/>
    <w:rsid w:val="003704E8"/>
    <w:rsid w:val="00370F50"/>
    <w:rsid w:val="00376F24"/>
    <w:rsid w:val="003804F8"/>
    <w:rsid w:val="0038080A"/>
    <w:rsid w:val="00380B15"/>
    <w:rsid w:val="00382FEA"/>
    <w:rsid w:val="0038485E"/>
    <w:rsid w:val="0038530C"/>
    <w:rsid w:val="003954A0"/>
    <w:rsid w:val="00395C9F"/>
    <w:rsid w:val="00395EB4"/>
    <w:rsid w:val="003A2566"/>
    <w:rsid w:val="003A5D56"/>
    <w:rsid w:val="003A5DB3"/>
    <w:rsid w:val="003A657C"/>
    <w:rsid w:val="003A6FF0"/>
    <w:rsid w:val="003B0C6F"/>
    <w:rsid w:val="003B1654"/>
    <w:rsid w:val="003B4161"/>
    <w:rsid w:val="003B611F"/>
    <w:rsid w:val="003B72D5"/>
    <w:rsid w:val="003B738F"/>
    <w:rsid w:val="003C0972"/>
    <w:rsid w:val="003C0A8B"/>
    <w:rsid w:val="003C226F"/>
    <w:rsid w:val="003C2CC2"/>
    <w:rsid w:val="003C3575"/>
    <w:rsid w:val="003C49CD"/>
    <w:rsid w:val="003C4BF6"/>
    <w:rsid w:val="003C6CB8"/>
    <w:rsid w:val="003C6DB3"/>
    <w:rsid w:val="003D1C4D"/>
    <w:rsid w:val="003D21CC"/>
    <w:rsid w:val="003E052E"/>
    <w:rsid w:val="003E179E"/>
    <w:rsid w:val="003E2CE1"/>
    <w:rsid w:val="003E3538"/>
    <w:rsid w:val="003E39C3"/>
    <w:rsid w:val="003E3C8A"/>
    <w:rsid w:val="003F5656"/>
    <w:rsid w:val="004062D7"/>
    <w:rsid w:val="00406CDE"/>
    <w:rsid w:val="00406EB7"/>
    <w:rsid w:val="004111A2"/>
    <w:rsid w:val="00411D73"/>
    <w:rsid w:val="00413BD9"/>
    <w:rsid w:val="00413ED9"/>
    <w:rsid w:val="004146F9"/>
    <w:rsid w:val="00415B3F"/>
    <w:rsid w:val="004165B9"/>
    <w:rsid w:val="00417420"/>
    <w:rsid w:val="0042298C"/>
    <w:rsid w:val="0042359C"/>
    <w:rsid w:val="0042666E"/>
    <w:rsid w:val="004276C7"/>
    <w:rsid w:val="00427E4B"/>
    <w:rsid w:val="004310CB"/>
    <w:rsid w:val="00431E77"/>
    <w:rsid w:val="00431F5D"/>
    <w:rsid w:val="00431FB8"/>
    <w:rsid w:val="004342C0"/>
    <w:rsid w:val="00434E5C"/>
    <w:rsid w:val="004367A4"/>
    <w:rsid w:val="004378A0"/>
    <w:rsid w:val="0044131F"/>
    <w:rsid w:val="00443844"/>
    <w:rsid w:val="00446662"/>
    <w:rsid w:val="00446A8A"/>
    <w:rsid w:val="00447E0E"/>
    <w:rsid w:val="00450C7D"/>
    <w:rsid w:val="00451CCE"/>
    <w:rsid w:val="00452242"/>
    <w:rsid w:val="00452D0D"/>
    <w:rsid w:val="00455DF8"/>
    <w:rsid w:val="00457F89"/>
    <w:rsid w:val="00461A2C"/>
    <w:rsid w:val="00467BD0"/>
    <w:rsid w:val="00471401"/>
    <w:rsid w:val="00471841"/>
    <w:rsid w:val="004725C6"/>
    <w:rsid w:val="00474C20"/>
    <w:rsid w:val="004766F4"/>
    <w:rsid w:val="004770DC"/>
    <w:rsid w:val="0048100E"/>
    <w:rsid w:val="004816AF"/>
    <w:rsid w:val="004835F5"/>
    <w:rsid w:val="00484A17"/>
    <w:rsid w:val="004856FC"/>
    <w:rsid w:val="00487238"/>
    <w:rsid w:val="00495107"/>
    <w:rsid w:val="00496EDF"/>
    <w:rsid w:val="00497509"/>
    <w:rsid w:val="004A039A"/>
    <w:rsid w:val="004A12BF"/>
    <w:rsid w:val="004A1967"/>
    <w:rsid w:val="004A1BDD"/>
    <w:rsid w:val="004A43A6"/>
    <w:rsid w:val="004A5CD4"/>
    <w:rsid w:val="004A6F55"/>
    <w:rsid w:val="004A7B43"/>
    <w:rsid w:val="004B1905"/>
    <w:rsid w:val="004B3ED8"/>
    <w:rsid w:val="004B6092"/>
    <w:rsid w:val="004B798B"/>
    <w:rsid w:val="004C041D"/>
    <w:rsid w:val="004C243D"/>
    <w:rsid w:val="004C474E"/>
    <w:rsid w:val="004C4D35"/>
    <w:rsid w:val="004C54D6"/>
    <w:rsid w:val="004C5940"/>
    <w:rsid w:val="004C5D10"/>
    <w:rsid w:val="004C72F0"/>
    <w:rsid w:val="004D0B37"/>
    <w:rsid w:val="004D102D"/>
    <w:rsid w:val="004D5837"/>
    <w:rsid w:val="004E11C1"/>
    <w:rsid w:val="004E1285"/>
    <w:rsid w:val="004E1C3D"/>
    <w:rsid w:val="004E2F91"/>
    <w:rsid w:val="004E3AC2"/>
    <w:rsid w:val="004E45B0"/>
    <w:rsid w:val="004F0ADE"/>
    <w:rsid w:val="004F0C0F"/>
    <w:rsid w:val="004F312F"/>
    <w:rsid w:val="004F55AD"/>
    <w:rsid w:val="00503225"/>
    <w:rsid w:val="00503562"/>
    <w:rsid w:val="00504022"/>
    <w:rsid w:val="00505B3D"/>
    <w:rsid w:val="00507E7A"/>
    <w:rsid w:val="00511E7E"/>
    <w:rsid w:val="00514B3D"/>
    <w:rsid w:val="00515980"/>
    <w:rsid w:val="00515B8E"/>
    <w:rsid w:val="005219AA"/>
    <w:rsid w:val="00524376"/>
    <w:rsid w:val="00527EA6"/>
    <w:rsid w:val="00530040"/>
    <w:rsid w:val="0053006C"/>
    <w:rsid w:val="0053458D"/>
    <w:rsid w:val="005354CD"/>
    <w:rsid w:val="0054075E"/>
    <w:rsid w:val="005417A4"/>
    <w:rsid w:val="00542D61"/>
    <w:rsid w:val="005503F7"/>
    <w:rsid w:val="00550D2A"/>
    <w:rsid w:val="00551496"/>
    <w:rsid w:val="00552876"/>
    <w:rsid w:val="005532B4"/>
    <w:rsid w:val="005542C1"/>
    <w:rsid w:val="00554901"/>
    <w:rsid w:val="00554BFE"/>
    <w:rsid w:val="0055596F"/>
    <w:rsid w:val="0056043B"/>
    <w:rsid w:val="005614D0"/>
    <w:rsid w:val="00561ED6"/>
    <w:rsid w:val="00562BEB"/>
    <w:rsid w:val="00563C05"/>
    <w:rsid w:val="00563E7F"/>
    <w:rsid w:val="005667AA"/>
    <w:rsid w:val="00567785"/>
    <w:rsid w:val="00567DFD"/>
    <w:rsid w:val="005702E5"/>
    <w:rsid w:val="00572508"/>
    <w:rsid w:val="00573DF1"/>
    <w:rsid w:val="005746B4"/>
    <w:rsid w:val="00577587"/>
    <w:rsid w:val="00581920"/>
    <w:rsid w:val="00582A7D"/>
    <w:rsid w:val="0058397C"/>
    <w:rsid w:val="00584F3E"/>
    <w:rsid w:val="005860DE"/>
    <w:rsid w:val="00590BAA"/>
    <w:rsid w:val="005918B5"/>
    <w:rsid w:val="00594706"/>
    <w:rsid w:val="00594933"/>
    <w:rsid w:val="005956AC"/>
    <w:rsid w:val="00595983"/>
    <w:rsid w:val="00596CD4"/>
    <w:rsid w:val="005972A3"/>
    <w:rsid w:val="005A1339"/>
    <w:rsid w:val="005A21CF"/>
    <w:rsid w:val="005A6D76"/>
    <w:rsid w:val="005B0034"/>
    <w:rsid w:val="005B01BF"/>
    <w:rsid w:val="005B3CB2"/>
    <w:rsid w:val="005B544C"/>
    <w:rsid w:val="005B7B3F"/>
    <w:rsid w:val="005C29D9"/>
    <w:rsid w:val="005C31A3"/>
    <w:rsid w:val="005C3715"/>
    <w:rsid w:val="005C5470"/>
    <w:rsid w:val="005C6557"/>
    <w:rsid w:val="005D04AF"/>
    <w:rsid w:val="005D1B5E"/>
    <w:rsid w:val="005D2C2A"/>
    <w:rsid w:val="005D3750"/>
    <w:rsid w:val="005D6969"/>
    <w:rsid w:val="005E10A2"/>
    <w:rsid w:val="005E4FAF"/>
    <w:rsid w:val="005E5F49"/>
    <w:rsid w:val="005E6A8D"/>
    <w:rsid w:val="005E7912"/>
    <w:rsid w:val="005F0FE5"/>
    <w:rsid w:val="005F23EF"/>
    <w:rsid w:val="005F3DBF"/>
    <w:rsid w:val="005F7A45"/>
    <w:rsid w:val="0060219B"/>
    <w:rsid w:val="006068AF"/>
    <w:rsid w:val="00610B00"/>
    <w:rsid w:val="0061335A"/>
    <w:rsid w:val="00614B21"/>
    <w:rsid w:val="006158C8"/>
    <w:rsid w:val="00616C5D"/>
    <w:rsid w:val="00622157"/>
    <w:rsid w:val="00626265"/>
    <w:rsid w:val="006332BD"/>
    <w:rsid w:val="0063433B"/>
    <w:rsid w:val="00634667"/>
    <w:rsid w:val="00637F44"/>
    <w:rsid w:val="00640FC7"/>
    <w:rsid w:val="006450F3"/>
    <w:rsid w:val="006461B9"/>
    <w:rsid w:val="00646F27"/>
    <w:rsid w:val="00646F88"/>
    <w:rsid w:val="006471E4"/>
    <w:rsid w:val="006514A0"/>
    <w:rsid w:val="00653702"/>
    <w:rsid w:val="00656E73"/>
    <w:rsid w:val="00657759"/>
    <w:rsid w:val="00657C55"/>
    <w:rsid w:val="00661056"/>
    <w:rsid w:val="00661076"/>
    <w:rsid w:val="006632FE"/>
    <w:rsid w:val="006639E8"/>
    <w:rsid w:val="0066606C"/>
    <w:rsid w:val="006674F1"/>
    <w:rsid w:val="00667DEE"/>
    <w:rsid w:val="00670482"/>
    <w:rsid w:val="006714A5"/>
    <w:rsid w:val="0067186D"/>
    <w:rsid w:val="00672661"/>
    <w:rsid w:val="00672D48"/>
    <w:rsid w:val="00673473"/>
    <w:rsid w:val="00673D80"/>
    <w:rsid w:val="0068160B"/>
    <w:rsid w:val="00687021"/>
    <w:rsid w:val="006915E2"/>
    <w:rsid w:val="006919AB"/>
    <w:rsid w:val="0069366D"/>
    <w:rsid w:val="00693FB0"/>
    <w:rsid w:val="00695A8B"/>
    <w:rsid w:val="00695EA2"/>
    <w:rsid w:val="00697C43"/>
    <w:rsid w:val="00697F48"/>
    <w:rsid w:val="006A07A6"/>
    <w:rsid w:val="006A20A1"/>
    <w:rsid w:val="006A3C08"/>
    <w:rsid w:val="006A417C"/>
    <w:rsid w:val="006A50A9"/>
    <w:rsid w:val="006A642D"/>
    <w:rsid w:val="006A6ED3"/>
    <w:rsid w:val="006A6F84"/>
    <w:rsid w:val="006A749C"/>
    <w:rsid w:val="006B09C1"/>
    <w:rsid w:val="006B1670"/>
    <w:rsid w:val="006B30DE"/>
    <w:rsid w:val="006B3772"/>
    <w:rsid w:val="006B38D6"/>
    <w:rsid w:val="006B3E56"/>
    <w:rsid w:val="006B7B43"/>
    <w:rsid w:val="006C0FE5"/>
    <w:rsid w:val="006C120B"/>
    <w:rsid w:val="006C7E51"/>
    <w:rsid w:val="006D077B"/>
    <w:rsid w:val="006D2212"/>
    <w:rsid w:val="006D258C"/>
    <w:rsid w:val="006D36F5"/>
    <w:rsid w:val="006D38D2"/>
    <w:rsid w:val="006D46D6"/>
    <w:rsid w:val="006D4BCA"/>
    <w:rsid w:val="006D5003"/>
    <w:rsid w:val="006D5420"/>
    <w:rsid w:val="006E0413"/>
    <w:rsid w:val="006E2791"/>
    <w:rsid w:val="006E2AEF"/>
    <w:rsid w:val="006E43DE"/>
    <w:rsid w:val="006E5D24"/>
    <w:rsid w:val="006F47D9"/>
    <w:rsid w:val="006F654F"/>
    <w:rsid w:val="006F6C87"/>
    <w:rsid w:val="006F7B99"/>
    <w:rsid w:val="00700652"/>
    <w:rsid w:val="0070485F"/>
    <w:rsid w:val="00704FFE"/>
    <w:rsid w:val="00712114"/>
    <w:rsid w:val="00714068"/>
    <w:rsid w:val="007149B1"/>
    <w:rsid w:val="0071583C"/>
    <w:rsid w:val="007167D5"/>
    <w:rsid w:val="0071739C"/>
    <w:rsid w:val="00723465"/>
    <w:rsid w:val="007251D8"/>
    <w:rsid w:val="00725A1C"/>
    <w:rsid w:val="00727540"/>
    <w:rsid w:val="007314B5"/>
    <w:rsid w:val="007328D3"/>
    <w:rsid w:val="0073452A"/>
    <w:rsid w:val="00737470"/>
    <w:rsid w:val="00737824"/>
    <w:rsid w:val="00737F7A"/>
    <w:rsid w:val="00741A77"/>
    <w:rsid w:val="00742842"/>
    <w:rsid w:val="00742C87"/>
    <w:rsid w:val="00743C7A"/>
    <w:rsid w:val="007466FE"/>
    <w:rsid w:val="007470A4"/>
    <w:rsid w:val="007478DD"/>
    <w:rsid w:val="007504F7"/>
    <w:rsid w:val="00750F20"/>
    <w:rsid w:val="00757A24"/>
    <w:rsid w:val="00760C51"/>
    <w:rsid w:val="00760CA3"/>
    <w:rsid w:val="00763F72"/>
    <w:rsid w:val="007643A5"/>
    <w:rsid w:val="00765F0B"/>
    <w:rsid w:val="00767345"/>
    <w:rsid w:val="00770245"/>
    <w:rsid w:val="007714FF"/>
    <w:rsid w:val="0077298B"/>
    <w:rsid w:val="00776833"/>
    <w:rsid w:val="00784041"/>
    <w:rsid w:val="0078464F"/>
    <w:rsid w:val="00786CC5"/>
    <w:rsid w:val="00790DFE"/>
    <w:rsid w:val="00791817"/>
    <w:rsid w:val="00792471"/>
    <w:rsid w:val="00793904"/>
    <w:rsid w:val="00794FCA"/>
    <w:rsid w:val="007A0D3C"/>
    <w:rsid w:val="007A0DA6"/>
    <w:rsid w:val="007A2C4E"/>
    <w:rsid w:val="007A40CE"/>
    <w:rsid w:val="007A5801"/>
    <w:rsid w:val="007A70F1"/>
    <w:rsid w:val="007B011B"/>
    <w:rsid w:val="007B04BD"/>
    <w:rsid w:val="007B05A1"/>
    <w:rsid w:val="007B0A15"/>
    <w:rsid w:val="007B3498"/>
    <w:rsid w:val="007B5455"/>
    <w:rsid w:val="007B54F1"/>
    <w:rsid w:val="007B7C4B"/>
    <w:rsid w:val="007C1962"/>
    <w:rsid w:val="007D1AD7"/>
    <w:rsid w:val="007D5B8F"/>
    <w:rsid w:val="007D5C88"/>
    <w:rsid w:val="007D7A27"/>
    <w:rsid w:val="007E0308"/>
    <w:rsid w:val="007E37F9"/>
    <w:rsid w:val="007E5747"/>
    <w:rsid w:val="007E6382"/>
    <w:rsid w:val="007E6A30"/>
    <w:rsid w:val="007E7C9D"/>
    <w:rsid w:val="007F12AE"/>
    <w:rsid w:val="007F23C3"/>
    <w:rsid w:val="007F31F9"/>
    <w:rsid w:val="007F3F00"/>
    <w:rsid w:val="007F42B1"/>
    <w:rsid w:val="007F4473"/>
    <w:rsid w:val="007F4937"/>
    <w:rsid w:val="007F5EDB"/>
    <w:rsid w:val="008005CE"/>
    <w:rsid w:val="008008C1"/>
    <w:rsid w:val="00802C95"/>
    <w:rsid w:val="008042C5"/>
    <w:rsid w:val="00805160"/>
    <w:rsid w:val="00805A50"/>
    <w:rsid w:val="00806A5C"/>
    <w:rsid w:val="00807264"/>
    <w:rsid w:val="00807B22"/>
    <w:rsid w:val="00812870"/>
    <w:rsid w:val="008141C4"/>
    <w:rsid w:val="008160E7"/>
    <w:rsid w:val="008171FB"/>
    <w:rsid w:val="00820BA6"/>
    <w:rsid w:val="0082495E"/>
    <w:rsid w:val="00827C1A"/>
    <w:rsid w:val="00827DFA"/>
    <w:rsid w:val="008302C6"/>
    <w:rsid w:val="008323B2"/>
    <w:rsid w:val="00833282"/>
    <w:rsid w:val="00840A19"/>
    <w:rsid w:val="008422E2"/>
    <w:rsid w:val="008438DF"/>
    <w:rsid w:val="00845110"/>
    <w:rsid w:val="008454FC"/>
    <w:rsid w:val="00855BE9"/>
    <w:rsid w:val="008569EB"/>
    <w:rsid w:val="00856F7C"/>
    <w:rsid w:val="008576AD"/>
    <w:rsid w:val="00862F91"/>
    <w:rsid w:val="00864A15"/>
    <w:rsid w:val="008668A7"/>
    <w:rsid w:val="00870CE6"/>
    <w:rsid w:val="00872841"/>
    <w:rsid w:val="00873E70"/>
    <w:rsid w:val="00875805"/>
    <w:rsid w:val="008765B6"/>
    <w:rsid w:val="00880333"/>
    <w:rsid w:val="008833A8"/>
    <w:rsid w:val="008857DB"/>
    <w:rsid w:val="00886297"/>
    <w:rsid w:val="00891623"/>
    <w:rsid w:val="008940E3"/>
    <w:rsid w:val="008A2D7B"/>
    <w:rsid w:val="008A5901"/>
    <w:rsid w:val="008A610C"/>
    <w:rsid w:val="008B0C66"/>
    <w:rsid w:val="008B1CF2"/>
    <w:rsid w:val="008B229B"/>
    <w:rsid w:val="008B2D4A"/>
    <w:rsid w:val="008B7511"/>
    <w:rsid w:val="008B7CF5"/>
    <w:rsid w:val="008C016F"/>
    <w:rsid w:val="008C04FE"/>
    <w:rsid w:val="008C0D55"/>
    <w:rsid w:val="008C2DBE"/>
    <w:rsid w:val="008C4D2C"/>
    <w:rsid w:val="008C5E3C"/>
    <w:rsid w:val="008D0485"/>
    <w:rsid w:val="008D1AC7"/>
    <w:rsid w:val="008D22B4"/>
    <w:rsid w:val="008D492F"/>
    <w:rsid w:val="008E21FF"/>
    <w:rsid w:val="008E24F3"/>
    <w:rsid w:val="008E74E6"/>
    <w:rsid w:val="008F0A5C"/>
    <w:rsid w:val="008F1ABF"/>
    <w:rsid w:val="008F209C"/>
    <w:rsid w:val="008F20E7"/>
    <w:rsid w:val="008F2166"/>
    <w:rsid w:val="008F323F"/>
    <w:rsid w:val="008F4F61"/>
    <w:rsid w:val="008F5EC7"/>
    <w:rsid w:val="008F67EE"/>
    <w:rsid w:val="009002E4"/>
    <w:rsid w:val="009015C3"/>
    <w:rsid w:val="00902FEF"/>
    <w:rsid w:val="0090333B"/>
    <w:rsid w:val="0090363A"/>
    <w:rsid w:val="00905230"/>
    <w:rsid w:val="0090543F"/>
    <w:rsid w:val="00906220"/>
    <w:rsid w:val="00916010"/>
    <w:rsid w:val="00916BD3"/>
    <w:rsid w:val="0092041D"/>
    <w:rsid w:val="00921772"/>
    <w:rsid w:val="009221E2"/>
    <w:rsid w:val="009238AC"/>
    <w:rsid w:val="00925B37"/>
    <w:rsid w:val="00925FB7"/>
    <w:rsid w:val="009261A1"/>
    <w:rsid w:val="0092738C"/>
    <w:rsid w:val="00930168"/>
    <w:rsid w:val="009321E5"/>
    <w:rsid w:val="00932527"/>
    <w:rsid w:val="009328FC"/>
    <w:rsid w:val="00937AA1"/>
    <w:rsid w:val="009421E1"/>
    <w:rsid w:val="00943E09"/>
    <w:rsid w:val="00944272"/>
    <w:rsid w:val="0094557D"/>
    <w:rsid w:val="00947605"/>
    <w:rsid w:val="00952ED1"/>
    <w:rsid w:val="00952FA3"/>
    <w:rsid w:val="009542CF"/>
    <w:rsid w:val="00954A43"/>
    <w:rsid w:val="009556C2"/>
    <w:rsid w:val="00961021"/>
    <w:rsid w:val="0096391F"/>
    <w:rsid w:val="00965A32"/>
    <w:rsid w:val="00970FA8"/>
    <w:rsid w:val="00972689"/>
    <w:rsid w:val="00973426"/>
    <w:rsid w:val="009735BA"/>
    <w:rsid w:val="0097482E"/>
    <w:rsid w:val="00976674"/>
    <w:rsid w:val="00977650"/>
    <w:rsid w:val="0097797C"/>
    <w:rsid w:val="00977D04"/>
    <w:rsid w:val="00980415"/>
    <w:rsid w:val="0098153F"/>
    <w:rsid w:val="0098200D"/>
    <w:rsid w:val="0098225E"/>
    <w:rsid w:val="009831BA"/>
    <w:rsid w:val="0098379F"/>
    <w:rsid w:val="009839E5"/>
    <w:rsid w:val="00983DFB"/>
    <w:rsid w:val="00984450"/>
    <w:rsid w:val="00986D43"/>
    <w:rsid w:val="009877E2"/>
    <w:rsid w:val="0099057E"/>
    <w:rsid w:val="00990BB2"/>
    <w:rsid w:val="009910AE"/>
    <w:rsid w:val="0099342F"/>
    <w:rsid w:val="009935C5"/>
    <w:rsid w:val="009A1C81"/>
    <w:rsid w:val="009A31BF"/>
    <w:rsid w:val="009A3369"/>
    <w:rsid w:val="009A3C5A"/>
    <w:rsid w:val="009A3D01"/>
    <w:rsid w:val="009B00DD"/>
    <w:rsid w:val="009B1CD2"/>
    <w:rsid w:val="009B41D9"/>
    <w:rsid w:val="009B446D"/>
    <w:rsid w:val="009B476F"/>
    <w:rsid w:val="009B5BC0"/>
    <w:rsid w:val="009C0A93"/>
    <w:rsid w:val="009C16CF"/>
    <w:rsid w:val="009C2D4F"/>
    <w:rsid w:val="009C449A"/>
    <w:rsid w:val="009C4556"/>
    <w:rsid w:val="009C481F"/>
    <w:rsid w:val="009C75A8"/>
    <w:rsid w:val="009D1475"/>
    <w:rsid w:val="009D2EC9"/>
    <w:rsid w:val="009D319D"/>
    <w:rsid w:val="009D3A00"/>
    <w:rsid w:val="009E0210"/>
    <w:rsid w:val="009E3017"/>
    <w:rsid w:val="009E5F39"/>
    <w:rsid w:val="009F00B0"/>
    <w:rsid w:val="009F2A78"/>
    <w:rsid w:val="009F3AB5"/>
    <w:rsid w:val="009F44AA"/>
    <w:rsid w:val="009F4A79"/>
    <w:rsid w:val="009F6A71"/>
    <w:rsid w:val="009F6E07"/>
    <w:rsid w:val="009F7BDA"/>
    <w:rsid w:val="00A0063A"/>
    <w:rsid w:val="00A01C71"/>
    <w:rsid w:val="00A036AC"/>
    <w:rsid w:val="00A0393E"/>
    <w:rsid w:val="00A03A50"/>
    <w:rsid w:val="00A03C3E"/>
    <w:rsid w:val="00A068E4"/>
    <w:rsid w:val="00A07268"/>
    <w:rsid w:val="00A07924"/>
    <w:rsid w:val="00A106AB"/>
    <w:rsid w:val="00A113B5"/>
    <w:rsid w:val="00A134EB"/>
    <w:rsid w:val="00A15A5F"/>
    <w:rsid w:val="00A160A6"/>
    <w:rsid w:val="00A201D2"/>
    <w:rsid w:val="00A21DC0"/>
    <w:rsid w:val="00A26E77"/>
    <w:rsid w:val="00A26FA9"/>
    <w:rsid w:val="00A31D84"/>
    <w:rsid w:val="00A34022"/>
    <w:rsid w:val="00A34934"/>
    <w:rsid w:val="00A35A63"/>
    <w:rsid w:val="00A37534"/>
    <w:rsid w:val="00A461E3"/>
    <w:rsid w:val="00A507E4"/>
    <w:rsid w:val="00A5154B"/>
    <w:rsid w:val="00A535AE"/>
    <w:rsid w:val="00A53E39"/>
    <w:rsid w:val="00A54EBB"/>
    <w:rsid w:val="00A5559B"/>
    <w:rsid w:val="00A56A24"/>
    <w:rsid w:val="00A601D6"/>
    <w:rsid w:val="00A609F2"/>
    <w:rsid w:val="00A61374"/>
    <w:rsid w:val="00A61470"/>
    <w:rsid w:val="00A63EDE"/>
    <w:rsid w:val="00A669BE"/>
    <w:rsid w:val="00A66CF7"/>
    <w:rsid w:val="00A66D05"/>
    <w:rsid w:val="00A67933"/>
    <w:rsid w:val="00A74C4D"/>
    <w:rsid w:val="00A74EDA"/>
    <w:rsid w:val="00A77863"/>
    <w:rsid w:val="00A812DF"/>
    <w:rsid w:val="00A87B4E"/>
    <w:rsid w:val="00A87C84"/>
    <w:rsid w:val="00A93E8E"/>
    <w:rsid w:val="00A951A2"/>
    <w:rsid w:val="00AA0DBC"/>
    <w:rsid w:val="00AA2057"/>
    <w:rsid w:val="00AA26E1"/>
    <w:rsid w:val="00AA721B"/>
    <w:rsid w:val="00AB095D"/>
    <w:rsid w:val="00AB440B"/>
    <w:rsid w:val="00AB58F2"/>
    <w:rsid w:val="00AB5C04"/>
    <w:rsid w:val="00AB5C8F"/>
    <w:rsid w:val="00AB7D1D"/>
    <w:rsid w:val="00AC24C5"/>
    <w:rsid w:val="00AC574E"/>
    <w:rsid w:val="00AC60B9"/>
    <w:rsid w:val="00AC6670"/>
    <w:rsid w:val="00AD2131"/>
    <w:rsid w:val="00AD45EA"/>
    <w:rsid w:val="00AD7797"/>
    <w:rsid w:val="00AE08B4"/>
    <w:rsid w:val="00AE14FC"/>
    <w:rsid w:val="00AE2D3B"/>
    <w:rsid w:val="00AE55F9"/>
    <w:rsid w:val="00AE6BCD"/>
    <w:rsid w:val="00AF1B33"/>
    <w:rsid w:val="00AF2F58"/>
    <w:rsid w:val="00AF36CB"/>
    <w:rsid w:val="00AF3CF2"/>
    <w:rsid w:val="00AF4566"/>
    <w:rsid w:val="00AF474A"/>
    <w:rsid w:val="00AF6D8D"/>
    <w:rsid w:val="00AF7658"/>
    <w:rsid w:val="00B0140C"/>
    <w:rsid w:val="00B01F50"/>
    <w:rsid w:val="00B043E9"/>
    <w:rsid w:val="00B0788B"/>
    <w:rsid w:val="00B107AC"/>
    <w:rsid w:val="00B128A6"/>
    <w:rsid w:val="00B1348A"/>
    <w:rsid w:val="00B21A17"/>
    <w:rsid w:val="00B2203F"/>
    <w:rsid w:val="00B224C0"/>
    <w:rsid w:val="00B23DEA"/>
    <w:rsid w:val="00B26533"/>
    <w:rsid w:val="00B26826"/>
    <w:rsid w:val="00B30CE7"/>
    <w:rsid w:val="00B31116"/>
    <w:rsid w:val="00B31308"/>
    <w:rsid w:val="00B31B0C"/>
    <w:rsid w:val="00B31EE3"/>
    <w:rsid w:val="00B3209C"/>
    <w:rsid w:val="00B328B9"/>
    <w:rsid w:val="00B33F89"/>
    <w:rsid w:val="00B36AF8"/>
    <w:rsid w:val="00B37F9F"/>
    <w:rsid w:val="00B417A3"/>
    <w:rsid w:val="00B41BDA"/>
    <w:rsid w:val="00B4482B"/>
    <w:rsid w:val="00B464B5"/>
    <w:rsid w:val="00B46CA4"/>
    <w:rsid w:val="00B472AE"/>
    <w:rsid w:val="00B50230"/>
    <w:rsid w:val="00B515B3"/>
    <w:rsid w:val="00B5536C"/>
    <w:rsid w:val="00B60293"/>
    <w:rsid w:val="00B62B01"/>
    <w:rsid w:val="00B668FB"/>
    <w:rsid w:val="00B67849"/>
    <w:rsid w:val="00B71A39"/>
    <w:rsid w:val="00B76B30"/>
    <w:rsid w:val="00B7735C"/>
    <w:rsid w:val="00B77392"/>
    <w:rsid w:val="00B808DC"/>
    <w:rsid w:val="00B81DCF"/>
    <w:rsid w:val="00B82319"/>
    <w:rsid w:val="00B85851"/>
    <w:rsid w:val="00B85E06"/>
    <w:rsid w:val="00B872EA"/>
    <w:rsid w:val="00B932BD"/>
    <w:rsid w:val="00B96770"/>
    <w:rsid w:val="00B97CF7"/>
    <w:rsid w:val="00BA011E"/>
    <w:rsid w:val="00BA097C"/>
    <w:rsid w:val="00BA0BF3"/>
    <w:rsid w:val="00BA1001"/>
    <w:rsid w:val="00BA1763"/>
    <w:rsid w:val="00BA293D"/>
    <w:rsid w:val="00BA2F8E"/>
    <w:rsid w:val="00BA5077"/>
    <w:rsid w:val="00BA6EFD"/>
    <w:rsid w:val="00BA78F7"/>
    <w:rsid w:val="00BB0E7B"/>
    <w:rsid w:val="00BB12C2"/>
    <w:rsid w:val="00BB16BA"/>
    <w:rsid w:val="00BB53D3"/>
    <w:rsid w:val="00BB6960"/>
    <w:rsid w:val="00BC2158"/>
    <w:rsid w:val="00BC2A56"/>
    <w:rsid w:val="00BC4568"/>
    <w:rsid w:val="00BC4CDF"/>
    <w:rsid w:val="00BC75E6"/>
    <w:rsid w:val="00BD0493"/>
    <w:rsid w:val="00BD0539"/>
    <w:rsid w:val="00BD12DC"/>
    <w:rsid w:val="00BD1E94"/>
    <w:rsid w:val="00BD32FD"/>
    <w:rsid w:val="00BD48A6"/>
    <w:rsid w:val="00BD4D4A"/>
    <w:rsid w:val="00BE3437"/>
    <w:rsid w:val="00BE7066"/>
    <w:rsid w:val="00BF036C"/>
    <w:rsid w:val="00BF1181"/>
    <w:rsid w:val="00BF32B9"/>
    <w:rsid w:val="00C03CF7"/>
    <w:rsid w:val="00C10296"/>
    <w:rsid w:val="00C122F3"/>
    <w:rsid w:val="00C1311B"/>
    <w:rsid w:val="00C13594"/>
    <w:rsid w:val="00C135D5"/>
    <w:rsid w:val="00C1421A"/>
    <w:rsid w:val="00C142D8"/>
    <w:rsid w:val="00C17205"/>
    <w:rsid w:val="00C176B4"/>
    <w:rsid w:val="00C200AC"/>
    <w:rsid w:val="00C22C59"/>
    <w:rsid w:val="00C23E8A"/>
    <w:rsid w:val="00C24A3A"/>
    <w:rsid w:val="00C24E0A"/>
    <w:rsid w:val="00C24E61"/>
    <w:rsid w:val="00C30C40"/>
    <w:rsid w:val="00C32450"/>
    <w:rsid w:val="00C351ED"/>
    <w:rsid w:val="00C3782D"/>
    <w:rsid w:val="00C37D30"/>
    <w:rsid w:val="00C413D7"/>
    <w:rsid w:val="00C432B5"/>
    <w:rsid w:val="00C445FC"/>
    <w:rsid w:val="00C46EF6"/>
    <w:rsid w:val="00C510F2"/>
    <w:rsid w:val="00C52A14"/>
    <w:rsid w:val="00C52B6B"/>
    <w:rsid w:val="00C5484B"/>
    <w:rsid w:val="00C54C9F"/>
    <w:rsid w:val="00C57055"/>
    <w:rsid w:val="00C60565"/>
    <w:rsid w:val="00C61633"/>
    <w:rsid w:val="00C622A5"/>
    <w:rsid w:val="00C62FC6"/>
    <w:rsid w:val="00C65056"/>
    <w:rsid w:val="00C67025"/>
    <w:rsid w:val="00C71E62"/>
    <w:rsid w:val="00C72BCD"/>
    <w:rsid w:val="00C72EC5"/>
    <w:rsid w:val="00C733E5"/>
    <w:rsid w:val="00C761CE"/>
    <w:rsid w:val="00C765A9"/>
    <w:rsid w:val="00C76CF1"/>
    <w:rsid w:val="00C7759D"/>
    <w:rsid w:val="00C77A77"/>
    <w:rsid w:val="00C827CD"/>
    <w:rsid w:val="00C8485D"/>
    <w:rsid w:val="00C857DE"/>
    <w:rsid w:val="00C874C4"/>
    <w:rsid w:val="00C91892"/>
    <w:rsid w:val="00C96A52"/>
    <w:rsid w:val="00CA02BB"/>
    <w:rsid w:val="00CA2FAE"/>
    <w:rsid w:val="00CA35E3"/>
    <w:rsid w:val="00CA4984"/>
    <w:rsid w:val="00CA4C3F"/>
    <w:rsid w:val="00CA629D"/>
    <w:rsid w:val="00CA7EEE"/>
    <w:rsid w:val="00CB0175"/>
    <w:rsid w:val="00CB1C6A"/>
    <w:rsid w:val="00CB2FD4"/>
    <w:rsid w:val="00CB6F34"/>
    <w:rsid w:val="00CB7846"/>
    <w:rsid w:val="00CC02A2"/>
    <w:rsid w:val="00CC4C4B"/>
    <w:rsid w:val="00CC5033"/>
    <w:rsid w:val="00CC601F"/>
    <w:rsid w:val="00CC7D02"/>
    <w:rsid w:val="00CD268A"/>
    <w:rsid w:val="00CE1C74"/>
    <w:rsid w:val="00CE34DB"/>
    <w:rsid w:val="00CE5699"/>
    <w:rsid w:val="00CE5AE7"/>
    <w:rsid w:val="00CE6595"/>
    <w:rsid w:val="00CE750C"/>
    <w:rsid w:val="00CE7CE8"/>
    <w:rsid w:val="00CF5055"/>
    <w:rsid w:val="00CF7820"/>
    <w:rsid w:val="00D0194F"/>
    <w:rsid w:val="00D05FB3"/>
    <w:rsid w:val="00D072F1"/>
    <w:rsid w:val="00D077A9"/>
    <w:rsid w:val="00D10316"/>
    <w:rsid w:val="00D14961"/>
    <w:rsid w:val="00D15892"/>
    <w:rsid w:val="00D17345"/>
    <w:rsid w:val="00D1787F"/>
    <w:rsid w:val="00D17999"/>
    <w:rsid w:val="00D2189E"/>
    <w:rsid w:val="00D24861"/>
    <w:rsid w:val="00D35E0C"/>
    <w:rsid w:val="00D3655B"/>
    <w:rsid w:val="00D43942"/>
    <w:rsid w:val="00D43C69"/>
    <w:rsid w:val="00D44C6C"/>
    <w:rsid w:val="00D470B1"/>
    <w:rsid w:val="00D531F3"/>
    <w:rsid w:val="00D55978"/>
    <w:rsid w:val="00D56F87"/>
    <w:rsid w:val="00D60A4D"/>
    <w:rsid w:val="00D615B4"/>
    <w:rsid w:val="00D61DD7"/>
    <w:rsid w:val="00D62D8C"/>
    <w:rsid w:val="00D64ECC"/>
    <w:rsid w:val="00D65DBE"/>
    <w:rsid w:val="00D66929"/>
    <w:rsid w:val="00D721AD"/>
    <w:rsid w:val="00D72401"/>
    <w:rsid w:val="00D73A2C"/>
    <w:rsid w:val="00D73FCE"/>
    <w:rsid w:val="00D7410D"/>
    <w:rsid w:val="00D747DC"/>
    <w:rsid w:val="00D7569F"/>
    <w:rsid w:val="00D75AD5"/>
    <w:rsid w:val="00D7683A"/>
    <w:rsid w:val="00D76CB0"/>
    <w:rsid w:val="00D83186"/>
    <w:rsid w:val="00D8500C"/>
    <w:rsid w:val="00D865BD"/>
    <w:rsid w:val="00D87FE8"/>
    <w:rsid w:val="00D90DDF"/>
    <w:rsid w:val="00D9282C"/>
    <w:rsid w:val="00D92C1F"/>
    <w:rsid w:val="00D954CF"/>
    <w:rsid w:val="00D95C57"/>
    <w:rsid w:val="00D970BC"/>
    <w:rsid w:val="00D976E6"/>
    <w:rsid w:val="00DA2476"/>
    <w:rsid w:val="00DA4AE0"/>
    <w:rsid w:val="00DA6917"/>
    <w:rsid w:val="00DA6E5D"/>
    <w:rsid w:val="00DA7A40"/>
    <w:rsid w:val="00DA7D04"/>
    <w:rsid w:val="00DA7D55"/>
    <w:rsid w:val="00DB393C"/>
    <w:rsid w:val="00DC0627"/>
    <w:rsid w:val="00DC44A8"/>
    <w:rsid w:val="00DC53C0"/>
    <w:rsid w:val="00DC6867"/>
    <w:rsid w:val="00DC7576"/>
    <w:rsid w:val="00DC7CBC"/>
    <w:rsid w:val="00DD03A4"/>
    <w:rsid w:val="00DD3E47"/>
    <w:rsid w:val="00DD4F80"/>
    <w:rsid w:val="00DD513B"/>
    <w:rsid w:val="00DE1573"/>
    <w:rsid w:val="00DE1752"/>
    <w:rsid w:val="00DE19D0"/>
    <w:rsid w:val="00DE37E4"/>
    <w:rsid w:val="00DE45C0"/>
    <w:rsid w:val="00DE4D9D"/>
    <w:rsid w:val="00DE5AD0"/>
    <w:rsid w:val="00DE7F94"/>
    <w:rsid w:val="00DF0800"/>
    <w:rsid w:val="00DF1BDD"/>
    <w:rsid w:val="00DF2942"/>
    <w:rsid w:val="00DF441E"/>
    <w:rsid w:val="00DF4F3B"/>
    <w:rsid w:val="00DF5AEA"/>
    <w:rsid w:val="00DF72BA"/>
    <w:rsid w:val="00E00144"/>
    <w:rsid w:val="00E00E37"/>
    <w:rsid w:val="00E00FD6"/>
    <w:rsid w:val="00E01AFB"/>
    <w:rsid w:val="00E0251A"/>
    <w:rsid w:val="00E04F1E"/>
    <w:rsid w:val="00E05043"/>
    <w:rsid w:val="00E0539D"/>
    <w:rsid w:val="00E06FED"/>
    <w:rsid w:val="00E079BE"/>
    <w:rsid w:val="00E07A94"/>
    <w:rsid w:val="00E1052A"/>
    <w:rsid w:val="00E10565"/>
    <w:rsid w:val="00E13CAB"/>
    <w:rsid w:val="00E15A6B"/>
    <w:rsid w:val="00E176CF"/>
    <w:rsid w:val="00E22CAC"/>
    <w:rsid w:val="00E233F0"/>
    <w:rsid w:val="00E23DE5"/>
    <w:rsid w:val="00E23F04"/>
    <w:rsid w:val="00E26BDA"/>
    <w:rsid w:val="00E27103"/>
    <w:rsid w:val="00E27EEF"/>
    <w:rsid w:val="00E30392"/>
    <w:rsid w:val="00E31D0C"/>
    <w:rsid w:val="00E32E37"/>
    <w:rsid w:val="00E3511D"/>
    <w:rsid w:val="00E356B8"/>
    <w:rsid w:val="00E35F90"/>
    <w:rsid w:val="00E44FC5"/>
    <w:rsid w:val="00E45CC6"/>
    <w:rsid w:val="00E46ACA"/>
    <w:rsid w:val="00E46B72"/>
    <w:rsid w:val="00E47963"/>
    <w:rsid w:val="00E5020D"/>
    <w:rsid w:val="00E5082B"/>
    <w:rsid w:val="00E512C6"/>
    <w:rsid w:val="00E5134D"/>
    <w:rsid w:val="00E5200E"/>
    <w:rsid w:val="00E52593"/>
    <w:rsid w:val="00E529C6"/>
    <w:rsid w:val="00E547F2"/>
    <w:rsid w:val="00E5507F"/>
    <w:rsid w:val="00E577BB"/>
    <w:rsid w:val="00E661AC"/>
    <w:rsid w:val="00E677A6"/>
    <w:rsid w:val="00E7012B"/>
    <w:rsid w:val="00E702CA"/>
    <w:rsid w:val="00E71F41"/>
    <w:rsid w:val="00E722D3"/>
    <w:rsid w:val="00E72F6D"/>
    <w:rsid w:val="00E7439B"/>
    <w:rsid w:val="00E77A64"/>
    <w:rsid w:val="00E80978"/>
    <w:rsid w:val="00E817CC"/>
    <w:rsid w:val="00E851CB"/>
    <w:rsid w:val="00E85AEB"/>
    <w:rsid w:val="00E85EB4"/>
    <w:rsid w:val="00E869EE"/>
    <w:rsid w:val="00E93916"/>
    <w:rsid w:val="00E94BCC"/>
    <w:rsid w:val="00E95352"/>
    <w:rsid w:val="00E96A40"/>
    <w:rsid w:val="00E96BA1"/>
    <w:rsid w:val="00E978C4"/>
    <w:rsid w:val="00EA0253"/>
    <w:rsid w:val="00EA0CCB"/>
    <w:rsid w:val="00EA21DE"/>
    <w:rsid w:val="00EA2575"/>
    <w:rsid w:val="00EA269B"/>
    <w:rsid w:val="00EA56D9"/>
    <w:rsid w:val="00EA75F5"/>
    <w:rsid w:val="00EB3435"/>
    <w:rsid w:val="00EB371B"/>
    <w:rsid w:val="00EB5BE7"/>
    <w:rsid w:val="00EB6FA4"/>
    <w:rsid w:val="00EB7010"/>
    <w:rsid w:val="00EC0CB5"/>
    <w:rsid w:val="00EC3ABF"/>
    <w:rsid w:val="00EC3CBE"/>
    <w:rsid w:val="00EC52D0"/>
    <w:rsid w:val="00EC58D6"/>
    <w:rsid w:val="00ED376C"/>
    <w:rsid w:val="00ED49E8"/>
    <w:rsid w:val="00ED5767"/>
    <w:rsid w:val="00EE0899"/>
    <w:rsid w:val="00EE0DB9"/>
    <w:rsid w:val="00EE26F4"/>
    <w:rsid w:val="00EE37FE"/>
    <w:rsid w:val="00EE3CD0"/>
    <w:rsid w:val="00EE3FFA"/>
    <w:rsid w:val="00EE41EC"/>
    <w:rsid w:val="00EE66A0"/>
    <w:rsid w:val="00EE75F7"/>
    <w:rsid w:val="00EF0821"/>
    <w:rsid w:val="00EF2329"/>
    <w:rsid w:val="00EF6EA2"/>
    <w:rsid w:val="00F016F1"/>
    <w:rsid w:val="00F01D95"/>
    <w:rsid w:val="00F027EC"/>
    <w:rsid w:val="00F056D1"/>
    <w:rsid w:val="00F06173"/>
    <w:rsid w:val="00F075BE"/>
    <w:rsid w:val="00F107B4"/>
    <w:rsid w:val="00F11B14"/>
    <w:rsid w:val="00F12AF3"/>
    <w:rsid w:val="00F13281"/>
    <w:rsid w:val="00F132DF"/>
    <w:rsid w:val="00F13BAE"/>
    <w:rsid w:val="00F22A7A"/>
    <w:rsid w:val="00F2377C"/>
    <w:rsid w:val="00F23E79"/>
    <w:rsid w:val="00F2560A"/>
    <w:rsid w:val="00F2702D"/>
    <w:rsid w:val="00F274A9"/>
    <w:rsid w:val="00F276BB"/>
    <w:rsid w:val="00F30A3A"/>
    <w:rsid w:val="00F334CA"/>
    <w:rsid w:val="00F34A83"/>
    <w:rsid w:val="00F3586D"/>
    <w:rsid w:val="00F362CD"/>
    <w:rsid w:val="00F37299"/>
    <w:rsid w:val="00F4112E"/>
    <w:rsid w:val="00F411A8"/>
    <w:rsid w:val="00F41398"/>
    <w:rsid w:val="00F430D9"/>
    <w:rsid w:val="00F44D19"/>
    <w:rsid w:val="00F46201"/>
    <w:rsid w:val="00F470B7"/>
    <w:rsid w:val="00F4797F"/>
    <w:rsid w:val="00F518FA"/>
    <w:rsid w:val="00F529BA"/>
    <w:rsid w:val="00F532A9"/>
    <w:rsid w:val="00F5454F"/>
    <w:rsid w:val="00F54C58"/>
    <w:rsid w:val="00F55794"/>
    <w:rsid w:val="00F56D3A"/>
    <w:rsid w:val="00F56EA9"/>
    <w:rsid w:val="00F60016"/>
    <w:rsid w:val="00F60224"/>
    <w:rsid w:val="00F63555"/>
    <w:rsid w:val="00F64ABE"/>
    <w:rsid w:val="00F71353"/>
    <w:rsid w:val="00F74EDD"/>
    <w:rsid w:val="00F770B3"/>
    <w:rsid w:val="00F80D27"/>
    <w:rsid w:val="00F811C7"/>
    <w:rsid w:val="00F81851"/>
    <w:rsid w:val="00F826B8"/>
    <w:rsid w:val="00F83E96"/>
    <w:rsid w:val="00F84C29"/>
    <w:rsid w:val="00F852B8"/>
    <w:rsid w:val="00F86B20"/>
    <w:rsid w:val="00F9060C"/>
    <w:rsid w:val="00F90877"/>
    <w:rsid w:val="00F935E6"/>
    <w:rsid w:val="00F93C3D"/>
    <w:rsid w:val="00F95375"/>
    <w:rsid w:val="00F95399"/>
    <w:rsid w:val="00F95FE8"/>
    <w:rsid w:val="00F9627C"/>
    <w:rsid w:val="00FA0AFE"/>
    <w:rsid w:val="00FA0E5E"/>
    <w:rsid w:val="00FA1CC7"/>
    <w:rsid w:val="00FA2C06"/>
    <w:rsid w:val="00FA62A1"/>
    <w:rsid w:val="00FA66F3"/>
    <w:rsid w:val="00FA6B79"/>
    <w:rsid w:val="00FB03BF"/>
    <w:rsid w:val="00FB3297"/>
    <w:rsid w:val="00FB3470"/>
    <w:rsid w:val="00FB5F28"/>
    <w:rsid w:val="00FB60A4"/>
    <w:rsid w:val="00FB724C"/>
    <w:rsid w:val="00FB778F"/>
    <w:rsid w:val="00FC309B"/>
    <w:rsid w:val="00FC3A9E"/>
    <w:rsid w:val="00FC789C"/>
    <w:rsid w:val="00FC7A7C"/>
    <w:rsid w:val="00FD24F6"/>
    <w:rsid w:val="00FD3642"/>
    <w:rsid w:val="00FD372A"/>
    <w:rsid w:val="00FD3C56"/>
    <w:rsid w:val="00FD4113"/>
    <w:rsid w:val="00FD4A07"/>
    <w:rsid w:val="00FD659B"/>
    <w:rsid w:val="00FD6EC5"/>
    <w:rsid w:val="00FE05F4"/>
    <w:rsid w:val="00FE26A8"/>
    <w:rsid w:val="00FE355B"/>
    <w:rsid w:val="00FE6224"/>
    <w:rsid w:val="00FE6723"/>
    <w:rsid w:val="00FE6737"/>
    <w:rsid w:val="00FF13AE"/>
    <w:rsid w:val="00FF1A86"/>
    <w:rsid w:val="00FF2457"/>
    <w:rsid w:val="00FF3444"/>
    <w:rsid w:val="00FF37CC"/>
    <w:rsid w:val="00FF56E6"/>
    <w:rsid w:val="00FF778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6E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141C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141C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141C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141C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141C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141C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141C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41C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141C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
    <w:basedOn w:val="Normal"/>
    <w:link w:val="ListParagraphChar"/>
    <w:uiPriority w:val="34"/>
    <w:qFormat/>
    <w:rsid w:val="008141C4"/>
    <w:pPr>
      <w:ind w:left="720"/>
      <w:contextualSpacing/>
    </w:p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952ED1"/>
  </w:style>
  <w:style w:type="character" w:customStyle="1" w:styleId="Heading1Char">
    <w:name w:val="Heading 1 Char"/>
    <w:basedOn w:val="DefaultParagraphFont"/>
    <w:link w:val="Heading1"/>
    <w:uiPriority w:val="9"/>
    <w:rsid w:val="008141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141C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141C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141C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141C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141C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141C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41C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41C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141C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141C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141C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141C4"/>
    <w:rPr>
      <w:rFonts w:asciiTheme="majorHAnsi" w:eastAsiaTheme="majorEastAsia" w:hAnsiTheme="majorHAnsi" w:cstheme="majorBidi"/>
      <w:i/>
      <w:iCs/>
      <w:spacing w:val="13"/>
      <w:sz w:val="24"/>
      <w:szCs w:val="24"/>
    </w:rPr>
  </w:style>
  <w:style w:type="character" w:styleId="Strong">
    <w:name w:val="Strong"/>
    <w:uiPriority w:val="22"/>
    <w:qFormat/>
    <w:rsid w:val="008141C4"/>
    <w:rPr>
      <w:b/>
      <w:bCs/>
    </w:rPr>
  </w:style>
  <w:style w:type="character" w:styleId="Emphasis">
    <w:name w:val="Emphasis"/>
    <w:uiPriority w:val="20"/>
    <w:qFormat/>
    <w:rsid w:val="008141C4"/>
    <w:rPr>
      <w:b/>
      <w:bCs/>
      <w:i/>
      <w:iCs/>
      <w:spacing w:val="10"/>
      <w:bdr w:val="none" w:sz="0" w:space="0" w:color="auto"/>
      <w:shd w:val="clear" w:color="auto" w:fill="auto"/>
    </w:rPr>
  </w:style>
  <w:style w:type="paragraph" w:styleId="NoSpacing">
    <w:name w:val="No Spacing"/>
    <w:basedOn w:val="Normal"/>
    <w:uiPriority w:val="1"/>
    <w:qFormat/>
    <w:rsid w:val="008141C4"/>
  </w:style>
  <w:style w:type="paragraph" w:styleId="Quote">
    <w:name w:val="Quote"/>
    <w:basedOn w:val="Normal"/>
    <w:next w:val="Normal"/>
    <w:link w:val="QuoteChar"/>
    <w:uiPriority w:val="29"/>
    <w:qFormat/>
    <w:rsid w:val="008141C4"/>
    <w:pPr>
      <w:spacing w:before="200"/>
      <w:ind w:left="360" w:right="360"/>
    </w:pPr>
    <w:rPr>
      <w:i/>
      <w:iCs/>
    </w:rPr>
  </w:style>
  <w:style w:type="character" w:customStyle="1" w:styleId="QuoteChar">
    <w:name w:val="Quote Char"/>
    <w:basedOn w:val="DefaultParagraphFont"/>
    <w:link w:val="Quote"/>
    <w:uiPriority w:val="29"/>
    <w:rsid w:val="008141C4"/>
    <w:rPr>
      <w:i/>
      <w:iCs/>
    </w:rPr>
  </w:style>
  <w:style w:type="paragraph" w:styleId="IntenseQuote">
    <w:name w:val="Intense Quote"/>
    <w:basedOn w:val="Normal"/>
    <w:next w:val="Normal"/>
    <w:link w:val="IntenseQuoteChar"/>
    <w:uiPriority w:val="30"/>
    <w:qFormat/>
    <w:rsid w:val="008141C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41C4"/>
    <w:rPr>
      <w:b/>
      <w:bCs/>
      <w:i/>
      <w:iCs/>
    </w:rPr>
  </w:style>
  <w:style w:type="character" w:styleId="SubtleEmphasis">
    <w:name w:val="Subtle Emphasis"/>
    <w:uiPriority w:val="19"/>
    <w:qFormat/>
    <w:rsid w:val="008141C4"/>
    <w:rPr>
      <w:i/>
      <w:iCs/>
    </w:rPr>
  </w:style>
  <w:style w:type="character" w:styleId="IntenseEmphasis">
    <w:name w:val="Intense Emphasis"/>
    <w:uiPriority w:val="21"/>
    <w:qFormat/>
    <w:rsid w:val="008141C4"/>
    <w:rPr>
      <w:b/>
      <w:bCs/>
    </w:rPr>
  </w:style>
  <w:style w:type="character" w:styleId="SubtleReference">
    <w:name w:val="Subtle Reference"/>
    <w:uiPriority w:val="31"/>
    <w:qFormat/>
    <w:rsid w:val="008141C4"/>
    <w:rPr>
      <w:smallCaps/>
    </w:rPr>
  </w:style>
  <w:style w:type="character" w:styleId="IntenseReference">
    <w:name w:val="Intense Reference"/>
    <w:uiPriority w:val="32"/>
    <w:qFormat/>
    <w:rsid w:val="008141C4"/>
    <w:rPr>
      <w:smallCaps/>
      <w:spacing w:val="5"/>
      <w:u w:val="single"/>
    </w:rPr>
  </w:style>
  <w:style w:type="character" w:styleId="BookTitle">
    <w:name w:val="Book Title"/>
    <w:uiPriority w:val="33"/>
    <w:qFormat/>
    <w:rsid w:val="008141C4"/>
    <w:rPr>
      <w:i/>
      <w:iCs/>
      <w:smallCaps/>
      <w:spacing w:val="5"/>
    </w:rPr>
  </w:style>
  <w:style w:type="paragraph" w:styleId="TOCHeading">
    <w:name w:val="TOC Heading"/>
    <w:basedOn w:val="Heading1"/>
    <w:next w:val="Normal"/>
    <w:uiPriority w:val="39"/>
    <w:semiHidden/>
    <w:unhideWhenUsed/>
    <w:qFormat/>
    <w:rsid w:val="008141C4"/>
    <w:pPr>
      <w:outlineLvl w:val="9"/>
    </w:pPr>
  </w:style>
  <w:style w:type="paragraph" w:styleId="Header">
    <w:name w:val="header"/>
    <w:basedOn w:val="Normal"/>
    <w:link w:val="HeaderChar"/>
    <w:uiPriority w:val="99"/>
    <w:unhideWhenUsed/>
    <w:rsid w:val="00452D0D"/>
    <w:pPr>
      <w:tabs>
        <w:tab w:val="center" w:pos="4513"/>
        <w:tab w:val="right" w:pos="9026"/>
      </w:tabs>
    </w:pPr>
  </w:style>
  <w:style w:type="character" w:customStyle="1" w:styleId="HeaderChar">
    <w:name w:val="Header Char"/>
    <w:basedOn w:val="DefaultParagraphFont"/>
    <w:link w:val="Header"/>
    <w:uiPriority w:val="99"/>
    <w:rsid w:val="00452D0D"/>
    <w:rPr>
      <w:sz w:val="24"/>
    </w:rPr>
  </w:style>
  <w:style w:type="paragraph" w:styleId="Footer">
    <w:name w:val="footer"/>
    <w:basedOn w:val="Normal"/>
    <w:link w:val="FooterChar"/>
    <w:uiPriority w:val="99"/>
    <w:unhideWhenUsed/>
    <w:rsid w:val="00452D0D"/>
    <w:pPr>
      <w:tabs>
        <w:tab w:val="center" w:pos="4513"/>
        <w:tab w:val="right" w:pos="9026"/>
      </w:tabs>
    </w:pPr>
  </w:style>
  <w:style w:type="character" w:customStyle="1" w:styleId="FooterChar">
    <w:name w:val="Footer Char"/>
    <w:basedOn w:val="DefaultParagraphFont"/>
    <w:link w:val="Footer"/>
    <w:uiPriority w:val="99"/>
    <w:rsid w:val="00452D0D"/>
    <w:rPr>
      <w:sz w:val="24"/>
    </w:rPr>
  </w:style>
  <w:style w:type="paragraph" w:customStyle="1" w:styleId="ParaNumbering">
    <w:name w:val="Para Numbering"/>
    <w:basedOn w:val="Normal"/>
    <w:rsid w:val="00301C10"/>
    <w:pPr>
      <w:tabs>
        <w:tab w:val="num" w:pos="360"/>
        <w:tab w:val="left" w:pos="567"/>
      </w:tabs>
      <w:spacing w:line="240" w:lineRule="atLeast"/>
    </w:pPr>
    <w:rPr>
      <w:rFonts w:eastAsia="Times New Roman"/>
      <w:szCs w:val="20"/>
      <w:lang w:val="en-AU" w:bidi="ar-SA"/>
    </w:rPr>
  </w:style>
  <w:style w:type="character" w:styleId="Hyperlink">
    <w:name w:val="Hyperlink"/>
    <w:basedOn w:val="DefaultParagraphFont"/>
    <w:uiPriority w:val="99"/>
    <w:unhideWhenUsed/>
    <w:rsid w:val="00132DCA"/>
    <w:rPr>
      <w:color w:val="0000FF" w:themeColor="hyperlink"/>
      <w:u w:val="single"/>
    </w:rPr>
  </w:style>
  <w:style w:type="paragraph" w:styleId="BalloonText">
    <w:name w:val="Balloon Text"/>
    <w:basedOn w:val="Normal"/>
    <w:link w:val="BalloonTextChar"/>
    <w:uiPriority w:val="99"/>
    <w:semiHidden/>
    <w:unhideWhenUsed/>
    <w:rsid w:val="00012890"/>
    <w:rPr>
      <w:rFonts w:ascii="Tahoma" w:hAnsi="Tahoma" w:cs="Tahoma"/>
      <w:sz w:val="16"/>
      <w:szCs w:val="16"/>
    </w:rPr>
  </w:style>
  <w:style w:type="character" w:customStyle="1" w:styleId="BalloonTextChar">
    <w:name w:val="Balloon Text Char"/>
    <w:basedOn w:val="DefaultParagraphFont"/>
    <w:link w:val="BalloonText"/>
    <w:uiPriority w:val="99"/>
    <w:semiHidden/>
    <w:rsid w:val="00012890"/>
    <w:rPr>
      <w:rFonts w:ascii="Tahoma" w:hAnsi="Tahoma" w:cs="Tahoma"/>
      <w:sz w:val="16"/>
      <w:szCs w:val="16"/>
    </w:rPr>
  </w:style>
  <w:style w:type="character" w:styleId="CommentReference">
    <w:name w:val="annotation reference"/>
    <w:basedOn w:val="DefaultParagraphFont"/>
    <w:uiPriority w:val="99"/>
    <w:semiHidden/>
    <w:unhideWhenUsed/>
    <w:rsid w:val="00916010"/>
    <w:rPr>
      <w:sz w:val="16"/>
      <w:szCs w:val="16"/>
    </w:rPr>
  </w:style>
  <w:style w:type="paragraph" w:styleId="CommentText">
    <w:name w:val="annotation text"/>
    <w:basedOn w:val="Normal"/>
    <w:link w:val="CommentTextChar"/>
    <w:uiPriority w:val="99"/>
    <w:unhideWhenUsed/>
    <w:rsid w:val="00916010"/>
    <w:rPr>
      <w:sz w:val="20"/>
      <w:szCs w:val="20"/>
    </w:rPr>
  </w:style>
  <w:style w:type="character" w:customStyle="1" w:styleId="CommentTextChar">
    <w:name w:val="Comment Text Char"/>
    <w:basedOn w:val="DefaultParagraphFont"/>
    <w:link w:val="CommentText"/>
    <w:uiPriority w:val="99"/>
    <w:rsid w:val="00916010"/>
    <w:rPr>
      <w:sz w:val="20"/>
      <w:szCs w:val="20"/>
    </w:rPr>
  </w:style>
  <w:style w:type="paragraph" w:styleId="CommentSubject">
    <w:name w:val="annotation subject"/>
    <w:basedOn w:val="CommentText"/>
    <w:next w:val="CommentText"/>
    <w:link w:val="CommentSubjectChar"/>
    <w:uiPriority w:val="99"/>
    <w:semiHidden/>
    <w:unhideWhenUsed/>
    <w:rsid w:val="00916010"/>
    <w:rPr>
      <w:b/>
      <w:bCs/>
    </w:rPr>
  </w:style>
  <w:style w:type="character" w:customStyle="1" w:styleId="CommentSubjectChar">
    <w:name w:val="Comment Subject Char"/>
    <w:basedOn w:val="CommentTextChar"/>
    <w:link w:val="CommentSubject"/>
    <w:uiPriority w:val="99"/>
    <w:semiHidden/>
    <w:rsid w:val="00916010"/>
    <w:rPr>
      <w:b/>
      <w:bCs/>
      <w:sz w:val="20"/>
      <w:szCs w:val="20"/>
    </w:rPr>
  </w:style>
  <w:style w:type="paragraph" w:customStyle="1" w:styleId="definition">
    <w:name w:val="definition"/>
    <w:basedOn w:val="Normal"/>
    <w:rsid w:val="00D976E6"/>
    <w:pPr>
      <w:spacing w:before="100" w:beforeAutospacing="1" w:after="100" w:afterAutospacing="1"/>
    </w:pPr>
    <w:rPr>
      <w:rFonts w:eastAsia="Times New Roman"/>
      <w:lang w:val="en-AU" w:eastAsia="en-AU" w:bidi="ar-SA"/>
    </w:rPr>
  </w:style>
  <w:style w:type="paragraph" w:customStyle="1" w:styleId="paragraph">
    <w:name w:val="paragraph"/>
    <w:aliases w:val="a"/>
    <w:basedOn w:val="Normal"/>
    <w:link w:val="paragraphChar"/>
    <w:rsid w:val="00D976E6"/>
    <w:pPr>
      <w:spacing w:before="100" w:beforeAutospacing="1" w:after="100" w:afterAutospacing="1"/>
    </w:pPr>
    <w:rPr>
      <w:rFonts w:eastAsia="Times New Roman"/>
      <w:lang w:val="en-AU" w:eastAsia="en-AU" w:bidi="ar-SA"/>
    </w:rPr>
  </w:style>
  <w:style w:type="character" w:customStyle="1" w:styleId="paragraphChar">
    <w:name w:val="paragraph Char"/>
    <w:aliases w:val="a Char"/>
    <w:link w:val="paragraph"/>
    <w:rsid w:val="00EC3ABF"/>
    <w:rPr>
      <w:rFonts w:ascii="Times New Roman" w:eastAsia="Times New Roman" w:hAnsi="Times New Roman" w:cs="Times New Roman"/>
      <w:sz w:val="24"/>
      <w:szCs w:val="24"/>
      <w:lang w:val="en-AU" w:eastAsia="en-AU" w:bidi="ar-SA"/>
    </w:rPr>
  </w:style>
  <w:style w:type="paragraph" w:customStyle="1" w:styleId="paranumbering0">
    <w:name w:val="paranumbering"/>
    <w:basedOn w:val="Normal"/>
    <w:uiPriority w:val="99"/>
    <w:rsid w:val="00661056"/>
    <w:pPr>
      <w:spacing w:before="100" w:beforeAutospacing="1" w:after="100" w:afterAutospacing="1"/>
    </w:pPr>
    <w:rPr>
      <w:rFonts w:eastAsiaTheme="minorHAnsi"/>
      <w:lang w:val="en-AU" w:eastAsia="en-AU" w:bidi="ar-SA"/>
    </w:rPr>
  </w:style>
  <w:style w:type="paragraph" w:customStyle="1" w:styleId="Subitem">
    <w:name w:val="Subitem"/>
    <w:aliases w:val="iss"/>
    <w:basedOn w:val="Normal"/>
    <w:rsid w:val="008C4D2C"/>
    <w:pPr>
      <w:spacing w:before="180"/>
      <w:ind w:left="709" w:hanging="709"/>
    </w:pPr>
    <w:rPr>
      <w:rFonts w:eastAsia="Times New Roman"/>
      <w:sz w:val="22"/>
      <w:szCs w:val="20"/>
      <w:lang w:val="en-AU" w:eastAsia="en-AU" w:bidi="ar-SA"/>
    </w:rPr>
  </w:style>
  <w:style w:type="paragraph" w:customStyle="1" w:styleId="ActHead5">
    <w:name w:val="ActHead 5"/>
    <w:aliases w:val="s"/>
    <w:basedOn w:val="Normal"/>
    <w:next w:val="subsection"/>
    <w:qFormat/>
    <w:rsid w:val="00977D04"/>
    <w:pPr>
      <w:keepNext/>
      <w:keepLines/>
      <w:spacing w:before="280"/>
      <w:ind w:left="1134" w:hanging="1134"/>
      <w:outlineLvl w:val="4"/>
    </w:pPr>
    <w:rPr>
      <w:rFonts w:eastAsia="Times New Roman"/>
      <w:b/>
      <w:kern w:val="28"/>
      <w:szCs w:val="20"/>
      <w:lang w:val="en-AU" w:eastAsia="en-AU" w:bidi="ar-SA"/>
    </w:rPr>
  </w:style>
  <w:style w:type="character" w:customStyle="1" w:styleId="CharDivNo">
    <w:name w:val="CharDivNo"/>
    <w:basedOn w:val="DefaultParagraphFont"/>
    <w:qFormat/>
    <w:rsid w:val="00977D04"/>
  </w:style>
  <w:style w:type="character" w:customStyle="1" w:styleId="CharDivText">
    <w:name w:val="CharDivText"/>
    <w:basedOn w:val="DefaultParagraphFont"/>
    <w:qFormat/>
    <w:rsid w:val="00977D04"/>
  </w:style>
  <w:style w:type="character" w:customStyle="1" w:styleId="CharSectno">
    <w:name w:val="CharSectno"/>
    <w:basedOn w:val="DefaultParagraphFont"/>
    <w:qFormat/>
    <w:rsid w:val="00977D04"/>
  </w:style>
  <w:style w:type="paragraph" w:customStyle="1" w:styleId="subsection">
    <w:name w:val="subsection"/>
    <w:aliases w:val="ss"/>
    <w:basedOn w:val="Normal"/>
    <w:rsid w:val="00977D04"/>
    <w:pPr>
      <w:tabs>
        <w:tab w:val="right" w:pos="1021"/>
      </w:tabs>
      <w:spacing w:before="180"/>
      <w:ind w:left="1134" w:hanging="1134"/>
    </w:pPr>
    <w:rPr>
      <w:rFonts w:eastAsia="Times New Roman"/>
      <w:sz w:val="22"/>
      <w:szCs w:val="20"/>
      <w:lang w:val="en-AU" w:eastAsia="en-AU" w:bidi="ar-SA"/>
    </w:rPr>
  </w:style>
  <w:style w:type="paragraph" w:customStyle="1" w:styleId="notedraft">
    <w:name w:val="note(draft)"/>
    <w:aliases w:val="nd"/>
    <w:basedOn w:val="Normal"/>
    <w:rsid w:val="00977D04"/>
    <w:pPr>
      <w:spacing w:before="240"/>
      <w:ind w:left="284" w:hanging="284"/>
    </w:pPr>
    <w:rPr>
      <w:rFonts w:eastAsia="Times New Roman"/>
      <w:i/>
      <w:szCs w:val="20"/>
      <w:lang w:val="en-AU" w:eastAsia="en-AU" w:bidi="ar-SA"/>
    </w:rPr>
  </w:style>
  <w:style w:type="paragraph" w:customStyle="1" w:styleId="notetext">
    <w:name w:val="note(text)"/>
    <w:aliases w:val="n"/>
    <w:basedOn w:val="Normal"/>
    <w:rsid w:val="00977D04"/>
    <w:pPr>
      <w:spacing w:before="122"/>
      <w:ind w:left="1985" w:hanging="851"/>
    </w:pPr>
    <w:rPr>
      <w:rFonts w:eastAsia="Times New Roman"/>
      <w:sz w:val="18"/>
      <w:szCs w:val="20"/>
      <w:lang w:val="en-AU" w:eastAsia="en-AU" w:bidi="ar-SA"/>
    </w:rPr>
  </w:style>
  <w:style w:type="paragraph" w:customStyle="1" w:styleId="ActHead9">
    <w:name w:val="ActHead 9"/>
    <w:aliases w:val="aat"/>
    <w:basedOn w:val="Normal"/>
    <w:next w:val="Normal"/>
    <w:qFormat/>
    <w:rsid w:val="008C5E3C"/>
    <w:pPr>
      <w:keepNext/>
      <w:keepLines/>
      <w:spacing w:before="280"/>
      <w:ind w:left="1134" w:hanging="1134"/>
      <w:outlineLvl w:val="8"/>
    </w:pPr>
    <w:rPr>
      <w:rFonts w:eastAsia="Times New Roman"/>
      <w:b/>
      <w:i/>
      <w:kern w:val="28"/>
      <w:sz w:val="28"/>
      <w:szCs w:val="20"/>
      <w:lang w:val="en-AU" w:eastAsia="en-AU" w:bidi="ar-SA"/>
    </w:rPr>
  </w:style>
  <w:style w:type="paragraph" w:customStyle="1" w:styleId="Normal1">
    <w:name w:val="Normal1"/>
    <w:basedOn w:val="ListParagraph"/>
    <w:link w:val="NormalChar"/>
    <w:qFormat/>
    <w:rsid w:val="00F56D3A"/>
    <w:pPr>
      <w:numPr>
        <w:numId w:val="33"/>
      </w:numPr>
      <w:tabs>
        <w:tab w:val="left" w:pos="426"/>
      </w:tabs>
      <w:spacing w:after="120"/>
    </w:pPr>
    <w:rPr>
      <w:rFonts w:eastAsiaTheme="minorHAnsi"/>
      <w:szCs w:val="28"/>
      <w:u w:val="single"/>
      <w:lang w:val="en-AU" w:bidi="ar-SA"/>
    </w:rPr>
  </w:style>
  <w:style w:type="paragraph" w:customStyle="1" w:styleId="Style5">
    <w:name w:val="Style5"/>
    <w:basedOn w:val="Normal1"/>
    <w:qFormat/>
    <w:rsid w:val="00F56D3A"/>
    <w:pPr>
      <w:numPr>
        <w:ilvl w:val="1"/>
      </w:numPr>
      <w:tabs>
        <w:tab w:val="clear" w:pos="426"/>
        <w:tab w:val="left" w:pos="1276"/>
      </w:tabs>
      <w:ind w:left="754" w:hanging="397"/>
    </w:pPr>
  </w:style>
  <w:style w:type="character" w:customStyle="1" w:styleId="NormalChar">
    <w:name w:val="Normal Char"/>
    <w:basedOn w:val="DefaultParagraphFont"/>
    <w:link w:val="Normal1"/>
    <w:locked/>
    <w:rsid w:val="00F56D3A"/>
    <w:rPr>
      <w:rFonts w:ascii="Times New Roman" w:eastAsiaTheme="minorHAnsi" w:hAnsi="Times New Roman" w:cs="Times New Roman"/>
      <w:sz w:val="24"/>
      <w:szCs w:val="28"/>
      <w:u w:val="single"/>
      <w:lang w:val="en-AU" w:bidi="ar-SA"/>
    </w:rPr>
  </w:style>
</w:styles>
</file>

<file path=word/webSettings.xml><?xml version="1.0" encoding="utf-8"?>
<w:webSettings xmlns:r="http://schemas.openxmlformats.org/officeDocument/2006/relationships" xmlns:w="http://schemas.openxmlformats.org/wordprocessingml/2006/main">
  <w:divs>
    <w:div w:id="37554410">
      <w:bodyDiv w:val="1"/>
      <w:marLeft w:val="0"/>
      <w:marRight w:val="0"/>
      <w:marTop w:val="0"/>
      <w:marBottom w:val="0"/>
      <w:divBdr>
        <w:top w:val="none" w:sz="0" w:space="0" w:color="auto"/>
        <w:left w:val="none" w:sz="0" w:space="0" w:color="auto"/>
        <w:bottom w:val="none" w:sz="0" w:space="0" w:color="auto"/>
        <w:right w:val="none" w:sz="0" w:space="0" w:color="auto"/>
      </w:divBdr>
      <w:divsChild>
        <w:div w:id="285357597">
          <w:marLeft w:val="0"/>
          <w:marRight w:val="0"/>
          <w:marTop w:val="0"/>
          <w:marBottom w:val="0"/>
          <w:divBdr>
            <w:top w:val="none" w:sz="0" w:space="0" w:color="auto"/>
            <w:left w:val="none" w:sz="0" w:space="0" w:color="auto"/>
            <w:bottom w:val="none" w:sz="0" w:space="0" w:color="auto"/>
            <w:right w:val="none" w:sz="0" w:space="0" w:color="auto"/>
          </w:divBdr>
          <w:divsChild>
            <w:div w:id="1035928580">
              <w:marLeft w:val="0"/>
              <w:marRight w:val="0"/>
              <w:marTop w:val="0"/>
              <w:marBottom w:val="305"/>
              <w:divBdr>
                <w:top w:val="none" w:sz="0" w:space="0" w:color="auto"/>
                <w:left w:val="none" w:sz="0" w:space="0" w:color="auto"/>
                <w:bottom w:val="none" w:sz="0" w:space="0" w:color="auto"/>
                <w:right w:val="none" w:sz="0" w:space="0" w:color="auto"/>
              </w:divBdr>
              <w:divsChild>
                <w:div w:id="958146925">
                  <w:marLeft w:val="0"/>
                  <w:marRight w:val="0"/>
                  <w:marTop w:val="0"/>
                  <w:marBottom w:val="0"/>
                  <w:divBdr>
                    <w:top w:val="none" w:sz="0" w:space="0" w:color="auto"/>
                    <w:left w:val="none" w:sz="0" w:space="0" w:color="auto"/>
                    <w:bottom w:val="none" w:sz="0" w:space="0" w:color="auto"/>
                    <w:right w:val="none" w:sz="0" w:space="0" w:color="auto"/>
                  </w:divBdr>
                  <w:divsChild>
                    <w:div w:id="1746760763">
                      <w:marLeft w:val="0"/>
                      <w:marRight w:val="0"/>
                      <w:marTop w:val="0"/>
                      <w:marBottom w:val="0"/>
                      <w:divBdr>
                        <w:top w:val="none" w:sz="0" w:space="0" w:color="auto"/>
                        <w:left w:val="single" w:sz="4" w:space="0" w:color="F69C31"/>
                        <w:bottom w:val="none" w:sz="0" w:space="0" w:color="auto"/>
                        <w:right w:val="none" w:sz="0" w:space="0" w:color="auto"/>
                      </w:divBdr>
                      <w:divsChild>
                        <w:div w:id="1974748017">
                          <w:marLeft w:val="0"/>
                          <w:marRight w:val="0"/>
                          <w:marTop w:val="0"/>
                          <w:marBottom w:val="0"/>
                          <w:divBdr>
                            <w:top w:val="none" w:sz="0" w:space="0" w:color="auto"/>
                            <w:left w:val="none" w:sz="0" w:space="0" w:color="auto"/>
                            <w:bottom w:val="none" w:sz="0" w:space="0" w:color="auto"/>
                            <w:right w:val="none" w:sz="0" w:space="0" w:color="auto"/>
                          </w:divBdr>
                          <w:divsChild>
                            <w:div w:id="1759869326">
                              <w:marLeft w:val="0"/>
                              <w:marRight w:val="0"/>
                              <w:marTop w:val="0"/>
                              <w:marBottom w:val="0"/>
                              <w:divBdr>
                                <w:top w:val="none" w:sz="0" w:space="0" w:color="auto"/>
                                <w:left w:val="none" w:sz="0" w:space="0" w:color="auto"/>
                                <w:bottom w:val="none" w:sz="0" w:space="0" w:color="auto"/>
                                <w:right w:val="none" w:sz="0" w:space="0" w:color="auto"/>
                              </w:divBdr>
                              <w:divsChild>
                                <w:div w:id="39369684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0494">
      <w:bodyDiv w:val="1"/>
      <w:marLeft w:val="0"/>
      <w:marRight w:val="0"/>
      <w:marTop w:val="0"/>
      <w:marBottom w:val="0"/>
      <w:divBdr>
        <w:top w:val="none" w:sz="0" w:space="0" w:color="auto"/>
        <w:left w:val="none" w:sz="0" w:space="0" w:color="auto"/>
        <w:bottom w:val="none" w:sz="0" w:space="0" w:color="auto"/>
        <w:right w:val="none" w:sz="0" w:space="0" w:color="auto"/>
      </w:divBdr>
      <w:divsChild>
        <w:div w:id="1777603212">
          <w:marLeft w:val="0"/>
          <w:marRight w:val="0"/>
          <w:marTop w:val="0"/>
          <w:marBottom w:val="0"/>
          <w:divBdr>
            <w:top w:val="none" w:sz="0" w:space="0" w:color="auto"/>
            <w:left w:val="none" w:sz="0" w:space="0" w:color="auto"/>
            <w:bottom w:val="none" w:sz="0" w:space="0" w:color="auto"/>
            <w:right w:val="none" w:sz="0" w:space="0" w:color="auto"/>
          </w:divBdr>
          <w:divsChild>
            <w:div w:id="699476247">
              <w:marLeft w:val="0"/>
              <w:marRight w:val="0"/>
              <w:marTop w:val="0"/>
              <w:marBottom w:val="0"/>
              <w:divBdr>
                <w:top w:val="none" w:sz="0" w:space="0" w:color="auto"/>
                <w:left w:val="none" w:sz="0" w:space="0" w:color="auto"/>
                <w:bottom w:val="none" w:sz="0" w:space="0" w:color="auto"/>
                <w:right w:val="none" w:sz="0" w:space="0" w:color="auto"/>
              </w:divBdr>
              <w:divsChild>
                <w:div w:id="1070038343">
                  <w:marLeft w:val="0"/>
                  <w:marRight w:val="0"/>
                  <w:marTop w:val="0"/>
                  <w:marBottom w:val="0"/>
                  <w:divBdr>
                    <w:top w:val="none" w:sz="0" w:space="0" w:color="auto"/>
                    <w:left w:val="none" w:sz="0" w:space="0" w:color="auto"/>
                    <w:bottom w:val="none" w:sz="0" w:space="0" w:color="auto"/>
                    <w:right w:val="none" w:sz="0" w:space="0" w:color="auto"/>
                  </w:divBdr>
                  <w:divsChild>
                    <w:div w:id="1333558219">
                      <w:marLeft w:val="0"/>
                      <w:marRight w:val="0"/>
                      <w:marTop w:val="0"/>
                      <w:marBottom w:val="0"/>
                      <w:divBdr>
                        <w:top w:val="none" w:sz="0" w:space="0" w:color="auto"/>
                        <w:left w:val="none" w:sz="0" w:space="0" w:color="auto"/>
                        <w:bottom w:val="none" w:sz="0" w:space="0" w:color="auto"/>
                        <w:right w:val="none" w:sz="0" w:space="0" w:color="auto"/>
                      </w:divBdr>
                      <w:divsChild>
                        <w:div w:id="1725446707">
                          <w:marLeft w:val="0"/>
                          <w:marRight w:val="0"/>
                          <w:marTop w:val="0"/>
                          <w:marBottom w:val="0"/>
                          <w:divBdr>
                            <w:top w:val="single" w:sz="4" w:space="0" w:color="828282"/>
                            <w:left w:val="single" w:sz="4" w:space="0" w:color="828282"/>
                            <w:bottom w:val="single" w:sz="4" w:space="0" w:color="828282"/>
                            <w:right w:val="single" w:sz="4" w:space="0" w:color="828282"/>
                          </w:divBdr>
                          <w:divsChild>
                            <w:div w:id="81880978">
                              <w:marLeft w:val="0"/>
                              <w:marRight w:val="0"/>
                              <w:marTop w:val="0"/>
                              <w:marBottom w:val="0"/>
                              <w:divBdr>
                                <w:top w:val="none" w:sz="0" w:space="0" w:color="auto"/>
                                <w:left w:val="none" w:sz="0" w:space="0" w:color="auto"/>
                                <w:bottom w:val="none" w:sz="0" w:space="0" w:color="auto"/>
                                <w:right w:val="none" w:sz="0" w:space="0" w:color="auto"/>
                              </w:divBdr>
                              <w:divsChild>
                                <w:div w:id="1185292097">
                                  <w:marLeft w:val="0"/>
                                  <w:marRight w:val="0"/>
                                  <w:marTop w:val="0"/>
                                  <w:marBottom w:val="0"/>
                                  <w:divBdr>
                                    <w:top w:val="none" w:sz="0" w:space="0" w:color="auto"/>
                                    <w:left w:val="none" w:sz="0" w:space="0" w:color="auto"/>
                                    <w:bottom w:val="none" w:sz="0" w:space="0" w:color="auto"/>
                                    <w:right w:val="none" w:sz="0" w:space="0" w:color="auto"/>
                                  </w:divBdr>
                                  <w:divsChild>
                                    <w:div w:id="379283011">
                                      <w:marLeft w:val="0"/>
                                      <w:marRight w:val="0"/>
                                      <w:marTop w:val="0"/>
                                      <w:marBottom w:val="0"/>
                                      <w:divBdr>
                                        <w:top w:val="none" w:sz="0" w:space="0" w:color="auto"/>
                                        <w:left w:val="none" w:sz="0" w:space="0" w:color="auto"/>
                                        <w:bottom w:val="none" w:sz="0" w:space="0" w:color="auto"/>
                                        <w:right w:val="none" w:sz="0" w:space="0" w:color="auto"/>
                                      </w:divBdr>
                                      <w:divsChild>
                                        <w:div w:id="1464229685">
                                          <w:marLeft w:val="0"/>
                                          <w:marRight w:val="0"/>
                                          <w:marTop w:val="0"/>
                                          <w:marBottom w:val="0"/>
                                          <w:divBdr>
                                            <w:top w:val="none" w:sz="0" w:space="0" w:color="auto"/>
                                            <w:left w:val="none" w:sz="0" w:space="0" w:color="auto"/>
                                            <w:bottom w:val="none" w:sz="0" w:space="0" w:color="auto"/>
                                            <w:right w:val="none" w:sz="0" w:space="0" w:color="auto"/>
                                          </w:divBdr>
                                          <w:divsChild>
                                            <w:div w:id="1712727031">
                                              <w:marLeft w:val="0"/>
                                              <w:marRight w:val="0"/>
                                              <w:marTop w:val="0"/>
                                              <w:marBottom w:val="0"/>
                                              <w:divBdr>
                                                <w:top w:val="none" w:sz="0" w:space="0" w:color="auto"/>
                                                <w:left w:val="none" w:sz="0" w:space="0" w:color="auto"/>
                                                <w:bottom w:val="none" w:sz="0" w:space="0" w:color="auto"/>
                                                <w:right w:val="none" w:sz="0" w:space="0" w:color="auto"/>
                                              </w:divBdr>
                                              <w:divsChild>
                                                <w:div w:id="10575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138331">
      <w:bodyDiv w:val="1"/>
      <w:marLeft w:val="0"/>
      <w:marRight w:val="0"/>
      <w:marTop w:val="0"/>
      <w:marBottom w:val="0"/>
      <w:divBdr>
        <w:top w:val="none" w:sz="0" w:space="0" w:color="auto"/>
        <w:left w:val="none" w:sz="0" w:space="0" w:color="auto"/>
        <w:bottom w:val="none" w:sz="0" w:space="0" w:color="auto"/>
        <w:right w:val="none" w:sz="0" w:space="0" w:color="auto"/>
      </w:divBdr>
      <w:divsChild>
        <w:div w:id="18898191">
          <w:marLeft w:val="0"/>
          <w:marRight w:val="0"/>
          <w:marTop w:val="0"/>
          <w:marBottom w:val="0"/>
          <w:divBdr>
            <w:top w:val="none" w:sz="0" w:space="0" w:color="auto"/>
            <w:left w:val="none" w:sz="0" w:space="0" w:color="auto"/>
            <w:bottom w:val="none" w:sz="0" w:space="0" w:color="auto"/>
            <w:right w:val="none" w:sz="0" w:space="0" w:color="auto"/>
          </w:divBdr>
          <w:divsChild>
            <w:div w:id="819226441">
              <w:marLeft w:val="0"/>
              <w:marRight w:val="0"/>
              <w:marTop w:val="0"/>
              <w:marBottom w:val="0"/>
              <w:divBdr>
                <w:top w:val="none" w:sz="0" w:space="0" w:color="auto"/>
                <w:left w:val="none" w:sz="0" w:space="0" w:color="auto"/>
                <w:bottom w:val="none" w:sz="0" w:space="0" w:color="auto"/>
                <w:right w:val="none" w:sz="0" w:space="0" w:color="auto"/>
              </w:divBdr>
              <w:divsChild>
                <w:div w:id="1274675728">
                  <w:marLeft w:val="0"/>
                  <w:marRight w:val="0"/>
                  <w:marTop w:val="0"/>
                  <w:marBottom w:val="0"/>
                  <w:divBdr>
                    <w:top w:val="none" w:sz="0" w:space="0" w:color="auto"/>
                    <w:left w:val="none" w:sz="0" w:space="0" w:color="auto"/>
                    <w:bottom w:val="none" w:sz="0" w:space="0" w:color="auto"/>
                    <w:right w:val="none" w:sz="0" w:space="0" w:color="auto"/>
                  </w:divBdr>
                  <w:divsChild>
                    <w:div w:id="867837513">
                      <w:marLeft w:val="0"/>
                      <w:marRight w:val="0"/>
                      <w:marTop w:val="0"/>
                      <w:marBottom w:val="0"/>
                      <w:divBdr>
                        <w:top w:val="none" w:sz="0" w:space="0" w:color="auto"/>
                        <w:left w:val="none" w:sz="0" w:space="0" w:color="auto"/>
                        <w:bottom w:val="none" w:sz="0" w:space="0" w:color="auto"/>
                        <w:right w:val="none" w:sz="0" w:space="0" w:color="auto"/>
                      </w:divBdr>
                      <w:divsChild>
                        <w:div w:id="56823603">
                          <w:marLeft w:val="0"/>
                          <w:marRight w:val="0"/>
                          <w:marTop w:val="0"/>
                          <w:marBottom w:val="0"/>
                          <w:divBdr>
                            <w:top w:val="single" w:sz="4" w:space="0" w:color="828282"/>
                            <w:left w:val="single" w:sz="4" w:space="0" w:color="828282"/>
                            <w:bottom w:val="single" w:sz="4" w:space="0" w:color="828282"/>
                            <w:right w:val="single" w:sz="4" w:space="0" w:color="828282"/>
                          </w:divBdr>
                          <w:divsChild>
                            <w:div w:id="599721157">
                              <w:marLeft w:val="0"/>
                              <w:marRight w:val="0"/>
                              <w:marTop w:val="0"/>
                              <w:marBottom w:val="0"/>
                              <w:divBdr>
                                <w:top w:val="none" w:sz="0" w:space="0" w:color="auto"/>
                                <w:left w:val="none" w:sz="0" w:space="0" w:color="auto"/>
                                <w:bottom w:val="none" w:sz="0" w:space="0" w:color="auto"/>
                                <w:right w:val="none" w:sz="0" w:space="0" w:color="auto"/>
                              </w:divBdr>
                              <w:divsChild>
                                <w:div w:id="866260674">
                                  <w:marLeft w:val="0"/>
                                  <w:marRight w:val="0"/>
                                  <w:marTop w:val="0"/>
                                  <w:marBottom w:val="0"/>
                                  <w:divBdr>
                                    <w:top w:val="none" w:sz="0" w:space="0" w:color="auto"/>
                                    <w:left w:val="none" w:sz="0" w:space="0" w:color="auto"/>
                                    <w:bottom w:val="none" w:sz="0" w:space="0" w:color="auto"/>
                                    <w:right w:val="none" w:sz="0" w:space="0" w:color="auto"/>
                                  </w:divBdr>
                                  <w:divsChild>
                                    <w:div w:id="1595432958">
                                      <w:marLeft w:val="0"/>
                                      <w:marRight w:val="0"/>
                                      <w:marTop w:val="0"/>
                                      <w:marBottom w:val="0"/>
                                      <w:divBdr>
                                        <w:top w:val="none" w:sz="0" w:space="0" w:color="auto"/>
                                        <w:left w:val="none" w:sz="0" w:space="0" w:color="auto"/>
                                        <w:bottom w:val="none" w:sz="0" w:space="0" w:color="auto"/>
                                        <w:right w:val="none" w:sz="0" w:space="0" w:color="auto"/>
                                      </w:divBdr>
                                      <w:divsChild>
                                        <w:div w:id="844127955">
                                          <w:marLeft w:val="0"/>
                                          <w:marRight w:val="0"/>
                                          <w:marTop w:val="0"/>
                                          <w:marBottom w:val="0"/>
                                          <w:divBdr>
                                            <w:top w:val="none" w:sz="0" w:space="0" w:color="auto"/>
                                            <w:left w:val="none" w:sz="0" w:space="0" w:color="auto"/>
                                            <w:bottom w:val="none" w:sz="0" w:space="0" w:color="auto"/>
                                            <w:right w:val="none" w:sz="0" w:space="0" w:color="auto"/>
                                          </w:divBdr>
                                          <w:divsChild>
                                            <w:div w:id="1584072222">
                                              <w:marLeft w:val="0"/>
                                              <w:marRight w:val="0"/>
                                              <w:marTop w:val="0"/>
                                              <w:marBottom w:val="0"/>
                                              <w:divBdr>
                                                <w:top w:val="none" w:sz="0" w:space="0" w:color="auto"/>
                                                <w:left w:val="none" w:sz="0" w:space="0" w:color="auto"/>
                                                <w:bottom w:val="none" w:sz="0" w:space="0" w:color="auto"/>
                                                <w:right w:val="none" w:sz="0" w:space="0" w:color="auto"/>
                                              </w:divBdr>
                                              <w:divsChild>
                                                <w:div w:id="7276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871119">
      <w:bodyDiv w:val="1"/>
      <w:marLeft w:val="0"/>
      <w:marRight w:val="0"/>
      <w:marTop w:val="0"/>
      <w:marBottom w:val="0"/>
      <w:divBdr>
        <w:top w:val="none" w:sz="0" w:space="0" w:color="auto"/>
        <w:left w:val="none" w:sz="0" w:space="0" w:color="auto"/>
        <w:bottom w:val="none" w:sz="0" w:space="0" w:color="auto"/>
        <w:right w:val="none" w:sz="0" w:space="0" w:color="auto"/>
      </w:divBdr>
      <w:divsChild>
        <w:div w:id="2103405273">
          <w:marLeft w:val="0"/>
          <w:marRight w:val="0"/>
          <w:marTop w:val="0"/>
          <w:marBottom w:val="0"/>
          <w:divBdr>
            <w:top w:val="none" w:sz="0" w:space="0" w:color="auto"/>
            <w:left w:val="none" w:sz="0" w:space="0" w:color="auto"/>
            <w:bottom w:val="none" w:sz="0" w:space="0" w:color="auto"/>
            <w:right w:val="none" w:sz="0" w:space="0" w:color="auto"/>
          </w:divBdr>
          <w:divsChild>
            <w:div w:id="1926300902">
              <w:marLeft w:val="0"/>
              <w:marRight w:val="0"/>
              <w:marTop w:val="0"/>
              <w:marBottom w:val="305"/>
              <w:divBdr>
                <w:top w:val="none" w:sz="0" w:space="0" w:color="auto"/>
                <w:left w:val="none" w:sz="0" w:space="0" w:color="auto"/>
                <w:bottom w:val="none" w:sz="0" w:space="0" w:color="auto"/>
                <w:right w:val="none" w:sz="0" w:space="0" w:color="auto"/>
              </w:divBdr>
              <w:divsChild>
                <w:div w:id="820659344">
                  <w:marLeft w:val="0"/>
                  <w:marRight w:val="0"/>
                  <w:marTop w:val="0"/>
                  <w:marBottom w:val="0"/>
                  <w:divBdr>
                    <w:top w:val="none" w:sz="0" w:space="0" w:color="auto"/>
                    <w:left w:val="none" w:sz="0" w:space="0" w:color="auto"/>
                    <w:bottom w:val="none" w:sz="0" w:space="0" w:color="auto"/>
                    <w:right w:val="none" w:sz="0" w:space="0" w:color="auto"/>
                  </w:divBdr>
                  <w:divsChild>
                    <w:div w:id="1914856376">
                      <w:marLeft w:val="0"/>
                      <w:marRight w:val="0"/>
                      <w:marTop w:val="0"/>
                      <w:marBottom w:val="0"/>
                      <w:divBdr>
                        <w:top w:val="none" w:sz="0" w:space="0" w:color="auto"/>
                        <w:left w:val="single" w:sz="4" w:space="0" w:color="F69C31"/>
                        <w:bottom w:val="none" w:sz="0" w:space="0" w:color="auto"/>
                        <w:right w:val="none" w:sz="0" w:space="0" w:color="auto"/>
                      </w:divBdr>
                      <w:divsChild>
                        <w:div w:id="474685505">
                          <w:marLeft w:val="0"/>
                          <w:marRight w:val="0"/>
                          <w:marTop w:val="0"/>
                          <w:marBottom w:val="0"/>
                          <w:divBdr>
                            <w:top w:val="none" w:sz="0" w:space="0" w:color="auto"/>
                            <w:left w:val="none" w:sz="0" w:space="0" w:color="auto"/>
                            <w:bottom w:val="none" w:sz="0" w:space="0" w:color="auto"/>
                            <w:right w:val="none" w:sz="0" w:space="0" w:color="auto"/>
                          </w:divBdr>
                          <w:divsChild>
                            <w:div w:id="1507941149">
                              <w:marLeft w:val="0"/>
                              <w:marRight w:val="0"/>
                              <w:marTop w:val="0"/>
                              <w:marBottom w:val="0"/>
                              <w:divBdr>
                                <w:top w:val="none" w:sz="0" w:space="0" w:color="auto"/>
                                <w:left w:val="none" w:sz="0" w:space="0" w:color="auto"/>
                                <w:bottom w:val="none" w:sz="0" w:space="0" w:color="auto"/>
                                <w:right w:val="none" w:sz="0" w:space="0" w:color="auto"/>
                              </w:divBdr>
                              <w:divsChild>
                                <w:div w:id="1950963113">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73499">
      <w:bodyDiv w:val="1"/>
      <w:marLeft w:val="0"/>
      <w:marRight w:val="0"/>
      <w:marTop w:val="0"/>
      <w:marBottom w:val="0"/>
      <w:divBdr>
        <w:top w:val="none" w:sz="0" w:space="0" w:color="auto"/>
        <w:left w:val="none" w:sz="0" w:space="0" w:color="auto"/>
        <w:bottom w:val="none" w:sz="0" w:space="0" w:color="auto"/>
        <w:right w:val="none" w:sz="0" w:space="0" w:color="auto"/>
      </w:divBdr>
      <w:divsChild>
        <w:div w:id="1931624743">
          <w:marLeft w:val="0"/>
          <w:marRight w:val="0"/>
          <w:marTop w:val="0"/>
          <w:marBottom w:val="0"/>
          <w:divBdr>
            <w:top w:val="none" w:sz="0" w:space="0" w:color="auto"/>
            <w:left w:val="none" w:sz="0" w:space="0" w:color="auto"/>
            <w:bottom w:val="none" w:sz="0" w:space="0" w:color="auto"/>
            <w:right w:val="none" w:sz="0" w:space="0" w:color="auto"/>
          </w:divBdr>
          <w:divsChild>
            <w:div w:id="1454905482">
              <w:marLeft w:val="0"/>
              <w:marRight w:val="0"/>
              <w:marTop w:val="0"/>
              <w:marBottom w:val="0"/>
              <w:divBdr>
                <w:top w:val="none" w:sz="0" w:space="0" w:color="auto"/>
                <w:left w:val="none" w:sz="0" w:space="0" w:color="auto"/>
                <w:bottom w:val="none" w:sz="0" w:space="0" w:color="auto"/>
                <w:right w:val="none" w:sz="0" w:space="0" w:color="auto"/>
              </w:divBdr>
              <w:divsChild>
                <w:div w:id="1034771451">
                  <w:marLeft w:val="10"/>
                  <w:marRight w:val="10"/>
                  <w:marTop w:val="0"/>
                  <w:marBottom w:val="0"/>
                  <w:divBdr>
                    <w:top w:val="single" w:sz="4" w:space="0" w:color="FFFFFF"/>
                    <w:left w:val="single" w:sz="4" w:space="0" w:color="FFFFFF"/>
                    <w:bottom w:val="single" w:sz="4" w:space="8" w:color="FFFFFF"/>
                    <w:right w:val="single" w:sz="4" w:space="0" w:color="FFFFFF"/>
                  </w:divBdr>
                  <w:divsChild>
                    <w:div w:id="1391999525">
                      <w:marLeft w:val="200"/>
                      <w:marRight w:val="20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 w:id="1197428883">
      <w:bodyDiv w:val="1"/>
      <w:marLeft w:val="0"/>
      <w:marRight w:val="0"/>
      <w:marTop w:val="0"/>
      <w:marBottom w:val="0"/>
      <w:divBdr>
        <w:top w:val="none" w:sz="0" w:space="0" w:color="auto"/>
        <w:left w:val="none" w:sz="0" w:space="0" w:color="auto"/>
        <w:bottom w:val="none" w:sz="0" w:space="0" w:color="auto"/>
        <w:right w:val="none" w:sz="0" w:space="0" w:color="auto"/>
      </w:divBdr>
      <w:divsChild>
        <w:div w:id="892931088">
          <w:marLeft w:val="0"/>
          <w:marRight w:val="0"/>
          <w:marTop w:val="0"/>
          <w:marBottom w:val="0"/>
          <w:divBdr>
            <w:top w:val="none" w:sz="0" w:space="0" w:color="auto"/>
            <w:left w:val="none" w:sz="0" w:space="0" w:color="auto"/>
            <w:bottom w:val="none" w:sz="0" w:space="0" w:color="auto"/>
            <w:right w:val="none" w:sz="0" w:space="0" w:color="auto"/>
          </w:divBdr>
          <w:divsChild>
            <w:div w:id="730344853">
              <w:marLeft w:val="0"/>
              <w:marRight w:val="0"/>
              <w:marTop w:val="0"/>
              <w:marBottom w:val="0"/>
              <w:divBdr>
                <w:top w:val="none" w:sz="0" w:space="0" w:color="auto"/>
                <w:left w:val="none" w:sz="0" w:space="0" w:color="auto"/>
                <w:bottom w:val="none" w:sz="0" w:space="0" w:color="auto"/>
                <w:right w:val="none" w:sz="0" w:space="0" w:color="auto"/>
              </w:divBdr>
              <w:divsChild>
                <w:div w:id="1852068367">
                  <w:marLeft w:val="0"/>
                  <w:marRight w:val="0"/>
                  <w:marTop w:val="0"/>
                  <w:marBottom w:val="0"/>
                  <w:divBdr>
                    <w:top w:val="none" w:sz="0" w:space="0" w:color="auto"/>
                    <w:left w:val="none" w:sz="0" w:space="0" w:color="auto"/>
                    <w:bottom w:val="none" w:sz="0" w:space="0" w:color="auto"/>
                    <w:right w:val="none" w:sz="0" w:space="0" w:color="auto"/>
                  </w:divBdr>
                  <w:divsChild>
                    <w:div w:id="1731613985">
                      <w:marLeft w:val="0"/>
                      <w:marRight w:val="0"/>
                      <w:marTop w:val="0"/>
                      <w:marBottom w:val="0"/>
                      <w:divBdr>
                        <w:top w:val="none" w:sz="0" w:space="0" w:color="auto"/>
                        <w:left w:val="none" w:sz="0" w:space="0" w:color="auto"/>
                        <w:bottom w:val="none" w:sz="0" w:space="0" w:color="auto"/>
                        <w:right w:val="none" w:sz="0" w:space="0" w:color="auto"/>
                      </w:divBdr>
                      <w:divsChild>
                        <w:div w:id="1882940652">
                          <w:marLeft w:val="0"/>
                          <w:marRight w:val="0"/>
                          <w:marTop w:val="0"/>
                          <w:marBottom w:val="0"/>
                          <w:divBdr>
                            <w:top w:val="single" w:sz="6" w:space="0" w:color="828282"/>
                            <w:left w:val="single" w:sz="6" w:space="0" w:color="828282"/>
                            <w:bottom w:val="single" w:sz="6" w:space="0" w:color="828282"/>
                            <w:right w:val="single" w:sz="6" w:space="0" w:color="828282"/>
                          </w:divBdr>
                          <w:divsChild>
                            <w:div w:id="860512799">
                              <w:marLeft w:val="0"/>
                              <w:marRight w:val="0"/>
                              <w:marTop w:val="0"/>
                              <w:marBottom w:val="0"/>
                              <w:divBdr>
                                <w:top w:val="none" w:sz="0" w:space="0" w:color="auto"/>
                                <w:left w:val="none" w:sz="0" w:space="0" w:color="auto"/>
                                <w:bottom w:val="none" w:sz="0" w:space="0" w:color="auto"/>
                                <w:right w:val="none" w:sz="0" w:space="0" w:color="auto"/>
                              </w:divBdr>
                              <w:divsChild>
                                <w:div w:id="260185932">
                                  <w:marLeft w:val="0"/>
                                  <w:marRight w:val="0"/>
                                  <w:marTop w:val="0"/>
                                  <w:marBottom w:val="0"/>
                                  <w:divBdr>
                                    <w:top w:val="none" w:sz="0" w:space="0" w:color="auto"/>
                                    <w:left w:val="none" w:sz="0" w:space="0" w:color="auto"/>
                                    <w:bottom w:val="none" w:sz="0" w:space="0" w:color="auto"/>
                                    <w:right w:val="none" w:sz="0" w:space="0" w:color="auto"/>
                                  </w:divBdr>
                                  <w:divsChild>
                                    <w:div w:id="555049347">
                                      <w:marLeft w:val="0"/>
                                      <w:marRight w:val="0"/>
                                      <w:marTop w:val="0"/>
                                      <w:marBottom w:val="0"/>
                                      <w:divBdr>
                                        <w:top w:val="none" w:sz="0" w:space="0" w:color="auto"/>
                                        <w:left w:val="none" w:sz="0" w:space="0" w:color="auto"/>
                                        <w:bottom w:val="none" w:sz="0" w:space="0" w:color="auto"/>
                                        <w:right w:val="none" w:sz="0" w:space="0" w:color="auto"/>
                                      </w:divBdr>
                                      <w:divsChild>
                                        <w:div w:id="997731018">
                                          <w:marLeft w:val="0"/>
                                          <w:marRight w:val="0"/>
                                          <w:marTop w:val="0"/>
                                          <w:marBottom w:val="0"/>
                                          <w:divBdr>
                                            <w:top w:val="none" w:sz="0" w:space="0" w:color="auto"/>
                                            <w:left w:val="none" w:sz="0" w:space="0" w:color="auto"/>
                                            <w:bottom w:val="none" w:sz="0" w:space="0" w:color="auto"/>
                                            <w:right w:val="none" w:sz="0" w:space="0" w:color="auto"/>
                                          </w:divBdr>
                                          <w:divsChild>
                                            <w:div w:id="574585546">
                                              <w:marLeft w:val="0"/>
                                              <w:marRight w:val="0"/>
                                              <w:marTop w:val="0"/>
                                              <w:marBottom w:val="0"/>
                                              <w:divBdr>
                                                <w:top w:val="none" w:sz="0" w:space="0" w:color="auto"/>
                                                <w:left w:val="none" w:sz="0" w:space="0" w:color="auto"/>
                                                <w:bottom w:val="none" w:sz="0" w:space="0" w:color="auto"/>
                                                <w:right w:val="none" w:sz="0" w:space="0" w:color="auto"/>
                                              </w:divBdr>
                                              <w:divsChild>
                                                <w:div w:id="18150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771355">
      <w:bodyDiv w:val="1"/>
      <w:marLeft w:val="0"/>
      <w:marRight w:val="0"/>
      <w:marTop w:val="0"/>
      <w:marBottom w:val="0"/>
      <w:divBdr>
        <w:top w:val="none" w:sz="0" w:space="0" w:color="auto"/>
        <w:left w:val="none" w:sz="0" w:space="0" w:color="auto"/>
        <w:bottom w:val="none" w:sz="0" w:space="0" w:color="auto"/>
        <w:right w:val="none" w:sz="0" w:space="0" w:color="auto"/>
      </w:divBdr>
      <w:divsChild>
        <w:div w:id="1247378480">
          <w:marLeft w:val="0"/>
          <w:marRight w:val="0"/>
          <w:marTop w:val="0"/>
          <w:marBottom w:val="0"/>
          <w:divBdr>
            <w:top w:val="none" w:sz="0" w:space="0" w:color="auto"/>
            <w:left w:val="none" w:sz="0" w:space="0" w:color="auto"/>
            <w:bottom w:val="none" w:sz="0" w:space="0" w:color="auto"/>
            <w:right w:val="none" w:sz="0" w:space="0" w:color="auto"/>
          </w:divBdr>
          <w:divsChild>
            <w:div w:id="2134399394">
              <w:marLeft w:val="0"/>
              <w:marRight w:val="0"/>
              <w:marTop w:val="0"/>
              <w:marBottom w:val="0"/>
              <w:divBdr>
                <w:top w:val="none" w:sz="0" w:space="0" w:color="auto"/>
                <w:left w:val="none" w:sz="0" w:space="0" w:color="auto"/>
                <w:bottom w:val="none" w:sz="0" w:space="0" w:color="auto"/>
                <w:right w:val="none" w:sz="0" w:space="0" w:color="auto"/>
              </w:divBdr>
              <w:divsChild>
                <w:div w:id="1965231005">
                  <w:marLeft w:val="0"/>
                  <w:marRight w:val="0"/>
                  <w:marTop w:val="0"/>
                  <w:marBottom w:val="0"/>
                  <w:divBdr>
                    <w:top w:val="none" w:sz="0" w:space="0" w:color="auto"/>
                    <w:left w:val="none" w:sz="0" w:space="0" w:color="auto"/>
                    <w:bottom w:val="none" w:sz="0" w:space="0" w:color="auto"/>
                    <w:right w:val="none" w:sz="0" w:space="0" w:color="auto"/>
                  </w:divBdr>
                  <w:divsChild>
                    <w:div w:id="2005011660">
                      <w:marLeft w:val="0"/>
                      <w:marRight w:val="0"/>
                      <w:marTop w:val="0"/>
                      <w:marBottom w:val="0"/>
                      <w:divBdr>
                        <w:top w:val="none" w:sz="0" w:space="0" w:color="auto"/>
                        <w:left w:val="none" w:sz="0" w:space="0" w:color="auto"/>
                        <w:bottom w:val="none" w:sz="0" w:space="0" w:color="auto"/>
                        <w:right w:val="none" w:sz="0" w:space="0" w:color="auto"/>
                      </w:divBdr>
                      <w:divsChild>
                        <w:div w:id="21322771">
                          <w:marLeft w:val="0"/>
                          <w:marRight w:val="0"/>
                          <w:marTop w:val="0"/>
                          <w:marBottom w:val="0"/>
                          <w:divBdr>
                            <w:top w:val="single" w:sz="6" w:space="0" w:color="828282"/>
                            <w:left w:val="single" w:sz="6" w:space="0" w:color="828282"/>
                            <w:bottom w:val="single" w:sz="6" w:space="0" w:color="828282"/>
                            <w:right w:val="single" w:sz="6" w:space="0" w:color="828282"/>
                          </w:divBdr>
                          <w:divsChild>
                            <w:div w:id="2010670924">
                              <w:marLeft w:val="0"/>
                              <w:marRight w:val="0"/>
                              <w:marTop w:val="0"/>
                              <w:marBottom w:val="0"/>
                              <w:divBdr>
                                <w:top w:val="none" w:sz="0" w:space="0" w:color="auto"/>
                                <w:left w:val="none" w:sz="0" w:space="0" w:color="auto"/>
                                <w:bottom w:val="none" w:sz="0" w:space="0" w:color="auto"/>
                                <w:right w:val="none" w:sz="0" w:space="0" w:color="auto"/>
                              </w:divBdr>
                              <w:divsChild>
                                <w:div w:id="133764441">
                                  <w:marLeft w:val="0"/>
                                  <w:marRight w:val="0"/>
                                  <w:marTop w:val="0"/>
                                  <w:marBottom w:val="0"/>
                                  <w:divBdr>
                                    <w:top w:val="none" w:sz="0" w:space="0" w:color="auto"/>
                                    <w:left w:val="none" w:sz="0" w:space="0" w:color="auto"/>
                                    <w:bottom w:val="none" w:sz="0" w:space="0" w:color="auto"/>
                                    <w:right w:val="none" w:sz="0" w:space="0" w:color="auto"/>
                                  </w:divBdr>
                                  <w:divsChild>
                                    <w:div w:id="147357288">
                                      <w:marLeft w:val="0"/>
                                      <w:marRight w:val="0"/>
                                      <w:marTop w:val="0"/>
                                      <w:marBottom w:val="0"/>
                                      <w:divBdr>
                                        <w:top w:val="none" w:sz="0" w:space="0" w:color="auto"/>
                                        <w:left w:val="none" w:sz="0" w:space="0" w:color="auto"/>
                                        <w:bottom w:val="none" w:sz="0" w:space="0" w:color="auto"/>
                                        <w:right w:val="none" w:sz="0" w:space="0" w:color="auto"/>
                                      </w:divBdr>
                                      <w:divsChild>
                                        <w:div w:id="2067874854">
                                          <w:marLeft w:val="0"/>
                                          <w:marRight w:val="0"/>
                                          <w:marTop w:val="0"/>
                                          <w:marBottom w:val="0"/>
                                          <w:divBdr>
                                            <w:top w:val="none" w:sz="0" w:space="0" w:color="auto"/>
                                            <w:left w:val="none" w:sz="0" w:space="0" w:color="auto"/>
                                            <w:bottom w:val="none" w:sz="0" w:space="0" w:color="auto"/>
                                            <w:right w:val="none" w:sz="0" w:space="0" w:color="auto"/>
                                          </w:divBdr>
                                          <w:divsChild>
                                            <w:div w:id="2018918925">
                                              <w:marLeft w:val="0"/>
                                              <w:marRight w:val="0"/>
                                              <w:marTop w:val="0"/>
                                              <w:marBottom w:val="0"/>
                                              <w:divBdr>
                                                <w:top w:val="none" w:sz="0" w:space="0" w:color="auto"/>
                                                <w:left w:val="none" w:sz="0" w:space="0" w:color="auto"/>
                                                <w:bottom w:val="none" w:sz="0" w:space="0" w:color="auto"/>
                                                <w:right w:val="none" w:sz="0" w:space="0" w:color="auto"/>
                                              </w:divBdr>
                                              <w:divsChild>
                                                <w:div w:id="494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F362A-6340-4169-992F-0E84F132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smydan</dc:creator>
  <cp:lastModifiedBy>Kira Minary-Bland</cp:lastModifiedBy>
  <cp:revision>2</cp:revision>
  <cp:lastPrinted>2015-01-27T02:49:00Z</cp:lastPrinted>
  <dcterms:created xsi:type="dcterms:W3CDTF">2015-01-29T02:33:00Z</dcterms:created>
  <dcterms:modified xsi:type="dcterms:W3CDTF">2015-01-29T02:33:00Z</dcterms:modified>
</cp:coreProperties>
</file>