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0" w:rsidRPr="00977D04" w:rsidRDefault="00952ED1" w:rsidP="00515B8E">
      <w:pPr>
        <w:pStyle w:val="Heading1"/>
        <w:spacing w:before="120" w:after="240"/>
        <w:jc w:val="center"/>
        <w:rPr>
          <w:rFonts w:ascii="Times New Roman" w:hAnsi="Times New Roman" w:cs="Times New Roman"/>
          <w:sz w:val="24"/>
          <w:szCs w:val="24"/>
        </w:rPr>
      </w:pPr>
      <w:r w:rsidRPr="00977D04">
        <w:rPr>
          <w:rFonts w:ascii="Times New Roman" w:hAnsi="Times New Roman" w:cs="Times New Roman"/>
          <w:sz w:val="24"/>
          <w:szCs w:val="24"/>
        </w:rPr>
        <w:t>E</w:t>
      </w:r>
      <w:r w:rsidR="00BA0BF3" w:rsidRPr="00977D04">
        <w:rPr>
          <w:rFonts w:ascii="Times New Roman" w:hAnsi="Times New Roman" w:cs="Times New Roman"/>
          <w:sz w:val="24"/>
          <w:szCs w:val="24"/>
        </w:rPr>
        <w:t>XPLANATORY STATEMENT</w:t>
      </w:r>
    </w:p>
    <w:p w:rsidR="006A749C" w:rsidRPr="00977D04" w:rsidRDefault="00474C20">
      <w:pPr>
        <w:jc w:val="center"/>
        <w:rPr>
          <w:b/>
        </w:rPr>
      </w:pPr>
      <w:r w:rsidRPr="00977D04">
        <w:rPr>
          <w:b/>
        </w:rPr>
        <w:t>Issued by the Authority of the Minister for Finance</w:t>
      </w:r>
    </w:p>
    <w:p w:rsidR="006A749C" w:rsidRPr="00977D04" w:rsidRDefault="006A749C">
      <w:pPr>
        <w:jc w:val="center"/>
        <w:rPr>
          <w:b/>
        </w:rPr>
      </w:pPr>
    </w:p>
    <w:p w:rsidR="006A749C" w:rsidRDefault="00474C20">
      <w:pPr>
        <w:jc w:val="center"/>
        <w:rPr>
          <w:i/>
        </w:rPr>
      </w:pPr>
      <w:r w:rsidRPr="00977D04">
        <w:rPr>
          <w:i/>
        </w:rPr>
        <w:t>Public Governance, Performance and Accountability Act 2013</w:t>
      </w:r>
    </w:p>
    <w:p w:rsidR="00596CD4" w:rsidRPr="00977D04" w:rsidRDefault="00596CD4">
      <w:pPr>
        <w:jc w:val="center"/>
        <w:rPr>
          <w:i/>
        </w:rPr>
      </w:pPr>
      <w:r>
        <w:rPr>
          <w:i/>
        </w:rPr>
        <w:t xml:space="preserve">            Public Governance, Performance and Accountability (Consequential and Transitional Provisions) Act 2014</w:t>
      </w:r>
    </w:p>
    <w:p w:rsidR="006A749C" w:rsidRPr="00977D04" w:rsidRDefault="006A749C">
      <w:pPr>
        <w:jc w:val="center"/>
        <w:rPr>
          <w:i/>
        </w:rPr>
      </w:pPr>
    </w:p>
    <w:p w:rsidR="00B01F50" w:rsidRPr="00035FE8" w:rsidRDefault="00B01F50" w:rsidP="00B01F50">
      <w:pPr>
        <w:jc w:val="center"/>
        <w:rPr>
          <w:i/>
        </w:rPr>
      </w:pPr>
      <w:r w:rsidRPr="00035FE8">
        <w:rPr>
          <w:i/>
        </w:rPr>
        <w:t xml:space="preserve">Public Governance, Performance and Accountability Legislation </w:t>
      </w:r>
    </w:p>
    <w:p w:rsidR="00B01F50" w:rsidRPr="00977D04" w:rsidRDefault="00B01F50" w:rsidP="00B01F50">
      <w:pPr>
        <w:jc w:val="center"/>
        <w:rPr>
          <w:i/>
        </w:rPr>
      </w:pPr>
      <w:r w:rsidRPr="00035FE8">
        <w:rPr>
          <w:i/>
        </w:rPr>
        <w:t>Amendment Rule 2014</w:t>
      </w:r>
      <w:r w:rsidR="00035FE8" w:rsidRPr="00035FE8">
        <w:rPr>
          <w:i/>
        </w:rPr>
        <w:t xml:space="preserve"> (No. 2)</w:t>
      </w:r>
    </w:p>
    <w:p w:rsidR="006A749C" w:rsidRPr="00977D04" w:rsidRDefault="006A749C">
      <w:pPr>
        <w:jc w:val="center"/>
        <w:rPr>
          <w:i/>
        </w:rPr>
      </w:pPr>
    </w:p>
    <w:p w:rsidR="003561C5" w:rsidRPr="00596CD4" w:rsidRDefault="003561C5" w:rsidP="003561C5">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w:t>
      </w:r>
      <w:r w:rsidR="00561ED6">
        <w:rPr>
          <w:lang w:val="en-AU"/>
        </w:rPr>
        <w:t xml:space="preserve">.  </w:t>
      </w:r>
      <w:r w:rsidRPr="00596CD4">
        <w:t>Section 101 of the PGPA Act provides that the Finance Minister may make rules by legislative instrument to prescribe matters giving effect to the Act.</w:t>
      </w:r>
    </w:p>
    <w:p w:rsidR="003561C5" w:rsidRDefault="003561C5" w:rsidP="003561C5">
      <w:pPr>
        <w:tabs>
          <w:tab w:val="left" w:pos="567"/>
          <w:tab w:val="left" w:pos="1276"/>
        </w:tabs>
      </w:pPr>
    </w:p>
    <w:p w:rsidR="003561C5" w:rsidRDefault="003561C5" w:rsidP="003561C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(CTP Act) amended</w:t>
      </w:r>
      <w:r w:rsidRPr="00977D04">
        <w:t xml:space="preserve"> </w:t>
      </w:r>
      <w:r>
        <w:t xml:space="preserve">242 </w:t>
      </w:r>
      <w:r w:rsidRPr="00977D04">
        <w:t xml:space="preserve">Acts across the Commonwealth to support the implementation of </w:t>
      </w:r>
      <w:r w:rsidR="008F1ABF">
        <w:t xml:space="preserve">the </w:t>
      </w:r>
      <w:r>
        <w:t>PGPA Act</w:t>
      </w:r>
      <w:r w:rsidRPr="00977D04">
        <w:t xml:space="preserve"> and its related rules and instruments</w:t>
      </w:r>
      <w:r w:rsidR="00561ED6">
        <w:t xml:space="preserve">. </w:t>
      </w:r>
      <w:r>
        <w:t xml:space="preserve"> Item 6 of Schedule 14 of </w:t>
      </w:r>
      <w:r w:rsidRPr="00977D04">
        <w:t xml:space="preserve">the </w:t>
      </w:r>
      <w:r w:rsidRPr="000C0E45">
        <w:t>CTP Act</w:t>
      </w:r>
      <w:r>
        <w:rPr>
          <w:i/>
        </w:rPr>
        <w:t xml:space="preserve"> </w:t>
      </w:r>
      <w:r w:rsidRPr="00977D04">
        <w:t>provides that the Finance Minister may, by legislative instrument, make rules prescribing matters required or permitted by th</w:t>
      </w:r>
      <w:r>
        <w:t>e CTP</w:t>
      </w:r>
      <w:r w:rsidRPr="00977D04">
        <w:t xml:space="preserve"> Act to be prescribed by the rules, or necessary or convenient to be prescribed for carry</w:t>
      </w:r>
      <w:r>
        <w:t>ing out or giving effect to the CTP Act and the PGPA </w:t>
      </w:r>
      <w:r w:rsidRPr="00977D04">
        <w:t>Act.</w:t>
      </w:r>
    </w:p>
    <w:p w:rsidR="003561C5" w:rsidRDefault="003561C5" w:rsidP="00596CD4">
      <w:pPr>
        <w:rPr>
          <w:lang w:val="en-AU"/>
        </w:rPr>
      </w:pPr>
    </w:p>
    <w:p w:rsidR="00596CD4" w:rsidRPr="00B01F50" w:rsidRDefault="00F770B3" w:rsidP="00B01F50">
      <w:r w:rsidRPr="001F74A6">
        <w:t xml:space="preserve">The </w:t>
      </w:r>
      <w:r w:rsidR="00B01F50" w:rsidRPr="00B01F50">
        <w:rPr>
          <w:i/>
        </w:rPr>
        <w:t>Public Governance, Performance and Accountability Legislation Amendment</w:t>
      </w:r>
      <w:r w:rsidR="00035FE8">
        <w:rPr>
          <w:i/>
        </w:rPr>
        <w:t xml:space="preserve"> Rule 2014 (No. 2) </w:t>
      </w:r>
      <w:r w:rsidR="00035FE8">
        <w:t xml:space="preserve">(Amendment Rule) </w:t>
      </w:r>
      <w:r w:rsidR="00596CD4" w:rsidRPr="001F74A6">
        <w:t>is being mad</w:t>
      </w:r>
      <w:r w:rsidR="007F3F00">
        <w:t xml:space="preserve">e to amend </w:t>
      </w:r>
      <w:r w:rsidR="00B01F50" w:rsidRPr="001F74A6">
        <w:t>the rules instruments made under t</w:t>
      </w:r>
      <w:r w:rsidR="00B01F50">
        <w:t xml:space="preserve">he PGPA Act and the CTP </w:t>
      </w:r>
      <w:r w:rsidR="00B01F50" w:rsidRPr="001F74A6">
        <w:t>Act</w:t>
      </w:r>
      <w:r w:rsidR="00B01F50">
        <w:t xml:space="preserve">.  These rules instruments are </w:t>
      </w:r>
      <w:r w:rsidR="00B01F50">
        <w:rPr>
          <w:lang w:val="en-AU"/>
        </w:rPr>
        <w:t xml:space="preserve">the </w:t>
      </w:r>
      <w:r w:rsidR="00B01F50" w:rsidRPr="004310CB">
        <w:rPr>
          <w:i/>
          <w:lang w:val="en-AU"/>
        </w:rPr>
        <w:t>Public Governance, Performance and Accountability Rule 2014</w:t>
      </w:r>
      <w:r w:rsidR="00B01F50">
        <w:rPr>
          <w:lang w:val="en-AU"/>
        </w:rPr>
        <w:t xml:space="preserve"> (PGPA Rule) and </w:t>
      </w:r>
      <w:r w:rsidR="00B01F50">
        <w:t xml:space="preserve">the </w:t>
      </w:r>
      <w:r w:rsidR="00B01F50" w:rsidRPr="004310CB">
        <w:rPr>
          <w:i/>
          <w:lang w:val="en-AU"/>
        </w:rPr>
        <w:t>Public Governance, Performance and Accountability (Consequential and Transitional Provisions) Rule 2014</w:t>
      </w:r>
      <w:r w:rsidR="00B01F50">
        <w:rPr>
          <w:lang w:val="en-AU"/>
        </w:rPr>
        <w:t xml:space="preserve"> (CTP Rule).  </w:t>
      </w:r>
    </w:p>
    <w:p w:rsidR="002519C6" w:rsidRDefault="002519C6" w:rsidP="002519C6"/>
    <w:p w:rsidR="006A749C" w:rsidRPr="00977D04" w:rsidRDefault="0025196F">
      <w:pPr>
        <w:spacing w:after="120"/>
      </w:pPr>
      <w:r w:rsidRPr="00977D04">
        <w:t xml:space="preserve">The </w:t>
      </w:r>
      <w:r w:rsidR="00035FE8">
        <w:t>Amendment</w:t>
      </w:r>
      <w:r w:rsidR="00B01F50">
        <w:t xml:space="preserve"> </w:t>
      </w:r>
      <w:r w:rsidR="005C29D9" w:rsidRPr="001F74A6">
        <w:t>Rule</w:t>
      </w:r>
      <w:r w:rsidR="005C29D9" w:rsidRPr="00977D04">
        <w:t xml:space="preserve"> </w:t>
      </w:r>
      <w:r w:rsidRPr="00977D04">
        <w:t xml:space="preserve">contains </w:t>
      </w:r>
      <w:r w:rsidR="00281515" w:rsidRPr="00977D04">
        <w:t xml:space="preserve">provisions </w:t>
      </w:r>
      <w:r w:rsidR="00FA2C06" w:rsidRPr="00977D04">
        <w:rPr>
          <w:rFonts w:eastAsia="Times New Roman"/>
          <w:color w:val="000000" w:themeColor="text1"/>
          <w:lang w:val="en-AU" w:bidi="ar-SA"/>
        </w:rPr>
        <w:t>that</w:t>
      </w:r>
      <w:r w:rsidR="00B01F50">
        <w:rPr>
          <w:rFonts w:eastAsia="Times New Roman"/>
          <w:color w:val="000000" w:themeColor="text1"/>
          <w:lang w:val="en-AU" w:bidi="ar-SA"/>
        </w:rPr>
        <w:t xml:space="preserve"> </w:t>
      </w:r>
      <w:r w:rsidR="005B046F">
        <w:rPr>
          <w:rFonts w:eastAsia="Times New Roman"/>
          <w:color w:val="000000" w:themeColor="text1"/>
          <w:lang w:val="en-AU" w:bidi="ar-SA"/>
        </w:rPr>
        <w:t>would</w:t>
      </w:r>
      <w:r w:rsidR="009C0A93" w:rsidRPr="00977D04">
        <w:rPr>
          <w:rFonts w:eastAsia="Times New Roman"/>
          <w:color w:val="000000" w:themeColor="text1"/>
          <w:lang w:val="en-AU" w:bidi="ar-SA"/>
        </w:rPr>
        <w:t>:</w:t>
      </w:r>
      <w:r w:rsidR="00916010" w:rsidRPr="00977D04">
        <w:rPr>
          <w:rFonts w:eastAsia="Times New Roman"/>
          <w:color w:val="000000" w:themeColor="text1"/>
          <w:lang w:val="en-AU" w:bidi="ar-SA"/>
        </w:rPr>
        <w:t xml:space="preserve"> </w:t>
      </w:r>
    </w:p>
    <w:p w:rsidR="005B046F" w:rsidRPr="005B046F" w:rsidRDefault="005B046F" w:rsidP="005B046F">
      <w:pPr>
        <w:pStyle w:val="ParaNumbering"/>
        <w:numPr>
          <w:ilvl w:val="0"/>
          <w:numId w:val="15"/>
        </w:numPr>
        <w:tabs>
          <w:tab w:val="clear" w:pos="567"/>
        </w:tabs>
        <w:rPr>
          <w:bCs/>
          <w:lang w:bidi="en-US"/>
        </w:rPr>
      </w:pPr>
      <w:r w:rsidRPr="005B046F">
        <w:rPr>
          <w:lang w:bidi="en-US"/>
        </w:rPr>
        <w:t>provide for the Climate Change Authority (CCA) to retain its status as a corporate Commonwealth entity</w:t>
      </w:r>
      <w:r w:rsidRPr="005B046F">
        <w:rPr>
          <w:bCs/>
          <w:lang w:bidi="en-US"/>
        </w:rPr>
        <w:t>, but be treated as a non</w:t>
      </w:r>
      <w:r w:rsidRPr="005B046F">
        <w:rPr>
          <w:bCs/>
          <w:lang w:bidi="en-US"/>
        </w:rPr>
        <w:noBreakHyphen/>
        <w:t xml:space="preserve">corporate Commonwealth </w:t>
      </w:r>
      <w:r w:rsidR="00003093">
        <w:rPr>
          <w:bCs/>
          <w:lang w:bidi="en-US"/>
        </w:rPr>
        <w:t>entity for the purposes of the f</w:t>
      </w:r>
      <w:r w:rsidRPr="005B046F">
        <w:rPr>
          <w:bCs/>
          <w:lang w:bidi="en-US"/>
        </w:rPr>
        <w:t>inance law, and make amendments to harmonise CCA’s enabling legislation with the PGPA Act</w:t>
      </w:r>
      <w:r w:rsidRPr="005B046F">
        <w:rPr>
          <w:lang w:bidi="en-US"/>
        </w:rPr>
        <w:t>; and</w:t>
      </w:r>
    </w:p>
    <w:p w:rsidR="005B046F" w:rsidRDefault="005B046F" w:rsidP="005B046F">
      <w:pPr>
        <w:pStyle w:val="ParaNumbering"/>
        <w:numPr>
          <w:ilvl w:val="0"/>
          <w:numId w:val="15"/>
        </w:numPr>
        <w:tabs>
          <w:tab w:val="clear" w:pos="567"/>
          <w:tab w:val="num" w:pos="360"/>
        </w:tabs>
        <w:rPr>
          <w:lang w:bidi="en-US"/>
        </w:rPr>
      </w:pPr>
      <w:r w:rsidRPr="005B046F">
        <w:rPr>
          <w:lang w:bidi="en-US"/>
        </w:rPr>
        <w:t>remove Medibank Private Limited from the list of government business enterprises.</w:t>
      </w:r>
    </w:p>
    <w:p w:rsidR="005B046F" w:rsidRPr="005B046F" w:rsidRDefault="005B046F" w:rsidP="005B046F">
      <w:pPr>
        <w:pStyle w:val="ParaNumbering"/>
        <w:tabs>
          <w:tab w:val="clear" w:pos="360"/>
          <w:tab w:val="clear" w:pos="567"/>
        </w:tabs>
        <w:ind w:left="720"/>
        <w:rPr>
          <w:lang w:bidi="en-US"/>
        </w:rPr>
      </w:pPr>
    </w:p>
    <w:p w:rsidR="005C5470" w:rsidRPr="00977D04" w:rsidRDefault="00301C10">
      <w:pPr>
        <w:pStyle w:val="ParaNumbering"/>
        <w:rPr>
          <w:szCs w:val="24"/>
        </w:rPr>
      </w:pPr>
      <w:r w:rsidRPr="00977D04">
        <w:rPr>
          <w:szCs w:val="24"/>
        </w:rPr>
        <w:t xml:space="preserve">Details of the </w:t>
      </w:r>
      <w:r w:rsidR="00035FE8">
        <w:t>Amendment</w:t>
      </w:r>
      <w:r w:rsidR="005C29D9" w:rsidRPr="001F74A6">
        <w:t xml:space="preserve"> Rule</w:t>
      </w:r>
      <w:r w:rsidR="005C29D9" w:rsidRPr="00977D04">
        <w:rPr>
          <w:szCs w:val="24"/>
        </w:rPr>
        <w:t xml:space="preserve"> </w:t>
      </w:r>
      <w:r w:rsidR="0004247F" w:rsidRPr="00977D04">
        <w:rPr>
          <w:szCs w:val="24"/>
        </w:rPr>
        <w:t>are</w:t>
      </w:r>
      <w:r w:rsidRPr="00977D04">
        <w:rPr>
          <w:szCs w:val="24"/>
        </w:rPr>
        <w:t xml:space="preserve"> set out at </w:t>
      </w:r>
      <w:r w:rsidRPr="00977D04">
        <w:rPr>
          <w:szCs w:val="24"/>
          <w:u w:val="single"/>
        </w:rPr>
        <w:t>Attachment A</w:t>
      </w:r>
      <w:r w:rsidR="00561ED6">
        <w:rPr>
          <w:szCs w:val="24"/>
        </w:rPr>
        <w:t xml:space="preserve">.  </w:t>
      </w:r>
      <w:r w:rsidRPr="00977D04">
        <w:rPr>
          <w:szCs w:val="24"/>
        </w:rPr>
        <w:t xml:space="preserve">A </w:t>
      </w:r>
      <w:r w:rsidR="002E307D" w:rsidRPr="00977D04">
        <w:rPr>
          <w:szCs w:val="24"/>
        </w:rPr>
        <w:t>s</w:t>
      </w:r>
      <w:r w:rsidRPr="00977D04">
        <w:rPr>
          <w:szCs w:val="24"/>
        </w:rPr>
        <w:t xml:space="preserve">tatement of </w:t>
      </w:r>
      <w:r w:rsidR="002E307D" w:rsidRPr="00977D04">
        <w:rPr>
          <w:szCs w:val="24"/>
        </w:rPr>
        <w:t>c</w:t>
      </w:r>
      <w:r w:rsidRPr="00977D04">
        <w:rPr>
          <w:szCs w:val="24"/>
        </w:rPr>
        <w:t xml:space="preserve">ompatibility with </w:t>
      </w:r>
      <w:r w:rsidR="002E307D" w:rsidRPr="00977D04">
        <w:rPr>
          <w:szCs w:val="24"/>
        </w:rPr>
        <w:t>h</w:t>
      </w:r>
      <w:r w:rsidRPr="00977D04">
        <w:rPr>
          <w:szCs w:val="24"/>
        </w:rPr>
        <w:t xml:space="preserve">uman </w:t>
      </w:r>
      <w:r w:rsidR="002E307D" w:rsidRPr="00977D04">
        <w:rPr>
          <w:szCs w:val="24"/>
        </w:rPr>
        <w:t>r</w:t>
      </w:r>
      <w:r w:rsidRPr="00977D04">
        <w:rPr>
          <w:szCs w:val="24"/>
        </w:rPr>
        <w:t xml:space="preserve">ights is at </w:t>
      </w:r>
      <w:r w:rsidRPr="00977D04">
        <w:rPr>
          <w:szCs w:val="24"/>
          <w:u w:val="single"/>
        </w:rPr>
        <w:t>Attachment B</w:t>
      </w:r>
      <w:r w:rsidR="00561ED6">
        <w:rPr>
          <w:szCs w:val="24"/>
        </w:rPr>
        <w:t xml:space="preserve">.  </w:t>
      </w:r>
    </w:p>
    <w:p w:rsidR="005C5470" w:rsidRPr="00977D04" w:rsidRDefault="005C5470">
      <w:pPr>
        <w:pStyle w:val="ParaNumbering"/>
        <w:rPr>
          <w:szCs w:val="24"/>
        </w:rPr>
      </w:pPr>
    </w:p>
    <w:p w:rsidR="005C5470" w:rsidRDefault="00301C10">
      <w:pPr>
        <w:pStyle w:val="ParaNumbering"/>
        <w:rPr>
          <w:i/>
          <w:szCs w:val="24"/>
        </w:rPr>
      </w:pPr>
      <w:r w:rsidRPr="00977D04">
        <w:rPr>
          <w:szCs w:val="24"/>
        </w:rPr>
        <w:t xml:space="preserve">The </w:t>
      </w:r>
      <w:r w:rsidR="00035FE8">
        <w:t>Amendment</w:t>
      </w:r>
      <w:r w:rsidR="005C29D9" w:rsidRPr="001F74A6">
        <w:t xml:space="preserve"> Rule</w:t>
      </w:r>
      <w:r w:rsidR="005C29D9" w:rsidRPr="00977D04">
        <w:rPr>
          <w:szCs w:val="24"/>
        </w:rPr>
        <w:t xml:space="preserve"> </w:t>
      </w:r>
      <w:r w:rsidRPr="00977D04">
        <w:rPr>
          <w:szCs w:val="24"/>
        </w:rPr>
        <w:t>is a legislative instrument for the purposes of the</w:t>
      </w:r>
      <w:r w:rsidRPr="00977D04">
        <w:rPr>
          <w:i/>
          <w:szCs w:val="24"/>
        </w:rPr>
        <w:t xml:space="preserve"> Legislative Instruments Act 2003</w:t>
      </w:r>
      <w:r w:rsidR="00561ED6">
        <w:rPr>
          <w:i/>
          <w:szCs w:val="24"/>
        </w:rPr>
        <w:t xml:space="preserve">.  </w:t>
      </w:r>
    </w:p>
    <w:p w:rsidR="008F1ABF" w:rsidRDefault="008F1ABF">
      <w:pPr>
        <w:pStyle w:val="ParaNumbering"/>
        <w:rPr>
          <w:i/>
          <w:szCs w:val="24"/>
        </w:rPr>
      </w:pPr>
    </w:p>
    <w:p w:rsidR="004816AF" w:rsidRDefault="00A53E39" w:rsidP="004816AF">
      <w:pPr>
        <w:pStyle w:val="Heading2"/>
        <w:spacing w:before="0"/>
        <w:rPr>
          <w:rFonts w:ascii="Times New Roman" w:hAnsi="Times New Roman" w:cs="Times New Roman"/>
          <w:sz w:val="24"/>
          <w:szCs w:val="24"/>
        </w:rPr>
      </w:pPr>
      <w:r w:rsidRPr="009F3AB5">
        <w:rPr>
          <w:rFonts w:ascii="Times New Roman" w:hAnsi="Times New Roman" w:cs="Times New Roman"/>
          <w:sz w:val="24"/>
          <w:szCs w:val="24"/>
        </w:rPr>
        <w:t>Consultation</w:t>
      </w:r>
    </w:p>
    <w:p w:rsidR="00725A1C" w:rsidRDefault="00725A1C"/>
    <w:p w:rsidR="009F3AB5" w:rsidRPr="00C432B5" w:rsidRDefault="00452242" w:rsidP="009F3AB5">
      <w:r w:rsidRPr="00C432B5">
        <w:rPr>
          <w:lang w:val="en-AU"/>
        </w:rPr>
        <w:t>T</w:t>
      </w:r>
      <w:r w:rsidR="009F3AB5" w:rsidRPr="00C432B5">
        <w:t xml:space="preserve">he Department of Finance </w:t>
      </w:r>
      <w:r w:rsidR="008F1ABF">
        <w:t xml:space="preserve">(Finance) </w:t>
      </w:r>
      <w:r w:rsidR="009F3AB5" w:rsidRPr="00C432B5">
        <w:t>consulted stakeholders from across the Commonwealth in the development of the PGPA Rule</w:t>
      </w:r>
      <w:r w:rsidR="00561ED6">
        <w:t xml:space="preserve">.  </w:t>
      </w:r>
      <w:r w:rsidR="009F3AB5" w:rsidRPr="00C432B5">
        <w:t xml:space="preserve">A project board chaired by Finance oversaw the development process and five steering committees were constituted to work on specific </w:t>
      </w:r>
      <w:r w:rsidR="009F3AB5" w:rsidRPr="00C432B5">
        <w:lastRenderedPageBreak/>
        <w:t>subjects under the framework</w:t>
      </w:r>
      <w:r w:rsidR="00561ED6">
        <w:t xml:space="preserve">.  </w:t>
      </w:r>
      <w:r w:rsidR="009F3AB5" w:rsidRPr="00C432B5">
        <w:t>Membership of the steering committees was drawn from a wide range of Commonwealth entities and Commonwealth companies</w:t>
      </w:r>
      <w:r w:rsidR="00561ED6">
        <w:t xml:space="preserve">.  </w:t>
      </w:r>
      <w:r w:rsidR="009F3AB5" w:rsidRPr="00C432B5">
        <w:t>Consultation was also undertaken with key stakeholders in regional and remote communities and in Sydney, Melbourne and Adelaide</w:t>
      </w:r>
      <w:r w:rsidR="00561ED6">
        <w:t xml:space="preserve">.  </w:t>
      </w:r>
    </w:p>
    <w:p w:rsidR="00C351ED" w:rsidRPr="00C432B5" w:rsidRDefault="00C351ED" w:rsidP="00C351ED">
      <w:pPr>
        <w:pStyle w:val="ParaNumbering"/>
        <w:rPr>
          <w:szCs w:val="24"/>
        </w:rPr>
      </w:pPr>
    </w:p>
    <w:p w:rsidR="004816AF" w:rsidRPr="00C432B5" w:rsidRDefault="00203F10" w:rsidP="00C351ED">
      <w:pPr>
        <w:pStyle w:val="ParaNumbering"/>
        <w:rPr>
          <w:szCs w:val="24"/>
        </w:rPr>
      </w:pPr>
      <w:r w:rsidRPr="00C432B5">
        <w:rPr>
          <w:szCs w:val="24"/>
        </w:rPr>
        <w:t xml:space="preserve">Development of the </w:t>
      </w:r>
      <w:r w:rsidR="004E1285" w:rsidRPr="00C432B5">
        <w:rPr>
          <w:szCs w:val="24"/>
        </w:rPr>
        <w:t xml:space="preserve">CTP </w:t>
      </w:r>
      <w:r w:rsidR="00C13594" w:rsidRPr="00C432B5">
        <w:rPr>
          <w:szCs w:val="24"/>
        </w:rPr>
        <w:t>Rule</w:t>
      </w:r>
      <w:r w:rsidRPr="00C432B5">
        <w:rPr>
          <w:szCs w:val="24"/>
        </w:rPr>
        <w:t xml:space="preserve"> </w:t>
      </w:r>
      <w:r w:rsidR="00C13594" w:rsidRPr="00C432B5">
        <w:rPr>
          <w:szCs w:val="24"/>
        </w:rPr>
        <w:t>has been closely connected with the process of th</w:t>
      </w:r>
      <w:r w:rsidR="004E1285" w:rsidRPr="00C432B5">
        <w:rPr>
          <w:szCs w:val="24"/>
        </w:rPr>
        <w:t xml:space="preserve">e development of the CTP </w:t>
      </w:r>
      <w:r w:rsidR="00C13594" w:rsidRPr="00C432B5">
        <w:rPr>
          <w:szCs w:val="24"/>
        </w:rPr>
        <w:t xml:space="preserve">Act, which </w:t>
      </w:r>
      <w:r w:rsidRPr="00C432B5">
        <w:rPr>
          <w:szCs w:val="24"/>
        </w:rPr>
        <w:t xml:space="preserve">has required consultation with all Commonwealth entities and </w:t>
      </w:r>
      <w:r w:rsidR="00452242" w:rsidRPr="00C432B5">
        <w:rPr>
          <w:szCs w:val="24"/>
        </w:rPr>
        <w:t xml:space="preserve">Commonwealth </w:t>
      </w:r>
      <w:r w:rsidRPr="00C432B5">
        <w:rPr>
          <w:szCs w:val="24"/>
        </w:rPr>
        <w:t>companies subject to enabling legislation to ensure understanding of the operation of the legislation and how it impacts on the operation of their organisation</w:t>
      </w:r>
      <w:r w:rsidR="00561ED6">
        <w:rPr>
          <w:szCs w:val="24"/>
        </w:rPr>
        <w:t xml:space="preserve">.  </w:t>
      </w:r>
      <w:r w:rsidRPr="00C432B5">
        <w:rPr>
          <w:szCs w:val="24"/>
        </w:rPr>
        <w:t xml:space="preserve"> </w:t>
      </w:r>
    </w:p>
    <w:p w:rsidR="00C351ED" w:rsidRPr="00C432B5" w:rsidRDefault="00C351ED" w:rsidP="00C351ED">
      <w:pPr>
        <w:pStyle w:val="ParaNumbering"/>
        <w:rPr>
          <w:szCs w:val="24"/>
        </w:rPr>
      </w:pPr>
    </w:p>
    <w:p w:rsidR="004816AF" w:rsidRPr="00C351ED" w:rsidRDefault="009F3AB5" w:rsidP="00C351ED">
      <w:pPr>
        <w:pStyle w:val="ParaNumbering"/>
        <w:rPr>
          <w:szCs w:val="24"/>
        </w:rPr>
      </w:pPr>
      <w:r w:rsidRPr="00C432B5">
        <w:rPr>
          <w:szCs w:val="24"/>
        </w:rPr>
        <w:t>T</w:t>
      </w:r>
      <w:r w:rsidR="00203F10" w:rsidRPr="00C432B5">
        <w:rPr>
          <w:szCs w:val="24"/>
        </w:rPr>
        <w:t>he</w:t>
      </w:r>
      <w:r w:rsidRPr="00C432B5">
        <w:rPr>
          <w:szCs w:val="24"/>
        </w:rPr>
        <w:t xml:space="preserve"> commencement of substantive provisions of the PGPA Act and associated legislation was accompanied by an extensive programme of training and guidance to assist entities to </w:t>
      </w:r>
      <w:r w:rsidR="00B464B5" w:rsidRPr="00C432B5">
        <w:rPr>
          <w:szCs w:val="24"/>
        </w:rPr>
        <w:t>comply with the new framework</w:t>
      </w:r>
      <w:r w:rsidR="00561ED6">
        <w:rPr>
          <w:szCs w:val="24"/>
        </w:rPr>
        <w:t xml:space="preserve">.  </w:t>
      </w:r>
      <w:r w:rsidR="00B464B5" w:rsidRPr="00C432B5">
        <w:rPr>
          <w:szCs w:val="24"/>
        </w:rPr>
        <w:t xml:space="preserve">Feedback from entities </w:t>
      </w:r>
      <w:r w:rsidR="003E39C3" w:rsidRPr="00C432B5">
        <w:rPr>
          <w:szCs w:val="24"/>
        </w:rPr>
        <w:t xml:space="preserve">during this initial implementation process </w:t>
      </w:r>
      <w:r w:rsidR="00B464B5" w:rsidRPr="00C432B5">
        <w:rPr>
          <w:szCs w:val="24"/>
        </w:rPr>
        <w:t>has led to the development of</w:t>
      </w:r>
      <w:r w:rsidR="00203F10" w:rsidRPr="00C432B5">
        <w:rPr>
          <w:szCs w:val="24"/>
        </w:rPr>
        <w:t xml:space="preserve"> </w:t>
      </w:r>
      <w:r w:rsidR="003E39C3" w:rsidRPr="00C432B5">
        <w:rPr>
          <w:szCs w:val="24"/>
        </w:rPr>
        <w:t xml:space="preserve">further </w:t>
      </w:r>
      <w:r w:rsidR="00203F10" w:rsidRPr="00C432B5">
        <w:rPr>
          <w:szCs w:val="24"/>
        </w:rPr>
        <w:t xml:space="preserve">legislative amendments </w:t>
      </w:r>
      <w:r w:rsidR="00B464B5" w:rsidRPr="00C432B5">
        <w:rPr>
          <w:szCs w:val="24"/>
        </w:rPr>
        <w:t xml:space="preserve">with </w:t>
      </w:r>
      <w:r w:rsidR="00203F10" w:rsidRPr="00C432B5">
        <w:rPr>
          <w:szCs w:val="24"/>
        </w:rPr>
        <w:t>the O</w:t>
      </w:r>
      <w:r w:rsidR="00B464B5" w:rsidRPr="00C432B5">
        <w:rPr>
          <w:szCs w:val="24"/>
        </w:rPr>
        <w:t>ffice of Parliamentary Counsel</w:t>
      </w:r>
      <w:r w:rsidR="00561ED6">
        <w:rPr>
          <w:szCs w:val="24"/>
        </w:rPr>
        <w:t xml:space="preserve">.  </w:t>
      </w:r>
      <w:r w:rsidR="00B464B5" w:rsidRPr="00C432B5">
        <w:rPr>
          <w:szCs w:val="24"/>
        </w:rPr>
        <w:t xml:space="preserve">The </w:t>
      </w:r>
      <w:r w:rsidR="00203F10" w:rsidRPr="00C432B5">
        <w:rPr>
          <w:szCs w:val="24"/>
        </w:rPr>
        <w:t>advice of the Australian Government Solicitor has also been sought to ensure both the efficacy of proposed provisions and the maintenance of existing policy intent.</w:t>
      </w:r>
    </w:p>
    <w:p w:rsidR="004835F5" w:rsidRPr="00C351ED" w:rsidRDefault="004835F5" w:rsidP="00C351ED">
      <w:pPr>
        <w:pStyle w:val="ParaNumbering"/>
        <w:rPr>
          <w:szCs w:val="24"/>
        </w:rPr>
        <w:sectPr w:rsidR="004835F5" w:rsidRPr="00C351ED" w:rsidSect="004835F5">
          <w:headerReference w:type="default" r:id="rId8"/>
          <w:pgSz w:w="11906" w:h="16838"/>
          <w:pgMar w:top="1440" w:right="1440" w:bottom="1440" w:left="1440" w:header="708" w:footer="514" w:gutter="0"/>
          <w:cols w:space="708"/>
          <w:titlePg/>
          <w:docGrid w:linePitch="360"/>
        </w:sectPr>
      </w:pPr>
    </w:p>
    <w:p w:rsidR="00F276BB" w:rsidRDefault="00F276BB" w:rsidP="00F276BB">
      <w:pPr>
        <w:pStyle w:val="Heading2"/>
        <w:jc w:val="right"/>
        <w:rPr>
          <w:rFonts w:ascii="Times New Roman" w:hAnsi="Times New Roman" w:cs="Times New Roman"/>
          <w:sz w:val="24"/>
          <w:szCs w:val="24"/>
          <w:u w:val="single"/>
        </w:rPr>
      </w:pPr>
      <w:r w:rsidRPr="00BF1181">
        <w:rPr>
          <w:rFonts w:ascii="Times New Roman" w:hAnsi="Times New Roman" w:cs="Times New Roman"/>
          <w:sz w:val="24"/>
          <w:szCs w:val="24"/>
          <w:u w:val="single"/>
        </w:rPr>
        <w:lastRenderedPageBreak/>
        <w:t xml:space="preserve">Attachment </w:t>
      </w:r>
      <w:r>
        <w:rPr>
          <w:rFonts w:ascii="Times New Roman" w:hAnsi="Times New Roman" w:cs="Times New Roman"/>
          <w:sz w:val="24"/>
          <w:szCs w:val="24"/>
          <w:u w:val="single"/>
        </w:rPr>
        <w:t>A</w:t>
      </w:r>
    </w:p>
    <w:p w:rsidR="00F276BB" w:rsidRDefault="00F276BB">
      <w:pPr>
        <w:rPr>
          <w:b/>
          <w:u w:val="single"/>
        </w:rPr>
      </w:pPr>
    </w:p>
    <w:p w:rsidR="0035416D" w:rsidRDefault="00474C20" w:rsidP="004276C7">
      <w:pPr>
        <w:spacing w:before="200"/>
        <w:rPr>
          <w:b/>
          <w:i/>
          <w:u w:val="single"/>
        </w:rPr>
      </w:pPr>
      <w:r w:rsidRPr="00977D04">
        <w:rPr>
          <w:b/>
          <w:u w:val="single"/>
        </w:rPr>
        <w:t xml:space="preserve">Details of the </w:t>
      </w:r>
      <w:r w:rsidR="004276C7" w:rsidRPr="00035FE8">
        <w:rPr>
          <w:b/>
          <w:i/>
          <w:u w:val="single"/>
        </w:rPr>
        <w:t>Public Governance, Performance and Accountability Legislation Amendment Rule 2014</w:t>
      </w:r>
      <w:r w:rsidR="00035FE8" w:rsidRPr="00035FE8">
        <w:rPr>
          <w:b/>
          <w:i/>
          <w:u w:val="single"/>
        </w:rPr>
        <w:t xml:space="preserve"> (No. 2)</w:t>
      </w:r>
    </w:p>
    <w:p w:rsidR="00697945" w:rsidRPr="00697945" w:rsidRDefault="00697945" w:rsidP="004276C7">
      <w:pPr>
        <w:spacing w:before="200"/>
        <w:rPr>
          <w:b/>
          <w:i/>
          <w:u w:val="single"/>
        </w:rPr>
      </w:pPr>
    </w:p>
    <w:p w:rsidR="003C0A8B" w:rsidRPr="00984450" w:rsidRDefault="004816AF">
      <w:pPr>
        <w:rPr>
          <w:b/>
          <w:lang w:val="en-AU"/>
        </w:rPr>
      </w:pPr>
      <w:r w:rsidRPr="004816AF">
        <w:rPr>
          <w:b/>
          <w:lang w:val="en-AU"/>
        </w:rPr>
        <w:t xml:space="preserve">Section 1—Name of </w:t>
      </w:r>
      <w:r w:rsidR="00452242">
        <w:rPr>
          <w:b/>
          <w:lang w:val="en-AU"/>
        </w:rPr>
        <w:t>instrument</w:t>
      </w:r>
    </w:p>
    <w:p w:rsidR="003C0A8B" w:rsidRPr="00977D04" w:rsidRDefault="003C0A8B">
      <w:pPr>
        <w:rPr>
          <w:lang w:val="en-AU"/>
        </w:rPr>
      </w:pPr>
    </w:p>
    <w:p w:rsidR="003C0A8B" w:rsidRPr="004276C7" w:rsidRDefault="008F323F" w:rsidP="004276C7">
      <w:pPr>
        <w:rPr>
          <w:i/>
        </w:rPr>
      </w:pPr>
      <w:r w:rsidRPr="00977D04">
        <w:rPr>
          <w:lang w:val="en-AU"/>
        </w:rPr>
        <w:t xml:space="preserve">This section provides that the title of the </w:t>
      </w:r>
      <w:r w:rsidR="00452242">
        <w:rPr>
          <w:lang w:val="en-AU"/>
        </w:rPr>
        <w:t>instrument</w:t>
      </w:r>
      <w:r w:rsidRPr="00977D04">
        <w:rPr>
          <w:lang w:val="en-AU"/>
        </w:rPr>
        <w:t xml:space="preserve"> is the</w:t>
      </w:r>
      <w:r w:rsidR="007F3F00" w:rsidRPr="007F3F00">
        <w:rPr>
          <w:i/>
        </w:rPr>
        <w:t xml:space="preserve"> </w:t>
      </w:r>
      <w:r w:rsidR="004276C7" w:rsidRPr="00035FE8">
        <w:rPr>
          <w:i/>
        </w:rPr>
        <w:t>Public Governance, Performance and Accoun</w:t>
      </w:r>
      <w:r w:rsidR="00035FE8">
        <w:rPr>
          <w:i/>
        </w:rPr>
        <w:t xml:space="preserve">tability Legislation Amendment </w:t>
      </w:r>
      <w:r w:rsidR="004276C7" w:rsidRPr="00035FE8">
        <w:rPr>
          <w:i/>
        </w:rPr>
        <w:t>Rule 2014</w:t>
      </w:r>
      <w:r w:rsidR="00035FE8">
        <w:rPr>
          <w:i/>
        </w:rPr>
        <w:t xml:space="preserve"> (No. 2)</w:t>
      </w:r>
      <w:r w:rsidR="004276C7" w:rsidRPr="00035FE8">
        <w:rPr>
          <w:i/>
        </w:rPr>
        <w:t xml:space="preserve"> </w:t>
      </w:r>
      <w:r w:rsidR="0096391F" w:rsidRPr="00035FE8">
        <w:rPr>
          <w:lang w:val="en-AU"/>
        </w:rPr>
        <w:t>(</w:t>
      </w:r>
      <w:r w:rsidR="00035FE8">
        <w:t>Amendment</w:t>
      </w:r>
      <w:r w:rsidR="005C29D9" w:rsidRPr="00035FE8">
        <w:t xml:space="preserve"> Rule</w:t>
      </w:r>
      <w:r w:rsidR="00FF2457" w:rsidRPr="00035FE8">
        <w:rPr>
          <w:lang w:val="en-AU"/>
        </w:rPr>
        <w:t>).</w:t>
      </w:r>
    </w:p>
    <w:p w:rsidR="003C0A8B" w:rsidRPr="00977D04" w:rsidRDefault="003C0A8B">
      <w:pPr>
        <w:rPr>
          <w:lang w:val="en-AU"/>
        </w:rPr>
      </w:pPr>
    </w:p>
    <w:p w:rsidR="003C0A8B" w:rsidRPr="00984450" w:rsidRDefault="004816AF">
      <w:pPr>
        <w:rPr>
          <w:b/>
          <w:lang w:val="en-AU"/>
        </w:rPr>
      </w:pPr>
      <w:r w:rsidRPr="004816AF">
        <w:rPr>
          <w:b/>
          <w:lang w:val="en-AU"/>
        </w:rPr>
        <w:t xml:space="preserve">Section 2—Commencement </w:t>
      </w:r>
    </w:p>
    <w:p w:rsidR="003C0A8B" w:rsidRPr="00977D04" w:rsidRDefault="003C0A8B">
      <w:pPr>
        <w:rPr>
          <w:lang w:val="en-AU"/>
        </w:rPr>
      </w:pPr>
    </w:p>
    <w:p w:rsidR="003C0A8B" w:rsidRDefault="008F323F">
      <w:r w:rsidRPr="00977D04">
        <w:rPr>
          <w:lang w:val="en-AU"/>
        </w:rPr>
        <w:t xml:space="preserve">This section </w:t>
      </w:r>
      <w:r w:rsidR="00F826B8">
        <w:rPr>
          <w:lang w:val="en-AU"/>
        </w:rPr>
        <w:t xml:space="preserve">provides that </w:t>
      </w:r>
      <w:r w:rsidR="00035FE8">
        <w:rPr>
          <w:lang w:val="en-AU"/>
        </w:rPr>
        <w:t>each provision of the</w:t>
      </w:r>
      <w:r w:rsidR="00035FE8" w:rsidRPr="00977D04">
        <w:rPr>
          <w:lang w:val="en-AU"/>
        </w:rPr>
        <w:t xml:space="preserve"> </w:t>
      </w:r>
      <w:r w:rsidR="00035FE8">
        <w:rPr>
          <w:lang w:val="en-AU"/>
        </w:rPr>
        <w:t>instrument</w:t>
      </w:r>
      <w:r w:rsidR="00035FE8" w:rsidRPr="00977D04">
        <w:rPr>
          <w:lang w:val="en-AU"/>
        </w:rPr>
        <w:t xml:space="preserve"> </w:t>
      </w:r>
      <w:r w:rsidR="00035FE8">
        <w:rPr>
          <w:lang w:val="en-AU"/>
        </w:rPr>
        <w:t xml:space="preserve">specified in column 1 of the table </w:t>
      </w:r>
      <w:r w:rsidR="006A749C" w:rsidRPr="00977D04">
        <w:t xml:space="preserve">commences </w:t>
      </w:r>
      <w:r w:rsidR="00035FE8">
        <w:t>in accordance with column 2 of the table.</w:t>
      </w:r>
    </w:p>
    <w:p w:rsidR="00035FE8" w:rsidRDefault="00035FE8"/>
    <w:p w:rsidR="00035FE8" w:rsidRDefault="00035FE8">
      <w:r>
        <w:t>Sections 1 to 4 and Schedule 1, Part 1 commence on the day after the instrument is registered.</w:t>
      </w:r>
    </w:p>
    <w:p w:rsidR="00035FE8" w:rsidRDefault="00035FE8"/>
    <w:p w:rsidR="00035FE8" w:rsidRPr="00977D04" w:rsidRDefault="00035FE8">
      <w:pPr>
        <w:rPr>
          <w:lang w:val="en-AU"/>
        </w:rPr>
      </w:pPr>
      <w:r>
        <w:t>Schedule 1, Part 2 commences on the later of the beginning of the day after the instrument is registered and the beginning of 1 January 2015.</w:t>
      </w:r>
    </w:p>
    <w:p w:rsidR="003C0A8B" w:rsidRPr="00977D04" w:rsidRDefault="003C0A8B">
      <w:pPr>
        <w:rPr>
          <w:lang w:val="en-AU"/>
        </w:rPr>
      </w:pPr>
    </w:p>
    <w:p w:rsidR="003C0A8B" w:rsidRPr="00984450" w:rsidRDefault="004816AF">
      <w:pPr>
        <w:rPr>
          <w:b/>
          <w:i/>
          <w:lang w:val="en-AU"/>
        </w:rPr>
      </w:pPr>
      <w:r w:rsidRPr="004816AF">
        <w:rPr>
          <w:b/>
          <w:lang w:val="en-AU"/>
        </w:rPr>
        <w:t>Section 3—Authority</w:t>
      </w:r>
      <w:r w:rsidRPr="004816AF">
        <w:rPr>
          <w:b/>
          <w:i/>
          <w:lang w:val="en-AU"/>
        </w:rPr>
        <w:t xml:space="preserve"> </w:t>
      </w:r>
    </w:p>
    <w:p w:rsidR="003C0A8B" w:rsidRPr="00977D04" w:rsidRDefault="003C0A8B">
      <w:pPr>
        <w:rPr>
          <w:lang w:val="en-AU"/>
        </w:rPr>
      </w:pPr>
    </w:p>
    <w:p w:rsidR="003C0A8B" w:rsidRPr="00B46CA4" w:rsidRDefault="008F323F">
      <w:pPr>
        <w:rPr>
          <w:lang w:val="en-AU"/>
        </w:rPr>
      </w:pPr>
      <w:r w:rsidRPr="00977D04">
        <w:rPr>
          <w:lang w:val="en-AU"/>
        </w:rPr>
        <w:t xml:space="preserve">This section </w:t>
      </w:r>
      <w:r w:rsidR="001E087F" w:rsidRPr="00977D04">
        <w:rPr>
          <w:lang w:val="en-AU"/>
        </w:rPr>
        <w:t xml:space="preserve">states </w:t>
      </w:r>
      <w:r w:rsidRPr="00977D04">
        <w:rPr>
          <w:lang w:val="en-AU"/>
        </w:rPr>
        <w:t>that the</w:t>
      </w:r>
      <w:r w:rsidR="00F826B8">
        <w:rPr>
          <w:lang w:val="en-AU"/>
        </w:rPr>
        <w:t xml:space="preserve"> </w:t>
      </w:r>
      <w:r w:rsidR="00E00FD6">
        <w:rPr>
          <w:lang w:val="en-AU"/>
        </w:rPr>
        <w:t>instrument</w:t>
      </w:r>
      <w:r w:rsidRPr="00977D04">
        <w:rPr>
          <w:lang w:val="en-AU"/>
        </w:rPr>
        <w:t xml:space="preserve"> is made under the</w:t>
      </w:r>
      <w:r w:rsidR="00E00FD6">
        <w:rPr>
          <w:lang w:val="en-AU"/>
        </w:rPr>
        <w:t xml:space="preserve"> </w:t>
      </w:r>
      <w:r w:rsidR="004276C7">
        <w:rPr>
          <w:i/>
          <w:lang w:val="en-AU"/>
        </w:rPr>
        <w:t xml:space="preserve">Public Governance, Performance and Accountability Act 2013 </w:t>
      </w:r>
      <w:r w:rsidR="004276C7">
        <w:rPr>
          <w:lang w:val="en-AU"/>
        </w:rPr>
        <w:t xml:space="preserve">(PGPA Act) and the </w:t>
      </w:r>
      <w:r w:rsidR="006A749C" w:rsidRPr="00977D04">
        <w:rPr>
          <w:i/>
        </w:rPr>
        <w:t>Public Governance, Performance and Accountability (Consequential and Transitional Provisions) Act 2014</w:t>
      </w:r>
      <w:r w:rsidR="0096391F">
        <w:rPr>
          <w:lang w:val="en-AU"/>
        </w:rPr>
        <w:t xml:space="preserve"> </w:t>
      </w:r>
      <w:r w:rsidR="004E1285">
        <w:rPr>
          <w:lang w:val="en-AU"/>
        </w:rPr>
        <w:t>(CTP</w:t>
      </w:r>
      <w:r w:rsidR="00B46CA4">
        <w:rPr>
          <w:lang w:val="en-AU"/>
        </w:rPr>
        <w:t xml:space="preserve"> Act)</w:t>
      </w:r>
      <w:r w:rsidR="0000625E">
        <w:rPr>
          <w:lang w:val="en-AU"/>
        </w:rPr>
        <w:t>.</w:t>
      </w:r>
    </w:p>
    <w:p w:rsidR="003C0A8B" w:rsidRPr="00977D04" w:rsidRDefault="003C0A8B">
      <w:pPr>
        <w:rPr>
          <w:lang w:val="en-AU"/>
        </w:rPr>
      </w:pPr>
    </w:p>
    <w:p w:rsidR="003C0A8B" w:rsidRPr="00984450" w:rsidRDefault="0096391F">
      <w:pPr>
        <w:rPr>
          <w:b/>
          <w:i/>
          <w:lang w:val="en-AU"/>
        </w:rPr>
      </w:pPr>
      <w:r>
        <w:rPr>
          <w:b/>
          <w:lang w:val="en-AU"/>
        </w:rPr>
        <w:t>Section 4—Schedules</w:t>
      </w:r>
      <w:r w:rsidR="004816AF" w:rsidRPr="004816AF">
        <w:rPr>
          <w:b/>
          <w:i/>
          <w:lang w:val="en-AU"/>
        </w:rPr>
        <w:t xml:space="preserve"> </w:t>
      </w:r>
    </w:p>
    <w:p w:rsidR="003C0A8B" w:rsidRPr="00977D04" w:rsidRDefault="003C0A8B">
      <w:pPr>
        <w:rPr>
          <w:lang w:val="en-AU"/>
        </w:rPr>
      </w:pPr>
    </w:p>
    <w:p w:rsidR="007F23C3" w:rsidRDefault="004276C7">
      <w:r>
        <w:t>This section provides that each legislative instrument that is specified in a Schedule to this Amendment Rule is amended or repealed as set out.</w:t>
      </w:r>
    </w:p>
    <w:p w:rsidR="004276C7" w:rsidRDefault="004276C7">
      <w:pPr>
        <w:rPr>
          <w:lang w:val="en-AU"/>
        </w:rPr>
      </w:pPr>
    </w:p>
    <w:p w:rsidR="00984450" w:rsidRDefault="0096391F">
      <w:pPr>
        <w:rPr>
          <w:b/>
          <w:lang w:val="en-AU"/>
        </w:rPr>
      </w:pPr>
      <w:r>
        <w:rPr>
          <w:b/>
          <w:lang w:val="en-AU"/>
        </w:rPr>
        <w:t>Schedule 1</w:t>
      </w:r>
      <w:r w:rsidRPr="004816AF">
        <w:rPr>
          <w:b/>
          <w:lang w:val="en-AU"/>
        </w:rPr>
        <w:t>—</w:t>
      </w:r>
      <w:r>
        <w:rPr>
          <w:b/>
          <w:lang w:val="en-AU"/>
        </w:rPr>
        <w:t>Amendments</w:t>
      </w:r>
    </w:p>
    <w:p w:rsidR="00035FE8" w:rsidRDefault="00035FE8">
      <w:pPr>
        <w:rPr>
          <w:b/>
          <w:lang w:val="en-AU"/>
        </w:rPr>
      </w:pPr>
    </w:p>
    <w:p w:rsidR="00035FE8" w:rsidRDefault="00035FE8" w:rsidP="00035FE8">
      <w:pPr>
        <w:rPr>
          <w:b/>
          <w:lang w:val="en-AU"/>
        </w:rPr>
      </w:pPr>
      <w:r>
        <w:rPr>
          <w:b/>
          <w:lang w:val="en-AU"/>
        </w:rPr>
        <w:t>Part 1 – Amendment commencing on the day after registration</w:t>
      </w:r>
    </w:p>
    <w:p w:rsidR="00035FE8" w:rsidRPr="00977D04" w:rsidRDefault="00035FE8" w:rsidP="00035FE8">
      <w:pPr>
        <w:rPr>
          <w:lang w:val="en-AU"/>
        </w:rPr>
      </w:pPr>
    </w:p>
    <w:p w:rsidR="00035FE8" w:rsidRDefault="00035FE8" w:rsidP="00035FE8">
      <w:pPr>
        <w:rPr>
          <w:b/>
        </w:rPr>
      </w:pPr>
      <w:r w:rsidRPr="00F54C58">
        <w:rPr>
          <w:b/>
          <w:i/>
        </w:rPr>
        <w:t>Public Governance,</w:t>
      </w:r>
      <w:r>
        <w:rPr>
          <w:b/>
          <w:i/>
        </w:rPr>
        <w:t xml:space="preserve"> Performance and Accountability</w:t>
      </w:r>
      <w:r w:rsidRPr="00F54C58">
        <w:rPr>
          <w:b/>
          <w:i/>
        </w:rPr>
        <w:t xml:space="preserve"> Rule 2014</w:t>
      </w:r>
      <w:r w:rsidRPr="00F54C58">
        <w:rPr>
          <w:b/>
        </w:rPr>
        <w:t xml:space="preserve"> (</w:t>
      </w:r>
      <w:r>
        <w:rPr>
          <w:b/>
        </w:rPr>
        <w:t>PGPA</w:t>
      </w:r>
      <w:r w:rsidRPr="00F54C58">
        <w:rPr>
          <w:b/>
        </w:rPr>
        <w:t xml:space="preserve"> Rule)</w:t>
      </w:r>
    </w:p>
    <w:p w:rsidR="00035FE8" w:rsidRDefault="00035FE8" w:rsidP="00035FE8">
      <w:pPr>
        <w:rPr>
          <w:b/>
        </w:rPr>
      </w:pPr>
    </w:p>
    <w:p w:rsidR="00035FE8" w:rsidRDefault="00035FE8" w:rsidP="00035FE8">
      <w:pPr>
        <w:rPr>
          <w:b/>
          <w:lang w:val="en-AU"/>
        </w:rPr>
      </w:pPr>
      <w:r>
        <w:rPr>
          <w:b/>
          <w:lang w:val="en-AU"/>
        </w:rPr>
        <w:t>Item 1 – paragraph 5(2)(c)</w:t>
      </w:r>
    </w:p>
    <w:p w:rsidR="00035FE8" w:rsidRDefault="00035FE8" w:rsidP="00035FE8">
      <w:pPr>
        <w:rPr>
          <w:b/>
          <w:lang w:val="en-AU"/>
        </w:rPr>
      </w:pPr>
    </w:p>
    <w:p w:rsidR="00035FE8" w:rsidRDefault="00035FE8" w:rsidP="00035FE8">
      <w:pPr>
        <w:rPr>
          <w:lang w:val="en-AU"/>
        </w:rPr>
      </w:pPr>
      <w:r>
        <w:rPr>
          <w:lang w:val="en-AU"/>
        </w:rPr>
        <w:t xml:space="preserve">This would remove Medibank Private Limited </w:t>
      </w:r>
      <w:r w:rsidR="0057357F">
        <w:rPr>
          <w:lang w:val="en-AU"/>
        </w:rPr>
        <w:t xml:space="preserve">(MPL) </w:t>
      </w:r>
      <w:r>
        <w:rPr>
          <w:lang w:val="en-AU"/>
        </w:rPr>
        <w:t xml:space="preserve">from the list of </w:t>
      </w:r>
      <w:r w:rsidR="00FC494F">
        <w:rPr>
          <w:lang w:val="en-AU"/>
        </w:rPr>
        <w:t>g</w:t>
      </w:r>
      <w:r>
        <w:rPr>
          <w:lang w:val="en-AU"/>
        </w:rPr>
        <w:t>overnment business enterprises</w:t>
      </w:r>
      <w:r w:rsidR="0057357F">
        <w:rPr>
          <w:lang w:val="en-AU"/>
        </w:rPr>
        <w:t xml:space="preserve"> (GBE)</w:t>
      </w:r>
      <w:r>
        <w:rPr>
          <w:lang w:val="en-AU"/>
        </w:rPr>
        <w:t xml:space="preserve"> in section 5(2)(c).</w:t>
      </w:r>
      <w:r w:rsidR="0057357F">
        <w:rPr>
          <w:lang w:val="en-AU"/>
        </w:rPr>
        <w:t xml:space="preserve">  MPL was sold on 1 December 2014 and is no longer a GBE.</w:t>
      </w:r>
    </w:p>
    <w:p w:rsidR="00697945" w:rsidRDefault="00697945" w:rsidP="00035FE8">
      <w:pPr>
        <w:rPr>
          <w:lang w:val="en-AU"/>
        </w:rPr>
      </w:pPr>
    </w:p>
    <w:p w:rsidR="00697945" w:rsidRDefault="00697945">
      <w:pPr>
        <w:rPr>
          <w:b/>
          <w:lang w:val="en-AU"/>
        </w:rPr>
      </w:pPr>
    </w:p>
    <w:p w:rsidR="00697945" w:rsidRDefault="00697945">
      <w:pPr>
        <w:rPr>
          <w:b/>
          <w:lang w:val="en-AU"/>
        </w:rPr>
      </w:pPr>
    </w:p>
    <w:p w:rsidR="00697945" w:rsidRDefault="00697945">
      <w:pPr>
        <w:rPr>
          <w:b/>
          <w:lang w:val="en-AU"/>
        </w:rPr>
      </w:pPr>
    </w:p>
    <w:p w:rsidR="00697945" w:rsidRDefault="00697945">
      <w:pPr>
        <w:rPr>
          <w:b/>
          <w:lang w:val="en-AU"/>
        </w:rPr>
      </w:pPr>
    </w:p>
    <w:p w:rsidR="00697945" w:rsidRDefault="00697945">
      <w:pPr>
        <w:rPr>
          <w:b/>
          <w:lang w:val="en-AU"/>
        </w:rPr>
      </w:pPr>
    </w:p>
    <w:p w:rsidR="00035FE8" w:rsidRDefault="00035FE8">
      <w:pPr>
        <w:rPr>
          <w:b/>
          <w:lang w:val="en-AU"/>
        </w:rPr>
      </w:pPr>
      <w:r>
        <w:rPr>
          <w:b/>
          <w:lang w:val="en-AU"/>
        </w:rPr>
        <w:t>Part 2 – Other amendments</w:t>
      </w:r>
    </w:p>
    <w:p w:rsidR="0096391F" w:rsidRPr="00977D04" w:rsidRDefault="0096391F">
      <w:pPr>
        <w:rPr>
          <w:lang w:val="en-AU"/>
        </w:rPr>
      </w:pPr>
    </w:p>
    <w:p w:rsidR="0096391F" w:rsidRPr="00F54C58" w:rsidRDefault="0096391F" w:rsidP="00977D04">
      <w:pPr>
        <w:rPr>
          <w:b/>
        </w:rPr>
      </w:pPr>
      <w:bookmarkStart w:id="0" w:name="_Toc391472743"/>
      <w:r w:rsidRPr="00F54C58">
        <w:rPr>
          <w:b/>
          <w:i/>
        </w:rPr>
        <w:t>Public Governance, Performance and Accountability (Consequential and Transitional Provisions) Rule 2014</w:t>
      </w:r>
      <w:r w:rsidR="004E1285" w:rsidRPr="00F54C58">
        <w:rPr>
          <w:b/>
        </w:rPr>
        <w:t xml:space="preserve"> (CTP Rule)</w:t>
      </w:r>
    </w:p>
    <w:p w:rsidR="00A34022" w:rsidRDefault="00A34022" w:rsidP="00977D04">
      <w:pPr>
        <w:rPr>
          <w:b/>
          <w:lang w:val="en-AU"/>
        </w:rPr>
      </w:pPr>
    </w:p>
    <w:p w:rsidR="00376F24" w:rsidRDefault="0096391F" w:rsidP="00977D04">
      <w:pPr>
        <w:rPr>
          <w:b/>
          <w:lang w:val="en-AU"/>
        </w:rPr>
      </w:pPr>
      <w:r>
        <w:rPr>
          <w:b/>
          <w:lang w:val="en-AU"/>
        </w:rPr>
        <w:t xml:space="preserve">Item </w:t>
      </w:r>
      <w:bookmarkEnd w:id="0"/>
      <w:r w:rsidR="00035FE8">
        <w:rPr>
          <w:b/>
          <w:lang w:val="en-AU"/>
        </w:rPr>
        <w:t>2</w:t>
      </w:r>
      <w:r w:rsidR="00F5454F">
        <w:rPr>
          <w:b/>
          <w:lang w:val="en-AU"/>
        </w:rPr>
        <w:t xml:space="preserve"> – </w:t>
      </w:r>
      <w:r w:rsidR="00F027EC">
        <w:rPr>
          <w:b/>
          <w:lang w:val="en-AU"/>
        </w:rPr>
        <w:t>after section 7BC</w:t>
      </w:r>
      <w:r w:rsidR="00F5454F">
        <w:rPr>
          <w:b/>
          <w:lang w:val="en-AU"/>
        </w:rPr>
        <w:t xml:space="preserve"> </w:t>
      </w:r>
    </w:p>
    <w:p w:rsidR="00697945" w:rsidRDefault="00697945" w:rsidP="00977D04">
      <w:pPr>
        <w:rPr>
          <w:b/>
          <w:lang w:val="en-AU"/>
        </w:rPr>
      </w:pPr>
    </w:p>
    <w:p w:rsidR="00FC494F" w:rsidRDefault="0057357F" w:rsidP="00697945">
      <w:pPr>
        <w:spacing w:after="240"/>
      </w:pPr>
      <w:r w:rsidRPr="00EE0DB9">
        <w:t>This</w:t>
      </w:r>
      <w:r w:rsidR="00FC494F">
        <w:t xml:space="preserve"> item</w:t>
      </w:r>
      <w:r w:rsidRPr="00EE0DB9">
        <w:t xml:space="preserve"> </w:t>
      </w:r>
      <w:r>
        <w:t xml:space="preserve">inserts a new section 7BD into the CTP Rule for the Climate Change Authority (CCA), which </w:t>
      </w:r>
      <w:r w:rsidR="00FC494F" w:rsidRPr="00FC494F">
        <w:t xml:space="preserve">has the effect as if the prescribed modifications were </w:t>
      </w:r>
      <w:r w:rsidR="00697945">
        <w:t>part of</w:t>
      </w:r>
      <w:r w:rsidR="00FC494F">
        <w:t xml:space="preserve"> </w:t>
      </w:r>
      <w:r w:rsidR="00FC494F" w:rsidRPr="00FC494F">
        <w:t xml:space="preserve">the </w:t>
      </w:r>
      <w:r w:rsidR="00FC494F">
        <w:rPr>
          <w:i/>
          <w:iCs/>
        </w:rPr>
        <w:t xml:space="preserve">Climate Change Authority Act 2011 </w:t>
      </w:r>
      <w:r w:rsidR="00FC494F">
        <w:rPr>
          <w:iCs/>
        </w:rPr>
        <w:t>(CCA</w:t>
      </w:r>
      <w:r w:rsidR="00697945">
        <w:t xml:space="preserve"> Act) until the end of the first reporting period that commences on or after 1 July 2014.</w:t>
      </w:r>
    </w:p>
    <w:p w:rsidR="00376F24" w:rsidRPr="00376F24" w:rsidRDefault="00035FE8" w:rsidP="00376F24">
      <w:pPr>
        <w:rPr>
          <w:b/>
          <w:lang w:val="en-AU"/>
        </w:rPr>
      </w:pPr>
      <w:r>
        <w:rPr>
          <w:b/>
          <w:lang w:val="en-AU"/>
        </w:rPr>
        <w:t>Item 3</w:t>
      </w:r>
      <w:r w:rsidR="00376F24" w:rsidRPr="00376F24">
        <w:rPr>
          <w:b/>
          <w:lang w:val="en-AU"/>
        </w:rPr>
        <w:t xml:space="preserve"> – </w:t>
      </w:r>
      <w:r w:rsidR="00F027EC">
        <w:rPr>
          <w:b/>
        </w:rPr>
        <w:t>at the end of the rule</w:t>
      </w:r>
      <w:r w:rsidR="00376F24" w:rsidRPr="00376F24">
        <w:rPr>
          <w:b/>
          <w:lang w:val="en-AU"/>
        </w:rPr>
        <w:t xml:space="preserve"> </w:t>
      </w:r>
    </w:p>
    <w:p w:rsidR="00376F24" w:rsidRDefault="00376F24" w:rsidP="00376F24">
      <w:pPr>
        <w:rPr>
          <w:b/>
          <w:lang w:val="en-AU"/>
        </w:rPr>
      </w:pPr>
    </w:p>
    <w:p w:rsidR="00F027EC" w:rsidRDefault="00C874C4" w:rsidP="00C432B5">
      <w:r w:rsidRPr="00C874C4">
        <w:t xml:space="preserve">Item </w:t>
      </w:r>
      <w:r w:rsidR="00FC494F">
        <w:t>3</w:t>
      </w:r>
      <w:r w:rsidRPr="00C874C4">
        <w:t xml:space="preserve"> </w:t>
      </w:r>
      <w:r w:rsidR="00F027EC">
        <w:t xml:space="preserve">adds a new “Schedule 1 – Modifications of the </w:t>
      </w:r>
      <w:r w:rsidR="00F027EC" w:rsidRPr="00F027EC">
        <w:rPr>
          <w:i/>
        </w:rPr>
        <w:t>Climate Change Authority Act 2011</w:t>
      </w:r>
      <w:r w:rsidR="00F027EC">
        <w:t>”</w:t>
      </w:r>
      <w:r w:rsidR="00D72401">
        <w:t xml:space="preserve"> at the end of the CTP Rule</w:t>
      </w:r>
      <w:r w:rsidR="00F027EC">
        <w:t>, which references section 7BD</w:t>
      </w:r>
      <w:r w:rsidR="00D72401">
        <w:t xml:space="preserve"> discussed above</w:t>
      </w:r>
      <w:r w:rsidR="00F027EC">
        <w:t>.</w:t>
      </w:r>
    </w:p>
    <w:p w:rsidR="00F027EC" w:rsidRDefault="00F027EC" w:rsidP="00C432B5"/>
    <w:p w:rsidR="00F027EC" w:rsidRPr="00F027EC" w:rsidRDefault="00F027EC" w:rsidP="00F027EC">
      <w:pPr>
        <w:rPr>
          <w:b/>
        </w:rPr>
      </w:pPr>
      <w:r>
        <w:rPr>
          <w:b/>
          <w:i/>
        </w:rPr>
        <w:t xml:space="preserve">Climate Change Authority Act 2011 </w:t>
      </w:r>
      <w:r>
        <w:rPr>
          <w:b/>
        </w:rPr>
        <w:t>(CCA Act)</w:t>
      </w:r>
    </w:p>
    <w:p w:rsidR="00F027EC" w:rsidRDefault="00F027EC" w:rsidP="00F027EC">
      <w:pPr>
        <w:rPr>
          <w:b/>
          <w:i/>
        </w:rPr>
      </w:pPr>
    </w:p>
    <w:p w:rsidR="00F027EC" w:rsidRDefault="00F027EC" w:rsidP="00F027EC">
      <w:pPr>
        <w:rPr>
          <w:b/>
          <w:lang w:val="en-AU"/>
        </w:rPr>
      </w:pPr>
      <w:r>
        <w:rPr>
          <w:b/>
          <w:lang w:val="en-AU"/>
        </w:rPr>
        <w:t>Item 1 – section 10</w:t>
      </w:r>
    </w:p>
    <w:p w:rsidR="00F027EC" w:rsidRDefault="00F027EC" w:rsidP="00F027EC">
      <w:pPr>
        <w:rPr>
          <w:b/>
          <w:lang w:val="en-AU"/>
        </w:rPr>
      </w:pPr>
    </w:p>
    <w:p w:rsidR="00F027EC" w:rsidRDefault="00F027EC" w:rsidP="00F027EC">
      <w:pPr>
        <w:rPr>
          <w:lang w:val="en-AU"/>
        </w:rPr>
      </w:pPr>
      <w:r>
        <w:rPr>
          <w:lang w:val="en-AU"/>
        </w:rPr>
        <w:t xml:space="preserve">This item inserts a “(1)” before “The” in section 10 of the CCA Act to provide </w:t>
      </w:r>
      <w:r w:rsidR="0057357F">
        <w:rPr>
          <w:lang w:val="en-AU"/>
        </w:rPr>
        <w:t xml:space="preserve">paragraph numbering </w:t>
      </w:r>
      <w:r>
        <w:rPr>
          <w:lang w:val="en-AU"/>
        </w:rPr>
        <w:t xml:space="preserve">for additional paragraphs </w:t>
      </w:r>
      <w:r w:rsidR="0057357F">
        <w:rPr>
          <w:lang w:val="en-AU"/>
        </w:rPr>
        <w:t xml:space="preserve">to be inserted </w:t>
      </w:r>
      <w:r>
        <w:rPr>
          <w:lang w:val="en-AU"/>
        </w:rPr>
        <w:t>in this section.</w:t>
      </w:r>
    </w:p>
    <w:p w:rsidR="00F027EC" w:rsidRDefault="00F027EC" w:rsidP="00F027EC">
      <w:pPr>
        <w:rPr>
          <w:lang w:val="en-AU"/>
        </w:rPr>
      </w:pPr>
    </w:p>
    <w:p w:rsidR="00F027EC" w:rsidRPr="00F027EC" w:rsidRDefault="00F027EC" w:rsidP="00F027EC">
      <w:pPr>
        <w:rPr>
          <w:lang w:val="en-AU"/>
        </w:rPr>
      </w:pPr>
      <w:r>
        <w:rPr>
          <w:b/>
          <w:lang w:val="en-AU"/>
        </w:rPr>
        <w:t>Item 2 – at the end of section 10</w:t>
      </w:r>
    </w:p>
    <w:p w:rsidR="00697945" w:rsidRDefault="00697945" w:rsidP="00F027EC">
      <w:pPr>
        <w:rPr>
          <w:rFonts w:eastAsia="Times New Roman"/>
          <w:lang w:eastAsia="en-AU" w:bidi="ar-SA"/>
        </w:rPr>
      </w:pPr>
    </w:p>
    <w:p w:rsidR="00697945" w:rsidRPr="00697945" w:rsidRDefault="00697945" w:rsidP="00697945">
      <w:pPr>
        <w:spacing w:after="240" w:line="240" w:lineRule="atLeast"/>
        <w:rPr>
          <w:rFonts w:eastAsia="Times New Roman"/>
          <w:lang w:val="en-AU" w:eastAsia="en-AU" w:bidi="ar-SA"/>
        </w:rPr>
      </w:pPr>
      <w:r>
        <w:rPr>
          <w:rFonts w:eastAsia="Times New Roman"/>
          <w:lang w:eastAsia="en-AU" w:bidi="ar-SA"/>
        </w:rPr>
        <w:t>CCA</w:t>
      </w:r>
      <w:r w:rsidRPr="00EE0DB9">
        <w:rPr>
          <w:rFonts w:eastAsia="Times New Roman"/>
          <w:lang w:eastAsia="en-AU" w:bidi="ar-SA"/>
        </w:rPr>
        <w:t xml:space="preserve"> operated under the </w:t>
      </w:r>
      <w:r>
        <w:rPr>
          <w:rFonts w:eastAsia="Times New Roman"/>
          <w:i/>
          <w:lang w:eastAsia="en-AU" w:bidi="ar-SA"/>
        </w:rPr>
        <w:t>Financial Management and Accountability Act 1997</w:t>
      </w:r>
      <w:r w:rsidRPr="00EE0DB9">
        <w:rPr>
          <w:rFonts w:eastAsia="Times New Roman"/>
          <w:lang w:eastAsia="en-AU" w:bidi="ar-SA"/>
        </w:rPr>
        <w:t xml:space="preserve"> </w:t>
      </w:r>
      <w:r>
        <w:rPr>
          <w:rFonts w:eastAsia="Times New Roman"/>
          <w:lang w:eastAsia="en-AU" w:bidi="ar-SA"/>
        </w:rPr>
        <w:t>as</w:t>
      </w:r>
      <w:r w:rsidRPr="00EE0DB9">
        <w:rPr>
          <w:rFonts w:eastAsia="Times New Roman"/>
          <w:lang w:eastAsia="en-AU" w:bidi="ar-SA"/>
        </w:rPr>
        <w:t xml:space="preserve"> an agency with body corporate characteristics.</w:t>
      </w:r>
      <w:r>
        <w:rPr>
          <w:rFonts w:eastAsia="Times New Roman"/>
          <w:lang w:eastAsia="en-AU" w:bidi="ar-SA"/>
        </w:rPr>
        <w:t xml:space="preserve"> </w:t>
      </w:r>
      <w:r w:rsidRPr="00EE0DB9">
        <w:rPr>
          <w:rFonts w:eastAsia="Times New Roman"/>
          <w:lang w:eastAsia="en-AU" w:bidi="ar-SA"/>
        </w:rPr>
        <w:t xml:space="preserve"> It was intended that </w:t>
      </w:r>
      <w:r>
        <w:rPr>
          <w:rFonts w:eastAsia="Times New Roman"/>
          <w:lang w:eastAsia="en-AU" w:bidi="ar-SA"/>
        </w:rPr>
        <w:t>CCA would operate</w:t>
      </w:r>
      <w:r w:rsidRPr="00EE0DB9">
        <w:rPr>
          <w:rFonts w:eastAsia="Times New Roman"/>
          <w:lang w:eastAsia="en-AU" w:bidi="ar-SA"/>
        </w:rPr>
        <w:t xml:space="preserve"> as a non-corporate Commonwealth entity under the PGPA Act, </w:t>
      </w:r>
      <w:r>
        <w:rPr>
          <w:rFonts w:eastAsia="Times New Roman"/>
          <w:lang w:eastAsia="en-AU" w:bidi="ar-SA"/>
        </w:rPr>
        <w:t>but this was not addressed in the transitional legislation and CCA defaulted to corporate Commonwealth entity status</w:t>
      </w:r>
      <w:r w:rsidRPr="00EE0DB9">
        <w:rPr>
          <w:rFonts w:eastAsia="Times New Roman"/>
          <w:lang w:eastAsia="en-AU" w:bidi="ar-SA"/>
        </w:rPr>
        <w:t>.</w:t>
      </w:r>
    </w:p>
    <w:p w:rsidR="00EE0DB9" w:rsidRDefault="00D73FCE" w:rsidP="00F027EC">
      <w:r>
        <w:t>Item 2</w:t>
      </w:r>
      <w:r w:rsidR="00F027EC">
        <w:t xml:space="preserve"> inserts a new paragraph</w:t>
      </w:r>
      <w:r w:rsidR="00EE0DB9">
        <w:t xml:space="preserve"> to section 10</w:t>
      </w:r>
      <w:r w:rsidR="00F027EC">
        <w:t xml:space="preserve"> </w:t>
      </w:r>
      <w:r w:rsidR="00EE0DB9">
        <w:t xml:space="preserve">to treat CCA as a non-corporate Commonwealth entity for the purposes of the finance law (within the meaning of the PGPA Act).  The new paragraph also prescribes CCA as a listed entity, the CEO of CCA as the accountable authority, certain persons as officials of the Regulator and confirms the CCA’s purposes as set out in section 11 of the CCA Act. </w:t>
      </w:r>
    </w:p>
    <w:p w:rsidR="00EE0DB9" w:rsidRDefault="00EE0DB9" w:rsidP="00F027EC"/>
    <w:p w:rsidR="00F027EC" w:rsidRPr="00F027EC" w:rsidRDefault="00D73FCE" w:rsidP="00F027EC">
      <w:r>
        <w:t>This item</w:t>
      </w:r>
      <w:r w:rsidR="00EE0DB9">
        <w:t xml:space="preserve"> provides the intended governance framework for the CCA, thereby reducing administrative complexity</w:t>
      </w:r>
      <w:r>
        <w:t xml:space="preserve"> and providing certainty to CCA</w:t>
      </w:r>
      <w:r w:rsidR="00EE0DB9">
        <w:t>.</w:t>
      </w:r>
    </w:p>
    <w:p w:rsidR="00C432B5" w:rsidRDefault="00C432B5" w:rsidP="00C432B5"/>
    <w:p w:rsidR="00D72401" w:rsidRDefault="00376F24" w:rsidP="00376F24">
      <w:pPr>
        <w:rPr>
          <w:b/>
          <w:lang w:val="en-AU"/>
        </w:rPr>
      </w:pPr>
      <w:r w:rsidRPr="00376F24">
        <w:rPr>
          <w:b/>
          <w:lang w:val="en-AU"/>
        </w:rPr>
        <w:t xml:space="preserve">Item 3 – </w:t>
      </w:r>
      <w:r w:rsidR="00D72401">
        <w:rPr>
          <w:b/>
          <w:lang w:val="en-AU"/>
        </w:rPr>
        <w:t>subsection 13(2) (note)</w:t>
      </w:r>
    </w:p>
    <w:p w:rsidR="00D72401" w:rsidRDefault="00D72401" w:rsidP="00376F24">
      <w:pPr>
        <w:rPr>
          <w:b/>
          <w:lang w:val="en-AU"/>
        </w:rPr>
      </w:pPr>
    </w:p>
    <w:p w:rsidR="00D72401" w:rsidRPr="00D72401" w:rsidRDefault="00D72401" w:rsidP="00376F24">
      <w:pPr>
        <w:rPr>
          <w:lang w:val="en-AU"/>
        </w:rPr>
      </w:pPr>
      <w:r>
        <w:rPr>
          <w:lang w:val="en-AU"/>
        </w:rPr>
        <w:t xml:space="preserve">This repeals the </w:t>
      </w:r>
      <w:r w:rsidR="0057357F">
        <w:rPr>
          <w:lang w:val="en-AU"/>
        </w:rPr>
        <w:t>note and substitutes a note that provides for the CCA CEO’s power to enter into contracts on behalf of the Commonwealth, and accurately reference</w:t>
      </w:r>
      <w:r>
        <w:rPr>
          <w:lang w:val="en-AU"/>
        </w:rPr>
        <w:t xml:space="preserve"> section 23 of the PGPA Act, relating to the power in relation to arrangements and commitments. </w:t>
      </w:r>
    </w:p>
    <w:p w:rsidR="00697945" w:rsidRDefault="00697945" w:rsidP="00376F24">
      <w:pPr>
        <w:rPr>
          <w:b/>
          <w:lang w:val="en-AU"/>
        </w:rPr>
      </w:pPr>
    </w:p>
    <w:p w:rsidR="00697945" w:rsidRDefault="00697945" w:rsidP="00376F24">
      <w:pPr>
        <w:rPr>
          <w:b/>
          <w:lang w:val="en-AU"/>
        </w:rPr>
      </w:pPr>
    </w:p>
    <w:p w:rsidR="00697945" w:rsidRDefault="00697945" w:rsidP="00376F24">
      <w:pPr>
        <w:rPr>
          <w:b/>
          <w:lang w:val="en-AU"/>
        </w:rPr>
      </w:pPr>
    </w:p>
    <w:p w:rsidR="00697945" w:rsidRDefault="00697945" w:rsidP="00376F24">
      <w:pPr>
        <w:rPr>
          <w:b/>
          <w:lang w:val="en-AU"/>
        </w:rPr>
      </w:pPr>
    </w:p>
    <w:p w:rsidR="00697945" w:rsidRDefault="00697945" w:rsidP="00376F24">
      <w:pPr>
        <w:rPr>
          <w:b/>
          <w:lang w:val="en-AU"/>
        </w:rPr>
      </w:pPr>
    </w:p>
    <w:p w:rsidR="00376F24" w:rsidRPr="00376F24" w:rsidRDefault="00D72401" w:rsidP="00376F24">
      <w:pPr>
        <w:rPr>
          <w:b/>
          <w:lang w:val="en-AU"/>
        </w:rPr>
      </w:pPr>
      <w:r>
        <w:rPr>
          <w:b/>
          <w:lang w:val="en-AU"/>
        </w:rPr>
        <w:t>Item 4</w:t>
      </w:r>
      <w:r w:rsidRPr="00376F24">
        <w:rPr>
          <w:b/>
          <w:lang w:val="en-AU"/>
        </w:rPr>
        <w:t xml:space="preserve"> – </w:t>
      </w:r>
      <w:r w:rsidR="00D73FCE">
        <w:rPr>
          <w:b/>
        </w:rPr>
        <w:t>sections 26 and 27</w:t>
      </w:r>
    </w:p>
    <w:p w:rsidR="00376F24" w:rsidRDefault="00376F24" w:rsidP="00376F24">
      <w:pPr>
        <w:rPr>
          <w:b/>
          <w:lang w:val="en-AU"/>
        </w:rPr>
      </w:pPr>
    </w:p>
    <w:p w:rsidR="00D73FCE" w:rsidRDefault="0057357F" w:rsidP="00376F24">
      <w:pPr>
        <w:rPr>
          <w:rFonts w:eastAsia="Times New Roman"/>
          <w:color w:val="000000"/>
          <w:lang w:eastAsia="en-AU"/>
        </w:rPr>
      </w:pPr>
      <w:r>
        <w:rPr>
          <w:rFonts w:eastAsia="Times New Roman"/>
          <w:color w:val="000000"/>
          <w:lang w:eastAsia="en-AU"/>
        </w:rPr>
        <w:t>Item 4</w:t>
      </w:r>
      <w:r w:rsidR="00C874C4">
        <w:rPr>
          <w:rFonts w:eastAsia="Times New Roman"/>
          <w:color w:val="000000"/>
          <w:lang w:eastAsia="en-AU"/>
        </w:rPr>
        <w:t xml:space="preserve"> </w:t>
      </w:r>
      <w:r w:rsidR="00D73FCE">
        <w:rPr>
          <w:rFonts w:eastAsia="Times New Roman"/>
          <w:color w:val="000000"/>
          <w:lang w:eastAsia="en-AU"/>
        </w:rPr>
        <w:t>repeals sections 26 and 27 of the CCA Act, substituting a new section 26 to provide for “Disclosure of interests to the Climate Change Minister” that accords with section 29 of the PGPA Act</w:t>
      </w:r>
      <w:r>
        <w:rPr>
          <w:rFonts w:eastAsia="Times New Roman"/>
          <w:color w:val="000000"/>
          <w:lang w:eastAsia="en-AU"/>
        </w:rPr>
        <w:t>, which deals with the duty to disclose interests</w:t>
      </w:r>
      <w:r w:rsidR="00D73FCE">
        <w:rPr>
          <w:rFonts w:eastAsia="Times New Roman"/>
          <w:color w:val="000000"/>
          <w:lang w:eastAsia="en-AU"/>
        </w:rPr>
        <w:t>.</w:t>
      </w:r>
    </w:p>
    <w:p w:rsidR="00D73FCE" w:rsidRDefault="00D73FCE" w:rsidP="00D73FCE">
      <w:pPr>
        <w:rPr>
          <w:rFonts w:eastAsia="Times New Roman"/>
          <w:color w:val="000000"/>
          <w:lang w:eastAsia="en-AU"/>
        </w:rPr>
      </w:pPr>
    </w:p>
    <w:p w:rsidR="00D73FCE" w:rsidRPr="00376F24" w:rsidRDefault="00D73FCE" w:rsidP="00D73FCE">
      <w:pPr>
        <w:rPr>
          <w:b/>
          <w:lang w:val="en-AU"/>
        </w:rPr>
      </w:pPr>
      <w:r w:rsidRPr="00376F24">
        <w:rPr>
          <w:b/>
          <w:lang w:val="en-AU"/>
        </w:rPr>
        <w:t xml:space="preserve">Item </w:t>
      </w:r>
      <w:r w:rsidR="00D72401">
        <w:rPr>
          <w:b/>
          <w:lang w:val="en-AU"/>
        </w:rPr>
        <w:t>5 – paragraph 3</w:t>
      </w:r>
      <w:r>
        <w:rPr>
          <w:b/>
          <w:lang w:val="en-AU"/>
        </w:rPr>
        <w:t>1(2)(d)</w:t>
      </w:r>
    </w:p>
    <w:p w:rsidR="00D73FCE" w:rsidRDefault="00D73FCE" w:rsidP="00D73FCE">
      <w:pPr>
        <w:rPr>
          <w:b/>
          <w:lang w:val="en-AU"/>
        </w:rPr>
      </w:pPr>
    </w:p>
    <w:p w:rsidR="00D73FCE" w:rsidRDefault="0057357F" w:rsidP="00D73FCE">
      <w:pPr>
        <w:rPr>
          <w:rFonts w:eastAsia="Times New Roman"/>
          <w:color w:val="000000"/>
          <w:lang w:eastAsia="en-AU"/>
        </w:rPr>
      </w:pPr>
      <w:r>
        <w:rPr>
          <w:rFonts w:eastAsia="Times New Roman"/>
          <w:color w:val="000000"/>
          <w:lang w:eastAsia="en-AU"/>
        </w:rPr>
        <w:t>Item 5</w:t>
      </w:r>
      <w:r w:rsidR="00D73FCE">
        <w:rPr>
          <w:rFonts w:eastAsia="Times New Roman"/>
          <w:color w:val="000000"/>
          <w:lang w:eastAsia="en-AU"/>
        </w:rPr>
        <w:t xml:space="preserve"> repeals this paragraph, substituting a new paragraph that references the disclosure of interest requirements in section 29 of the PGPA Act.</w:t>
      </w:r>
    </w:p>
    <w:p w:rsidR="00D73FCE" w:rsidRDefault="00D73FCE" w:rsidP="00D73FCE">
      <w:pPr>
        <w:rPr>
          <w:rFonts w:eastAsia="Times New Roman"/>
          <w:color w:val="000000"/>
          <w:lang w:eastAsia="en-AU"/>
        </w:rPr>
      </w:pPr>
    </w:p>
    <w:p w:rsidR="00D73FCE" w:rsidRDefault="00D73FCE" w:rsidP="00D73FCE">
      <w:pPr>
        <w:rPr>
          <w:b/>
          <w:lang w:val="en-AU"/>
        </w:rPr>
      </w:pPr>
      <w:r w:rsidRPr="00376F24">
        <w:rPr>
          <w:b/>
          <w:lang w:val="en-AU"/>
        </w:rPr>
        <w:t xml:space="preserve">Item </w:t>
      </w:r>
      <w:r w:rsidR="00D72401">
        <w:rPr>
          <w:b/>
          <w:lang w:val="en-AU"/>
        </w:rPr>
        <w:t>6</w:t>
      </w:r>
      <w:r>
        <w:rPr>
          <w:b/>
          <w:lang w:val="en-AU"/>
        </w:rPr>
        <w:t xml:space="preserve"> – subsection 36(2)</w:t>
      </w:r>
    </w:p>
    <w:p w:rsidR="00D73FCE" w:rsidRDefault="00D73FCE" w:rsidP="00D73FCE">
      <w:pPr>
        <w:rPr>
          <w:b/>
          <w:lang w:val="en-AU"/>
        </w:rPr>
      </w:pPr>
    </w:p>
    <w:p w:rsidR="00D73FCE" w:rsidRDefault="00D73FCE" w:rsidP="00D73FCE">
      <w:pPr>
        <w:rPr>
          <w:lang w:val="en-AU"/>
        </w:rPr>
      </w:pPr>
      <w:r>
        <w:rPr>
          <w:lang w:val="en-AU"/>
        </w:rPr>
        <w:t>This updates references to disclosure of interest requirements in section 29 of the PGPA Act.</w:t>
      </w:r>
    </w:p>
    <w:p w:rsidR="00D73FCE" w:rsidRDefault="00D73FCE" w:rsidP="00D73FCE">
      <w:pPr>
        <w:rPr>
          <w:lang w:val="en-AU"/>
        </w:rPr>
      </w:pPr>
    </w:p>
    <w:p w:rsidR="00D73FCE" w:rsidRDefault="00D73FCE" w:rsidP="00D73FCE">
      <w:pPr>
        <w:rPr>
          <w:b/>
          <w:lang w:val="en-AU"/>
        </w:rPr>
      </w:pPr>
      <w:r w:rsidRPr="00376F24">
        <w:rPr>
          <w:b/>
          <w:lang w:val="en-AU"/>
        </w:rPr>
        <w:t xml:space="preserve">Item </w:t>
      </w:r>
      <w:r w:rsidR="00D72401">
        <w:rPr>
          <w:b/>
          <w:lang w:val="en-AU"/>
        </w:rPr>
        <w:t>7</w:t>
      </w:r>
      <w:r>
        <w:rPr>
          <w:b/>
          <w:lang w:val="en-AU"/>
        </w:rPr>
        <w:t xml:space="preserve"> – section 48</w:t>
      </w:r>
    </w:p>
    <w:p w:rsidR="00D73FCE" w:rsidRDefault="00D73FCE" w:rsidP="00D73FCE">
      <w:pPr>
        <w:rPr>
          <w:b/>
          <w:lang w:val="en-AU"/>
        </w:rPr>
      </w:pPr>
    </w:p>
    <w:p w:rsidR="00D73FCE" w:rsidRDefault="00D73FCE" w:rsidP="00D73FCE">
      <w:pPr>
        <w:rPr>
          <w:lang w:val="en-AU"/>
        </w:rPr>
      </w:pPr>
      <w:r>
        <w:rPr>
          <w:lang w:val="en-AU"/>
        </w:rPr>
        <w:t>This repeals section 48, substituting a new section that reflects disclosure of interest requirements in section 29 of the PGPA Act in relation to disclosures of interest</w:t>
      </w:r>
      <w:r w:rsidR="0057357F">
        <w:rPr>
          <w:lang w:val="en-AU"/>
        </w:rPr>
        <w:t>s</w:t>
      </w:r>
      <w:r>
        <w:rPr>
          <w:lang w:val="en-AU"/>
        </w:rPr>
        <w:t xml:space="preserve"> by the CEO of CCA.</w:t>
      </w:r>
    </w:p>
    <w:p w:rsidR="00D73FCE" w:rsidRPr="00D73FCE" w:rsidRDefault="00D73FCE" w:rsidP="00D73FCE">
      <w:pPr>
        <w:rPr>
          <w:lang w:val="en-AU"/>
        </w:rPr>
      </w:pPr>
    </w:p>
    <w:p w:rsidR="00D73FCE" w:rsidRDefault="00D72401" w:rsidP="00D73FCE">
      <w:pPr>
        <w:rPr>
          <w:b/>
          <w:lang w:val="en-AU"/>
        </w:rPr>
      </w:pPr>
      <w:r>
        <w:rPr>
          <w:b/>
          <w:lang w:val="en-AU"/>
        </w:rPr>
        <w:t>Item 8</w:t>
      </w:r>
      <w:r w:rsidR="00D73FCE">
        <w:rPr>
          <w:b/>
          <w:lang w:val="en-AU"/>
        </w:rPr>
        <w:t xml:space="preserve"> </w:t>
      </w:r>
      <w:r w:rsidR="00D73FCE">
        <w:rPr>
          <w:b/>
          <w:lang w:val="en-AU"/>
        </w:rPr>
        <w:softHyphen/>
        <w:t>– paragraph 50(2)(c)</w:t>
      </w:r>
    </w:p>
    <w:p w:rsidR="00D73FCE" w:rsidRDefault="00D73FCE" w:rsidP="00D73FCE">
      <w:pPr>
        <w:rPr>
          <w:b/>
          <w:lang w:val="en-AU"/>
        </w:rPr>
      </w:pPr>
    </w:p>
    <w:p w:rsidR="00D73FCE" w:rsidRDefault="0057357F" w:rsidP="00D73FCE">
      <w:pPr>
        <w:rPr>
          <w:lang w:val="en-AU"/>
        </w:rPr>
      </w:pPr>
      <w:r>
        <w:rPr>
          <w:lang w:val="en-AU"/>
        </w:rPr>
        <w:t>Item 8</w:t>
      </w:r>
      <w:r w:rsidR="00D73FCE">
        <w:rPr>
          <w:lang w:val="en-AU"/>
        </w:rPr>
        <w:t xml:space="preserve"> repeals this paragraph, substituting a new paragraph that provides for the CEO’s compliance with the disclosure of interest requirements in section 29 of the PGPA Act.</w:t>
      </w:r>
    </w:p>
    <w:p w:rsidR="00D73FCE" w:rsidRDefault="00D73FCE" w:rsidP="00D73FCE">
      <w:pPr>
        <w:rPr>
          <w:lang w:val="en-AU"/>
        </w:rPr>
      </w:pPr>
    </w:p>
    <w:p w:rsidR="00D73FCE" w:rsidRDefault="00D72401" w:rsidP="00D73FCE">
      <w:pPr>
        <w:rPr>
          <w:b/>
          <w:lang w:val="en-AU"/>
        </w:rPr>
      </w:pPr>
      <w:r>
        <w:rPr>
          <w:b/>
          <w:lang w:val="en-AU"/>
        </w:rPr>
        <w:t>Item 9</w:t>
      </w:r>
      <w:r w:rsidR="00D73FCE">
        <w:rPr>
          <w:b/>
          <w:lang w:val="en-AU"/>
        </w:rPr>
        <w:t xml:space="preserve"> – Division 8 of Part 2</w:t>
      </w:r>
    </w:p>
    <w:p w:rsidR="00D73FCE" w:rsidRDefault="00D73FCE" w:rsidP="00D73FCE">
      <w:pPr>
        <w:rPr>
          <w:b/>
          <w:lang w:val="en-AU"/>
        </w:rPr>
      </w:pPr>
    </w:p>
    <w:p w:rsidR="00D73FCE" w:rsidRDefault="0057357F" w:rsidP="00D73FCE">
      <w:pPr>
        <w:rPr>
          <w:lang w:val="en-AU"/>
        </w:rPr>
      </w:pPr>
      <w:r>
        <w:rPr>
          <w:lang w:val="en-AU"/>
        </w:rPr>
        <w:t>Item 9</w:t>
      </w:r>
      <w:r w:rsidR="00D73FCE">
        <w:rPr>
          <w:lang w:val="en-AU"/>
        </w:rPr>
        <w:t xml:space="preserve"> repeals the Division, substituting a new “Division 8 – Corporate plans” that harmonises corporate planning requirements with section 35 of the PGPA Act.</w:t>
      </w:r>
    </w:p>
    <w:p w:rsidR="003167B7" w:rsidRDefault="003167B7" w:rsidP="00D73FCE">
      <w:pPr>
        <w:rPr>
          <w:b/>
          <w:lang w:val="en-AU"/>
        </w:rPr>
      </w:pPr>
    </w:p>
    <w:p w:rsidR="00D73FCE" w:rsidRDefault="00D72401" w:rsidP="00D73FCE">
      <w:pPr>
        <w:rPr>
          <w:b/>
          <w:lang w:val="en-AU"/>
        </w:rPr>
      </w:pPr>
      <w:r>
        <w:rPr>
          <w:b/>
          <w:lang w:val="en-AU"/>
        </w:rPr>
        <w:t>Item 10</w:t>
      </w:r>
      <w:r w:rsidR="00D73FCE">
        <w:rPr>
          <w:b/>
          <w:lang w:val="en-AU"/>
        </w:rPr>
        <w:t xml:space="preserve"> – section 56</w:t>
      </w:r>
    </w:p>
    <w:p w:rsidR="00D73FCE" w:rsidRDefault="00D73FCE" w:rsidP="00D73FCE">
      <w:pPr>
        <w:rPr>
          <w:lang w:val="en-AU"/>
        </w:rPr>
      </w:pPr>
    </w:p>
    <w:p w:rsidR="003167B7" w:rsidRDefault="0057357F" w:rsidP="00D73FCE">
      <w:pPr>
        <w:rPr>
          <w:lang w:val="en-AU"/>
        </w:rPr>
      </w:pPr>
      <w:r>
        <w:rPr>
          <w:lang w:val="en-AU"/>
        </w:rPr>
        <w:t>Item 10</w:t>
      </w:r>
      <w:r w:rsidR="00D73FCE">
        <w:rPr>
          <w:lang w:val="en-AU"/>
        </w:rPr>
        <w:t xml:space="preserve"> repeals section 56.  This section is now redundant as the annual report is provided for in a consistent manner by section </w:t>
      </w:r>
      <w:r w:rsidR="003167B7">
        <w:rPr>
          <w:lang w:val="en-AU"/>
        </w:rPr>
        <w:t>46 of the PGPA Act.  This item reduces unnecessary duplication.</w:t>
      </w:r>
    </w:p>
    <w:p w:rsidR="003167B7" w:rsidRDefault="003167B7" w:rsidP="00D73FCE">
      <w:pPr>
        <w:rPr>
          <w:lang w:val="en-AU"/>
        </w:rPr>
      </w:pPr>
    </w:p>
    <w:p w:rsidR="003167B7" w:rsidRDefault="00D72401" w:rsidP="003167B7">
      <w:pPr>
        <w:rPr>
          <w:b/>
          <w:lang w:val="en-AU"/>
        </w:rPr>
      </w:pPr>
      <w:r>
        <w:rPr>
          <w:b/>
          <w:lang w:val="en-AU"/>
        </w:rPr>
        <w:t>Item 11</w:t>
      </w:r>
      <w:r w:rsidR="003167B7">
        <w:rPr>
          <w:b/>
          <w:lang w:val="en-AU"/>
        </w:rPr>
        <w:t xml:space="preserve"> – paragraph 58(a)</w:t>
      </w:r>
    </w:p>
    <w:p w:rsidR="003167B7" w:rsidRDefault="003167B7" w:rsidP="003167B7">
      <w:pPr>
        <w:rPr>
          <w:b/>
          <w:lang w:val="en-AU"/>
        </w:rPr>
      </w:pPr>
    </w:p>
    <w:p w:rsidR="003167B7" w:rsidRDefault="003167B7" w:rsidP="003167B7">
      <w:pPr>
        <w:rPr>
          <w:lang w:val="en-AU"/>
        </w:rPr>
      </w:pPr>
      <w:r>
        <w:rPr>
          <w:lang w:val="en-AU"/>
        </w:rPr>
        <w:t>This item updates a reference to the FMA Act with the PGPA Act.</w:t>
      </w:r>
    </w:p>
    <w:p w:rsidR="00D73FCE" w:rsidRPr="00D73FCE" w:rsidRDefault="00D73FCE" w:rsidP="00D73FCE">
      <w:pPr>
        <w:rPr>
          <w:lang w:val="en-AU"/>
        </w:rPr>
        <w:sectPr w:rsidR="00D73FCE" w:rsidRPr="00D73FCE" w:rsidSect="00AE08B4">
          <w:headerReference w:type="default" r:id="rId9"/>
          <w:pgSz w:w="11906" w:h="16838"/>
          <w:pgMar w:top="1440" w:right="1440" w:bottom="1440" w:left="1440" w:header="708" w:footer="514" w:gutter="0"/>
          <w:pgNumType w:start="1"/>
          <w:cols w:space="708"/>
          <w:titlePg/>
          <w:docGrid w:linePitch="360"/>
        </w:sectPr>
      </w:pPr>
    </w:p>
    <w:p w:rsidR="004E45B0" w:rsidRPr="003167B7" w:rsidRDefault="00BF1181" w:rsidP="003167B7">
      <w:pPr>
        <w:pStyle w:val="Heading2"/>
        <w:jc w:val="right"/>
        <w:rPr>
          <w:rFonts w:ascii="Times New Roman" w:hAnsi="Times New Roman" w:cs="Times New Roman"/>
          <w:sz w:val="24"/>
          <w:szCs w:val="24"/>
          <w:u w:val="single"/>
        </w:rPr>
      </w:pPr>
      <w:r w:rsidRPr="00BF1181">
        <w:rPr>
          <w:rFonts w:ascii="Times New Roman" w:hAnsi="Times New Roman" w:cs="Times New Roman"/>
          <w:sz w:val="24"/>
          <w:szCs w:val="24"/>
          <w:u w:val="single"/>
        </w:rPr>
        <w:t>Attachment B</w:t>
      </w:r>
    </w:p>
    <w:p w:rsidR="007E6A30" w:rsidRPr="003167B7" w:rsidRDefault="00167E2E" w:rsidP="003167B7">
      <w:pPr>
        <w:pStyle w:val="Heading2"/>
        <w:jc w:val="center"/>
        <w:rPr>
          <w:rFonts w:ascii="Times New Roman" w:hAnsi="Times New Roman" w:cs="Times New Roman"/>
          <w:sz w:val="24"/>
          <w:szCs w:val="24"/>
        </w:rPr>
      </w:pPr>
      <w:r w:rsidRPr="00977D04">
        <w:rPr>
          <w:rFonts w:ascii="Times New Roman" w:hAnsi="Times New Roman" w:cs="Times New Roman"/>
          <w:sz w:val="24"/>
          <w:szCs w:val="24"/>
        </w:rPr>
        <w:t xml:space="preserve">Statement of </w:t>
      </w:r>
      <w:r w:rsidR="00D75AD5">
        <w:rPr>
          <w:rFonts w:ascii="Times New Roman" w:hAnsi="Times New Roman" w:cs="Times New Roman"/>
          <w:sz w:val="24"/>
          <w:szCs w:val="24"/>
        </w:rPr>
        <w:t>C</w:t>
      </w:r>
      <w:r w:rsidR="00D75AD5" w:rsidRPr="00977D04">
        <w:rPr>
          <w:rFonts w:ascii="Times New Roman" w:hAnsi="Times New Roman" w:cs="Times New Roman"/>
          <w:sz w:val="24"/>
          <w:szCs w:val="24"/>
        </w:rPr>
        <w:t xml:space="preserve">ompatibility </w:t>
      </w:r>
      <w:r w:rsidRPr="00977D04">
        <w:rPr>
          <w:rFonts w:ascii="Times New Roman" w:hAnsi="Times New Roman" w:cs="Times New Roman"/>
          <w:sz w:val="24"/>
          <w:szCs w:val="24"/>
        </w:rPr>
        <w:t xml:space="preserve">with </w:t>
      </w:r>
      <w:r w:rsidR="00D75AD5">
        <w:rPr>
          <w:rFonts w:ascii="Times New Roman" w:hAnsi="Times New Roman" w:cs="Times New Roman"/>
          <w:sz w:val="24"/>
          <w:szCs w:val="24"/>
        </w:rPr>
        <w:t>H</w:t>
      </w:r>
      <w:r w:rsidR="00D75AD5" w:rsidRPr="00977D04">
        <w:rPr>
          <w:rFonts w:ascii="Times New Roman" w:hAnsi="Times New Roman" w:cs="Times New Roman"/>
          <w:sz w:val="24"/>
          <w:szCs w:val="24"/>
        </w:rPr>
        <w:t xml:space="preserve">uman </w:t>
      </w:r>
      <w:r w:rsidR="00D75AD5">
        <w:rPr>
          <w:rFonts w:ascii="Times New Roman" w:hAnsi="Times New Roman" w:cs="Times New Roman"/>
          <w:sz w:val="24"/>
          <w:szCs w:val="24"/>
        </w:rPr>
        <w:t>R</w:t>
      </w:r>
      <w:r w:rsidR="00D75AD5" w:rsidRPr="00977D04">
        <w:rPr>
          <w:rFonts w:ascii="Times New Roman" w:hAnsi="Times New Roman" w:cs="Times New Roman"/>
          <w:sz w:val="24"/>
          <w:szCs w:val="24"/>
        </w:rPr>
        <w:t>ights</w:t>
      </w:r>
    </w:p>
    <w:p w:rsidR="00C445FC" w:rsidRPr="00C445FC" w:rsidRDefault="00C445FC" w:rsidP="00C445FC"/>
    <w:p w:rsidR="003C49CD" w:rsidRDefault="00167E2E" w:rsidP="00D976E6">
      <w:pPr>
        <w:rPr>
          <w:i/>
        </w:rPr>
      </w:pPr>
      <w:r w:rsidRPr="00977D04">
        <w:t xml:space="preserve">Prepared in accordance with Part 3 of the </w:t>
      </w:r>
      <w:r w:rsidRPr="00977D04">
        <w:rPr>
          <w:i/>
        </w:rPr>
        <w:t>Human Rights (Parliamentary Scrutiny) Act 2011</w:t>
      </w:r>
    </w:p>
    <w:p w:rsidR="009C481F" w:rsidRPr="00977D04" w:rsidRDefault="009C481F" w:rsidP="00D976E6"/>
    <w:p w:rsidR="003167B7" w:rsidRPr="005B046F" w:rsidRDefault="003167B7" w:rsidP="003167B7">
      <w:pPr>
        <w:rPr>
          <w:b/>
        </w:rPr>
      </w:pPr>
      <w:r w:rsidRPr="003167B7">
        <w:rPr>
          <w:b/>
          <w:i/>
        </w:rPr>
        <w:t>Public Governance, Performance and Accountability</w:t>
      </w:r>
      <w:r w:rsidR="005B046F">
        <w:rPr>
          <w:b/>
          <w:i/>
        </w:rPr>
        <w:t xml:space="preserve"> Amendment</w:t>
      </w:r>
      <w:r w:rsidRPr="003167B7">
        <w:rPr>
          <w:b/>
          <w:i/>
        </w:rPr>
        <w:t xml:space="preserve"> Rule 2014</w:t>
      </w:r>
      <w:r w:rsidR="005B046F">
        <w:rPr>
          <w:b/>
          <w:i/>
        </w:rPr>
        <w:t xml:space="preserve"> (No. 2) </w:t>
      </w:r>
      <w:r w:rsidR="005B046F">
        <w:rPr>
          <w:b/>
        </w:rPr>
        <w:t>(Amendment Rule)</w:t>
      </w:r>
    </w:p>
    <w:p w:rsidR="009C481F" w:rsidRPr="00977D04" w:rsidRDefault="009C481F" w:rsidP="00D976E6"/>
    <w:p w:rsidR="00A609F2" w:rsidRPr="00977D04" w:rsidRDefault="00E00E37" w:rsidP="003167B7">
      <w:pPr>
        <w:rPr>
          <w:i/>
        </w:rPr>
      </w:pPr>
      <w:r w:rsidRPr="00977D04">
        <w:t xml:space="preserve">The </w:t>
      </w:r>
      <w:r w:rsidR="005B046F">
        <w:t>Amendment Rule</w:t>
      </w:r>
      <w:r w:rsidR="0092738C" w:rsidRPr="00977D04">
        <w:t xml:space="preserve"> </w:t>
      </w:r>
      <w:r w:rsidRPr="00977D04">
        <w:t xml:space="preserve">is compatible with the human rights and freedoms recognised or declared in the international instruments listed in section 3 of the </w:t>
      </w:r>
      <w:r w:rsidRPr="00977D04">
        <w:rPr>
          <w:i/>
        </w:rPr>
        <w:t>Human Rights (Parliamentary Scrutiny) Act 2011.</w:t>
      </w:r>
    </w:p>
    <w:p w:rsidR="009C481F" w:rsidRPr="00977D04" w:rsidRDefault="009C481F" w:rsidP="00D976E6"/>
    <w:p w:rsidR="00C351ED" w:rsidRPr="00977D04" w:rsidRDefault="00661056" w:rsidP="00D976E6">
      <w:pPr>
        <w:rPr>
          <w:b/>
          <w:lang w:val="en-AU"/>
        </w:rPr>
      </w:pPr>
      <w:r w:rsidRPr="00977D04">
        <w:rPr>
          <w:b/>
          <w:lang w:val="en-AU"/>
        </w:rPr>
        <w:t>Overview</w:t>
      </w:r>
      <w:r w:rsidR="00474C20" w:rsidRPr="00977D04">
        <w:rPr>
          <w:b/>
          <w:lang w:val="en-AU"/>
        </w:rPr>
        <w:t xml:space="preserve"> of the legislative instrument</w:t>
      </w:r>
    </w:p>
    <w:p w:rsidR="00A609F2" w:rsidRPr="00596CD4" w:rsidRDefault="00A609F2" w:rsidP="00A609F2">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w:t>
      </w:r>
      <w:r w:rsidR="00561ED6">
        <w:rPr>
          <w:lang w:val="en-AU"/>
        </w:rPr>
        <w:t xml:space="preserve">.  </w:t>
      </w:r>
      <w:r w:rsidRPr="00596CD4">
        <w:t>Section 101 of the PGPA Act provides that the Finance Minister may make rules by legislative instrument to prescribe matters giving effect to the Act.</w:t>
      </w:r>
    </w:p>
    <w:p w:rsidR="000C0E45" w:rsidRDefault="000C0E45" w:rsidP="000C0E45">
      <w:pPr>
        <w:tabs>
          <w:tab w:val="left" w:pos="567"/>
          <w:tab w:val="left" w:pos="1276"/>
        </w:tabs>
      </w:pPr>
    </w:p>
    <w:p w:rsidR="004816AF" w:rsidRDefault="000C0E45" w:rsidP="000C0E4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 xml:space="preserve">(CTP Act) </w:t>
      </w:r>
      <w:r w:rsidR="00233481">
        <w:t>amended</w:t>
      </w:r>
      <w:r w:rsidRPr="00977D04">
        <w:t xml:space="preserve"> </w:t>
      </w:r>
      <w:r w:rsidR="00AB5C04">
        <w:t xml:space="preserve">242 </w:t>
      </w:r>
      <w:r w:rsidRPr="00977D04">
        <w:t xml:space="preserve">Acts across the Commonwealth to support the implementation of </w:t>
      </w:r>
      <w:r>
        <w:t>PGPA Act</w:t>
      </w:r>
      <w:r w:rsidRPr="00977D04">
        <w:t xml:space="preserve"> and its related rules and instruments</w:t>
      </w:r>
      <w:r w:rsidR="00561ED6">
        <w:t xml:space="preserve">.  </w:t>
      </w:r>
      <w:r w:rsidR="00297EE9">
        <w:t xml:space="preserve">Item 6 of Schedule 14 of </w:t>
      </w:r>
      <w:r w:rsidR="008C4D2C" w:rsidRPr="00977D04">
        <w:t xml:space="preserve">the </w:t>
      </w:r>
      <w:r w:rsidRPr="000C0E45">
        <w:t>CTP Act</w:t>
      </w:r>
      <w:r>
        <w:rPr>
          <w:i/>
        </w:rPr>
        <w:t xml:space="preserve"> </w:t>
      </w:r>
      <w:r w:rsidR="009C0A93" w:rsidRPr="00977D04">
        <w:t xml:space="preserve">provides that the </w:t>
      </w:r>
      <w:r w:rsidR="008C4D2C" w:rsidRPr="00977D04">
        <w:t>Finance Minister may, by legislative instrument, make rules prescribing matters required or permitted by th</w:t>
      </w:r>
      <w:r w:rsidR="00AB5C04">
        <w:t>e CTP</w:t>
      </w:r>
      <w:r w:rsidR="008C4D2C" w:rsidRPr="00977D04">
        <w:t xml:space="preserve"> Act to be prescribed by the rules, or necessary or convenient to be prescribed for carry</w:t>
      </w:r>
      <w:r w:rsidR="00297EE9">
        <w:t>ing out or giving effect to the CTP Act and the PGPA </w:t>
      </w:r>
      <w:r w:rsidR="008C4D2C" w:rsidRPr="00977D04">
        <w:t>Act.</w:t>
      </w:r>
    </w:p>
    <w:p w:rsidR="004816AF" w:rsidRDefault="004816AF" w:rsidP="004816AF"/>
    <w:p w:rsidR="00C874C4" w:rsidRDefault="003167B7" w:rsidP="006471E4">
      <w:pPr>
        <w:rPr>
          <w:lang w:val="en-AU"/>
        </w:rPr>
      </w:pPr>
      <w:r>
        <w:t xml:space="preserve">The </w:t>
      </w:r>
      <w:r w:rsidR="005B046F">
        <w:t>Amendment</w:t>
      </w:r>
      <w:r>
        <w:t xml:space="preserve"> </w:t>
      </w:r>
      <w:r w:rsidR="005C29D9" w:rsidRPr="001F74A6">
        <w:t>Rule</w:t>
      </w:r>
      <w:r w:rsidR="005C29D9">
        <w:t xml:space="preserve"> </w:t>
      </w:r>
      <w:r w:rsidR="005B046F" w:rsidRPr="005B046F">
        <w:t>is intended to amend the rule instrument</w:t>
      </w:r>
      <w:r w:rsidR="005B046F">
        <w:t>s</w:t>
      </w:r>
      <w:r w:rsidR="005B046F" w:rsidRPr="005B046F">
        <w:t xml:space="preserve"> made</w:t>
      </w:r>
      <w:r w:rsidR="005B046F">
        <w:t xml:space="preserve"> under</w:t>
      </w:r>
      <w:r w:rsidR="005B046F" w:rsidRPr="005B046F">
        <w:t xml:space="preserve"> the PGPA Act and the CTP Act.  These instruments are the </w:t>
      </w:r>
      <w:r w:rsidR="005B046F" w:rsidRPr="005B046F">
        <w:rPr>
          <w:i/>
        </w:rPr>
        <w:t>Public Governance, Performance and Accountability Rule 2014</w:t>
      </w:r>
      <w:r w:rsidR="005B046F">
        <w:t xml:space="preserve"> </w:t>
      </w:r>
      <w:r w:rsidR="005B046F" w:rsidRPr="005B046F">
        <w:t xml:space="preserve">and the </w:t>
      </w:r>
      <w:r w:rsidR="005B046F" w:rsidRPr="005B046F">
        <w:rPr>
          <w:i/>
          <w:lang w:val="en-AU"/>
        </w:rPr>
        <w:t>Public Governance, Performance and Accountability (Consequential and Transitional Provisions) Rule 2014</w:t>
      </w:r>
      <w:r w:rsidR="005B046F" w:rsidRPr="005B046F">
        <w:rPr>
          <w:lang w:val="en-AU"/>
        </w:rPr>
        <w:t>,</w:t>
      </w:r>
      <w:r w:rsidR="005B046F" w:rsidRPr="005B046F">
        <w:t xml:space="preserve"> to support the implementation of the PGPA legislative framework.  </w:t>
      </w:r>
    </w:p>
    <w:p w:rsidR="006471E4" w:rsidRPr="00C874C4" w:rsidRDefault="006471E4" w:rsidP="006471E4">
      <w:pPr>
        <w:rPr>
          <w:lang w:val="en-AU"/>
        </w:rPr>
      </w:pPr>
    </w:p>
    <w:p w:rsidR="00C874C4" w:rsidRDefault="00A609F2" w:rsidP="00A609F2">
      <w:pPr>
        <w:spacing w:after="120"/>
        <w:rPr>
          <w:rFonts w:eastAsia="Times New Roman"/>
          <w:color w:val="000000" w:themeColor="text1"/>
          <w:lang w:val="en-AU" w:bidi="ar-SA"/>
        </w:rPr>
      </w:pPr>
      <w:r w:rsidRPr="00977D04">
        <w:t xml:space="preserve">The </w:t>
      </w:r>
      <w:r w:rsidR="005B046F">
        <w:t>Amendment</w:t>
      </w:r>
      <w:r w:rsidR="003167B7">
        <w:t xml:space="preserve"> Rule</w:t>
      </w:r>
      <w:r w:rsidR="00FF2457">
        <w:t xml:space="preserve"> </w:t>
      </w:r>
      <w:r w:rsidRPr="00977D04">
        <w:t xml:space="preserve">contains provisions </w:t>
      </w:r>
      <w:r w:rsidRPr="00977D04">
        <w:rPr>
          <w:rFonts w:eastAsia="Times New Roman"/>
          <w:color w:val="000000" w:themeColor="text1"/>
          <w:lang w:val="en-AU" w:bidi="ar-SA"/>
        </w:rPr>
        <w:t>that:</w:t>
      </w:r>
    </w:p>
    <w:p w:rsidR="005B046F" w:rsidRPr="005B046F" w:rsidRDefault="005B046F" w:rsidP="005B046F">
      <w:pPr>
        <w:numPr>
          <w:ilvl w:val="0"/>
          <w:numId w:val="15"/>
        </w:numPr>
        <w:rPr>
          <w:bCs/>
          <w:lang w:val="en-AU"/>
        </w:rPr>
      </w:pPr>
      <w:r w:rsidRPr="005B046F">
        <w:rPr>
          <w:lang w:val="en-AU"/>
        </w:rPr>
        <w:t>provide for the Climate Change Authority (CCA) to retain its status as a corporate Commonwealth entity</w:t>
      </w:r>
      <w:r w:rsidRPr="005B046F">
        <w:rPr>
          <w:bCs/>
          <w:lang w:val="en-AU"/>
        </w:rPr>
        <w:t>, but be treated as a non</w:t>
      </w:r>
      <w:r w:rsidRPr="005B046F">
        <w:rPr>
          <w:bCs/>
          <w:lang w:val="en-AU"/>
        </w:rPr>
        <w:noBreakHyphen/>
        <w:t xml:space="preserve">corporate Commonwealth </w:t>
      </w:r>
      <w:r w:rsidR="00003093">
        <w:rPr>
          <w:bCs/>
          <w:lang w:val="en-AU"/>
        </w:rPr>
        <w:t>entity for the purposes of the f</w:t>
      </w:r>
      <w:r w:rsidRPr="005B046F">
        <w:rPr>
          <w:bCs/>
          <w:lang w:val="en-AU"/>
        </w:rPr>
        <w:t>inance law, and make amendments to harmonise CCA’s enabling legislation with the PGPA Act</w:t>
      </w:r>
      <w:r w:rsidRPr="005B046F">
        <w:rPr>
          <w:lang w:val="en-AU"/>
        </w:rPr>
        <w:t>; and</w:t>
      </w:r>
    </w:p>
    <w:p w:rsidR="005B046F" w:rsidRDefault="005B046F" w:rsidP="005B046F">
      <w:pPr>
        <w:numPr>
          <w:ilvl w:val="0"/>
          <w:numId w:val="15"/>
        </w:numPr>
        <w:rPr>
          <w:lang w:val="en-AU"/>
        </w:rPr>
      </w:pPr>
      <w:r w:rsidRPr="005B046F">
        <w:rPr>
          <w:lang w:val="en-AU"/>
        </w:rPr>
        <w:t>remove Medibank Private Limited from the list of government business enterprises.</w:t>
      </w:r>
    </w:p>
    <w:p w:rsidR="005B046F" w:rsidRPr="005B046F" w:rsidRDefault="005B046F" w:rsidP="005B046F">
      <w:pPr>
        <w:ind w:left="720"/>
        <w:rPr>
          <w:lang w:val="en-AU"/>
        </w:rPr>
      </w:pPr>
    </w:p>
    <w:p w:rsidR="009C481F" w:rsidRPr="00A34022" w:rsidRDefault="00474C20" w:rsidP="007E6A30">
      <w:pPr>
        <w:rPr>
          <w:b/>
        </w:rPr>
      </w:pPr>
      <w:r w:rsidRPr="00977D04">
        <w:rPr>
          <w:b/>
        </w:rPr>
        <w:t>Human rights implications</w:t>
      </w:r>
    </w:p>
    <w:p w:rsidR="00167E2E"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nstrument do</w:t>
      </w:r>
      <w:r w:rsidR="005503F7" w:rsidRPr="00977D04">
        <w:t>es</w:t>
      </w:r>
      <w:r w:rsidRPr="00977D04">
        <w:t xml:space="preserve"> not engage any of the applicable rights or freedoms.</w:t>
      </w:r>
    </w:p>
    <w:p w:rsidR="00A609F2" w:rsidRDefault="00A609F2" w:rsidP="00D976E6">
      <w:pPr>
        <w:rPr>
          <w:b/>
        </w:rPr>
      </w:pPr>
    </w:p>
    <w:p w:rsidR="009C481F" w:rsidRPr="00A34022" w:rsidRDefault="00474C20" w:rsidP="00D976E6">
      <w:pPr>
        <w:rPr>
          <w:b/>
        </w:rPr>
      </w:pPr>
      <w:r w:rsidRPr="00977D04">
        <w:rPr>
          <w:b/>
        </w:rPr>
        <w:t>Conclusion</w:t>
      </w:r>
    </w:p>
    <w:p w:rsidR="009C481F"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w:t>
      </w:r>
      <w:r w:rsidR="006A6ED3" w:rsidRPr="00977D04">
        <w:t>t</w:t>
      </w:r>
      <w:r w:rsidR="005503F7" w:rsidRPr="00977D04">
        <w:t xml:space="preserve"> i</w:t>
      </w:r>
      <w:r w:rsidR="006A6ED3" w:rsidRPr="00977D04">
        <w:t>s</w:t>
      </w:r>
      <w:r w:rsidRPr="00977D04">
        <w:t xml:space="preserve"> compatible with human rights as </w:t>
      </w:r>
      <w:r w:rsidR="0092738C" w:rsidRPr="00977D04">
        <w:t xml:space="preserve">it </w:t>
      </w:r>
      <w:r w:rsidR="001C68FE" w:rsidRPr="00977D04">
        <w:t>do</w:t>
      </w:r>
      <w:r w:rsidR="0092738C" w:rsidRPr="00977D04">
        <w:t>es</w:t>
      </w:r>
      <w:r w:rsidR="001C68FE" w:rsidRPr="00977D04">
        <w:t xml:space="preserve"> </w:t>
      </w:r>
      <w:r w:rsidRPr="00977D04">
        <w:t>not</w:t>
      </w:r>
      <w:r w:rsidR="00C874C4">
        <w:t xml:space="preserve"> raise any human rights issues.</w:t>
      </w:r>
    </w:p>
    <w:p w:rsidR="00B26548" w:rsidRPr="00977D04" w:rsidRDefault="00B26548" w:rsidP="00D976E6"/>
    <w:p w:rsidR="00661056" w:rsidRPr="00977D04" w:rsidRDefault="00661056" w:rsidP="00661056">
      <w:pPr>
        <w:pStyle w:val="paranumbering0"/>
        <w:spacing w:before="0" w:beforeAutospacing="0" w:after="0" w:afterAutospacing="0"/>
        <w:jc w:val="center"/>
        <w:rPr>
          <w:b/>
        </w:rPr>
      </w:pPr>
      <w:r w:rsidRPr="00977D04">
        <w:rPr>
          <w:b/>
        </w:rPr>
        <w:t>Senator the Hon Mathias Cormann</w:t>
      </w:r>
    </w:p>
    <w:p w:rsidR="00BE3437" w:rsidRPr="00B26548" w:rsidRDefault="00661056" w:rsidP="00B26548">
      <w:pPr>
        <w:pStyle w:val="paranumbering0"/>
        <w:spacing w:before="0" w:beforeAutospacing="0" w:after="0" w:afterAutospacing="0"/>
        <w:jc w:val="center"/>
        <w:rPr>
          <w:b/>
        </w:rPr>
      </w:pPr>
      <w:r w:rsidRPr="00977D04">
        <w:rPr>
          <w:b/>
        </w:rPr>
        <w:t>Minister for Finance</w:t>
      </w:r>
    </w:p>
    <w:sectPr w:rsidR="00BE3437" w:rsidRPr="00B26548" w:rsidSect="00AE08B4">
      <w:pgSz w:w="11906" w:h="16838"/>
      <w:pgMar w:top="1440" w:right="1440" w:bottom="1440" w:left="1440" w:header="708" w:footer="51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94F" w:rsidRDefault="00FC494F" w:rsidP="00D976E6">
      <w:r>
        <w:separator/>
      </w:r>
    </w:p>
    <w:p w:rsidR="00FC494F" w:rsidRDefault="00FC494F" w:rsidP="00D976E6"/>
  </w:endnote>
  <w:endnote w:type="continuationSeparator" w:id="0">
    <w:p w:rsidR="00FC494F" w:rsidRDefault="00FC494F" w:rsidP="00D976E6">
      <w:r>
        <w:continuationSeparator/>
      </w:r>
    </w:p>
    <w:p w:rsidR="00FC494F" w:rsidRDefault="00FC494F" w:rsidP="00D976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94F" w:rsidRDefault="00FC494F" w:rsidP="00D976E6">
      <w:r>
        <w:separator/>
      </w:r>
    </w:p>
    <w:p w:rsidR="00FC494F" w:rsidRDefault="00FC494F" w:rsidP="00D976E6"/>
  </w:footnote>
  <w:footnote w:type="continuationSeparator" w:id="0">
    <w:p w:rsidR="00FC494F" w:rsidRDefault="00FC494F" w:rsidP="00D976E6">
      <w:r>
        <w:continuationSeparator/>
      </w:r>
    </w:p>
    <w:p w:rsidR="00FC494F" w:rsidRDefault="00FC494F" w:rsidP="00D976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4669"/>
      <w:docPartObj>
        <w:docPartGallery w:val="Page Numbers (Top of Page)"/>
        <w:docPartUnique/>
      </w:docPartObj>
    </w:sdtPr>
    <w:sdtContent>
      <w:p w:rsidR="00FC494F" w:rsidRDefault="005E41D4">
        <w:pPr>
          <w:pStyle w:val="Header"/>
          <w:jc w:val="center"/>
        </w:pPr>
        <w:fldSimple w:instr=" PAGE   \* MERGEFORMAT ">
          <w:r w:rsidR="005B5DE7">
            <w:rPr>
              <w:noProof/>
            </w:rPr>
            <w:t>2</w:t>
          </w:r>
        </w:fldSimple>
      </w:p>
    </w:sdtContent>
  </w:sdt>
  <w:p w:rsidR="00FC494F" w:rsidRDefault="00FC49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691"/>
      <w:docPartObj>
        <w:docPartGallery w:val="Page Numbers (Top of Page)"/>
        <w:docPartUnique/>
      </w:docPartObj>
    </w:sdtPr>
    <w:sdtContent>
      <w:p w:rsidR="00FC494F" w:rsidRDefault="005E41D4">
        <w:pPr>
          <w:pStyle w:val="Header"/>
          <w:jc w:val="center"/>
        </w:pPr>
        <w:fldSimple w:instr=" PAGE   \* MERGEFORMAT ">
          <w:r w:rsidR="005B5DE7">
            <w:rPr>
              <w:noProof/>
            </w:rPr>
            <w:t>2</w:t>
          </w:r>
        </w:fldSimple>
      </w:p>
    </w:sdtContent>
  </w:sdt>
  <w:p w:rsidR="00FC494F" w:rsidRPr="0054075E" w:rsidRDefault="00FC494F" w:rsidP="005407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31"/>
    <w:multiLevelType w:val="hybridMultilevel"/>
    <w:tmpl w:val="15FC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CD3AFC"/>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AE497E"/>
    <w:multiLevelType w:val="hybridMultilevel"/>
    <w:tmpl w:val="4B1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4248B"/>
    <w:multiLevelType w:val="hybridMultilevel"/>
    <w:tmpl w:val="3298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F213D"/>
    <w:multiLevelType w:val="hybridMultilevel"/>
    <w:tmpl w:val="AEE8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1B0648"/>
    <w:multiLevelType w:val="hybridMultilevel"/>
    <w:tmpl w:val="5380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66CDE"/>
    <w:multiLevelType w:val="hybridMultilevel"/>
    <w:tmpl w:val="C21C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11697D"/>
    <w:multiLevelType w:val="hybridMultilevel"/>
    <w:tmpl w:val="376A4044"/>
    <w:lvl w:ilvl="0" w:tplc="ADF8B48A">
      <w:start w:val="1"/>
      <w:numFmt w:val="bullet"/>
      <w:lvlText w:val=""/>
      <w:lvlJc w:val="left"/>
      <w:pPr>
        <w:ind w:left="720" w:hanging="360"/>
      </w:pPr>
      <w:rPr>
        <w:rFonts w:ascii="Symbol" w:hAnsi="Symbol" w:hint="default"/>
      </w:rPr>
    </w:lvl>
    <w:lvl w:ilvl="1" w:tplc="0C09000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22F546B2"/>
    <w:multiLevelType w:val="hybridMultilevel"/>
    <w:tmpl w:val="9D9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B2655"/>
    <w:multiLevelType w:val="hybridMultilevel"/>
    <w:tmpl w:val="6E2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1823EE"/>
    <w:multiLevelType w:val="hybridMultilevel"/>
    <w:tmpl w:val="55A406C2"/>
    <w:lvl w:ilvl="0" w:tplc="F176C9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C93026"/>
    <w:multiLevelType w:val="hybridMultilevel"/>
    <w:tmpl w:val="7BC83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4E7879"/>
    <w:multiLevelType w:val="hybridMultilevel"/>
    <w:tmpl w:val="0CE2A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0D2622"/>
    <w:multiLevelType w:val="hybridMultilevel"/>
    <w:tmpl w:val="1C6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1B3D1C"/>
    <w:multiLevelType w:val="hybridMultilevel"/>
    <w:tmpl w:val="2896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8F1422"/>
    <w:multiLevelType w:val="hybridMultilevel"/>
    <w:tmpl w:val="057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1F6947"/>
    <w:multiLevelType w:val="hybridMultilevel"/>
    <w:tmpl w:val="2E1AFA2E"/>
    <w:lvl w:ilvl="0" w:tplc="0C090001">
      <w:start w:val="1"/>
      <w:numFmt w:val="bullet"/>
      <w:lvlText w:val=""/>
      <w:lvlJc w:val="left"/>
      <w:pPr>
        <w:ind w:left="2718" w:hanging="360"/>
      </w:pPr>
      <w:rPr>
        <w:rFonts w:ascii="Symbol" w:hAnsi="Symbol" w:hint="default"/>
      </w:rPr>
    </w:lvl>
    <w:lvl w:ilvl="1" w:tplc="0C090003">
      <w:start w:val="1"/>
      <w:numFmt w:val="bullet"/>
      <w:lvlText w:val="o"/>
      <w:lvlJc w:val="left"/>
      <w:pPr>
        <w:ind w:left="3438" w:hanging="360"/>
      </w:pPr>
      <w:rPr>
        <w:rFonts w:ascii="Courier New" w:hAnsi="Courier New" w:cs="Courier New" w:hint="default"/>
      </w:rPr>
    </w:lvl>
    <w:lvl w:ilvl="2" w:tplc="0C090005" w:tentative="1">
      <w:start w:val="1"/>
      <w:numFmt w:val="bullet"/>
      <w:lvlText w:val=""/>
      <w:lvlJc w:val="left"/>
      <w:pPr>
        <w:ind w:left="4158" w:hanging="360"/>
      </w:pPr>
      <w:rPr>
        <w:rFonts w:ascii="Wingdings" w:hAnsi="Wingdings" w:hint="default"/>
      </w:rPr>
    </w:lvl>
    <w:lvl w:ilvl="3" w:tplc="0C090001" w:tentative="1">
      <w:start w:val="1"/>
      <w:numFmt w:val="bullet"/>
      <w:lvlText w:val=""/>
      <w:lvlJc w:val="left"/>
      <w:pPr>
        <w:ind w:left="4878" w:hanging="360"/>
      </w:pPr>
      <w:rPr>
        <w:rFonts w:ascii="Symbol" w:hAnsi="Symbol" w:hint="default"/>
      </w:rPr>
    </w:lvl>
    <w:lvl w:ilvl="4" w:tplc="0C090003" w:tentative="1">
      <w:start w:val="1"/>
      <w:numFmt w:val="bullet"/>
      <w:lvlText w:val="o"/>
      <w:lvlJc w:val="left"/>
      <w:pPr>
        <w:ind w:left="5598" w:hanging="360"/>
      </w:pPr>
      <w:rPr>
        <w:rFonts w:ascii="Courier New" w:hAnsi="Courier New" w:cs="Courier New" w:hint="default"/>
      </w:rPr>
    </w:lvl>
    <w:lvl w:ilvl="5" w:tplc="0C090005" w:tentative="1">
      <w:start w:val="1"/>
      <w:numFmt w:val="bullet"/>
      <w:lvlText w:val=""/>
      <w:lvlJc w:val="left"/>
      <w:pPr>
        <w:ind w:left="6318" w:hanging="360"/>
      </w:pPr>
      <w:rPr>
        <w:rFonts w:ascii="Wingdings" w:hAnsi="Wingdings" w:hint="default"/>
      </w:rPr>
    </w:lvl>
    <w:lvl w:ilvl="6" w:tplc="0C090001" w:tentative="1">
      <w:start w:val="1"/>
      <w:numFmt w:val="bullet"/>
      <w:lvlText w:val=""/>
      <w:lvlJc w:val="left"/>
      <w:pPr>
        <w:ind w:left="7038" w:hanging="360"/>
      </w:pPr>
      <w:rPr>
        <w:rFonts w:ascii="Symbol" w:hAnsi="Symbol" w:hint="default"/>
      </w:rPr>
    </w:lvl>
    <w:lvl w:ilvl="7" w:tplc="0C090003" w:tentative="1">
      <w:start w:val="1"/>
      <w:numFmt w:val="bullet"/>
      <w:lvlText w:val="o"/>
      <w:lvlJc w:val="left"/>
      <w:pPr>
        <w:ind w:left="7758" w:hanging="360"/>
      </w:pPr>
      <w:rPr>
        <w:rFonts w:ascii="Courier New" w:hAnsi="Courier New" w:cs="Courier New" w:hint="default"/>
      </w:rPr>
    </w:lvl>
    <w:lvl w:ilvl="8" w:tplc="0C090005" w:tentative="1">
      <w:start w:val="1"/>
      <w:numFmt w:val="bullet"/>
      <w:lvlText w:val=""/>
      <w:lvlJc w:val="left"/>
      <w:pPr>
        <w:ind w:left="8478" w:hanging="360"/>
      </w:pPr>
      <w:rPr>
        <w:rFonts w:ascii="Wingdings" w:hAnsi="Wingdings" w:hint="default"/>
      </w:rPr>
    </w:lvl>
  </w:abstractNum>
  <w:abstractNum w:abstractNumId="17">
    <w:nsid w:val="428F39F1"/>
    <w:multiLevelType w:val="hybridMultilevel"/>
    <w:tmpl w:val="0084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6A1B10"/>
    <w:multiLevelType w:val="hybridMultilevel"/>
    <w:tmpl w:val="42088F62"/>
    <w:lvl w:ilvl="0" w:tplc="0C09000F">
      <w:start w:val="1"/>
      <w:numFmt w:val="decimal"/>
      <w:lvlText w:val="%1."/>
      <w:lvlJc w:val="left"/>
      <w:pPr>
        <w:ind w:left="360" w:hanging="360"/>
      </w:pPr>
    </w:lvl>
    <w:lvl w:ilvl="1" w:tplc="07F0C41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CF04FB0"/>
    <w:multiLevelType w:val="hybridMultilevel"/>
    <w:tmpl w:val="878C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4E3A18"/>
    <w:multiLevelType w:val="hybridMultilevel"/>
    <w:tmpl w:val="963CF9CE"/>
    <w:lvl w:ilvl="0" w:tplc="AFDC0F36">
      <w:start w:val="1"/>
      <w:numFmt w:val="bullet"/>
      <w:pStyle w:val="Normal1"/>
      <w:lvlText w:val=""/>
      <w:lvlJc w:val="left"/>
      <w:pPr>
        <w:ind w:left="720" w:hanging="360"/>
      </w:pPr>
      <w:rPr>
        <w:rFonts w:ascii="Symbol" w:hAnsi="Symbol" w:hint="default"/>
        <w:color w:val="auto"/>
      </w:rPr>
    </w:lvl>
    <w:lvl w:ilvl="1" w:tplc="FB00C5A4">
      <w:start w:val="1"/>
      <w:numFmt w:val="bullet"/>
      <w:pStyle w:val="Style5"/>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2E2032"/>
    <w:multiLevelType w:val="hybridMultilevel"/>
    <w:tmpl w:val="1B2E2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64B5657"/>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D112858"/>
    <w:multiLevelType w:val="hybridMultilevel"/>
    <w:tmpl w:val="F38256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5DBA7EFB"/>
    <w:multiLevelType w:val="hybridMultilevel"/>
    <w:tmpl w:val="5B8A3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5E2871E8"/>
    <w:multiLevelType w:val="hybridMultilevel"/>
    <w:tmpl w:val="5958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E32F79"/>
    <w:multiLevelType w:val="hybridMultilevel"/>
    <w:tmpl w:val="E2B02A8A"/>
    <w:lvl w:ilvl="0" w:tplc="5DBA05AA">
      <w:start w:val="1"/>
      <w:numFmt w:val="decimal"/>
      <w:lvlText w:val="%1."/>
      <w:lvlJc w:val="left"/>
      <w:pPr>
        <w:ind w:left="1854" w:hanging="360"/>
      </w:pPr>
      <w:rPr>
        <w:rFonts w:hint="default"/>
        <w:b w:val="0"/>
        <w:i w:val="0"/>
      </w:rPr>
    </w:lvl>
    <w:lvl w:ilvl="1" w:tplc="0C090001">
      <w:start w:val="1"/>
      <w:numFmt w:val="decimal"/>
      <w:lvlText w:val="%2."/>
      <w:lvlJc w:val="left"/>
      <w:pPr>
        <w:tabs>
          <w:tab w:val="num" w:pos="2574"/>
        </w:tabs>
        <w:ind w:left="2574" w:hanging="360"/>
      </w:pPr>
    </w:lvl>
    <w:lvl w:ilvl="2" w:tplc="0C09001B">
      <w:start w:val="1"/>
      <w:numFmt w:val="decimal"/>
      <w:lvlText w:val="%3."/>
      <w:lvlJc w:val="left"/>
      <w:pPr>
        <w:tabs>
          <w:tab w:val="num" w:pos="3294"/>
        </w:tabs>
        <w:ind w:left="3294" w:hanging="360"/>
      </w:pPr>
    </w:lvl>
    <w:lvl w:ilvl="3" w:tplc="0C09000F">
      <w:start w:val="1"/>
      <w:numFmt w:val="decimal"/>
      <w:lvlText w:val="%4."/>
      <w:lvlJc w:val="left"/>
      <w:pPr>
        <w:tabs>
          <w:tab w:val="num" w:pos="4014"/>
        </w:tabs>
        <w:ind w:left="4014" w:hanging="360"/>
      </w:pPr>
    </w:lvl>
    <w:lvl w:ilvl="4" w:tplc="0C090019">
      <w:start w:val="1"/>
      <w:numFmt w:val="decimal"/>
      <w:lvlText w:val="%5."/>
      <w:lvlJc w:val="left"/>
      <w:pPr>
        <w:tabs>
          <w:tab w:val="num" w:pos="4734"/>
        </w:tabs>
        <w:ind w:left="4734" w:hanging="360"/>
      </w:pPr>
    </w:lvl>
    <w:lvl w:ilvl="5" w:tplc="0C09001B">
      <w:start w:val="1"/>
      <w:numFmt w:val="decimal"/>
      <w:lvlText w:val="%6."/>
      <w:lvlJc w:val="left"/>
      <w:pPr>
        <w:tabs>
          <w:tab w:val="num" w:pos="5454"/>
        </w:tabs>
        <w:ind w:left="5454" w:hanging="360"/>
      </w:pPr>
    </w:lvl>
    <w:lvl w:ilvl="6" w:tplc="0C09000F">
      <w:start w:val="1"/>
      <w:numFmt w:val="decimal"/>
      <w:lvlText w:val="%7."/>
      <w:lvlJc w:val="left"/>
      <w:pPr>
        <w:tabs>
          <w:tab w:val="num" w:pos="6174"/>
        </w:tabs>
        <w:ind w:left="6174" w:hanging="360"/>
      </w:pPr>
    </w:lvl>
    <w:lvl w:ilvl="7" w:tplc="0C090019">
      <w:start w:val="1"/>
      <w:numFmt w:val="decimal"/>
      <w:lvlText w:val="%8."/>
      <w:lvlJc w:val="left"/>
      <w:pPr>
        <w:tabs>
          <w:tab w:val="num" w:pos="6894"/>
        </w:tabs>
        <w:ind w:left="6894" w:hanging="360"/>
      </w:pPr>
    </w:lvl>
    <w:lvl w:ilvl="8" w:tplc="0C09001B">
      <w:start w:val="1"/>
      <w:numFmt w:val="decimal"/>
      <w:lvlText w:val="%9."/>
      <w:lvlJc w:val="left"/>
      <w:pPr>
        <w:tabs>
          <w:tab w:val="num" w:pos="7614"/>
        </w:tabs>
        <w:ind w:left="7614" w:hanging="360"/>
      </w:pPr>
    </w:lvl>
  </w:abstractNum>
  <w:abstractNum w:abstractNumId="27">
    <w:nsid w:val="6A7E2E8A"/>
    <w:multiLevelType w:val="hybridMultilevel"/>
    <w:tmpl w:val="4DCCDC9C"/>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AEF0FE8"/>
    <w:multiLevelType w:val="hybridMultilevel"/>
    <w:tmpl w:val="B47C7A96"/>
    <w:lvl w:ilvl="0" w:tplc="0C090001">
      <w:start w:val="1"/>
      <w:numFmt w:val="decimal"/>
      <w:lvlText w:val="%1."/>
      <w:lvlJc w:val="left"/>
      <w:pPr>
        <w:ind w:left="786" w:hanging="360"/>
      </w:pPr>
    </w:lvl>
    <w:lvl w:ilvl="1" w:tplc="0C090003">
      <w:start w:val="1"/>
      <w:numFmt w:val="bullet"/>
      <w:lvlText w:val=""/>
      <w:lvlJc w:val="left"/>
      <w:pPr>
        <w:ind w:left="1440" w:hanging="360"/>
      </w:pPr>
      <w:rPr>
        <w:rFonts w:ascii="Symbol" w:hAnsi="Symbol" w:hint="default"/>
      </w:rPr>
    </w:lvl>
    <w:lvl w:ilvl="2" w:tplc="0C090005">
      <w:numFmt w:val="bullet"/>
      <w:lvlText w:val="•"/>
      <w:lvlJc w:val="left"/>
      <w:pPr>
        <w:ind w:left="2700" w:hanging="720"/>
      </w:pPr>
      <w:rPr>
        <w:rFonts w:ascii="Calibri" w:eastAsiaTheme="minorHAnsi" w:hAnsi="Calibri" w:cstheme="minorBidi" w:hint="default"/>
      </w:r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nsid w:val="7070388C"/>
    <w:multiLevelType w:val="hybridMultilevel"/>
    <w:tmpl w:val="06E24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73704D8D"/>
    <w:multiLevelType w:val="hybridMultilevel"/>
    <w:tmpl w:val="C8E4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4C7752"/>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BC20DEC"/>
    <w:multiLevelType w:val="hybridMultilevel"/>
    <w:tmpl w:val="7CA2BFA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nsid w:val="7D161472"/>
    <w:multiLevelType w:val="hybridMultilevel"/>
    <w:tmpl w:val="41A02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1"/>
  </w:num>
  <w:num w:numId="4">
    <w:abstractNumId w:val="12"/>
  </w:num>
  <w:num w:numId="5">
    <w:abstractNumId w:val="3"/>
  </w:num>
  <w:num w:numId="6">
    <w:abstractNumId w:val="33"/>
  </w:num>
  <w:num w:numId="7">
    <w:abstractNumId w:val="0"/>
  </w:num>
  <w:num w:numId="8">
    <w:abstractNumId w:val="13"/>
  </w:num>
  <w:num w:numId="9">
    <w:abstractNumId w:val="14"/>
  </w:num>
  <w:num w:numId="10">
    <w:abstractNumId w:val="8"/>
  </w:num>
  <w:num w:numId="11">
    <w:abstractNumId w:val="4"/>
  </w:num>
  <w:num w:numId="12">
    <w:abstractNumId w:val="6"/>
  </w:num>
  <w:num w:numId="13">
    <w:abstractNumId w:val="17"/>
  </w:num>
  <w:num w:numId="14">
    <w:abstractNumId w:val="9"/>
  </w:num>
  <w:num w:numId="15">
    <w:abstractNumId w:val="19"/>
  </w:num>
  <w:num w:numId="16">
    <w:abstractNumId w:val="25"/>
  </w:num>
  <w:num w:numId="17">
    <w:abstractNumId w:val="5"/>
  </w:num>
  <w:num w:numId="18">
    <w:abstractNumId w:val="31"/>
  </w:num>
  <w:num w:numId="19">
    <w:abstractNumId w:val="22"/>
  </w:num>
  <w:num w:numId="20">
    <w:abstractNumId w:val="28"/>
  </w:num>
  <w:num w:numId="21">
    <w:abstractNumId w:val="16"/>
  </w:num>
  <w:num w:numId="22">
    <w:abstractNumId w:val="10"/>
  </w:num>
  <w:num w:numId="23">
    <w:abstractNumId w:val="1"/>
  </w:num>
  <w:num w:numId="24">
    <w:abstractNumId w:val="2"/>
  </w:num>
  <w:num w:numId="25">
    <w:abstractNumId w:val="29"/>
  </w:num>
  <w:num w:numId="26">
    <w:abstractNumId w:val="24"/>
  </w:num>
  <w:num w:numId="27">
    <w:abstractNumId w:val="30"/>
  </w:num>
  <w:num w:numId="28">
    <w:abstractNumId w:val="15"/>
  </w:num>
  <w:num w:numId="29">
    <w:abstractNumId w:val="26"/>
  </w:num>
  <w:num w:numId="30">
    <w:abstractNumId w:val="7"/>
  </w:num>
  <w:num w:numId="31">
    <w:abstractNumId w:val="27"/>
  </w:num>
  <w:num w:numId="32">
    <w:abstractNumId w:val="23"/>
  </w:num>
  <w:num w:numId="33">
    <w:abstractNumId w:val="20"/>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
  <w:rsids>
    <w:rsidRoot w:val="00452D0D"/>
    <w:rsid w:val="00000A08"/>
    <w:rsid w:val="00003093"/>
    <w:rsid w:val="000034CC"/>
    <w:rsid w:val="000043E7"/>
    <w:rsid w:val="00005815"/>
    <w:rsid w:val="0000625E"/>
    <w:rsid w:val="00007FE2"/>
    <w:rsid w:val="0001085E"/>
    <w:rsid w:val="0001195F"/>
    <w:rsid w:val="00011FEC"/>
    <w:rsid w:val="00012890"/>
    <w:rsid w:val="000128B4"/>
    <w:rsid w:val="0001494F"/>
    <w:rsid w:val="00016A7B"/>
    <w:rsid w:val="00016E00"/>
    <w:rsid w:val="00021B4D"/>
    <w:rsid w:val="00021D8B"/>
    <w:rsid w:val="00021EF2"/>
    <w:rsid w:val="00022030"/>
    <w:rsid w:val="00022317"/>
    <w:rsid w:val="00023434"/>
    <w:rsid w:val="000261AD"/>
    <w:rsid w:val="00026944"/>
    <w:rsid w:val="00026BC5"/>
    <w:rsid w:val="0003418C"/>
    <w:rsid w:val="00034E7B"/>
    <w:rsid w:val="00035FE8"/>
    <w:rsid w:val="00037239"/>
    <w:rsid w:val="000373C0"/>
    <w:rsid w:val="00037A61"/>
    <w:rsid w:val="00040627"/>
    <w:rsid w:val="0004247F"/>
    <w:rsid w:val="000433F3"/>
    <w:rsid w:val="00044073"/>
    <w:rsid w:val="000465AC"/>
    <w:rsid w:val="00050EC4"/>
    <w:rsid w:val="000512E1"/>
    <w:rsid w:val="00051C48"/>
    <w:rsid w:val="00053353"/>
    <w:rsid w:val="0005335E"/>
    <w:rsid w:val="00053B13"/>
    <w:rsid w:val="0005407E"/>
    <w:rsid w:val="000554B7"/>
    <w:rsid w:val="00057D2F"/>
    <w:rsid w:val="0006098E"/>
    <w:rsid w:val="00061B95"/>
    <w:rsid w:val="00063152"/>
    <w:rsid w:val="00064FA4"/>
    <w:rsid w:val="00066013"/>
    <w:rsid w:val="000678F3"/>
    <w:rsid w:val="000717A8"/>
    <w:rsid w:val="000718DC"/>
    <w:rsid w:val="00071FEE"/>
    <w:rsid w:val="00076A90"/>
    <w:rsid w:val="00076B6F"/>
    <w:rsid w:val="0007737C"/>
    <w:rsid w:val="00077550"/>
    <w:rsid w:val="000801D8"/>
    <w:rsid w:val="00080476"/>
    <w:rsid w:val="00080A2B"/>
    <w:rsid w:val="0008188E"/>
    <w:rsid w:val="00085E21"/>
    <w:rsid w:val="00090136"/>
    <w:rsid w:val="00090756"/>
    <w:rsid w:val="00091186"/>
    <w:rsid w:val="00093909"/>
    <w:rsid w:val="000969F7"/>
    <w:rsid w:val="00097075"/>
    <w:rsid w:val="000A5518"/>
    <w:rsid w:val="000A5D25"/>
    <w:rsid w:val="000A6F15"/>
    <w:rsid w:val="000B09EC"/>
    <w:rsid w:val="000B280B"/>
    <w:rsid w:val="000B332F"/>
    <w:rsid w:val="000B64FC"/>
    <w:rsid w:val="000B693D"/>
    <w:rsid w:val="000B7217"/>
    <w:rsid w:val="000C009F"/>
    <w:rsid w:val="000C0E45"/>
    <w:rsid w:val="000C1985"/>
    <w:rsid w:val="000C2407"/>
    <w:rsid w:val="000D076A"/>
    <w:rsid w:val="000D0AB1"/>
    <w:rsid w:val="000D15D9"/>
    <w:rsid w:val="000D2ED1"/>
    <w:rsid w:val="000D455D"/>
    <w:rsid w:val="000D4F6A"/>
    <w:rsid w:val="000D5C03"/>
    <w:rsid w:val="000D67F0"/>
    <w:rsid w:val="000E0B88"/>
    <w:rsid w:val="000E3A7C"/>
    <w:rsid w:val="000E540D"/>
    <w:rsid w:val="000E54FC"/>
    <w:rsid w:val="000F1205"/>
    <w:rsid w:val="000F1F20"/>
    <w:rsid w:val="000F687D"/>
    <w:rsid w:val="000F6A2C"/>
    <w:rsid w:val="000F7101"/>
    <w:rsid w:val="001019A4"/>
    <w:rsid w:val="00103D96"/>
    <w:rsid w:val="00104D0C"/>
    <w:rsid w:val="00106AFA"/>
    <w:rsid w:val="0011290B"/>
    <w:rsid w:val="00114A68"/>
    <w:rsid w:val="00117851"/>
    <w:rsid w:val="001220A9"/>
    <w:rsid w:val="00125A1D"/>
    <w:rsid w:val="00132DCA"/>
    <w:rsid w:val="00132F9A"/>
    <w:rsid w:val="00134A1D"/>
    <w:rsid w:val="0013538B"/>
    <w:rsid w:val="00135B9F"/>
    <w:rsid w:val="00140166"/>
    <w:rsid w:val="00144068"/>
    <w:rsid w:val="00144EA6"/>
    <w:rsid w:val="00146231"/>
    <w:rsid w:val="00146277"/>
    <w:rsid w:val="0014629D"/>
    <w:rsid w:val="00157EBE"/>
    <w:rsid w:val="001616B6"/>
    <w:rsid w:val="0016392F"/>
    <w:rsid w:val="00163ADB"/>
    <w:rsid w:val="0016479C"/>
    <w:rsid w:val="001647FC"/>
    <w:rsid w:val="00165F95"/>
    <w:rsid w:val="001677F9"/>
    <w:rsid w:val="00167E2E"/>
    <w:rsid w:val="00170890"/>
    <w:rsid w:val="001709E7"/>
    <w:rsid w:val="00176D5D"/>
    <w:rsid w:val="00177D59"/>
    <w:rsid w:val="00180197"/>
    <w:rsid w:val="0018067C"/>
    <w:rsid w:val="0018527C"/>
    <w:rsid w:val="00185E46"/>
    <w:rsid w:val="001861C4"/>
    <w:rsid w:val="00186FE6"/>
    <w:rsid w:val="00191999"/>
    <w:rsid w:val="00191A27"/>
    <w:rsid w:val="00195261"/>
    <w:rsid w:val="00196919"/>
    <w:rsid w:val="0019709B"/>
    <w:rsid w:val="00197283"/>
    <w:rsid w:val="00197F02"/>
    <w:rsid w:val="001A019D"/>
    <w:rsid w:val="001A06F8"/>
    <w:rsid w:val="001A09DE"/>
    <w:rsid w:val="001A1EBC"/>
    <w:rsid w:val="001A228A"/>
    <w:rsid w:val="001A60F4"/>
    <w:rsid w:val="001A745A"/>
    <w:rsid w:val="001B18DD"/>
    <w:rsid w:val="001B24D6"/>
    <w:rsid w:val="001B2F5D"/>
    <w:rsid w:val="001B7ECD"/>
    <w:rsid w:val="001C0A53"/>
    <w:rsid w:val="001C0D33"/>
    <w:rsid w:val="001C1990"/>
    <w:rsid w:val="001C2785"/>
    <w:rsid w:val="001C2D98"/>
    <w:rsid w:val="001C3154"/>
    <w:rsid w:val="001C4F31"/>
    <w:rsid w:val="001C57A1"/>
    <w:rsid w:val="001C5E34"/>
    <w:rsid w:val="001C612A"/>
    <w:rsid w:val="001C68FE"/>
    <w:rsid w:val="001D182C"/>
    <w:rsid w:val="001D1914"/>
    <w:rsid w:val="001D551C"/>
    <w:rsid w:val="001D638D"/>
    <w:rsid w:val="001D6578"/>
    <w:rsid w:val="001D73B8"/>
    <w:rsid w:val="001D7E5A"/>
    <w:rsid w:val="001E087F"/>
    <w:rsid w:val="001E0982"/>
    <w:rsid w:val="001E1224"/>
    <w:rsid w:val="001E34BC"/>
    <w:rsid w:val="001E40D6"/>
    <w:rsid w:val="001E4518"/>
    <w:rsid w:val="001E4CEA"/>
    <w:rsid w:val="001E5E26"/>
    <w:rsid w:val="001E75C1"/>
    <w:rsid w:val="001F07AD"/>
    <w:rsid w:val="001F2529"/>
    <w:rsid w:val="001F400C"/>
    <w:rsid w:val="001F5359"/>
    <w:rsid w:val="001F590C"/>
    <w:rsid w:val="001F687E"/>
    <w:rsid w:val="001F72A9"/>
    <w:rsid w:val="001F74A6"/>
    <w:rsid w:val="002032FC"/>
    <w:rsid w:val="00203F10"/>
    <w:rsid w:val="0020484A"/>
    <w:rsid w:val="00206192"/>
    <w:rsid w:val="00206508"/>
    <w:rsid w:val="00206C2D"/>
    <w:rsid w:val="00207B5F"/>
    <w:rsid w:val="00207C29"/>
    <w:rsid w:val="00210EFB"/>
    <w:rsid w:val="0021459A"/>
    <w:rsid w:val="00216919"/>
    <w:rsid w:val="0021740E"/>
    <w:rsid w:val="00220F02"/>
    <w:rsid w:val="002226FB"/>
    <w:rsid w:val="00222981"/>
    <w:rsid w:val="00222F07"/>
    <w:rsid w:val="00223932"/>
    <w:rsid w:val="0022412F"/>
    <w:rsid w:val="002246AE"/>
    <w:rsid w:val="002265B9"/>
    <w:rsid w:val="002272EA"/>
    <w:rsid w:val="00233481"/>
    <w:rsid w:val="00236791"/>
    <w:rsid w:val="00243BAA"/>
    <w:rsid w:val="00246632"/>
    <w:rsid w:val="00251841"/>
    <w:rsid w:val="0025196F"/>
    <w:rsid w:val="002519C6"/>
    <w:rsid w:val="00257472"/>
    <w:rsid w:val="00260183"/>
    <w:rsid w:val="002609DC"/>
    <w:rsid w:val="00261293"/>
    <w:rsid w:val="002616FA"/>
    <w:rsid w:val="00261B84"/>
    <w:rsid w:val="00262235"/>
    <w:rsid w:val="00266A8E"/>
    <w:rsid w:val="00266B6D"/>
    <w:rsid w:val="00267D8A"/>
    <w:rsid w:val="002711F5"/>
    <w:rsid w:val="00272007"/>
    <w:rsid w:val="002728D1"/>
    <w:rsid w:val="00274B9C"/>
    <w:rsid w:val="00274CAE"/>
    <w:rsid w:val="002772BE"/>
    <w:rsid w:val="0028025B"/>
    <w:rsid w:val="00281515"/>
    <w:rsid w:val="002818AD"/>
    <w:rsid w:val="002839A5"/>
    <w:rsid w:val="002843D1"/>
    <w:rsid w:val="002853A5"/>
    <w:rsid w:val="0028727F"/>
    <w:rsid w:val="00287772"/>
    <w:rsid w:val="00287F5F"/>
    <w:rsid w:val="002908A1"/>
    <w:rsid w:val="002918CE"/>
    <w:rsid w:val="002934AF"/>
    <w:rsid w:val="0029535F"/>
    <w:rsid w:val="00296D46"/>
    <w:rsid w:val="00297EE9"/>
    <w:rsid w:val="00297FF2"/>
    <w:rsid w:val="002A1A8B"/>
    <w:rsid w:val="002A24AD"/>
    <w:rsid w:val="002A282E"/>
    <w:rsid w:val="002A49B0"/>
    <w:rsid w:val="002A6402"/>
    <w:rsid w:val="002A65CB"/>
    <w:rsid w:val="002A666E"/>
    <w:rsid w:val="002B1949"/>
    <w:rsid w:val="002C0A4C"/>
    <w:rsid w:val="002C1217"/>
    <w:rsid w:val="002C20D1"/>
    <w:rsid w:val="002C21C1"/>
    <w:rsid w:val="002C6606"/>
    <w:rsid w:val="002D004B"/>
    <w:rsid w:val="002D36F0"/>
    <w:rsid w:val="002D51B2"/>
    <w:rsid w:val="002D6258"/>
    <w:rsid w:val="002E01CE"/>
    <w:rsid w:val="002E0D75"/>
    <w:rsid w:val="002E0F3C"/>
    <w:rsid w:val="002E136B"/>
    <w:rsid w:val="002E2701"/>
    <w:rsid w:val="002E307D"/>
    <w:rsid w:val="002F214A"/>
    <w:rsid w:val="002F2EC8"/>
    <w:rsid w:val="002F77DE"/>
    <w:rsid w:val="00301C10"/>
    <w:rsid w:val="00306D19"/>
    <w:rsid w:val="00310587"/>
    <w:rsid w:val="0031099E"/>
    <w:rsid w:val="00312581"/>
    <w:rsid w:val="0031473F"/>
    <w:rsid w:val="00315546"/>
    <w:rsid w:val="00315A11"/>
    <w:rsid w:val="00315E9C"/>
    <w:rsid w:val="003167B7"/>
    <w:rsid w:val="00322CAC"/>
    <w:rsid w:val="003233A0"/>
    <w:rsid w:val="0032354D"/>
    <w:rsid w:val="00323A1A"/>
    <w:rsid w:val="00324047"/>
    <w:rsid w:val="00326483"/>
    <w:rsid w:val="0032663B"/>
    <w:rsid w:val="003267C3"/>
    <w:rsid w:val="003313DE"/>
    <w:rsid w:val="00332640"/>
    <w:rsid w:val="003327B3"/>
    <w:rsid w:val="00333469"/>
    <w:rsid w:val="0033754A"/>
    <w:rsid w:val="00341D38"/>
    <w:rsid w:val="00342EC7"/>
    <w:rsid w:val="003437FF"/>
    <w:rsid w:val="003458B4"/>
    <w:rsid w:val="00347CC6"/>
    <w:rsid w:val="0035248E"/>
    <w:rsid w:val="003533EA"/>
    <w:rsid w:val="0035416D"/>
    <w:rsid w:val="003549E2"/>
    <w:rsid w:val="003561C5"/>
    <w:rsid w:val="00356CCE"/>
    <w:rsid w:val="00357216"/>
    <w:rsid w:val="00362A63"/>
    <w:rsid w:val="0036443A"/>
    <w:rsid w:val="00365F54"/>
    <w:rsid w:val="003704E8"/>
    <w:rsid w:val="00370F50"/>
    <w:rsid w:val="00376F24"/>
    <w:rsid w:val="003804F8"/>
    <w:rsid w:val="0038080A"/>
    <w:rsid w:val="00380B15"/>
    <w:rsid w:val="00382FEA"/>
    <w:rsid w:val="0038485E"/>
    <w:rsid w:val="0038530C"/>
    <w:rsid w:val="003954A0"/>
    <w:rsid w:val="00395C9F"/>
    <w:rsid w:val="00395EB4"/>
    <w:rsid w:val="003A2566"/>
    <w:rsid w:val="003A5D56"/>
    <w:rsid w:val="003A5DB3"/>
    <w:rsid w:val="003A657C"/>
    <w:rsid w:val="003A6FF0"/>
    <w:rsid w:val="003B0C6F"/>
    <w:rsid w:val="003B1654"/>
    <w:rsid w:val="003B4161"/>
    <w:rsid w:val="003B611F"/>
    <w:rsid w:val="003B72D5"/>
    <w:rsid w:val="003B738F"/>
    <w:rsid w:val="003C0972"/>
    <w:rsid w:val="003C0A8B"/>
    <w:rsid w:val="003C226F"/>
    <w:rsid w:val="003C2CC2"/>
    <w:rsid w:val="003C3575"/>
    <w:rsid w:val="003C49CD"/>
    <w:rsid w:val="003C4BF6"/>
    <w:rsid w:val="003C6CB8"/>
    <w:rsid w:val="003C6DB3"/>
    <w:rsid w:val="003D1C4D"/>
    <w:rsid w:val="003D21CC"/>
    <w:rsid w:val="003E052E"/>
    <w:rsid w:val="003E179E"/>
    <w:rsid w:val="003E2CE1"/>
    <w:rsid w:val="003E3538"/>
    <w:rsid w:val="003E39C3"/>
    <w:rsid w:val="003E3C8A"/>
    <w:rsid w:val="003E421D"/>
    <w:rsid w:val="003F5656"/>
    <w:rsid w:val="004062D7"/>
    <w:rsid w:val="00406CDE"/>
    <w:rsid w:val="00406EB7"/>
    <w:rsid w:val="004111A2"/>
    <w:rsid w:val="00411D73"/>
    <w:rsid w:val="00413BD9"/>
    <w:rsid w:val="00413ED9"/>
    <w:rsid w:val="004146F9"/>
    <w:rsid w:val="00415B3F"/>
    <w:rsid w:val="004165B9"/>
    <w:rsid w:val="00417420"/>
    <w:rsid w:val="0042298C"/>
    <w:rsid w:val="0042359C"/>
    <w:rsid w:val="0042666E"/>
    <w:rsid w:val="004276C7"/>
    <w:rsid w:val="00427E4B"/>
    <w:rsid w:val="004310CB"/>
    <w:rsid w:val="00431E77"/>
    <w:rsid w:val="00431F5D"/>
    <w:rsid w:val="00431FB8"/>
    <w:rsid w:val="004342C0"/>
    <w:rsid w:val="00434E5C"/>
    <w:rsid w:val="004367A4"/>
    <w:rsid w:val="004378A0"/>
    <w:rsid w:val="0044131F"/>
    <w:rsid w:val="00443844"/>
    <w:rsid w:val="00446662"/>
    <w:rsid w:val="00446A8A"/>
    <w:rsid w:val="00447E0E"/>
    <w:rsid w:val="00450C7D"/>
    <w:rsid w:val="00451CCE"/>
    <w:rsid w:val="00452242"/>
    <w:rsid w:val="00452D0D"/>
    <w:rsid w:val="00455DF8"/>
    <w:rsid w:val="00457F89"/>
    <w:rsid w:val="00461A2C"/>
    <w:rsid w:val="00467BD0"/>
    <w:rsid w:val="00471401"/>
    <w:rsid w:val="00471841"/>
    <w:rsid w:val="004725C6"/>
    <w:rsid w:val="00474C20"/>
    <w:rsid w:val="004766F4"/>
    <w:rsid w:val="004770DC"/>
    <w:rsid w:val="0048100E"/>
    <w:rsid w:val="004816AF"/>
    <w:rsid w:val="004835F5"/>
    <w:rsid w:val="004856FC"/>
    <w:rsid w:val="00487238"/>
    <w:rsid w:val="00495107"/>
    <w:rsid w:val="00496EDF"/>
    <w:rsid w:val="00497509"/>
    <w:rsid w:val="004A039A"/>
    <w:rsid w:val="004A12BF"/>
    <w:rsid w:val="004A1967"/>
    <w:rsid w:val="004A1BDD"/>
    <w:rsid w:val="004A43A6"/>
    <w:rsid w:val="004A5CD4"/>
    <w:rsid w:val="004A6F55"/>
    <w:rsid w:val="004A7B43"/>
    <w:rsid w:val="004B1905"/>
    <w:rsid w:val="004B3ED8"/>
    <w:rsid w:val="004B6092"/>
    <w:rsid w:val="004B798B"/>
    <w:rsid w:val="004C041D"/>
    <w:rsid w:val="004C243D"/>
    <w:rsid w:val="004C474E"/>
    <w:rsid w:val="004C4D35"/>
    <w:rsid w:val="004C54D6"/>
    <w:rsid w:val="004C5940"/>
    <w:rsid w:val="004C5D10"/>
    <w:rsid w:val="004C72F0"/>
    <w:rsid w:val="004D0B37"/>
    <w:rsid w:val="004D102D"/>
    <w:rsid w:val="004D5837"/>
    <w:rsid w:val="004E11C1"/>
    <w:rsid w:val="004E1285"/>
    <w:rsid w:val="004E1C3D"/>
    <w:rsid w:val="004E2F91"/>
    <w:rsid w:val="004E3AC2"/>
    <w:rsid w:val="004E45B0"/>
    <w:rsid w:val="004F0ADE"/>
    <w:rsid w:val="004F0C0F"/>
    <w:rsid w:val="004F312F"/>
    <w:rsid w:val="004F55AD"/>
    <w:rsid w:val="00503225"/>
    <w:rsid w:val="00503562"/>
    <w:rsid w:val="00504022"/>
    <w:rsid w:val="00505B3D"/>
    <w:rsid w:val="00507E7A"/>
    <w:rsid w:val="00511E7E"/>
    <w:rsid w:val="00514B3D"/>
    <w:rsid w:val="00515980"/>
    <w:rsid w:val="00515B8E"/>
    <w:rsid w:val="005219AA"/>
    <w:rsid w:val="00524376"/>
    <w:rsid w:val="00527EA6"/>
    <w:rsid w:val="00530040"/>
    <w:rsid w:val="0053006C"/>
    <w:rsid w:val="0053458D"/>
    <w:rsid w:val="005354CD"/>
    <w:rsid w:val="0054075E"/>
    <w:rsid w:val="005417A4"/>
    <w:rsid w:val="00542D61"/>
    <w:rsid w:val="005503F7"/>
    <w:rsid w:val="00550D2A"/>
    <w:rsid w:val="00551496"/>
    <w:rsid w:val="00552876"/>
    <w:rsid w:val="005532B4"/>
    <w:rsid w:val="005542C1"/>
    <w:rsid w:val="00554901"/>
    <w:rsid w:val="00554BFE"/>
    <w:rsid w:val="0055596F"/>
    <w:rsid w:val="0056043B"/>
    <w:rsid w:val="005614D0"/>
    <w:rsid w:val="00561ED6"/>
    <w:rsid w:val="00562BEB"/>
    <w:rsid w:val="00563C05"/>
    <w:rsid w:val="00563E7F"/>
    <w:rsid w:val="005667AA"/>
    <w:rsid w:val="00567785"/>
    <w:rsid w:val="00567DFD"/>
    <w:rsid w:val="005702E5"/>
    <w:rsid w:val="00572508"/>
    <w:rsid w:val="0057357F"/>
    <w:rsid w:val="00573DF1"/>
    <w:rsid w:val="005746B4"/>
    <w:rsid w:val="00577587"/>
    <w:rsid w:val="00581920"/>
    <w:rsid w:val="00582A7D"/>
    <w:rsid w:val="0058397C"/>
    <w:rsid w:val="00584F3E"/>
    <w:rsid w:val="005860DE"/>
    <w:rsid w:val="00590BAA"/>
    <w:rsid w:val="005918B5"/>
    <w:rsid w:val="00594706"/>
    <w:rsid w:val="00594933"/>
    <w:rsid w:val="005956AC"/>
    <w:rsid w:val="00595983"/>
    <w:rsid w:val="00596CD4"/>
    <w:rsid w:val="005972A3"/>
    <w:rsid w:val="005A1339"/>
    <w:rsid w:val="005A21CF"/>
    <w:rsid w:val="005A6D76"/>
    <w:rsid w:val="005B0034"/>
    <w:rsid w:val="005B01BF"/>
    <w:rsid w:val="005B046F"/>
    <w:rsid w:val="005B3CB2"/>
    <w:rsid w:val="005B544C"/>
    <w:rsid w:val="005B5DE7"/>
    <w:rsid w:val="005B7B3F"/>
    <w:rsid w:val="005C29D9"/>
    <w:rsid w:val="005C31A3"/>
    <w:rsid w:val="005C3715"/>
    <w:rsid w:val="005C5470"/>
    <w:rsid w:val="005C6557"/>
    <w:rsid w:val="005D04AF"/>
    <w:rsid w:val="005D1B5E"/>
    <w:rsid w:val="005D2C2A"/>
    <w:rsid w:val="005D3750"/>
    <w:rsid w:val="005D6969"/>
    <w:rsid w:val="005E10A2"/>
    <w:rsid w:val="005E41D4"/>
    <w:rsid w:val="005E4FAF"/>
    <w:rsid w:val="005E5F49"/>
    <w:rsid w:val="005E6A8D"/>
    <w:rsid w:val="005E7912"/>
    <w:rsid w:val="005F0FE5"/>
    <w:rsid w:val="005F23EF"/>
    <w:rsid w:val="005F3DBF"/>
    <w:rsid w:val="005F7A45"/>
    <w:rsid w:val="0060219B"/>
    <w:rsid w:val="006068AF"/>
    <w:rsid w:val="00610B00"/>
    <w:rsid w:val="0061335A"/>
    <w:rsid w:val="00614B21"/>
    <w:rsid w:val="006158C8"/>
    <w:rsid w:val="00616C5D"/>
    <w:rsid w:val="00622157"/>
    <w:rsid w:val="00626265"/>
    <w:rsid w:val="006332BD"/>
    <w:rsid w:val="0063433B"/>
    <w:rsid w:val="00634667"/>
    <w:rsid w:val="00637F44"/>
    <w:rsid w:val="00640FC7"/>
    <w:rsid w:val="006450F3"/>
    <w:rsid w:val="006461B9"/>
    <w:rsid w:val="00646F27"/>
    <w:rsid w:val="00646F88"/>
    <w:rsid w:val="006471E4"/>
    <w:rsid w:val="006514A0"/>
    <w:rsid w:val="00653702"/>
    <w:rsid w:val="00656E73"/>
    <w:rsid w:val="00657759"/>
    <w:rsid w:val="00657C55"/>
    <w:rsid w:val="00661056"/>
    <w:rsid w:val="00661076"/>
    <w:rsid w:val="006632FE"/>
    <w:rsid w:val="006639E8"/>
    <w:rsid w:val="0066606C"/>
    <w:rsid w:val="006674F1"/>
    <w:rsid w:val="00667DEE"/>
    <w:rsid w:val="00670482"/>
    <w:rsid w:val="006714A5"/>
    <w:rsid w:val="0067186D"/>
    <w:rsid w:val="00672661"/>
    <w:rsid w:val="00672D48"/>
    <w:rsid w:val="00673473"/>
    <w:rsid w:val="00673804"/>
    <w:rsid w:val="00673D80"/>
    <w:rsid w:val="0068160B"/>
    <w:rsid w:val="00687021"/>
    <w:rsid w:val="006915E2"/>
    <w:rsid w:val="006919AB"/>
    <w:rsid w:val="0069366D"/>
    <w:rsid w:val="00693FB0"/>
    <w:rsid w:val="00695A8B"/>
    <w:rsid w:val="00695EA2"/>
    <w:rsid w:val="00697945"/>
    <w:rsid w:val="00697C43"/>
    <w:rsid w:val="00697F48"/>
    <w:rsid w:val="006A07A6"/>
    <w:rsid w:val="006A20A1"/>
    <w:rsid w:val="006A3C08"/>
    <w:rsid w:val="006A417C"/>
    <w:rsid w:val="006A50A9"/>
    <w:rsid w:val="006A642D"/>
    <w:rsid w:val="006A6ED3"/>
    <w:rsid w:val="006A6F84"/>
    <w:rsid w:val="006A749C"/>
    <w:rsid w:val="006B09C1"/>
    <w:rsid w:val="006B1670"/>
    <w:rsid w:val="006B30DE"/>
    <w:rsid w:val="006B3772"/>
    <w:rsid w:val="006B38D6"/>
    <w:rsid w:val="006B3E56"/>
    <w:rsid w:val="006B7B43"/>
    <w:rsid w:val="006C0FE5"/>
    <w:rsid w:val="006C120B"/>
    <w:rsid w:val="006C7E51"/>
    <w:rsid w:val="006D077B"/>
    <w:rsid w:val="006D2212"/>
    <w:rsid w:val="006D258C"/>
    <w:rsid w:val="006D36F5"/>
    <w:rsid w:val="006D38D2"/>
    <w:rsid w:val="006D46D6"/>
    <w:rsid w:val="006D4BCA"/>
    <w:rsid w:val="006D5003"/>
    <w:rsid w:val="006D5420"/>
    <w:rsid w:val="006E0413"/>
    <w:rsid w:val="006E2791"/>
    <w:rsid w:val="006E2AEF"/>
    <w:rsid w:val="006E43DE"/>
    <w:rsid w:val="006E5D24"/>
    <w:rsid w:val="006F47D9"/>
    <w:rsid w:val="006F654F"/>
    <w:rsid w:val="006F6C87"/>
    <w:rsid w:val="006F7B99"/>
    <w:rsid w:val="00700652"/>
    <w:rsid w:val="0070485F"/>
    <w:rsid w:val="00704FFE"/>
    <w:rsid w:val="00712114"/>
    <w:rsid w:val="00714068"/>
    <w:rsid w:val="007149B1"/>
    <w:rsid w:val="0071583C"/>
    <w:rsid w:val="007167D5"/>
    <w:rsid w:val="0071739C"/>
    <w:rsid w:val="00723465"/>
    <w:rsid w:val="007251D8"/>
    <w:rsid w:val="00725A1C"/>
    <w:rsid w:val="00727540"/>
    <w:rsid w:val="007314B5"/>
    <w:rsid w:val="007328D3"/>
    <w:rsid w:val="0073452A"/>
    <w:rsid w:val="00737470"/>
    <w:rsid w:val="00737824"/>
    <w:rsid w:val="00737F7A"/>
    <w:rsid w:val="00741A77"/>
    <w:rsid w:val="00742842"/>
    <w:rsid w:val="00742C87"/>
    <w:rsid w:val="00743C7A"/>
    <w:rsid w:val="007466FE"/>
    <w:rsid w:val="007470A4"/>
    <w:rsid w:val="007478DD"/>
    <w:rsid w:val="007504F7"/>
    <w:rsid w:val="00750F20"/>
    <w:rsid w:val="00757A24"/>
    <w:rsid w:val="00760C51"/>
    <w:rsid w:val="00760CA3"/>
    <w:rsid w:val="00763F72"/>
    <w:rsid w:val="007643A5"/>
    <w:rsid w:val="00765F0B"/>
    <w:rsid w:val="00767345"/>
    <w:rsid w:val="00770245"/>
    <w:rsid w:val="007714FF"/>
    <w:rsid w:val="0077298B"/>
    <w:rsid w:val="00776833"/>
    <w:rsid w:val="00784041"/>
    <w:rsid w:val="0078464F"/>
    <w:rsid w:val="00786CC5"/>
    <w:rsid w:val="00790DFE"/>
    <w:rsid w:val="00791817"/>
    <w:rsid w:val="00792471"/>
    <w:rsid w:val="00793904"/>
    <w:rsid w:val="00794FCA"/>
    <w:rsid w:val="007A0D3C"/>
    <w:rsid w:val="007A0DA6"/>
    <w:rsid w:val="007A2C4E"/>
    <w:rsid w:val="007A40CE"/>
    <w:rsid w:val="007A5801"/>
    <w:rsid w:val="007A70F1"/>
    <w:rsid w:val="007B011B"/>
    <w:rsid w:val="007B04BD"/>
    <w:rsid w:val="007B05A1"/>
    <w:rsid w:val="007B0A15"/>
    <w:rsid w:val="007B3498"/>
    <w:rsid w:val="007B5455"/>
    <w:rsid w:val="007B54F1"/>
    <w:rsid w:val="007B7C4B"/>
    <w:rsid w:val="007C1962"/>
    <w:rsid w:val="007D1AD7"/>
    <w:rsid w:val="007D5B8F"/>
    <w:rsid w:val="007D5C88"/>
    <w:rsid w:val="007D7A27"/>
    <w:rsid w:val="007E0308"/>
    <w:rsid w:val="007E37F9"/>
    <w:rsid w:val="007E5747"/>
    <w:rsid w:val="007E6382"/>
    <w:rsid w:val="007E6A30"/>
    <w:rsid w:val="007E7C9D"/>
    <w:rsid w:val="007F12AE"/>
    <w:rsid w:val="007F23C3"/>
    <w:rsid w:val="007F31F9"/>
    <w:rsid w:val="007F3F00"/>
    <w:rsid w:val="007F42B1"/>
    <w:rsid w:val="007F4473"/>
    <w:rsid w:val="007F4937"/>
    <w:rsid w:val="007F5EDB"/>
    <w:rsid w:val="008005CE"/>
    <w:rsid w:val="008008C1"/>
    <w:rsid w:val="00802C95"/>
    <w:rsid w:val="008042C5"/>
    <w:rsid w:val="00805160"/>
    <w:rsid w:val="00805A50"/>
    <w:rsid w:val="00806A5C"/>
    <w:rsid w:val="00807264"/>
    <w:rsid w:val="00807B22"/>
    <w:rsid w:val="00812870"/>
    <w:rsid w:val="008141C4"/>
    <w:rsid w:val="008160E7"/>
    <w:rsid w:val="008171FB"/>
    <w:rsid w:val="00820BA6"/>
    <w:rsid w:val="008216A0"/>
    <w:rsid w:val="0082495E"/>
    <w:rsid w:val="00827DFA"/>
    <w:rsid w:val="008302C6"/>
    <w:rsid w:val="008323B2"/>
    <w:rsid w:val="00833282"/>
    <w:rsid w:val="00840A19"/>
    <w:rsid w:val="008422E2"/>
    <w:rsid w:val="008438DF"/>
    <w:rsid w:val="00845110"/>
    <w:rsid w:val="008454FC"/>
    <w:rsid w:val="00855BE9"/>
    <w:rsid w:val="008569EB"/>
    <w:rsid w:val="00856F7C"/>
    <w:rsid w:val="008576AD"/>
    <w:rsid w:val="00862F91"/>
    <w:rsid w:val="00864A15"/>
    <w:rsid w:val="008668A7"/>
    <w:rsid w:val="00870CE6"/>
    <w:rsid w:val="00872841"/>
    <w:rsid w:val="00873E70"/>
    <w:rsid w:val="00875805"/>
    <w:rsid w:val="008765B6"/>
    <w:rsid w:val="00880333"/>
    <w:rsid w:val="008833A8"/>
    <w:rsid w:val="008857DB"/>
    <w:rsid w:val="00886297"/>
    <w:rsid w:val="00891623"/>
    <w:rsid w:val="008940E3"/>
    <w:rsid w:val="008A2D7B"/>
    <w:rsid w:val="008A5901"/>
    <w:rsid w:val="008A610C"/>
    <w:rsid w:val="008B0C66"/>
    <w:rsid w:val="008B1CF2"/>
    <w:rsid w:val="008B229B"/>
    <w:rsid w:val="008B2D4A"/>
    <w:rsid w:val="008B7511"/>
    <w:rsid w:val="008B7CF5"/>
    <w:rsid w:val="008C016F"/>
    <w:rsid w:val="008C04FE"/>
    <w:rsid w:val="008C0D55"/>
    <w:rsid w:val="008C2DBE"/>
    <w:rsid w:val="008C4D2C"/>
    <w:rsid w:val="008C5E3C"/>
    <w:rsid w:val="008D0485"/>
    <w:rsid w:val="008D1AC7"/>
    <w:rsid w:val="008D22B4"/>
    <w:rsid w:val="008D492F"/>
    <w:rsid w:val="008E21FF"/>
    <w:rsid w:val="008E24F3"/>
    <w:rsid w:val="008E74E6"/>
    <w:rsid w:val="008F0A5C"/>
    <w:rsid w:val="008F1ABF"/>
    <w:rsid w:val="008F209C"/>
    <w:rsid w:val="008F20E7"/>
    <w:rsid w:val="008F2166"/>
    <w:rsid w:val="008F323F"/>
    <w:rsid w:val="008F3E40"/>
    <w:rsid w:val="008F4F61"/>
    <w:rsid w:val="008F5EC7"/>
    <w:rsid w:val="008F67EE"/>
    <w:rsid w:val="009002E4"/>
    <w:rsid w:val="009015C3"/>
    <w:rsid w:val="00902FEF"/>
    <w:rsid w:val="0090333B"/>
    <w:rsid w:val="0090363A"/>
    <w:rsid w:val="0090543F"/>
    <w:rsid w:val="00906220"/>
    <w:rsid w:val="00916010"/>
    <w:rsid w:val="00916BD3"/>
    <w:rsid w:val="0092041D"/>
    <w:rsid w:val="00921772"/>
    <w:rsid w:val="009221E2"/>
    <w:rsid w:val="009238AC"/>
    <w:rsid w:val="00925B37"/>
    <w:rsid w:val="00925FB7"/>
    <w:rsid w:val="009261A1"/>
    <w:rsid w:val="0092738C"/>
    <w:rsid w:val="00930168"/>
    <w:rsid w:val="009321E5"/>
    <w:rsid w:val="00932527"/>
    <w:rsid w:val="009328FC"/>
    <w:rsid w:val="00937AA1"/>
    <w:rsid w:val="009421E1"/>
    <w:rsid w:val="00943E09"/>
    <w:rsid w:val="00944272"/>
    <w:rsid w:val="0094557D"/>
    <w:rsid w:val="00947605"/>
    <w:rsid w:val="00952ED1"/>
    <w:rsid w:val="00952FA3"/>
    <w:rsid w:val="009542CF"/>
    <w:rsid w:val="00954A43"/>
    <w:rsid w:val="009556C2"/>
    <w:rsid w:val="00961021"/>
    <w:rsid w:val="0096391F"/>
    <w:rsid w:val="00965A32"/>
    <w:rsid w:val="00970FA8"/>
    <w:rsid w:val="00972689"/>
    <w:rsid w:val="00973426"/>
    <w:rsid w:val="009735BA"/>
    <w:rsid w:val="0097482E"/>
    <w:rsid w:val="00976674"/>
    <w:rsid w:val="00977650"/>
    <w:rsid w:val="0097797C"/>
    <w:rsid w:val="00977D04"/>
    <w:rsid w:val="00980415"/>
    <w:rsid w:val="0098153F"/>
    <w:rsid w:val="0098200D"/>
    <w:rsid w:val="0098225E"/>
    <w:rsid w:val="009831BA"/>
    <w:rsid w:val="0098379F"/>
    <w:rsid w:val="009839E5"/>
    <w:rsid w:val="00983DFB"/>
    <w:rsid w:val="00984450"/>
    <w:rsid w:val="00986D43"/>
    <w:rsid w:val="009877E2"/>
    <w:rsid w:val="0099057E"/>
    <w:rsid w:val="00990BB2"/>
    <w:rsid w:val="009910AE"/>
    <w:rsid w:val="0099342F"/>
    <w:rsid w:val="009935C5"/>
    <w:rsid w:val="009A1C81"/>
    <w:rsid w:val="009A31BF"/>
    <w:rsid w:val="009A3369"/>
    <w:rsid w:val="009A3C5A"/>
    <w:rsid w:val="009A3D01"/>
    <w:rsid w:val="009B00DD"/>
    <w:rsid w:val="009B1CD2"/>
    <w:rsid w:val="009B41D9"/>
    <w:rsid w:val="009B446D"/>
    <w:rsid w:val="009B476F"/>
    <w:rsid w:val="009B5BC0"/>
    <w:rsid w:val="009C0A93"/>
    <w:rsid w:val="009C16CF"/>
    <w:rsid w:val="009C2D4F"/>
    <w:rsid w:val="009C449A"/>
    <w:rsid w:val="009C4556"/>
    <w:rsid w:val="009C481F"/>
    <w:rsid w:val="009C75A8"/>
    <w:rsid w:val="009D1475"/>
    <w:rsid w:val="009D2EC9"/>
    <w:rsid w:val="009D319D"/>
    <w:rsid w:val="009D3A00"/>
    <w:rsid w:val="009E0210"/>
    <w:rsid w:val="009E3017"/>
    <w:rsid w:val="009E454D"/>
    <w:rsid w:val="009E5F39"/>
    <w:rsid w:val="009F00B0"/>
    <w:rsid w:val="009F2A78"/>
    <w:rsid w:val="009F3AB5"/>
    <w:rsid w:val="009F44AA"/>
    <w:rsid w:val="009F4A79"/>
    <w:rsid w:val="009F6A71"/>
    <w:rsid w:val="009F6E07"/>
    <w:rsid w:val="009F7BDA"/>
    <w:rsid w:val="00A0063A"/>
    <w:rsid w:val="00A01C71"/>
    <w:rsid w:val="00A036AC"/>
    <w:rsid w:val="00A0393E"/>
    <w:rsid w:val="00A03A50"/>
    <w:rsid w:val="00A03C3E"/>
    <w:rsid w:val="00A068E4"/>
    <w:rsid w:val="00A07268"/>
    <w:rsid w:val="00A07924"/>
    <w:rsid w:val="00A106AB"/>
    <w:rsid w:val="00A113B5"/>
    <w:rsid w:val="00A134EB"/>
    <w:rsid w:val="00A15A5F"/>
    <w:rsid w:val="00A160A6"/>
    <w:rsid w:val="00A201D2"/>
    <w:rsid w:val="00A21DC0"/>
    <w:rsid w:val="00A26E77"/>
    <w:rsid w:val="00A26FA9"/>
    <w:rsid w:val="00A31D84"/>
    <w:rsid w:val="00A34022"/>
    <w:rsid w:val="00A34934"/>
    <w:rsid w:val="00A35A63"/>
    <w:rsid w:val="00A37534"/>
    <w:rsid w:val="00A461E3"/>
    <w:rsid w:val="00A507E4"/>
    <w:rsid w:val="00A5154B"/>
    <w:rsid w:val="00A535AE"/>
    <w:rsid w:val="00A53E39"/>
    <w:rsid w:val="00A54EBB"/>
    <w:rsid w:val="00A5559B"/>
    <w:rsid w:val="00A56A24"/>
    <w:rsid w:val="00A601D6"/>
    <w:rsid w:val="00A609F2"/>
    <w:rsid w:val="00A61374"/>
    <w:rsid w:val="00A61470"/>
    <w:rsid w:val="00A63EDE"/>
    <w:rsid w:val="00A669BE"/>
    <w:rsid w:val="00A66CF7"/>
    <w:rsid w:val="00A66D05"/>
    <w:rsid w:val="00A67933"/>
    <w:rsid w:val="00A74C4D"/>
    <w:rsid w:val="00A74EDA"/>
    <w:rsid w:val="00A77863"/>
    <w:rsid w:val="00A812DF"/>
    <w:rsid w:val="00A87B4E"/>
    <w:rsid w:val="00A87C84"/>
    <w:rsid w:val="00A93E8E"/>
    <w:rsid w:val="00A951A2"/>
    <w:rsid w:val="00AA0DBC"/>
    <w:rsid w:val="00AA2057"/>
    <w:rsid w:val="00AA26E1"/>
    <w:rsid w:val="00AA721B"/>
    <w:rsid w:val="00AB095D"/>
    <w:rsid w:val="00AB440B"/>
    <w:rsid w:val="00AB58F2"/>
    <w:rsid w:val="00AB5C04"/>
    <w:rsid w:val="00AB5C8F"/>
    <w:rsid w:val="00AB7D1D"/>
    <w:rsid w:val="00AC24C5"/>
    <w:rsid w:val="00AC574E"/>
    <w:rsid w:val="00AC60B9"/>
    <w:rsid w:val="00AC6670"/>
    <w:rsid w:val="00AD2131"/>
    <w:rsid w:val="00AD45EA"/>
    <w:rsid w:val="00AD7797"/>
    <w:rsid w:val="00AE08B4"/>
    <w:rsid w:val="00AE14FC"/>
    <w:rsid w:val="00AE2D3B"/>
    <w:rsid w:val="00AE55F9"/>
    <w:rsid w:val="00AE6BCD"/>
    <w:rsid w:val="00AF1B33"/>
    <w:rsid w:val="00AF2F58"/>
    <w:rsid w:val="00AF36CB"/>
    <w:rsid w:val="00AF3CF2"/>
    <w:rsid w:val="00AF4566"/>
    <w:rsid w:val="00AF474A"/>
    <w:rsid w:val="00AF6D8D"/>
    <w:rsid w:val="00AF7658"/>
    <w:rsid w:val="00B0140C"/>
    <w:rsid w:val="00B01F50"/>
    <w:rsid w:val="00B043E9"/>
    <w:rsid w:val="00B0788B"/>
    <w:rsid w:val="00B107AC"/>
    <w:rsid w:val="00B128A6"/>
    <w:rsid w:val="00B1348A"/>
    <w:rsid w:val="00B21A17"/>
    <w:rsid w:val="00B2203F"/>
    <w:rsid w:val="00B224C0"/>
    <w:rsid w:val="00B23DEA"/>
    <w:rsid w:val="00B26533"/>
    <w:rsid w:val="00B26548"/>
    <w:rsid w:val="00B26826"/>
    <w:rsid w:val="00B30CE7"/>
    <w:rsid w:val="00B31116"/>
    <w:rsid w:val="00B31308"/>
    <w:rsid w:val="00B31B0C"/>
    <w:rsid w:val="00B31EE3"/>
    <w:rsid w:val="00B3209C"/>
    <w:rsid w:val="00B328B9"/>
    <w:rsid w:val="00B33F89"/>
    <w:rsid w:val="00B36AF8"/>
    <w:rsid w:val="00B37F9F"/>
    <w:rsid w:val="00B41BDA"/>
    <w:rsid w:val="00B4482B"/>
    <w:rsid w:val="00B464B5"/>
    <w:rsid w:val="00B46CA4"/>
    <w:rsid w:val="00B472AE"/>
    <w:rsid w:val="00B50230"/>
    <w:rsid w:val="00B515B3"/>
    <w:rsid w:val="00B5536C"/>
    <w:rsid w:val="00B60293"/>
    <w:rsid w:val="00B62B01"/>
    <w:rsid w:val="00B668FB"/>
    <w:rsid w:val="00B67849"/>
    <w:rsid w:val="00B71A39"/>
    <w:rsid w:val="00B76B30"/>
    <w:rsid w:val="00B7735C"/>
    <w:rsid w:val="00B77392"/>
    <w:rsid w:val="00B808DC"/>
    <w:rsid w:val="00B81DCF"/>
    <w:rsid w:val="00B82319"/>
    <w:rsid w:val="00B85851"/>
    <w:rsid w:val="00B85E06"/>
    <w:rsid w:val="00B872EA"/>
    <w:rsid w:val="00B932BD"/>
    <w:rsid w:val="00B96770"/>
    <w:rsid w:val="00B97CF7"/>
    <w:rsid w:val="00BA011E"/>
    <w:rsid w:val="00BA097C"/>
    <w:rsid w:val="00BA0BF3"/>
    <w:rsid w:val="00BA1001"/>
    <w:rsid w:val="00BA1763"/>
    <w:rsid w:val="00BA293D"/>
    <w:rsid w:val="00BA5077"/>
    <w:rsid w:val="00BA6EFD"/>
    <w:rsid w:val="00BA78F7"/>
    <w:rsid w:val="00BB0E7B"/>
    <w:rsid w:val="00BB12C2"/>
    <w:rsid w:val="00BB16BA"/>
    <w:rsid w:val="00BB53D3"/>
    <w:rsid w:val="00BB6960"/>
    <w:rsid w:val="00BC2158"/>
    <w:rsid w:val="00BC2A56"/>
    <w:rsid w:val="00BC4568"/>
    <w:rsid w:val="00BC4CDF"/>
    <w:rsid w:val="00BC75E6"/>
    <w:rsid w:val="00BD0493"/>
    <w:rsid w:val="00BD0539"/>
    <w:rsid w:val="00BD12DC"/>
    <w:rsid w:val="00BD1E94"/>
    <w:rsid w:val="00BD32FD"/>
    <w:rsid w:val="00BD48A6"/>
    <w:rsid w:val="00BD4D4A"/>
    <w:rsid w:val="00BE3437"/>
    <w:rsid w:val="00BE7066"/>
    <w:rsid w:val="00BF036C"/>
    <w:rsid w:val="00BF1181"/>
    <w:rsid w:val="00BF32B9"/>
    <w:rsid w:val="00C10296"/>
    <w:rsid w:val="00C122F3"/>
    <w:rsid w:val="00C1311B"/>
    <w:rsid w:val="00C13594"/>
    <w:rsid w:val="00C135D5"/>
    <w:rsid w:val="00C1421A"/>
    <w:rsid w:val="00C142D8"/>
    <w:rsid w:val="00C17205"/>
    <w:rsid w:val="00C176B4"/>
    <w:rsid w:val="00C200AC"/>
    <w:rsid w:val="00C22C59"/>
    <w:rsid w:val="00C23E8A"/>
    <w:rsid w:val="00C24A3A"/>
    <w:rsid w:val="00C24E0A"/>
    <w:rsid w:val="00C24E61"/>
    <w:rsid w:val="00C30C40"/>
    <w:rsid w:val="00C32450"/>
    <w:rsid w:val="00C351ED"/>
    <w:rsid w:val="00C3782D"/>
    <w:rsid w:val="00C37D30"/>
    <w:rsid w:val="00C413D7"/>
    <w:rsid w:val="00C432B5"/>
    <w:rsid w:val="00C445FC"/>
    <w:rsid w:val="00C46EF6"/>
    <w:rsid w:val="00C510F2"/>
    <w:rsid w:val="00C52A14"/>
    <w:rsid w:val="00C52B6B"/>
    <w:rsid w:val="00C5484B"/>
    <w:rsid w:val="00C54C9F"/>
    <w:rsid w:val="00C57055"/>
    <w:rsid w:val="00C60565"/>
    <w:rsid w:val="00C61633"/>
    <w:rsid w:val="00C622A5"/>
    <w:rsid w:val="00C62FC6"/>
    <w:rsid w:val="00C65056"/>
    <w:rsid w:val="00C67025"/>
    <w:rsid w:val="00C71E62"/>
    <w:rsid w:val="00C72BCD"/>
    <w:rsid w:val="00C72EC5"/>
    <w:rsid w:val="00C733E5"/>
    <w:rsid w:val="00C761CE"/>
    <w:rsid w:val="00C765A9"/>
    <w:rsid w:val="00C7759D"/>
    <w:rsid w:val="00C77A77"/>
    <w:rsid w:val="00C827CD"/>
    <w:rsid w:val="00C8485D"/>
    <w:rsid w:val="00C857DE"/>
    <w:rsid w:val="00C874C4"/>
    <w:rsid w:val="00C91892"/>
    <w:rsid w:val="00CA02BB"/>
    <w:rsid w:val="00CA2FAE"/>
    <w:rsid w:val="00CA35E3"/>
    <w:rsid w:val="00CA4984"/>
    <w:rsid w:val="00CA4C3F"/>
    <w:rsid w:val="00CA629D"/>
    <w:rsid w:val="00CA7EEE"/>
    <w:rsid w:val="00CB0175"/>
    <w:rsid w:val="00CB1C6A"/>
    <w:rsid w:val="00CB2FD4"/>
    <w:rsid w:val="00CB6F34"/>
    <w:rsid w:val="00CB7846"/>
    <w:rsid w:val="00CC02A2"/>
    <w:rsid w:val="00CC4C4B"/>
    <w:rsid w:val="00CC5033"/>
    <w:rsid w:val="00CC601F"/>
    <w:rsid w:val="00CC7D02"/>
    <w:rsid w:val="00CD268A"/>
    <w:rsid w:val="00CE1C74"/>
    <w:rsid w:val="00CE34DB"/>
    <w:rsid w:val="00CE5699"/>
    <w:rsid w:val="00CE5AE7"/>
    <w:rsid w:val="00CE750C"/>
    <w:rsid w:val="00CE7CE8"/>
    <w:rsid w:val="00CF5055"/>
    <w:rsid w:val="00CF7820"/>
    <w:rsid w:val="00D0194F"/>
    <w:rsid w:val="00D05FB3"/>
    <w:rsid w:val="00D072F1"/>
    <w:rsid w:val="00D077A9"/>
    <w:rsid w:val="00D10316"/>
    <w:rsid w:val="00D14961"/>
    <w:rsid w:val="00D15892"/>
    <w:rsid w:val="00D17345"/>
    <w:rsid w:val="00D1787F"/>
    <w:rsid w:val="00D17999"/>
    <w:rsid w:val="00D2189E"/>
    <w:rsid w:val="00D24861"/>
    <w:rsid w:val="00D35E0C"/>
    <w:rsid w:val="00D3655B"/>
    <w:rsid w:val="00D43942"/>
    <w:rsid w:val="00D43C69"/>
    <w:rsid w:val="00D44C6C"/>
    <w:rsid w:val="00D531F3"/>
    <w:rsid w:val="00D55978"/>
    <w:rsid w:val="00D56F87"/>
    <w:rsid w:val="00D60A4D"/>
    <w:rsid w:val="00D615B4"/>
    <w:rsid w:val="00D61DD7"/>
    <w:rsid w:val="00D62D8C"/>
    <w:rsid w:val="00D64ECC"/>
    <w:rsid w:val="00D65DBE"/>
    <w:rsid w:val="00D66929"/>
    <w:rsid w:val="00D721AD"/>
    <w:rsid w:val="00D72401"/>
    <w:rsid w:val="00D73A2C"/>
    <w:rsid w:val="00D73FCE"/>
    <w:rsid w:val="00D7410D"/>
    <w:rsid w:val="00D747DC"/>
    <w:rsid w:val="00D7569F"/>
    <w:rsid w:val="00D75AD5"/>
    <w:rsid w:val="00D7683A"/>
    <w:rsid w:val="00D76CB0"/>
    <w:rsid w:val="00D83186"/>
    <w:rsid w:val="00D8500C"/>
    <w:rsid w:val="00D865BD"/>
    <w:rsid w:val="00D87FE8"/>
    <w:rsid w:val="00D90DDF"/>
    <w:rsid w:val="00D9282C"/>
    <w:rsid w:val="00D92C1F"/>
    <w:rsid w:val="00D954CF"/>
    <w:rsid w:val="00D95C57"/>
    <w:rsid w:val="00D970BC"/>
    <w:rsid w:val="00D976E6"/>
    <w:rsid w:val="00DA2476"/>
    <w:rsid w:val="00DA4AE0"/>
    <w:rsid w:val="00DA6917"/>
    <w:rsid w:val="00DA6E5D"/>
    <w:rsid w:val="00DA7A40"/>
    <w:rsid w:val="00DA7D04"/>
    <w:rsid w:val="00DA7D55"/>
    <w:rsid w:val="00DB393C"/>
    <w:rsid w:val="00DC0627"/>
    <w:rsid w:val="00DC44A8"/>
    <w:rsid w:val="00DC53C0"/>
    <w:rsid w:val="00DC6867"/>
    <w:rsid w:val="00DC7576"/>
    <w:rsid w:val="00DC7CBC"/>
    <w:rsid w:val="00DD03A4"/>
    <w:rsid w:val="00DD3E47"/>
    <w:rsid w:val="00DD4F80"/>
    <w:rsid w:val="00DD513B"/>
    <w:rsid w:val="00DE1573"/>
    <w:rsid w:val="00DE1752"/>
    <w:rsid w:val="00DE37E4"/>
    <w:rsid w:val="00DE45C0"/>
    <w:rsid w:val="00DE4D9D"/>
    <w:rsid w:val="00DE5AD0"/>
    <w:rsid w:val="00DE7F94"/>
    <w:rsid w:val="00DF0800"/>
    <w:rsid w:val="00DF1BDD"/>
    <w:rsid w:val="00DF2942"/>
    <w:rsid w:val="00DF441E"/>
    <w:rsid w:val="00DF4F3B"/>
    <w:rsid w:val="00DF5AEA"/>
    <w:rsid w:val="00DF72BA"/>
    <w:rsid w:val="00E00144"/>
    <w:rsid w:val="00E00E37"/>
    <w:rsid w:val="00E00FD6"/>
    <w:rsid w:val="00E01AFB"/>
    <w:rsid w:val="00E0251A"/>
    <w:rsid w:val="00E04F1E"/>
    <w:rsid w:val="00E05043"/>
    <w:rsid w:val="00E0539D"/>
    <w:rsid w:val="00E06FED"/>
    <w:rsid w:val="00E079BE"/>
    <w:rsid w:val="00E07A94"/>
    <w:rsid w:val="00E1052A"/>
    <w:rsid w:val="00E10565"/>
    <w:rsid w:val="00E13CAB"/>
    <w:rsid w:val="00E15A6B"/>
    <w:rsid w:val="00E22CAC"/>
    <w:rsid w:val="00E233F0"/>
    <w:rsid w:val="00E23DE5"/>
    <w:rsid w:val="00E23F04"/>
    <w:rsid w:val="00E26BDA"/>
    <w:rsid w:val="00E27103"/>
    <w:rsid w:val="00E27EEF"/>
    <w:rsid w:val="00E30392"/>
    <w:rsid w:val="00E31D0C"/>
    <w:rsid w:val="00E32E37"/>
    <w:rsid w:val="00E3511D"/>
    <w:rsid w:val="00E35F90"/>
    <w:rsid w:val="00E44FC5"/>
    <w:rsid w:val="00E45CC6"/>
    <w:rsid w:val="00E46ACA"/>
    <w:rsid w:val="00E46B72"/>
    <w:rsid w:val="00E47963"/>
    <w:rsid w:val="00E5020D"/>
    <w:rsid w:val="00E5082B"/>
    <w:rsid w:val="00E512C6"/>
    <w:rsid w:val="00E5134D"/>
    <w:rsid w:val="00E5200E"/>
    <w:rsid w:val="00E52593"/>
    <w:rsid w:val="00E529C6"/>
    <w:rsid w:val="00E547F2"/>
    <w:rsid w:val="00E5507F"/>
    <w:rsid w:val="00E577BB"/>
    <w:rsid w:val="00E661AC"/>
    <w:rsid w:val="00E677A6"/>
    <w:rsid w:val="00E7012B"/>
    <w:rsid w:val="00E702CA"/>
    <w:rsid w:val="00E71F41"/>
    <w:rsid w:val="00E722D3"/>
    <w:rsid w:val="00E72F6D"/>
    <w:rsid w:val="00E7439B"/>
    <w:rsid w:val="00E77A64"/>
    <w:rsid w:val="00E80978"/>
    <w:rsid w:val="00E817CC"/>
    <w:rsid w:val="00E851CB"/>
    <w:rsid w:val="00E85AEB"/>
    <w:rsid w:val="00E85EB4"/>
    <w:rsid w:val="00E869EE"/>
    <w:rsid w:val="00E93916"/>
    <w:rsid w:val="00E94BCC"/>
    <w:rsid w:val="00E95352"/>
    <w:rsid w:val="00E96A40"/>
    <w:rsid w:val="00E96BA1"/>
    <w:rsid w:val="00E978C4"/>
    <w:rsid w:val="00E97C02"/>
    <w:rsid w:val="00EA0CCB"/>
    <w:rsid w:val="00EA2575"/>
    <w:rsid w:val="00EA269B"/>
    <w:rsid w:val="00EA56D9"/>
    <w:rsid w:val="00EA75F5"/>
    <w:rsid w:val="00EB3435"/>
    <w:rsid w:val="00EB371B"/>
    <w:rsid w:val="00EB5BE7"/>
    <w:rsid w:val="00EB6FA4"/>
    <w:rsid w:val="00EB7010"/>
    <w:rsid w:val="00EC0CB5"/>
    <w:rsid w:val="00EC3ABF"/>
    <w:rsid w:val="00EC3CBE"/>
    <w:rsid w:val="00EC52D0"/>
    <w:rsid w:val="00EC58D6"/>
    <w:rsid w:val="00ED376C"/>
    <w:rsid w:val="00ED4283"/>
    <w:rsid w:val="00ED49E8"/>
    <w:rsid w:val="00ED5767"/>
    <w:rsid w:val="00EE0899"/>
    <w:rsid w:val="00EE0DB9"/>
    <w:rsid w:val="00EE26F4"/>
    <w:rsid w:val="00EE2A46"/>
    <w:rsid w:val="00EE37FE"/>
    <w:rsid w:val="00EE3CD0"/>
    <w:rsid w:val="00EE3FFA"/>
    <w:rsid w:val="00EE41EC"/>
    <w:rsid w:val="00EE66A0"/>
    <w:rsid w:val="00EE75F7"/>
    <w:rsid w:val="00EF0821"/>
    <w:rsid w:val="00EF2329"/>
    <w:rsid w:val="00EF6EA2"/>
    <w:rsid w:val="00F016F1"/>
    <w:rsid w:val="00F01D95"/>
    <w:rsid w:val="00F027EC"/>
    <w:rsid w:val="00F056D1"/>
    <w:rsid w:val="00F06173"/>
    <w:rsid w:val="00F075BE"/>
    <w:rsid w:val="00F107B4"/>
    <w:rsid w:val="00F11B14"/>
    <w:rsid w:val="00F12AF3"/>
    <w:rsid w:val="00F13281"/>
    <w:rsid w:val="00F132DF"/>
    <w:rsid w:val="00F13BAE"/>
    <w:rsid w:val="00F22A7A"/>
    <w:rsid w:val="00F2377C"/>
    <w:rsid w:val="00F23E79"/>
    <w:rsid w:val="00F2560A"/>
    <w:rsid w:val="00F2702D"/>
    <w:rsid w:val="00F274A9"/>
    <w:rsid w:val="00F276BB"/>
    <w:rsid w:val="00F30A3A"/>
    <w:rsid w:val="00F334CA"/>
    <w:rsid w:val="00F34A83"/>
    <w:rsid w:val="00F3586D"/>
    <w:rsid w:val="00F362CD"/>
    <w:rsid w:val="00F37299"/>
    <w:rsid w:val="00F4112E"/>
    <w:rsid w:val="00F411A8"/>
    <w:rsid w:val="00F41398"/>
    <w:rsid w:val="00F430D9"/>
    <w:rsid w:val="00F44D19"/>
    <w:rsid w:val="00F46201"/>
    <w:rsid w:val="00F470B7"/>
    <w:rsid w:val="00F4797F"/>
    <w:rsid w:val="00F518FA"/>
    <w:rsid w:val="00F529BA"/>
    <w:rsid w:val="00F532A9"/>
    <w:rsid w:val="00F5454F"/>
    <w:rsid w:val="00F54C58"/>
    <w:rsid w:val="00F55794"/>
    <w:rsid w:val="00F56D3A"/>
    <w:rsid w:val="00F56EA9"/>
    <w:rsid w:val="00F60016"/>
    <w:rsid w:val="00F60224"/>
    <w:rsid w:val="00F63555"/>
    <w:rsid w:val="00F64ABE"/>
    <w:rsid w:val="00F71353"/>
    <w:rsid w:val="00F74EDD"/>
    <w:rsid w:val="00F770B3"/>
    <w:rsid w:val="00F80D27"/>
    <w:rsid w:val="00F811C7"/>
    <w:rsid w:val="00F81851"/>
    <w:rsid w:val="00F826B8"/>
    <w:rsid w:val="00F83E96"/>
    <w:rsid w:val="00F84C29"/>
    <w:rsid w:val="00F852B8"/>
    <w:rsid w:val="00F86B20"/>
    <w:rsid w:val="00F9060C"/>
    <w:rsid w:val="00F90877"/>
    <w:rsid w:val="00F935E6"/>
    <w:rsid w:val="00F93C3D"/>
    <w:rsid w:val="00F95375"/>
    <w:rsid w:val="00F95FE8"/>
    <w:rsid w:val="00F9627C"/>
    <w:rsid w:val="00FA0AFE"/>
    <w:rsid w:val="00FA0E5E"/>
    <w:rsid w:val="00FA1CC7"/>
    <w:rsid w:val="00FA2C06"/>
    <w:rsid w:val="00FA62A1"/>
    <w:rsid w:val="00FA66F3"/>
    <w:rsid w:val="00FA6B79"/>
    <w:rsid w:val="00FB03BF"/>
    <w:rsid w:val="00FB3297"/>
    <w:rsid w:val="00FB5F28"/>
    <w:rsid w:val="00FB60A4"/>
    <w:rsid w:val="00FB724C"/>
    <w:rsid w:val="00FB778F"/>
    <w:rsid w:val="00FC309B"/>
    <w:rsid w:val="00FC3A9E"/>
    <w:rsid w:val="00FC494F"/>
    <w:rsid w:val="00FC789C"/>
    <w:rsid w:val="00FC7A7C"/>
    <w:rsid w:val="00FD24F6"/>
    <w:rsid w:val="00FD3642"/>
    <w:rsid w:val="00FD372A"/>
    <w:rsid w:val="00FD3C56"/>
    <w:rsid w:val="00FD4113"/>
    <w:rsid w:val="00FD4A07"/>
    <w:rsid w:val="00FD659B"/>
    <w:rsid w:val="00FD6EC5"/>
    <w:rsid w:val="00FE05F4"/>
    <w:rsid w:val="00FE26A8"/>
    <w:rsid w:val="00FE355B"/>
    <w:rsid w:val="00FE6224"/>
    <w:rsid w:val="00FE6723"/>
    <w:rsid w:val="00FE6737"/>
    <w:rsid w:val="00FF13AE"/>
    <w:rsid w:val="00FF1A86"/>
    <w:rsid w:val="00FF2457"/>
    <w:rsid w:val="00FF3444"/>
    <w:rsid w:val="00FF37CC"/>
    <w:rsid w:val="00FF56E6"/>
    <w:rsid w:val="00FF7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E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141C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
    <w:basedOn w:val="Normal"/>
    <w:link w:val="ListParagraphChar"/>
    <w:uiPriority w:val="34"/>
    <w:qFormat/>
    <w:rsid w:val="008141C4"/>
    <w:pPr>
      <w:ind w:left="720"/>
      <w:contextualSpacing/>
    </w:p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style>
  <w:style w:type="paragraph" w:styleId="Quote">
    <w:name w:val="Quote"/>
    <w:basedOn w:val="Normal"/>
    <w:next w:val="Normal"/>
    <w:link w:val="QuoteChar"/>
    <w:uiPriority w:val="29"/>
    <w:qFormat/>
    <w:rsid w:val="008141C4"/>
    <w:pPr>
      <w:spacing w:before="20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 w:type="paragraph" w:customStyle="1" w:styleId="definition">
    <w:name w:val="definition"/>
    <w:basedOn w:val="Normal"/>
    <w:rsid w:val="00D976E6"/>
    <w:pPr>
      <w:spacing w:before="100" w:beforeAutospacing="1" w:after="100" w:afterAutospacing="1"/>
    </w:pPr>
    <w:rPr>
      <w:rFonts w:eastAsia="Times New Roman"/>
      <w:lang w:val="en-AU" w:eastAsia="en-AU" w:bidi="ar-SA"/>
    </w:rPr>
  </w:style>
  <w:style w:type="paragraph" w:customStyle="1" w:styleId="paragraph">
    <w:name w:val="paragraph"/>
    <w:aliases w:val="a"/>
    <w:basedOn w:val="Normal"/>
    <w:link w:val="paragraphChar"/>
    <w:rsid w:val="00D976E6"/>
    <w:pPr>
      <w:spacing w:before="100" w:beforeAutospacing="1" w:after="100" w:afterAutospacing="1"/>
    </w:pPr>
    <w:rPr>
      <w:rFonts w:eastAsia="Times New Roman"/>
      <w:lang w:val="en-AU" w:eastAsia="en-AU" w:bidi="ar-SA"/>
    </w:rPr>
  </w:style>
  <w:style w:type="character" w:customStyle="1" w:styleId="paragraphChar">
    <w:name w:val="paragraph Char"/>
    <w:aliases w:val="a Char"/>
    <w:link w:val="paragraph"/>
    <w:rsid w:val="00EC3ABF"/>
    <w:rPr>
      <w:rFonts w:ascii="Times New Roman" w:eastAsia="Times New Roman" w:hAnsi="Times New Roman" w:cs="Times New Roman"/>
      <w:sz w:val="24"/>
      <w:szCs w:val="24"/>
      <w:lang w:val="en-AU" w:eastAsia="en-AU" w:bidi="ar-SA"/>
    </w:rPr>
  </w:style>
  <w:style w:type="paragraph" w:customStyle="1" w:styleId="paranumbering0">
    <w:name w:val="paranumbering"/>
    <w:basedOn w:val="Normal"/>
    <w:uiPriority w:val="99"/>
    <w:rsid w:val="00661056"/>
    <w:pPr>
      <w:spacing w:before="100" w:beforeAutospacing="1" w:after="100" w:afterAutospacing="1"/>
    </w:pPr>
    <w:rPr>
      <w:rFonts w:eastAsiaTheme="minorHAnsi"/>
      <w:lang w:val="en-AU" w:eastAsia="en-AU" w:bidi="ar-SA"/>
    </w:rPr>
  </w:style>
  <w:style w:type="paragraph" w:customStyle="1" w:styleId="Subitem">
    <w:name w:val="Subitem"/>
    <w:aliases w:val="iss"/>
    <w:basedOn w:val="Normal"/>
    <w:rsid w:val="008C4D2C"/>
    <w:pPr>
      <w:spacing w:before="180"/>
      <w:ind w:left="709" w:hanging="709"/>
    </w:pPr>
    <w:rPr>
      <w:rFonts w:eastAsia="Times New Roman"/>
      <w:sz w:val="22"/>
      <w:szCs w:val="20"/>
      <w:lang w:val="en-AU" w:eastAsia="en-AU" w:bidi="ar-SA"/>
    </w:rPr>
  </w:style>
  <w:style w:type="paragraph" w:customStyle="1" w:styleId="ActHead5">
    <w:name w:val="ActHead 5"/>
    <w:aliases w:val="s"/>
    <w:basedOn w:val="Normal"/>
    <w:next w:val="subsection"/>
    <w:qFormat/>
    <w:rsid w:val="00977D04"/>
    <w:pPr>
      <w:keepNext/>
      <w:keepLines/>
      <w:spacing w:before="280"/>
      <w:ind w:left="1134" w:hanging="1134"/>
      <w:outlineLvl w:val="4"/>
    </w:pPr>
    <w:rPr>
      <w:rFonts w:eastAsia="Times New Roman"/>
      <w:b/>
      <w:kern w:val="28"/>
      <w:szCs w:val="20"/>
      <w:lang w:val="en-AU" w:eastAsia="en-AU" w:bidi="ar-SA"/>
    </w:rPr>
  </w:style>
  <w:style w:type="character" w:customStyle="1" w:styleId="CharDivNo">
    <w:name w:val="CharDivNo"/>
    <w:basedOn w:val="DefaultParagraphFont"/>
    <w:qFormat/>
    <w:rsid w:val="00977D04"/>
  </w:style>
  <w:style w:type="character" w:customStyle="1" w:styleId="CharDivText">
    <w:name w:val="CharDivText"/>
    <w:basedOn w:val="DefaultParagraphFont"/>
    <w:qFormat/>
    <w:rsid w:val="00977D04"/>
  </w:style>
  <w:style w:type="character" w:customStyle="1" w:styleId="CharSectno">
    <w:name w:val="CharSectno"/>
    <w:basedOn w:val="DefaultParagraphFont"/>
    <w:qFormat/>
    <w:rsid w:val="00977D04"/>
  </w:style>
  <w:style w:type="paragraph" w:customStyle="1" w:styleId="subsection">
    <w:name w:val="subsection"/>
    <w:aliases w:val="ss"/>
    <w:basedOn w:val="Normal"/>
    <w:rsid w:val="00977D04"/>
    <w:pPr>
      <w:tabs>
        <w:tab w:val="right" w:pos="1021"/>
      </w:tabs>
      <w:spacing w:before="180"/>
      <w:ind w:left="1134" w:hanging="1134"/>
    </w:pPr>
    <w:rPr>
      <w:rFonts w:eastAsia="Times New Roman"/>
      <w:sz w:val="22"/>
      <w:szCs w:val="20"/>
      <w:lang w:val="en-AU" w:eastAsia="en-AU" w:bidi="ar-SA"/>
    </w:rPr>
  </w:style>
  <w:style w:type="paragraph" w:customStyle="1" w:styleId="notedraft">
    <w:name w:val="note(draft)"/>
    <w:aliases w:val="nd"/>
    <w:basedOn w:val="Normal"/>
    <w:rsid w:val="00977D04"/>
    <w:pPr>
      <w:spacing w:before="240"/>
      <w:ind w:left="284" w:hanging="284"/>
    </w:pPr>
    <w:rPr>
      <w:rFonts w:eastAsia="Times New Roman"/>
      <w:i/>
      <w:szCs w:val="20"/>
      <w:lang w:val="en-AU" w:eastAsia="en-AU" w:bidi="ar-SA"/>
    </w:rPr>
  </w:style>
  <w:style w:type="paragraph" w:customStyle="1" w:styleId="notetext">
    <w:name w:val="note(text)"/>
    <w:aliases w:val="n"/>
    <w:basedOn w:val="Normal"/>
    <w:rsid w:val="00977D04"/>
    <w:pPr>
      <w:spacing w:before="122"/>
      <w:ind w:left="1985" w:hanging="851"/>
    </w:pPr>
    <w:rPr>
      <w:rFonts w:eastAsia="Times New Roman"/>
      <w:sz w:val="18"/>
      <w:szCs w:val="20"/>
      <w:lang w:val="en-AU" w:eastAsia="en-AU" w:bidi="ar-SA"/>
    </w:rPr>
  </w:style>
  <w:style w:type="paragraph" w:customStyle="1" w:styleId="ActHead9">
    <w:name w:val="ActHead 9"/>
    <w:aliases w:val="aat"/>
    <w:basedOn w:val="Normal"/>
    <w:next w:val="Normal"/>
    <w:qFormat/>
    <w:rsid w:val="008C5E3C"/>
    <w:pPr>
      <w:keepNext/>
      <w:keepLines/>
      <w:spacing w:before="280"/>
      <w:ind w:left="1134" w:hanging="1134"/>
      <w:outlineLvl w:val="8"/>
    </w:pPr>
    <w:rPr>
      <w:rFonts w:eastAsia="Times New Roman"/>
      <w:b/>
      <w:i/>
      <w:kern w:val="28"/>
      <w:sz w:val="28"/>
      <w:szCs w:val="20"/>
      <w:lang w:val="en-AU" w:eastAsia="en-AU" w:bidi="ar-SA"/>
    </w:rPr>
  </w:style>
  <w:style w:type="paragraph" w:customStyle="1" w:styleId="Normal1">
    <w:name w:val="Normal1"/>
    <w:basedOn w:val="ListParagraph"/>
    <w:link w:val="NormalChar"/>
    <w:qFormat/>
    <w:rsid w:val="00F56D3A"/>
    <w:pPr>
      <w:numPr>
        <w:numId w:val="33"/>
      </w:numPr>
      <w:tabs>
        <w:tab w:val="left" w:pos="426"/>
      </w:tabs>
      <w:spacing w:after="120"/>
    </w:pPr>
    <w:rPr>
      <w:rFonts w:eastAsiaTheme="minorHAnsi"/>
      <w:szCs w:val="28"/>
      <w:u w:val="single"/>
      <w:lang w:val="en-AU" w:bidi="ar-SA"/>
    </w:rPr>
  </w:style>
  <w:style w:type="paragraph" w:customStyle="1" w:styleId="Style5">
    <w:name w:val="Style5"/>
    <w:basedOn w:val="Normal1"/>
    <w:qFormat/>
    <w:rsid w:val="00F56D3A"/>
    <w:pPr>
      <w:numPr>
        <w:ilvl w:val="1"/>
      </w:numPr>
      <w:tabs>
        <w:tab w:val="clear" w:pos="426"/>
        <w:tab w:val="left" w:pos="1276"/>
      </w:tabs>
      <w:ind w:left="754" w:hanging="397"/>
    </w:pPr>
  </w:style>
  <w:style w:type="character" w:customStyle="1" w:styleId="NormalChar">
    <w:name w:val="Normal Char"/>
    <w:basedOn w:val="DefaultParagraphFont"/>
    <w:link w:val="Normal1"/>
    <w:locked/>
    <w:rsid w:val="00F56D3A"/>
    <w:rPr>
      <w:rFonts w:ascii="Times New Roman" w:eastAsiaTheme="minorHAnsi" w:hAnsi="Times New Roman" w:cs="Times New Roman"/>
      <w:sz w:val="24"/>
      <w:szCs w:val="28"/>
      <w:u w:val="single"/>
      <w:lang w:val="en-AU" w:bidi="ar-SA"/>
    </w:rPr>
  </w:style>
</w:styles>
</file>

<file path=word/webSettings.xml><?xml version="1.0" encoding="utf-8"?>
<w:webSettings xmlns:r="http://schemas.openxmlformats.org/officeDocument/2006/relationships" xmlns:w="http://schemas.openxmlformats.org/wordprocessingml/2006/main">
  <w:divs>
    <w:div w:id="37554410">
      <w:bodyDiv w:val="1"/>
      <w:marLeft w:val="0"/>
      <w:marRight w:val="0"/>
      <w:marTop w:val="0"/>
      <w:marBottom w:val="0"/>
      <w:divBdr>
        <w:top w:val="none" w:sz="0" w:space="0" w:color="auto"/>
        <w:left w:val="none" w:sz="0" w:space="0" w:color="auto"/>
        <w:bottom w:val="none" w:sz="0" w:space="0" w:color="auto"/>
        <w:right w:val="none" w:sz="0" w:space="0" w:color="auto"/>
      </w:divBdr>
      <w:divsChild>
        <w:div w:id="285357597">
          <w:marLeft w:val="0"/>
          <w:marRight w:val="0"/>
          <w:marTop w:val="0"/>
          <w:marBottom w:val="0"/>
          <w:divBdr>
            <w:top w:val="none" w:sz="0" w:space="0" w:color="auto"/>
            <w:left w:val="none" w:sz="0" w:space="0" w:color="auto"/>
            <w:bottom w:val="none" w:sz="0" w:space="0" w:color="auto"/>
            <w:right w:val="none" w:sz="0" w:space="0" w:color="auto"/>
          </w:divBdr>
          <w:divsChild>
            <w:div w:id="1035928580">
              <w:marLeft w:val="0"/>
              <w:marRight w:val="0"/>
              <w:marTop w:val="0"/>
              <w:marBottom w:val="305"/>
              <w:divBdr>
                <w:top w:val="none" w:sz="0" w:space="0" w:color="auto"/>
                <w:left w:val="none" w:sz="0" w:space="0" w:color="auto"/>
                <w:bottom w:val="none" w:sz="0" w:space="0" w:color="auto"/>
                <w:right w:val="none" w:sz="0" w:space="0" w:color="auto"/>
              </w:divBdr>
              <w:divsChild>
                <w:div w:id="958146925">
                  <w:marLeft w:val="0"/>
                  <w:marRight w:val="0"/>
                  <w:marTop w:val="0"/>
                  <w:marBottom w:val="0"/>
                  <w:divBdr>
                    <w:top w:val="none" w:sz="0" w:space="0" w:color="auto"/>
                    <w:left w:val="none" w:sz="0" w:space="0" w:color="auto"/>
                    <w:bottom w:val="none" w:sz="0" w:space="0" w:color="auto"/>
                    <w:right w:val="none" w:sz="0" w:space="0" w:color="auto"/>
                  </w:divBdr>
                  <w:divsChild>
                    <w:div w:id="1746760763">
                      <w:marLeft w:val="0"/>
                      <w:marRight w:val="0"/>
                      <w:marTop w:val="0"/>
                      <w:marBottom w:val="0"/>
                      <w:divBdr>
                        <w:top w:val="none" w:sz="0" w:space="0" w:color="auto"/>
                        <w:left w:val="single" w:sz="4" w:space="0" w:color="F69C31"/>
                        <w:bottom w:val="none" w:sz="0" w:space="0" w:color="auto"/>
                        <w:right w:val="none" w:sz="0" w:space="0" w:color="auto"/>
                      </w:divBdr>
                      <w:divsChild>
                        <w:div w:id="1974748017">
                          <w:marLeft w:val="0"/>
                          <w:marRight w:val="0"/>
                          <w:marTop w:val="0"/>
                          <w:marBottom w:val="0"/>
                          <w:divBdr>
                            <w:top w:val="none" w:sz="0" w:space="0" w:color="auto"/>
                            <w:left w:val="none" w:sz="0" w:space="0" w:color="auto"/>
                            <w:bottom w:val="none" w:sz="0" w:space="0" w:color="auto"/>
                            <w:right w:val="none" w:sz="0" w:space="0" w:color="auto"/>
                          </w:divBdr>
                          <w:divsChild>
                            <w:div w:id="1759869326">
                              <w:marLeft w:val="0"/>
                              <w:marRight w:val="0"/>
                              <w:marTop w:val="0"/>
                              <w:marBottom w:val="0"/>
                              <w:divBdr>
                                <w:top w:val="none" w:sz="0" w:space="0" w:color="auto"/>
                                <w:left w:val="none" w:sz="0" w:space="0" w:color="auto"/>
                                <w:bottom w:val="none" w:sz="0" w:space="0" w:color="auto"/>
                                <w:right w:val="none" w:sz="0" w:space="0" w:color="auto"/>
                              </w:divBdr>
                              <w:divsChild>
                                <w:div w:id="39369684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0494">
      <w:bodyDiv w:val="1"/>
      <w:marLeft w:val="0"/>
      <w:marRight w:val="0"/>
      <w:marTop w:val="0"/>
      <w:marBottom w:val="0"/>
      <w:divBdr>
        <w:top w:val="none" w:sz="0" w:space="0" w:color="auto"/>
        <w:left w:val="none" w:sz="0" w:space="0" w:color="auto"/>
        <w:bottom w:val="none" w:sz="0" w:space="0" w:color="auto"/>
        <w:right w:val="none" w:sz="0" w:space="0" w:color="auto"/>
      </w:divBdr>
      <w:divsChild>
        <w:div w:id="1777603212">
          <w:marLeft w:val="0"/>
          <w:marRight w:val="0"/>
          <w:marTop w:val="0"/>
          <w:marBottom w:val="0"/>
          <w:divBdr>
            <w:top w:val="none" w:sz="0" w:space="0" w:color="auto"/>
            <w:left w:val="none" w:sz="0" w:space="0" w:color="auto"/>
            <w:bottom w:val="none" w:sz="0" w:space="0" w:color="auto"/>
            <w:right w:val="none" w:sz="0" w:space="0" w:color="auto"/>
          </w:divBdr>
          <w:divsChild>
            <w:div w:id="699476247">
              <w:marLeft w:val="0"/>
              <w:marRight w:val="0"/>
              <w:marTop w:val="0"/>
              <w:marBottom w:val="0"/>
              <w:divBdr>
                <w:top w:val="none" w:sz="0" w:space="0" w:color="auto"/>
                <w:left w:val="none" w:sz="0" w:space="0" w:color="auto"/>
                <w:bottom w:val="none" w:sz="0" w:space="0" w:color="auto"/>
                <w:right w:val="none" w:sz="0" w:space="0" w:color="auto"/>
              </w:divBdr>
              <w:divsChild>
                <w:div w:id="1070038343">
                  <w:marLeft w:val="0"/>
                  <w:marRight w:val="0"/>
                  <w:marTop w:val="0"/>
                  <w:marBottom w:val="0"/>
                  <w:divBdr>
                    <w:top w:val="none" w:sz="0" w:space="0" w:color="auto"/>
                    <w:left w:val="none" w:sz="0" w:space="0" w:color="auto"/>
                    <w:bottom w:val="none" w:sz="0" w:space="0" w:color="auto"/>
                    <w:right w:val="none" w:sz="0" w:space="0" w:color="auto"/>
                  </w:divBdr>
                  <w:divsChild>
                    <w:div w:id="1333558219">
                      <w:marLeft w:val="0"/>
                      <w:marRight w:val="0"/>
                      <w:marTop w:val="0"/>
                      <w:marBottom w:val="0"/>
                      <w:divBdr>
                        <w:top w:val="none" w:sz="0" w:space="0" w:color="auto"/>
                        <w:left w:val="none" w:sz="0" w:space="0" w:color="auto"/>
                        <w:bottom w:val="none" w:sz="0" w:space="0" w:color="auto"/>
                        <w:right w:val="none" w:sz="0" w:space="0" w:color="auto"/>
                      </w:divBdr>
                      <w:divsChild>
                        <w:div w:id="1725446707">
                          <w:marLeft w:val="0"/>
                          <w:marRight w:val="0"/>
                          <w:marTop w:val="0"/>
                          <w:marBottom w:val="0"/>
                          <w:divBdr>
                            <w:top w:val="single" w:sz="4" w:space="0" w:color="828282"/>
                            <w:left w:val="single" w:sz="4" w:space="0" w:color="828282"/>
                            <w:bottom w:val="single" w:sz="4" w:space="0" w:color="828282"/>
                            <w:right w:val="single" w:sz="4" w:space="0" w:color="828282"/>
                          </w:divBdr>
                          <w:divsChild>
                            <w:div w:id="81880978">
                              <w:marLeft w:val="0"/>
                              <w:marRight w:val="0"/>
                              <w:marTop w:val="0"/>
                              <w:marBottom w:val="0"/>
                              <w:divBdr>
                                <w:top w:val="none" w:sz="0" w:space="0" w:color="auto"/>
                                <w:left w:val="none" w:sz="0" w:space="0" w:color="auto"/>
                                <w:bottom w:val="none" w:sz="0" w:space="0" w:color="auto"/>
                                <w:right w:val="none" w:sz="0" w:space="0" w:color="auto"/>
                              </w:divBdr>
                              <w:divsChild>
                                <w:div w:id="1185292097">
                                  <w:marLeft w:val="0"/>
                                  <w:marRight w:val="0"/>
                                  <w:marTop w:val="0"/>
                                  <w:marBottom w:val="0"/>
                                  <w:divBdr>
                                    <w:top w:val="none" w:sz="0" w:space="0" w:color="auto"/>
                                    <w:left w:val="none" w:sz="0" w:space="0" w:color="auto"/>
                                    <w:bottom w:val="none" w:sz="0" w:space="0" w:color="auto"/>
                                    <w:right w:val="none" w:sz="0" w:space="0" w:color="auto"/>
                                  </w:divBdr>
                                  <w:divsChild>
                                    <w:div w:id="379283011">
                                      <w:marLeft w:val="0"/>
                                      <w:marRight w:val="0"/>
                                      <w:marTop w:val="0"/>
                                      <w:marBottom w:val="0"/>
                                      <w:divBdr>
                                        <w:top w:val="none" w:sz="0" w:space="0" w:color="auto"/>
                                        <w:left w:val="none" w:sz="0" w:space="0" w:color="auto"/>
                                        <w:bottom w:val="none" w:sz="0" w:space="0" w:color="auto"/>
                                        <w:right w:val="none" w:sz="0" w:space="0" w:color="auto"/>
                                      </w:divBdr>
                                      <w:divsChild>
                                        <w:div w:id="1464229685">
                                          <w:marLeft w:val="0"/>
                                          <w:marRight w:val="0"/>
                                          <w:marTop w:val="0"/>
                                          <w:marBottom w:val="0"/>
                                          <w:divBdr>
                                            <w:top w:val="none" w:sz="0" w:space="0" w:color="auto"/>
                                            <w:left w:val="none" w:sz="0" w:space="0" w:color="auto"/>
                                            <w:bottom w:val="none" w:sz="0" w:space="0" w:color="auto"/>
                                            <w:right w:val="none" w:sz="0" w:space="0" w:color="auto"/>
                                          </w:divBdr>
                                          <w:divsChild>
                                            <w:div w:id="1712727031">
                                              <w:marLeft w:val="0"/>
                                              <w:marRight w:val="0"/>
                                              <w:marTop w:val="0"/>
                                              <w:marBottom w:val="0"/>
                                              <w:divBdr>
                                                <w:top w:val="none" w:sz="0" w:space="0" w:color="auto"/>
                                                <w:left w:val="none" w:sz="0" w:space="0" w:color="auto"/>
                                                <w:bottom w:val="none" w:sz="0" w:space="0" w:color="auto"/>
                                                <w:right w:val="none" w:sz="0" w:space="0" w:color="auto"/>
                                              </w:divBdr>
                                              <w:divsChild>
                                                <w:div w:id="10575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138331">
      <w:bodyDiv w:val="1"/>
      <w:marLeft w:val="0"/>
      <w:marRight w:val="0"/>
      <w:marTop w:val="0"/>
      <w:marBottom w:val="0"/>
      <w:divBdr>
        <w:top w:val="none" w:sz="0" w:space="0" w:color="auto"/>
        <w:left w:val="none" w:sz="0" w:space="0" w:color="auto"/>
        <w:bottom w:val="none" w:sz="0" w:space="0" w:color="auto"/>
        <w:right w:val="none" w:sz="0" w:space="0" w:color="auto"/>
      </w:divBdr>
      <w:divsChild>
        <w:div w:id="18898191">
          <w:marLeft w:val="0"/>
          <w:marRight w:val="0"/>
          <w:marTop w:val="0"/>
          <w:marBottom w:val="0"/>
          <w:divBdr>
            <w:top w:val="none" w:sz="0" w:space="0" w:color="auto"/>
            <w:left w:val="none" w:sz="0" w:space="0" w:color="auto"/>
            <w:bottom w:val="none" w:sz="0" w:space="0" w:color="auto"/>
            <w:right w:val="none" w:sz="0" w:space="0" w:color="auto"/>
          </w:divBdr>
          <w:divsChild>
            <w:div w:id="819226441">
              <w:marLeft w:val="0"/>
              <w:marRight w:val="0"/>
              <w:marTop w:val="0"/>
              <w:marBottom w:val="0"/>
              <w:divBdr>
                <w:top w:val="none" w:sz="0" w:space="0" w:color="auto"/>
                <w:left w:val="none" w:sz="0" w:space="0" w:color="auto"/>
                <w:bottom w:val="none" w:sz="0" w:space="0" w:color="auto"/>
                <w:right w:val="none" w:sz="0" w:space="0" w:color="auto"/>
              </w:divBdr>
              <w:divsChild>
                <w:div w:id="1274675728">
                  <w:marLeft w:val="0"/>
                  <w:marRight w:val="0"/>
                  <w:marTop w:val="0"/>
                  <w:marBottom w:val="0"/>
                  <w:divBdr>
                    <w:top w:val="none" w:sz="0" w:space="0" w:color="auto"/>
                    <w:left w:val="none" w:sz="0" w:space="0" w:color="auto"/>
                    <w:bottom w:val="none" w:sz="0" w:space="0" w:color="auto"/>
                    <w:right w:val="none" w:sz="0" w:space="0" w:color="auto"/>
                  </w:divBdr>
                  <w:divsChild>
                    <w:div w:id="867837513">
                      <w:marLeft w:val="0"/>
                      <w:marRight w:val="0"/>
                      <w:marTop w:val="0"/>
                      <w:marBottom w:val="0"/>
                      <w:divBdr>
                        <w:top w:val="none" w:sz="0" w:space="0" w:color="auto"/>
                        <w:left w:val="none" w:sz="0" w:space="0" w:color="auto"/>
                        <w:bottom w:val="none" w:sz="0" w:space="0" w:color="auto"/>
                        <w:right w:val="none" w:sz="0" w:space="0" w:color="auto"/>
                      </w:divBdr>
                      <w:divsChild>
                        <w:div w:id="56823603">
                          <w:marLeft w:val="0"/>
                          <w:marRight w:val="0"/>
                          <w:marTop w:val="0"/>
                          <w:marBottom w:val="0"/>
                          <w:divBdr>
                            <w:top w:val="single" w:sz="4" w:space="0" w:color="828282"/>
                            <w:left w:val="single" w:sz="4" w:space="0" w:color="828282"/>
                            <w:bottom w:val="single" w:sz="4" w:space="0" w:color="828282"/>
                            <w:right w:val="single" w:sz="4" w:space="0" w:color="828282"/>
                          </w:divBdr>
                          <w:divsChild>
                            <w:div w:id="599721157">
                              <w:marLeft w:val="0"/>
                              <w:marRight w:val="0"/>
                              <w:marTop w:val="0"/>
                              <w:marBottom w:val="0"/>
                              <w:divBdr>
                                <w:top w:val="none" w:sz="0" w:space="0" w:color="auto"/>
                                <w:left w:val="none" w:sz="0" w:space="0" w:color="auto"/>
                                <w:bottom w:val="none" w:sz="0" w:space="0" w:color="auto"/>
                                <w:right w:val="none" w:sz="0" w:space="0" w:color="auto"/>
                              </w:divBdr>
                              <w:divsChild>
                                <w:div w:id="866260674">
                                  <w:marLeft w:val="0"/>
                                  <w:marRight w:val="0"/>
                                  <w:marTop w:val="0"/>
                                  <w:marBottom w:val="0"/>
                                  <w:divBdr>
                                    <w:top w:val="none" w:sz="0" w:space="0" w:color="auto"/>
                                    <w:left w:val="none" w:sz="0" w:space="0" w:color="auto"/>
                                    <w:bottom w:val="none" w:sz="0" w:space="0" w:color="auto"/>
                                    <w:right w:val="none" w:sz="0" w:space="0" w:color="auto"/>
                                  </w:divBdr>
                                  <w:divsChild>
                                    <w:div w:id="1595432958">
                                      <w:marLeft w:val="0"/>
                                      <w:marRight w:val="0"/>
                                      <w:marTop w:val="0"/>
                                      <w:marBottom w:val="0"/>
                                      <w:divBdr>
                                        <w:top w:val="none" w:sz="0" w:space="0" w:color="auto"/>
                                        <w:left w:val="none" w:sz="0" w:space="0" w:color="auto"/>
                                        <w:bottom w:val="none" w:sz="0" w:space="0" w:color="auto"/>
                                        <w:right w:val="none" w:sz="0" w:space="0" w:color="auto"/>
                                      </w:divBdr>
                                      <w:divsChild>
                                        <w:div w:id="844127955">
                                          <w:marLeft w:val="0"/>
                                          <w:marRight w:val="0"/>
                                          <w:marTop w:val="0"/>
                                          <w:marBottom w:val="0"/>
                                          <w:divBdr>
                                            <w:top w:val="none" w:sz="0" w:space="0" w:color="auto"/>
                                            <w:left w:val="none" w:sz="0" w:space="0" w:color="auto"/>
                                            <w:bottom w:val="none" w:sz="0" w:space="0" w:color="auto"/>
                                            <w:right w:val="none" w:sz="0" w:space="0" w:color="auto"/>
                                          </w:divBdr>
                                          <w:divsChild>
                                            <w:div w:id="1584072222">
                                              <w:marLeft w:val="0"/>
                                              <w:marRight w:val="0"/>
                                              <w:marTop w:val="0"/>
                                              <w:marBottom w:val="0"/>
                                              <w:divBdr>
                                                <w:top w:val="none" w:sz="0" w:space="0" w:color="auto"/>
                                                <w:left w:val="none" w:sz="0" w:space="0" w:color="auto"/>
                                                <w:bottom w:val="none" w:sz="0" w:space="0" w:color="auto"/>
                                                <w:right w:val="none" w:sz="0" w:space="0" w:color="auto"/>
                                              </w:divBdr>
                                              <w:divsChild>
                                                <w:div w:id="7276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7111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73">
          <w:marLeft w:val="0"/>
          <w:marRight w:val="0"/>
          <w:marTop w:val="0"/>
          <w:marBottom w:val="0"/>
          <w:divBdr>
            <w:top w:val="none" w:sz="0" w:space="0" w:color="auto"/>
            <w:left w:val="none" w:sz="0" w:space="0" w:color="auto"/>
            <w:bottom w:val="none" w:sz="0" w:space="0" w:color="auto"/>
            <w:right w:val="none" w:sz="0" w:space="0" w:color="auto"/>
          </w:divBdr>
          <w:divsChild>
            <w:div w:id="1926300902">
              <w:marLeft w:val="0"/>
              <w:marRight w:val="0"/>
              <w:marTop w:val="0"/>
              <w:marBottom w:val="305"/>
              <w:divBdr>
                <w:top w:val="none" w:sz="0" w:space="0" w:color="auto"/>
                <w:left w:val="none" w:sz="0" w:space="0" w:color="auto"/>
                <w:bottom w:val="none" w:sz="0" w:space="0" w:color="auto"/>
                <w:right w:val="none" w:sz="0" w:space="0" w:color="auto"/>
              </w:divBdr>
              <w:divsChild>
                <w:div w:id="820659344">
                  <w:marLeft w:val="0"/>
                  <w:marRight w:val="0"/>
                  <w:marTop w:val="0"/>
                  <w:marBottom w:val="0"/>
                  <w:divBdr>
                    <w:top w:val="none" w:sz="0" w:space="0" w:color="auto"/>
                    <w:left w:val="none" w:sz="0" w:space="0" w:color="auto"/>
                    <w:bottom w:val="none" w:sz="0" w:space="0" w:color="auto"/>
                    <w:right w:val="none" w:sz="0" w:space="0" w:color="auto"/>
                  </w:divBdr>
                  <w:divsChild>
                    <w:div w:id="1914856376">
                      <w:marLeft w:val="0"/>
                      <w:marRight w:val="0"/>
                      <w:marTop w:val="0"/>
                      <w:marBottom w:val="0"/>
                      <w:divBdr>
                        <w:top w:val="none" w:sz="0" w:space="0" w:color="auto"/>
                        <w:left w:val="single" w:sz="4" w:space="0" w:color="F69C31"/>
                        <w:bottom w:val="none" w:sz="0" w:space="0" w:color="auto"/>
                        <w:right w:val="none" w:sz="0" w:space="0" w:color="auto"/>
                      </w:divBdr>
                      <w:divsChild>
                        <w:div w:id="474685505">
                          <w:marLeft w:val="0"/>
                          <w:marRight w:val="0"/>
                          <w:marTop w:val="0"/>
                          <w:marBottom w:val="0"/>
                          <w:divBdr>
                            <w:top w:val="none" w:sz="0" w:space="0" w:color="auto"/>
                            <w:left w:val="none" w:sz="0" w:space="0" w:color="auto"/>
                            <w:bottom w:val="none" w:sz="0" w:space="0" w:color="auto"/>
                            <w:right w:val="none" w:sz="0" w:space="0" w:color="auto"/>
                          </w:divBdr>
                          <w:divsChild>
                            <w:div w:id="1507941149">
                              <w:marLeft w:val="0"/>
                              <w:marRight w:val="0"/>
                              <w:marTop w:val="0"/>
                              <w:marBottom w:val="0"/>
                              <w:divBdr>
                                <w:top w:val="none" w:sz="0" w:space="0" w:color="auto"/>
                                <w:left w:val="none" w:sz="0" w:space="0" w:color="auto"/>
                                <w:bottom w:val="none" w:sz="0" w:space="0" w:color="auto"/>
                                <w:right w:val="none" w:sz="0" w:space="0" w:color="auto"/>
                              </w:divBdr>
                              <w:divsChild>
                                <w:div w:id="1950963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73499">
      <w:bodyDiv w:val="1"/>
      <w:marLeft w:val="0"/>
      <w:marRight w:val="0"/>
      <w:marTop w:val="0"/>
      <w:marBottom w:val="0"/>
      <w:divBdr>
        <w:top w:val="none" w:sz="0" w:space="0" w:color="auto"/>
        <w:left w:val="none" w:sz="0" w:space="0" w:color="auto"/>
        <w:bottom w:val="none" w:sz="0" w:space="0" w:color="auto"/>
        <w:right w:val="none" w:sz="0" w:space="0" w:color="auto"/>
      </w:divBdr>
      <w:divsChild>
        <w:div w:id="1931624743">
          <w:marLeft w:val="0"/>
          <w:marRight w:val="0"/>
          <w:marTop w:val="0"/>
          <w:marBottom w:val="0"/>
          <w:divBdr>
            <w:top w:val="none" w:sz="0" w:space="0" w:color="auto"/>
            <w:left w:val="none" w:sz="0" w:space="0" w:color="auto"/>
            <w:bottom w:val="none" w:sz="0" w:space="0" w:color="auto"/>
            <w:right w:val="none" w:sz="0" w:space="0" w:color="auto"/>
          </w:divBdr>
          <w:divsChild>
            <w:div w:id="1454905482">
              <w:marLeft w:val="0"/>
              <w:marRight w:val="0"/>
              <w:marTop w:val="0"/>
              <w:marBottom w:val="0"/>
              <w:divBdr>
                <w:top w:val="none" w:sz="0" w:space="0" w:color="auto"/>
                <w:left w:val="none" w:sz="0" w:space="0" w:color="auto"/>
                <w:bottom w:val="none" w:sz="0" w:space="0" w:color="auto"/>
                <w:right w:val="none" w:sz="0" w:space="0" w:color="auto"/>
              </w:divBdr>
              <w:divsChild>
                <w:div w:id="1034771451">
                  <w:marLeft w:val="10"/>
                  <w:marRight w:val="10"/>
                  <w:marTop w:val="0"/>
                  <w:marBottom w:val="0"/>
                  <w:divBdr>
                    <w:top w:val="single" w:sz="4" w:space="0" w:color="FFFFFF"/>
                    <w:left w:val="single" w:sz="4" w:space="0" w:color="FFFFFF"/>
                    <w:bottom w:val="single" w:sz="4" w:space="8" w:color="FFFFFF"/>
                    <w:right w:val="single" w:sz="4" w:space="0" w:color="FFFFFF"/>
                  </w:divBdr>
                  <w:divsChild>
                    <w:div w:id="1391999525">
                      <w:marLeft w:val="200"/>
                      <w:marRight w:val="20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197428883">
      <w:bodyDiv w:val="1"/>
      <w:marLeft w:val="0"/>
      <w:marRight w:val="0"/>
      <w:marTop w:val="0"/>
      <w:marBottom w:val="0"/>
      <w:divBdr>
        <w:top w:val="none" w:sz="0" w:space="0" w:color="auto"/>
        <w:left w:val="none" w:sz="0" w:space="0" w:color="auto"/>
        <w:bottom w:val="none" w:sz="0" w:space="0" w:color="auto"/>
        <w:right w:val="none" w:sz="0" w:space="0" w:color="auto"/>
      </w:divBdr>
      <w:divsChild>
        <w:div w:id="892931088">
          <w:marLeft w:val="0"/>
          <w:marRight w:val="0"/>
          <w:marTop w:val="0"/>
          <w:marBottom w:val="0"/>
          <w:divBdr>
            <w:top w:val="none" w:sz="0" w:space="0" w:color="auto"/>
            <w:left w:val="none" w:sz="0" w:space="0" w:color="auto"/>
            <w:bottom w:val="none" w:sz="0" w:space="0" w:color="auto"/>
            <w:right w:val="none" w:sz="0" w:space="0" w:color="auto"/>
          </w:divBdr>
          <w:divsChild>
            <w:div w:id="730344853">
              <w:marLeft w:val="0"/>
              <w:marRight w:val="0"/>
              <w:marTop w:val="0"/>
              <w:marBottom w:val="0"/>
              <w:divBdr>
                <w:top w:val="none" w:sz="0" w:space="0" w:color="auto"/>
                <w:left w:val="none" w:sz="0" w:space="0" w:color="auto"/>
                <w:bottom w:val="none" w:sz="0" w:space="0" w:color="auto"/>
                <w:right w:val="none" w:sz="0" w:space="0" w:color="auto"/>
              </w:divBdr>
              <w:divsChild>
                <w:div w:id="1852068367">
                  <w:marLeft w:val="0"/>
                  <w:marRight w:val="0"/>
                  <w:marTop w:val="0"/>
                  <w:marBottom w:val="0"/>
                  <w:divBdr>
                    <w:top w:val="none" w:sz="0" w:space="0" w:color="auto"/>
                    <w:left w:val="none" w:sz="0" w:space="0" w:color="auto"/>
                    <w:bottom w:val="none" w:sz="0" w:space="0" w:color="auto"/>
                    <w:right w:val="none" w:sz="0" w:space="0" w:color="auto"/>
                  </w:divBdr>
                  <w:divsChild>
                    <w:div w:id="1731613985">
                      <w:marLeft w:val="0"/>
                      <w:marRight w:val="0"/>
                      <w:marTop w:val="0"/>
                      <w:marBottom w:val="0"/>
                      <w:divBdr>
                        <w:top w:val="none" w:sz="0" w:space="0" w:color="auto"/>
                        <w:left w:val="none" w:sz="0" w:space="0" w:color="auto"/>
                        <w:bottom w:val="none" w:sz="0" w:space="0" w:color="auto"/>
                        <w:right w:val="none" w:sz="0" w:space="0" w:color="auto"/>
                      </w:divBdr>
                      <w:divsChild>
                        <w:div w:id="1882940652">
                          <w:marLeft w:val="0"/>
                          <w:marRight w:val="0"/>
                          <w:marTop w:val="0"/>
                          <w:marBottom w:val="0"/>
                          <w:divBdr>
                            <w:top w:val="single" w:sz="6" w:space="0" w:color="828282"/>
                            <w:left w:val="single" w:sz="6" w:space="0" w:color="828282"/>
                            <w:bottom w:val="single" w:sz="6" w:space="0" w:color="828282"/>
                            <w:right w:val="single" w:sz="6" w:space="0" w:color="828282"/>
                          </w:divBdr>
                          <w:divsChild>
                            <w:div w:id="860512799">
                              <w:marLeft w:val="0"/>
                              <w:marRight w:val="0"/>
                              <w:marTop w:val="0"/>
                              <w:marBottom w:val="0"/>
                              <w:divBdr>
                                <w:top w:val="none" w:sz="0" w:space="0" w:color="auto"/>
                                <w:left w:val="none" w:sz="0" w:space="0" w:color="auto"/>
                                <w:bottom w:val="none" w:sz="0" w:space="0" w:color="auto"/>
                                <w:right w:val="none" w:sz="0" w:space="0" w:color="auto"/>
                              </w:divBdr>
                              <w:divsChild>
                                <w:div w:id="260185932">
                                  <w:marLeft w:val="0"/>
                                  <w:marRight w:val="0"/>
                                  <w:marTop w:val="0"/>
                                  <w:marBottom w:val="0"/>
                                  <w:divBdr>
                                    <w:top w:val="none" w:sz="0" w:space="0" w:color="auto"/>
                                    <w:left w:val="none" w:sz="0" w:space="0" w:color="auto"/>
                                    <w:bottom w:val="none" w:sz="0" w:space="0" w:color="auto"/>
                                    <w:right w:val="none" w:sz="0" w:space="0" w:color="auto"/>
                                  </w:divBdr>
                                  <w:divsChild>
                                    <w:div w:id="555049347">
                                      <w:marLeft w:val="0"/>
                                      <w:marRight w:val="0"/>
                                      <w:marTop w:val="0"/>
                                      <w:marBottom w:val="0"/>
                                      <w:divBdr>
                                        <w:top w:val="none" w:sz="0" w:space="0" w:color="auto"/>
                                        <w:left w:val="none" w:sz="0" w:space="0" w:color="auto"/>
                                        <w:bottom w:val="none" w:sz="0" w:space="0" w:color="auto"/>
                                        <w:right w:val="none" w:sz="0" w:space="0" w:color="auto"/>
                                      </w:divBdr>
                                      <w:divsChild>
                                        <w:div w:id="997731018">
                                          <w:marLeft w:val="0"/>
                                          <w:marRight w:val="0"/>
                                          <w:marTop w:val="0"/>
                                          <w:marBottom w:val="0"/>
                                          <w:divBdr>
                                            <w:top w:val="none" w:sz="0" w:space="0" w:color="auto"/>
                                            <w:left w:val="none" w:sz="0" w:space="0" w:color="auto"/>
                                            <w:bottom w:val="none" w:sz="0" w:space="0" w:color="auto"/>
                                            <w:right w:val="none" w:sz="0" w:space="0" w:color="auto"/>
                                          </w:divBdr>
                                          <w:divsChild>
                                            <w:div w:id="574585546">
                                              <w:marLeft w:val="0"/>
                                              <w:marRight w:val="0"/>
                                              <w:marTop w:val="0"/>
                                              <w:marBottom w:val="0"/>
                                              <w:divBdr>
                                                <w:top w:val="none" w:sz="0" w:space="0" w:color="auto"/>
                                                <w:left w:val="none" w:sz="0" w:space="0" w:color="auto"/>
                                                <w:bottom w:val="none" w:sz="0" w:space="0" w:color="auto"/>
                                                <w:right w:val="none" w:sz="0" w:space="0" w:color="auto"/>
                                              </w:divBdr>
                                              <w:divsChild>
                                                <w:div w:id="18150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771355">
      <w:bodyDiv w:val="1"/>
      <w:marLeft w:val="0"/>
      <w:marRight w:val="0"/>
      <w:marTop w:val="0"/>
      <w:marBottom w:val="0"/>
      <w:divBdr>
        <w:top w:val="none" w:sz="0" w:space="0" w:color="auto"/>
        <w:left w:val="none" w:sz="0" w:space="0" w:color="auto"/>
        <w:bottom w:val="none" w:sz="0" w:space="0" w:color="auto"/>
        <w:right w:val="none" w:sz="0" w:space="0" w:color="auto"/>
      </w:divBdr>
      <w:divsChild>
        <w:div w:id="1247378480">
          <w:marLeft w:val="0"/>
          <w:marRight w:val="0"/>
          <w:marTop w:val="0"/>
          <w:marBottom w:val="0"/>
          <w:divBdr>
            <w:top w:val="none" w:sz="0" w:space="0" w:color="auto"/>
            <w:left w:val="none" w:sz="0" w:space="0" w:color="auto"/>
            <w:bottom w:val="none" w:sz="0" w:space="0" w:color="auto"/>
            <w:right w:val="none" w:sz="0" w:space="0" w:color="auto"/>
          </w:divBdr>
          <w:divsChild>
            <w:div w:id="2134399394">
              <w:marLeft w:val="0"/>
              <w:marRight w:val="0"/>
              <w:marTop w:val="0"/>
              <w:marBottom w:val="0"/>
              <w:divBdr>
                <w:top w:val="none" w:sz="0" w:space="0" w:color="auto"/>
                <w:left w:val="none" w:sz="0" w:space="0" w:color="auto"/>
                <w:bottom w:val="none" w:sz="0" w:space="0" w:color="auto"/>
                <w:right w:val="none" w:sz="0" w:space="0" w:color="auto"/>
              </w:divBdr>
              <w:divsChild>
                <w:div w:id="1965231005">
                  <w:marLeft w:val="0"/>
                  <w:marRight w:val="0"/>
                  <w:marTop w:val="0"/>
                  <w:marBottom w:val="0"/>
                  <w:divBdr>
                    <w:top w:val="none" w:sz="0" w:space="0" w:color="auto"/>
                    <w:left w:val="none" w:sz="0" w:space="0" w:color="auto"/>
                    <w:bottom w:val="none" w:sz="0" w:space="0" w:color="auto"/>
                    <w:right w:val="none" w:sz="0" w:space="0" w:color="auto"/>
                  </w:divBdr>
                  <w:divsChild>
                    <w:div w:id="2005011660">
                      <w:marLeft w:val="0"/>
                      <w:marRight w:val="0"/>
                      <w:marTop w:val="0"/>
                      <w:marBottom w:val="0"/>
                      <w:divBdr>
                        <w:top w:val="none" w:sz="0" w:space="0" w:color="auto"/>
                        <w:left w:val="none" w:sz="0" w:space="0" w:color="auto"/>
                        <w:bottom w:val="none" w:sz="0" w:space="0" w:color="auto"/>
                        <w:right w:val="none" w:sz="0" w:space="0" w:color="auto"/>
                      </w:divBdr>
                      <w:divsChild>
                        <w:div w:id="21322771">
                          <w:marLeft w:val="0"/>
                          <w:marRight w:val="0"/>
                          <w:marTop w:val="0"/>
                          <w:marBottom w:val="0"/>
                          <w:divBdr>
                            <w:top w:val="single" w:sz="6" w:space="0" w:color="828282"/>
                            <w:left w:val="single" w:sz="6" w:space="0" w:color="828282"/>
                            <w:bottom w:val="single" w:sz="6" w:space="0" w:color="828282"/>
                            <w:right w:val="single" w:sz="6" w:space="0" w:color="828282"/>
                          </w:divBdr>
                          <w:divsChild>
                            <w:div w:id="2010670924">
                              <w:marLeft w:val="0"/>
                              <w:marRight w:val="0"/>
                              <w:marTop w:val="0"/>
                              <w:marBottom w:val="0"/>
                              <w:divBdr>
                                <w:top w:val="none" w:sz="0" w:space="0" w:color="auto"/>
                                <w:left w:val="none" w:sz="0" w:space="0" w:color="auto"/>
                                <w:bottom w:val="none" w:sz="0" w:space="0" w:color="auto"/>
                                <w:right w:val="none" w:sz="0" w:space="0" w:color="auto"/>
                              </w:divBdr>
                              <w:divsChild>
                                <w:div w:id="133764441">
                                  <w:marLeft w:val="0"/>
                                  <w:marRight w:val="0"/>
                                  <w:marTop w:val="0"/>
                                  <w:marBottom w:val="0"/>
                                  <w:divBdr>
                                    <w:top w:val="none" w:sz="0" w:space="0" w:color="auto"/>
                                    <w:left w:val="none" w:sz="0" w:space="0" w:color="auto"/>
                                    <w:bottom w:val="none" w:sz="0" w:space="0" w:color="auto"/>
                                    <w:right w:val="none" w:sz="0" w:space="0" w:color="auto"/>
                                  </w:divBdr>
                                  <w:divsChild>
                                    <w:div w:id="147357288">
                                      <w:marLeft w:val="0"/>
                                      <w:marRight w:val="0"/>
                                      <w:marTop w:val="0"/>
                                      <w:marBottom w:val="0"/>
                                      <w:divBdr>
                                        <w:top w:val="none" w:sz="0" w:space="0" w:color="auto"/>
                                        <w:left w:val="none" w:sz="0" w:space="0" w:color="auto"/>
                                        <w:bottom w:val="none" w:sz="0" w:space="0" w:color="auto"/>
                                        <w:right w:val="none" w:sz="0" w:space="0" w:color="auto"/>
                                      </w:divBdr>
                                      <w:divsChild>
                                        <w:div w:id="2067874854">
                                          <w:marLeft w:val="0"/>
                                          <w:marRight w:val="0"/>
                                          <w:marTop w:val="0"/>
                                          <w:marBottom w:val="0"/>
                                          <w:divBdr>
                                            <w:top w:val="none" w:sz="0" w:space="0" w:color="auto"/>
                                            <w:left w:val="none" w:sz="0" w:space="0" w:color="auto"/>
                                            <w:bottom w:val="none" w:sz="0" w:space="0" w:color="auto"/>
                                            <w:right w:val="none" w:sz="0" w:space="0" w:color="auto"/>
                                          </w:divBdr>
                                          <w:divsChild>
                                            <w:div w:id="2018918925">
                                              <w:marLeft w:val="0"/>
                                              <w:marRight w:val="0"/>
                                              <w:marTop w:val="0"/>
                                              <w:marBottom w:val="0"/>
                                              <w:divBdr>
                                                <w:top w:val="none" w:sz="0" w:space="0" w:color="auto"/>
                                                <w:left w:val="none" w:sz="0" w:space="0" w:color="auto"/>
                                                <w:bottom w:val="none" w:sz="0" w:space="0" w:color="auto"/>
                                                <w:right w:val="none" w:sz="0" w:space="0" w:color="auto"/>
                                              </w:divBdr>
                                              <w:divsChild>
                                                <w:div w:id="494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70B81-DFA9-4527-B668-EE933F13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smydan</dc:creator>
  <cp:lastModifiedBy>Richard Murphy</cp:lastModifiedBy>
  <cp:revision>2</cp:revision>
  <cp:lastPrinted>2014-12-17T02:32:00Z</cp:lastPrinted>
  <dcterms:created xsi:type="dcterms:W3CDTF">2015-01-08T06:35:00Z</dcterms:created>
  <dcterms:modified xsi:type="dcterms:W3CDTF">2015-01-08T06:35:00Z</dcterms:modified>
</cp:coreProperties>
</file>